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45B1B" w14:textId="6DEA6C26" w:rsidR="00765141" w:rsidRPr="00B41D40" w:rsidRDefault="00765141" w:rsidP="00B41D40">
      <w:pPr>
        <w:pStyle w:val="1-MainHeading"/>
      </w:pPr>
      <w:bookmarkStart w:id="0" w:name="_Toc174628124"/>
      <w:bookmarkStart w:id="1" w:name="_Toc177532570"/>
      <w:bookmarkStart w:id="2" w:name="_Toc177548268"/>
      <w:bookmarkStart w:id="3" w:name="_Toc380679747"/>
      <w:bookmarkStart w:id="4" w:name="_Toc380742604"/>
      <w:bookmarkStart w:id="5" w:name="_Toc380746171"/>
      <w:bookmarkStart w:id="6" w:name="_Toc380746294"/>
      <w:bookmarkStart w:id="7" w:name="_Toc380746578"/>
      <w:r>
        <w:t>5.04</w:t>
      </w:r>
      <w:r w:rsidRPr="0098262F">
        <w:tab/>
      </w:r>
      <w:r>
        <w:t>AMIVANTAMAB</w:t>
      </w:r>
      <w:r w:rsidRPr="0098262F">
        <w:t>,</w:t>
      </w:r>
      <w:r w:rsidRPr="0098262F">
        <w:br/>
      </w:r>
      <w:r>
        <w:t>Solution concentrate for I.V. infusion</w:t>
      </w:r>
      <w:r w:rsidR="00FB52F4">
        <w:t xml:space="preserve"> </w:t>
      </w:r>
      <w:r>
        <w:t>350 mg in 7 mL</w:t>
      </w:r>
      <w:r w:rsidRPr="0098262F">
        <w:t>,</w:t>
      </w:r>
      <w:r w:rsidRPr="0098262F">
        <w:br/>
      </w:r>
      <w:proofErr w:type="spellStart"/>
      <w:r w:rsidRPr="007F062E">
        <w:t>Rybrevant</w:t>
      </w:r>
      <w:proofErr w:type="spellEnd"/>
      <w:r w:rsidRPr="0098262F">
        <w:rPr>
          <w:vertAlign w:val="superscript"/>
        </w:rPr>
        <w:t>®</w:t>
      </w:r>
      <w:r w:rsidRPr="0098262F">
        <w:t>,</w:t>
      </w:r>
      <w:r w:rsidRPr="0098262F">
        <w:br/>
      </w:r>
      <w:r w:rsidRPr="007F062E">
        <w:t>Janssen-Cilag Pty Ltd</w:t>
      </w:r>
      <w:r w:rsidRPr="0098262F">
        <w:t>.</w:t>
      </w:r>
      <w:bookmarkEnd w:id="0"/>
      <w:bookmarkEnd w:id="1"/>
      <w:bookmarkEnd w:id="2"/>
      <w:r w:rsidRPr="0098262F">
        <w:t xml:space="preserve"> </w:t>
      </w:r>
    </w:p>
    <w:p w14:paraId="1250892F" w14:textId="77777777" w:rsidR="00765141" w:rsidRPr="0098262F" w:rsidRDefault="00765141" w:rsidP="00765141">
      <w:pPr>
        <w:pStyle w:val="2-SectionHeading"/>
      </w:pPr>
      <w:bookmarkStart w:id="8" w:name="_Toc174628127"/>
      <w:bookmarkStart w:id="9" w:name="_Toc177532572"/>
      <w:bookmarkStart w:id="10" w:name="_Toc177548270"/>
      <w:r w:rsidRPr="0098262F">
        <w:t>Purpose of submission</w:t>
      </w:r>
      <w:bookmarkEnd w:id="8"/>
      <w:bookmarkEnd w:id="9"/>
      <w:bookmarkEnd w:id="10"/>
    </w:p>
    <w:p w14:paraId="36AB7DA2" w14:textId="0A2E37E0" w:rsidR="00765141" w:rsidRDefault="00765141" w:rsidP="00EF4C49">
      <w:pPr>
        <w:pStyle w:val="3-BodyText"/>
      </w:pPr>
      <w:r w:rsidRPr="0098262F">
        <w:t xml:space="preserve">The Category </w:t>
      </w:r>
      <w:r>
        <w:t>1</w:t>
      </w:r>
      <w:r w:rsidRPr="0098262F">
        <w:t xml:space="preserve"> submission requested Section 100</w:t>
      </w:r>
      <w:r>
        <w:t xml:space="preserve"> (Efficient Funding of Chemotherapy Program)</w:t>
      </w:r>
      <w:r w:rsidRPr="0098262F">
        <w:t xml:space="preserve"> Authority Required</w:t>
      </w:r>
      <w:r>
        <w:t xml:space="preserve"> (Telephone/Online) </w:t>
      </w:r>
      <w:r w:rsidRPr="0098262F">
        <w:t xml:space="preserve">listing for </w:t>
      </w:r>
      <w:r>
        <w:t>amivantamab</w:t>
      </w:r>
      <w:r w:rsidRPr="0098262F">
        <w:t xml:space="preserve"> </w:t>
      </w:r>
      <w:r>
        <w:t xml:space="preserve">for the treatment of </w:t>
      </w:r>
      <w:r w:rsidRPr="00370EA1">
        <w:t>patients with epidermal growth factor receptor (</w:t>
      </w:r>
      <w:r w:rsidR="008272D0" w:rsidRPr="008272D0">
        <w:rPr>
          <w:i/>
        </w:rPr>
        <w:t>EGFR</w:t>
      </w:r>
      <w:r w:rsidRPr="00370EA1">
        <w:t xml:space="preserve">) exon 20 insertion (ex20ins) mutation positive treatment </w:t>
      </w:r>
      <w:r>
        <w:t>naïve (</w:t>
      </w:r>
      <w:r w:rsidRPr="00370EA1">
        <w:t>first-line) locally advanced or metastatic non-small cell lung cancer (NSCLC)</w:t>
      </w:r>
      <w:r>
        <w:t xml:space="preserve">, used in combination with </w:t>
      </w:r>
      <w:r w:rsidRPr="002A3B1C">
        <w:t>platinum-based chemotherapy (PBC)</w:t>
      </w:r>
      <w:r>
        <w:t>.</w:t>
      </w:r>
    </w:p>
    <w:p w14:paraId="6BFF7F9C" w14:textId="261071D1" w:rsidR="00765141" w:rsidRPr="0098262F" w:rsidRDefault="00765141" w:rsidP="00EF4C49">
      <w:pPr>
        <w:pStyle w:val="3-BodyText"/>
      </w:pPr>
      <w:r w:rsidRPr="0098262F">
        <w:t xml:space="preserve">Listing was requested </w:t>
      </w:r>
      <w:proofErr w:type="gramStart"/>
      <w:r w:rsidRPr="0098262F">
        <w:t>on the basis of</w:t>
      </w:r>
      <w:proofErr w:type="gramEnd"/>
      <w:r w:rsidRPr="0098262F">
        <w:t xml:space="preserve"> a cost-effectiveness analysis </w:t>
      </w:r>
      <w:r w:rsidR="00B661CB">
        <w:t xml:space="preserve">of </w:t>
      </w:r>
      <w:r>
        <w:t xml:space="preserve">amivantamab plus </w:t>
      </w:r>
      <w:r w:rsidRPr="008C26E3">
        <w:t>carboplatin and pemetrexed</w:t>
      </w:r>
      <w:r>
        <w:t xml:space="preserve"> (ACP) versus </w:t>
      </w:r>
      <w:r w:rsidRPr="008C26E3">
        <w:t>carboplatin and pemetrexed</w:t>
      </w:r>
      <w:r>
        <w:t xml:space="preserve"> (CP) alone</w:t>
      </w:r>
      <w:r w:rsidRPr="0098262F">
        <w:t xml:space="preserve">. </w:t>
      </w:r>
      <w:r w:rsidRPr="008272D0">
        <w:t xml:space="preserve">CP was the PBC used in the clinical trial evidence and </w:t>
      </w:r>
      <w:r w:rsidR="00CF2A64" w:rsidRPr="008272D0">
        <w:t>wa</w:t>
      </w:r>
      <w:r w:rsidRPr="008272D0">
        <w:t>s used to represent PBC in this submission.</w:t>
      </w:r>
    </w:p>
    <w:p w14:paraId="43CF7E68" w14:textId="641BA45D" w:rsidR="00765141" w:rsidRPr="0098262F" w:rsidRDefault="00765141" w:rsidP="00765141">
      <w:pPr>
        <w:pStyle w:val="TableFigureHeading"/>
        <w:rPr>
          <w:rStyle w:val="CommentReference"/>
          <w:b/>
          <w:szCs w:val="24"/>
        </w:rPr>
      </w:pPr>
      <w:bookmarkStart w:id="11" w:name="_Ref174963663"/>
      <w:r w:rsidRPr="0098262F">
        <w:t xml:space="preserve">Table </w:t>
      </w:r>
      <w:r w:rsidR="002C794C">
        <w:fldChar w:fldCharType="begin"/>
      </w:r>
      <w:r w:rsidR="002C794C">
        <w:instrText xml:space="preserve"> SEQ Table \* ARABIC </w:instrText>
      </w:r>
      <w:r w:rsidR="002C794C">
        <w:fldChar w:fldCharType="separate"/>
      </w:r>
      <w:r w:rsidR="00372107">
        <w:rPr>
          <w:noProof/>
        </w:rPr>
        <w:t>1</w:t>
      </w:r>
      <w:r w:rsidR="002C794C">
        <w:rPr>
          <w:noProof/>
        </w:rPr>
        <w:fldChar w:fldCharType="end"/>
      </w:r>
      <w:bookmarkEnd w:id="11"/>
      <w:r w:rsidRPr="0098262F">
        <w:t>:</w:t>
      </w:r>
      <w:r w:rsidRPr="0098262F">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765141" w:rsidRPr="0098262F" w14:paraId="65ABC3F4" w14:textId="77777777">
        <w:trPr>
          <w:cantSplit/>
          <w:tblHeader/>
        </w:trPr>
        <w:tc>
          <w:tcPr>
            <w:tcW w:w="924" w:type="pct"/>
            <w:shd w:val="clear" w:color="auto" w:fill="auto"/>
          </w:tcPr>
          <w:p w14:paraId="0A3123A4" w14:textId="77777777" w:rsidR="00765141" w:rsidRPr="0098262F" w:rsidRDefault="00765141" w:rsidP="00265DDC">
            <w:pPr>
              <w:pStyle w:val="In-tableHeading"/>
            </w:pPr>
            <w:r w:rsidRPr="2D6D4E34">
              <w:t>Component</w:t>
            </w:r>
          </w:p>
        </w:tc>
        <w:tc>
          <w:tcPr>
            <w:tcW w:w="4076" w:type="pct"/>
            <w:shd w:val="clear" w:color="auto" w:fill="auto"/>
          </w:tcPr>
          <w:p w14:paraId="1A310579" w14:textId="77777777" w:rsidR="00765141" w:rsidRPr="0098262F" w:rsidRDefault="00765141" w:rsidP="00265DDC">
            <w:pPr>
              <w:pStyle w:val="In-tableHeading"/>
            </w:pPr>
            <w:r w:rsidRPr="0098262F">
              <w:t>Description</w:t>
            </w:r>
          </w:p>
        </w:tc>
      </w:tr>
      <w:tr w:rsidR="00765141" w:rsidRPr="0098262F" w14:paraId="617EA3A8" w14:textId="77777777">
        <w:trPr>
          <w:cantSplit/>
        </w:trPr>
        <w:tc>
          <w:tcPr>
            <w:tcW w:w="924" w:type="pct"/>
            <w:shd w:val="clear" w:color="auto" w:fill="auto"/>
          </w:tcPr>
          <w:p w14:paraId="09894F0C" w14:textId="77777777" w:rsidR="00765141" w:rsidRPr="0098262F" w:rsidRDefault="00765141">
            <w:pPr>
              <w:pStyle w:val="TableText0"/>
            </w:pPr>
            <w:r w:rsidRPr="0098262F">
              <w:t>Population</w:t>
            </w:r>
          </w:p>
        </w:tc>
        <w:tc>
          <w:tcPr>
            <w:tcW w:w="4076" w:type="pct"/>
            <w:shd w:val="clear" w:color="auto" w:fill="auto"/>
          </w:tcPr>
          <w:p w14:paraId="73AA25F2" w14:textId="1C079AD0" w:rsidR="00765141" w:rsidRPr="0098262F" w:rsidRDefault="00765141">
            <w:pPr>
              <w:pStyle w:val="TableText0"/>
              <w:rPr>
                <w:szCs w:val="20"/>
              </w:rPr>
            </w:pPr>
            <w:r w:rsidRPr="008E6D04">
              <w:t xml:space="preserve">Patients with treatment naive, locally advanced or metastatic </w:t>
            </w:r>
            <w:r w:rsidRPr="00C87C37">
              <w:t>NSCLC</w:t>
            </w:r>
            <w:r>
              <w:t xml:space="preserve"> </w:t>
            </w:r>
            <w:r w:rsidRPr="008E6D04">
              <w:t xml:space="preserve">with evidence of </w:t>
            </w:r>
            <w:r w:rsidR="008272D0" w:rsidRPr="008272D0">
              <w:rPr>
                <w:i/>
              </w:rPr>
              <w:t>EGFR</w:t>
            </w:r>
            <w:r w:rsidRPr="00C87C37">
              <w:t xml:space="preserve"> ex20ins mutation</w:t>
            </w:r>
            <w:r w:rsidR="003426DA">
              <w:t>.</w:t>
            </w:r>
          </w:p>
        </w:tc>
      </w:tr>
      <w:tr w:rsidR="00765141" w:rsidRPr="0098262F" w14:paraId="46F809B9" w14:textId="77777777">
        <w:trPr>
          <w:cantSplit/>
        </w:trPr>
        <w:tc>
          <w:tcPr>
            <w:tcW w:w="924" w:type="pct"/>
            <w:shd w:val="clear" w:color="auto" w:fill="auto"/>
          </w:tcPr>
          <w:p w14:paraId="52594FDA" w14:textId="77777777" w:rsidR="00765141" w:rsidRPr="0098262F" w:rsidRDefault="00765141">
            <w:pPr>
              <w:pStyle w:val="TableText0"/>
            </w:pPr>
            <w:r w:rsidRPr="0098262F">
              <w:t>Intervention</w:t>
            </w:r>
          </w:p>
        </w:tc>
        <w:tc>
          <w:tcPr>
            <w:tcW w:w="4076" w:type="pct"/>
            <w:shd w:val="clear" w:color="auto" w:fill="auto"/>
          </w:tcPr>
          <w:p w14:paraId="475946A5" w14:textId="5896A1E8" w:rsidR="00765141" w:rsidRPr="0098262F" w:rsidRDefault="00765141">
            <w:pPr>
              <w:pStyle w:val="TableText0"/>
            </w:pPr>
            <w:r w:rsidRPr="008E6D04">
              <w:t xml:space="preserve">Amivantamab IV infusion in combination with </w:t>
            </w:r>
            <w:r w:rsidRPr="00B4322A">
              <w:t>PBC</w:t>
            </w:r>
            <w:r>
              <w:t xml:space="preserve"> </w:t>
            </w:r>
            <w:r w:rsidRPr="008E6D04">
              <w:t>every 3 weeks for up to 6 cycles followed by amivantamab IV infusion and pemetrexed IV infusion every 3 weeks until disease progression</w:t>
            </w:r>
            <w:r w:rsidR="003426DA">
              <w:t>.</w:t>
            </w:r>
          </w:p>
        </w:tc>
      </w:tr>
      <w:tr w:rsidR="00765141" w:rsidRPr="0098262F" w14:paraId="2FDABA00" w14:textId="77777777">
        <w:trPr>
          <w:cantSplit/>
        </w:trPr>
        <w:tc>
          <w:tcPr>
            <w:tcW w:w="924" w:type="pct"/>
            <w:shd w:val="clear" w:color="auto" w:fill="auto"/>
          </w:tcPr>
          <w:p w14:paraId="3499D99F" w14:textId="77777777" w:rsidR="00765141" w:rsidRPr="0098262F" w:rsidRDefault="00765141">
            <w:pPr>
              <w:pStyle w:val="TableText0"/>
            </w:pPr>
            <w:r w:rsidRPr="0098262F">
              <w:t>Comparator</w:t>
            </w:r>
          </w:p>
        </w:tc>
        <w:tc>
          <w:tcPr>
            <w:tcW w:w="4076" w:type="pct"/>
            <w:shd w:val="clear" w:color="auto" w:fill="auto"/>
          </w:tcPr>
          <w:p w14:paraId="0D3E7352" w14:textId="77777777" w:rsidR="00765141" w:rsidRPr="0098262F" w:rsidRDefault="00765141">
            <w:pPr>
              <w:pStyle w:val="TableText0"/>
            </w:pPr>
            <w:r w:rsidRPr="008E6D04">
              <w:t>PBC (represented in the clinical trial evidence by carboplatin and pemetrexed)</w:t>
            </w:r>
          </w:p>
        </w:tc>
      </w:tr>
      <w:tr w:rsidR="00765141" w:rsidRPr="0098262F" w14:paraId="5EFD4526" w14:textId="77777777">
        <w:trPr>
          <w:cantSplit/>
        </w:trPr>
        <w:tc>
          <w:tcPr>
            <w:tcW w:w="924" w:type="pct"/>
            <w:shd w:val="clear" w:color="auto" w:fill="auto"/>
          </w:tcPr>
          <w:p w14:paraId="751E6817" w14:textId="77777777" w:rsidR="00765141" w:rsidRPr="0098262F" w:rsidRDefault="00765141">
            <w:pPr>
              <w:pStyle w:val="TableText0"/>
            </w:pPr>
            <w:r w:rsidRPr="0098262F">
              <w:t>Outcomes</w:t>
            </w:r>
          </w:p>
        </w:tc>
        <w:tc>
          <w:tcPr>
            <w:tcW w:w="4076" w:type="pct"/>
            <w:shd w:val="clear" w:color="auto" w:fill="auto"/>
          </w:tcPr>
          <w:p w14:paraId="2A8C2F3F" w14:textId="77777777" w:rsidR="00765141" w:rsidRPr="0098262F" w:rsidRDefault="00765141">
            <w:pPr>
              <w:pStyle w:val="TableText0"/>
              <w:rPr>
                <w:rFonts w:eastAsia="Times New Roman" w:cs="Arial"/>
                <w:bCs w:val="0"/>
                <w:snapToGrid w:val="0"/>
                <w:color w:val="0066FF"/>
                <w:szCs w:val="20"/>
              </w:rPr>
            </w:pPr>
            <w:r w:rsidRPr="008E6D04">
              <w:t>PFS, OS, ORR, DoR, TTST, PFS2, HRQoL and safety</w:t>
            </w:r>
          </w:p>
        </w:tc>
      </w:tr>
      <w:tr w:rsidR="00765141" w:rsidRPr="0098262F" w14:paraId="60E09DB9" w14:textId="77777777">
        <w:trPr>
          <w:cantSplit/>
        </w:trPr>
        <w:tc>
          <w:tcPr>
            <w:tcW w:w="924" w:type="pct"/>
            <w:shd w:val="clear" w:color="auto" w:fill="auto"/>
          </w:tcPr>
          <w:p w14:paraId="3552A4A9" w14:textId="77777777" w:rsidR="00765141" w:rsidRPr="0098262F" w:rsidRDefault="00765141">
            <w:pPr>
              <w:pStyle w:val="TableText0"/>
            </w:pPr>
            <w:r w:rsidRPr="0098262F">
              <w:t>Clinical claim</w:t>
            </w:r>
          </w:p>
        </w:tc>
        <w:tc>
          <w:tcPr>
            <w:tcW w:w="4076" w:type="pct"/>
            <w:shd w:val="clear" w:color="auto" w:fill="auto"/>
          </w:tcPr>
          <w:p w14:paraId="3E83C9C7" w14:textId="04E71A19" w:rsidR="00765141" w:rsidRPr="0098262F" w:rsidRDefault="00765141">
            <w:pPr>
              <w:pStyle w:val="TableText0"/>
              <w:rPr>
                <w:rFonts w:eastAsia="Times New Roman" w:cs="Arial"/>
                <w:bCs w:val="0"/>
                <w:snapToGrid w:val="0"/>
                <w:color w:val="0066FF"/>
                <w:szCs w:val="20"/>
              </w:rPr>
            </w:pPr>
            <w:r w:rsidRPr="008E6D04">
              <w:t xml:space="preserve">In patients with treatment naive, locally advanced or metastatic NSCLC with evidence of </w:t>
            </w:r>
            <w:r w:rsidR="008272D0" w:rsidRPr="008272D0">
              <w:rPr>
                <w:i/>
              </w:rPr>
              <w:t>EGFR</w:t>
            </w:r>
            <w:r w:rsidRPr="008E6D04">
              <w:t xml:space="preserve"> ex20ins mutation, amivantamab in combination with </w:t>
            </w:r>
            <w:r>
              <w:t xml:space="preserve">PBC for up to 6 cycles followed by amivantamab </w:t>
            </w:r>
            <w:r w:rsidRPr="008272D0">
              <w:rPr>
                <w:iCs/>
              </w:rPr>
              <w:t>and pemetrexed</w:t>
            </w:r>
            <w:r>
              <w:t xml:space="preserve"> until disease progression</w:t>
            </w:r>
            <w:r w:rsidRPr="008E6D04">
              <w:t>, is superior in effectiveness and inferior but manageable in safety compared with PBC.</w:t>
            </w:r>
          </w:p>
        </w:tc>
      </w:tr>
    </w:tbl>
    <w:p w14:paraId="240FB885" w14:textId="77777777" w:rsidR="00765141" w:rsidRDefault="00765141" w:rsidP="00AD07E3">
      <w:pPr>
        <w:pStyle w:val="TableFigureFooter"/>
      </w:pPr>
      <w:r w:rsidRPr="0098262F">
        <w:t xml:space="preserve">Source: </w:t>
      </w:r>
      <w:r>
        <w:t>Table 1.1, p18 of the submission</w:t>
      </w:r>
    </w:p>
    <w:p w14:paraId="0A2698E4" w14:textId="1E174456" w:rsidR="00765141" w:rsidRDefault="00765141" w:rsidP="00AD07E3">
      <w:pPr>
        <w:pStyle w:val="TableFigureFooter"/>
      </w:pPr>
      <w:r w:rsidRPr="00BD5364">
        <w:t>Abbreviations:</w:t>
      </w:r>
      <w:r>
        <w:t xml:space="preserve"> </w:t>
      </w:r>
      <w:r w:rsidRPr="00BD5364">
        <w:t>DoR</w:t>
      </w:r>
      <w:r>
        <w:t xml:space="preserve">, </w:t>
      </w:r>
      <w:r w:rsidRPr="00BD5364">
        <w:t>duration of response;</w:t>
      </w:r>
      <w:r>
        <w:t xml:space="preserve"> </w:t>
      </w:r>
      <w:r w:rsidR="008272D0" w:rsidRPr="008272D0">
        <w:rPr>
          <w:i/>
        </w:rPr>
        <w:t>EGFR</w:t>
      </w:r>
      <w:r>
        <w:t>, epidermal growth factor receptor; ex20ins, exon 20 insertion;</w:t>
      </w:r>
      <w:r w:rsidRPr="00BD5364">
        <w:t xml:space="preserve"> HRQo</w:t>
      </w:r>
      <w:r w:rsidR="00A20E82">
        <w:t>L</w:t>
      </w:r>
      <w:r>
        <w:t xml:space="preserve">, </w:t>
      </w:r>
      <w:r w:rsidRPr="00BD5364">
        <w:t>health related quality of life; IV</w:t>
      </w:r>
      <w:r>
        <w:t>,</w:t>
      </w:r>
      <w:r w:rsidRPr="00BD5364">
        <w:t xml:space="preserve"> intravenous; </w:t>
      </w:r>
      <w:r>
        <w:t xml:space="preserve">NSCLC, non-small cell lung cancer; </w:t>
      </w:r>
      <w:r w:rsidRPr="00BD5364">
        <w:t>OS</w:t>
      </w:r>
      <w:r>
        <w:t xml:space="preserve">, </w:t>
      </w:r>
      <w:r w:rsidRPr="00BD5364">
        <w:t>overall survival; ORR</w:t>
      </w:r>
      <w:r>
        <w:t xml:space="preserve">, </w:t>
      </w:r>
      <w:r w:rsidRPr="00BD5364">
        <w:t xml:space="preserve">objective response rate; </w:t>
      </w:r>
      <w:r>
        <w:t xml:space="preserve">PBC, platinum-based chemotherapy; </w:t>
      </w:r>
      <w:r w:rsidRPr="00BD5364">
        <w:t>PFS</w:t>
      </w:r>
      <w:r>
        <w:t xml:space="preserve">, </w:t>
      </w:r>
      <w:r w:rsidRPr="00BD5364">
        <w:t>progression free survival; PFS2</w:t>
      </w:r>
      <w:r>
        <w:t xml:space="preserve">, </w:t>
      </w:r>
      <w:r w:rsidRPr="00BD5364">
        <w:t>PFS after first subsequent therapy</w:t>
      </w:r>
      <w:r>
        <w:t xml:space="preserve">; </w:t>
      </w:r>
      <w:r w:rsidRPr="00BD5364">
        <w:t>TTST</w:t>
      </w:r>
      <w:r>
        <w:t>,</w:t>
      </w:r>
      <w:r w:rsidRPr="00BD5364">
        <w:t xml:space="preserve"> time to subsequent therapy</w:t>
      </w:r>
      <w:r>
        <w:t xml:space="preserve">. </w:t>
      </w:r>
    </w:p>
    <w:p w14:paraId="05C41CC0" w14:textId="77777777" w:rsidR="00765141" w:rsidRPr="0098262F" w:rsidRDefault="00765141" w:rsidP="00765141">
      <w:pPr>
        <w:pStyle w:val="2-SectionHeading"/>
      </w:pPr>
      <w:bookmarkStart w:id="12" w:name="_Toc174628128"/>
      <w:bookmarkStart w:id="13" w:name="_Toc177532573"/>
      <w:bookmarkStart w:id="14" w:name="_Toc177548271"/>
      <w:r w:rsidRPr="0098262F">
        <w:t>Background</w:t>
      </w:r>
      <w:bookmarkEnd w:id="12"/>
      <w:bookmarkEnd w:id="13"/>
      <w:bookmarkEnd w:id="14"/>
    </w:p>
    <w:p w14:paraId="4F8FB4E3" w14:textId="77777777" w:rsidR="00765141" w:rsidRPr="0098262F" w:rsidRDefault="00765141" w:rsidP="00765141">
      <w:pPr>
        <w:pStyle w:val="4-SubsectionHeading"/>
      </w:pPr>
      <w:bookmarkStart w:id="15" w:name="_Toc22897638"/>
      <w:bookmarkStart w:id="16" w:name="_Toc174628129"/>
      <w:bookmarkStart w:id="17" w:name="_Toc177532574"/>
      <w:bookmarkStart w:id="18" w:name="_Toc177548272"/>
      <w:r w:rsidRPr="0098262F">
        <w:t>Registration status</w:t>
      </w:r>
      <w:bookmarkEnd w:id="15"/>
      <w:bookmarkEnd w:id="16"/>
      <w:bookmarkEnd w:id="17"/>
      <w:bookmarkEnd w:id="18"/>
    </w:p>
    <w:p w14:paraId="7A6BE51B" w14:textId="49BF8472" w:rsidR="00EE7E65" w:rsidRPr="00EE7E65" w:rsidRDefault="00C6367B" w:rsidP="00EF4C49">
      <w:pPr>
        <w:pStyle w:val="3-BodyText"/>
      </w:pPr>
      <w:r w:rsidRPr="000F215E">
        <w:rPr>
          <w:b/>
          <w:i/>
        </w:rPr>
        <w:t xml:space="preserve">TGA status at time of </w:t>
      </w:r>
      <w:r w:rsidR="00AA509F" w:rsidRPr="000F215E">
        <w:rPr>
          <w:b/>
          <w:i/>
        </w:rPr>
        <w:t xml:space="preserve">PBAC </w:t>
      </w:r>
      <w:r w:rsidR="00A36AC9" w:rsidRPr="000F215E">
        <w:rPr>
          <w:b/>
          <w:i/>
        </w:rPr>
        <w:t>consideration</w:t>
      </w:r>
      <w:r w:rsidR="00A36AC9" w:rsidRPr="000F215E">
        <w:rPr>
          <w:i/>
        </w:rPr>
        <w:t>:</w:t>
      </w:r>
      <w:r w:rsidR="00A36AC9" w:rsidRPr="00E244DA">
        <w:t xml:space="preserve"> </w:t>
      </w:r>
      <w:r w:rsidR="00A36AC9" w:rsidRPr="008A5C9E">
        <w:t>not registered.</w:t>
      </w:r>
      <w:r w:rsidR="001776C7" w:rsidRPr="008A5C9E">
        <w:t xml:space="preserve"> </w:t>
      </w:r>
      <w:r w:rsidR="003646B7">
        <w:t xml:space="preserve">The submission was made under TGA/PBAC Parallel Process. At the time of PBAC consideration </w:t>
      </w:r>
      <w:r w:rsidR="00DB7EB3">
        <w:t xml:space="preserve">the </w:t>
      </w:r>
      <w:r w:rsidR="003811BD" w:rsidRPr="003646B7">
        <w:t xml:space="preserve">Delegate’s Overview </w:t>
      </w:r>
      <w:r w:rsidR="00061619">
        <w:t>was</w:t>
      </w:r>
      <w:r w:rsidR="00DB7EB3">
        <w:t xml:space="preserve"> available. </w:t>
      </w:r>
    </w:p>
    <w:p w14:paraId="21ADC7F3" w14:textId="7E39F843" w:rsidR="00D66416" w:rsidRPr="00EF4C49" w:rsidRDefault="00DB7EB3" w:rsidP="00EF4C49">
      <w:pPr>
        <w:pStyle w:val="3-BodyText"/>
      </w:pPr>
      <w:r w:rsidRPr="00EF4C49">
        <w:t xml:space="preserve">The </w:t>
      </w:r>
      <w:r w:rsidR="002F6483" w:rsidRPr="00EF4C49">
        <w:t>proposed indication for</w:t>
      </w:r>
      <w:r w:rsidR="00DF5E7D" w:rsidRPr="00EF4C49">
        <w:t xml:space="preserve"> </w:t>
      </w:r>
      <w:r w:rsidR="00A36AC9" w:rsidRPr="00EF4C49">
        <w:t>amivantamab</w:t>
      </w:r>
      <w:r w:rsidR="001776C7" w:rsidRPr="00EF4C49">
        <w:t xml:space="preserve"> in combination with platinum-based chemotherapy </w:t>
      </w:r>
      <w:r w:rsidR="00635538" w:rsidRPr="00EF4C49">
        <w:t xml:space="preserve">is </w:t>
      </w:r>
      <w:r w:rsidR="001776C7" w:rsidRPr="00EF4C49">
        <w:t>for the first-line treatment of adult patients with locally advanced or metastatic NSCLC with activating EGFR exon 20 insertion mutations</w:t>
      </w:r>
      <w:r w:rsidR="00443AA3" w:rsidRPr="00EF4C49">
        <w:t xml:space="preserve">. </w:t>
      </w:r>
    </w:p>
    <w:p w14:paraId="01CE7E21" w14:textId="2474BDED" w:rsidR="00EE7E65" w:rsidRPr="00EE7E65" w:rsidRDefault="006F118B" w:rsidP="00EF4C49">
      <w:pPr>
        <w:pStyle w:val="3-BodyText"/>
      </w:pPr>
      <w:bookmarkStart w:id="19" w:name="_Ref182642791"/>
      <w:r>
        <w:lastRenderedPageBreak/>
        <w:t>The Delegate was incl</w:t>
      </w:r>
      <w:r w:rsidR="00AA0E3C">
        <w:t>ined</w:t>
      </w:r>
      <w:r>
        <w:t xml:space="preserve"> to approve registration. </w:t>
      </w:r>
      <w:r w:rsidR="00593DD1" w:rsidRPr="00593DD1">
        <w:t>The</w:t>
      </w:r>
      <w:r w:rsidR="00593DD1">
        <w:t xml:space="preserve"> Delegate considered that </w:t>
      </w:r>
      <w:r w:rsidR="00967F80">
        <w:t xml:space="preserve">based on the PAPILLON clinical trial </w:t>
      </w:r>
      <w:r w:rsidR="00593DD1">
        <w:t>the</w:t>
      </w:r>
      <w:r w:rsidR="00593DD1" w:rsidRPr="00593DD1">
        <w:t xml:space="preserve"> addition of amivantamab to first-line chemotherapy in ex20ins EGFRm NSCLC increase</w:t>
      </w:r>
      <w:r w:rsidR="000320A0">
        <w:t>d</w:t>
      </w:r>
      <w:r w:rsidR="00593DD1" w:rsidRPr="00593DD1">
        <w:t xml:space="preserve"> progression-free survival </w:t>
      </w:r>
      <w:r w:rsidR="00FB0F5A">
        <w:t xml:space="preserve">(PFS) </w:t>
      </w:r>
      <w:r w:rsidR="00593DD1" w:rsidRPr="00593DD1">
        <w:t>and objective response rate</w:t>
      </w:r>
      <w:r w:rsidR="00FB0F5A">
        <w:t xml:space="preserve"> (ORR)</w:t>
      </w:r>
      <w:r w:rsidR="00593DD1" w:rsidRPr="00593DD1">
        <w:t>. The</w:t>
      </w:r>
      <w:r w:rsidR="00FB0F5A">
        <w:t xml:space="preserve"> Delegate </w:t>
      </w:r>
      <w:r w:rsidR="000B3953">
        <w:t>also considered</w:t>
      </w:r>
      <w:r w:rsidR="000A50E3">
        <w:t xml:space="preserve"> that the</w:t>
      </w:r>
      <w:r w:rsidR="00593DD1" w:rsidRPr="00593DD1">
        <w:t xml:space="preserve"> immature overall survival</w:t>
      </w:r>
      <w:r w:rsidR="00FB0F5A">
        <w:t xml:space="preserve"> (OS)</w:t>
      </w:r>
      <w:r w:rsidR="00593DD1" w:rsidRPr="00593DD1">
        <w:t xml:space="preserve"> data from PAPILLON </w:t>
      </w:r>
      <w:r w:rsidR="0014669F">
        <w:t xml:space="preserve">trial </w:t>
      </w:r>
      <w:r w:rsidR="000B3953">
        <w:t>were</w:t>
      </w:r>
      <w:r w:rsidR="00593DD1" w:rsidRPr="00593DD1">
        <w:t xml:space="preserve"> of limited interpretability but </w:t>
      </w:r>
      <w:r w:rsidR="000A1181">
        <w:t>were</w:t>
      </w:r>
      <w:r w:rsidR="00593DD1" w:rsidRPr="00593DD1">
        <w:t xml:space="preserve"> not suggestive of a detriment. </w:t>
      </w:r>
      <w:r w:rsidR="000B3953">
        <w:t>The Delegate advised that f</w:t>
      </w:r>
      <w:r w:rsidR="00593DD1" w:rsidRPr="00593DD1">
        <w:t>inal survival analysis should be required as a condition of registration</w:t>
      </w:r>
      <w:r w:rsidR="00A458CB">
        <w:t>.</w:t>
      </w:r>
      <w:bookmarkEnd w:id="19"/>
    </w:p>
    <w:p w14:paraId="649FA1C9" w14:textId="31496692" w:rsidR="00443AA3" w:rsidRPr="008A5C9E" w:rsidRDefault="00E922E8" w:rsidP="00EF4C49">
      <w:pPr>
        <w:pStyle w:val="3-BodyText"/>
      </w:pPr>
      <w:bookmarkStart w:id="20" w:name="_Ref182469914"/>
      <w:r>
        <w:t xml:space="preserve">Amivantamab </w:t>
      </w:r>
      <w:r w:rsidR="00292D7B">
        <w:t>also</w:t>
      </w:r>
      <w:r>
        <w:t xml:space="preserve"> has </w:t>
      </w:r>
      <w:r w:rsidR="00A716F2">
        <w:t>provision</w:t>
      </w:r>
      <w:r w:rsidR="00D04E1E">
        <w:t>al</w:t>
      </w:r>
      <w:r w:rsidR="00A716F2">
        <w:t xml:space="preserve"> </w:t>
      </w:r>
      <w:r>
        <w:t>approval</w:t>
      </w:r>
      <w:r w:rsidR="00A716F2">
        <w:t xml:space="preserve"> </w:t>
      </w:r>
      <w:r w:rsidR="00284AB0" w:rsidRPr="000814F1">
        <w:t xml:space="preserve">for </w:t>
      </w:r>
      <w:r w:rsidR="00284AB0" w:rsidRPr="00736734">
        <w:t xml:space="preserve">the treatment of patients with locally advanced or metastatic NSCLC that has an activating </w:t>
      </w:r>
      <w:r w:rsidR="00284AB0" w:rsidRPr="008272D0">
        <w:rPr>
          <w:i/>
        </w:rPr>
        <w:t>EGFR</w:t>
      </w:r>
      <w:r w:rsidR="00284AB0" w:rsidRPr="00736734">
        <w:t xml:space="preserve"> exon 20 insertion mutation, whose disease has progressed on or after PBC</w:t>
      </w:r>
      <w:r w:rsidR="00284AB0">
        <w:t xml:space="preserve">. </w:t>
      </w:r>
      <w:r w:rsidRPr="00E922E8">
        <w:t xml:space="preserve">The </w:t>
      </w:r>
      <w:r>
        <w:t xml:space="preserve">Delegate considered the </w:t>
      </w:r>
      <w:r w:rsidRPr="00E922E8">
        <w:t xml:space="preserve">results of PAPILLON </w:t>
      </w:r>
      <w:r>
        <w:t>were</w:t>
      </w:r>
      <w:r w:rsidRPr="00E922E8">
        <w:t xml:space="preserve"> adequate to confirm the clinical benefit of amivantamab for the later-line treatment, after disease progression on (or after) platinum-based chemotherapy, such that this usage </w:t>
      </w:r>
      <w:r w:rsidR="00EF0D1B">
        <w:t xml:space="preserve">was considered </w:t>
      </w:r>
      <w:r w:rsidRPr="00E922E8">
        <w:t>appropriate for full registration.</w:t>
      </w:r>
      <w:bookmarkEnd w:id="20"/>
    </w:p>
    <w:p w14:paraId="25972326" w14:textId="30110A42" w:rsidR="00765141" w:rsidRPr="0098262F" w:rsidRDefault="00765141" w:rsidP="00765141">
      <w:pPr>
        <w:pStyle w:val="4-SubsectionHeading"/>
      </w:pPr>
      <w:bookmarkStart w:id="21" w:name="_Toc22897639"/>
      <w:bookmarkStart w:id="22" w:name="_Toc174628130"/>
      <w:bookmarkStart w:id="23" w:name="_Toc177532575"/>
      <w:bookmarkStart w:id="24" w:name="_Toc177548273"/>
      <w:r w:rsidRPr="0098262F">
        <w:t>Previous PBAC consideration</w:t>
      </w:r>
      <w:bookmarkEnd w:id="21"/>
      <w:bookmarkEnd w:id="22"/>
      <w:bookmarkEnd w:id="23"/>
      <w:bookmarkEnd w:id="24"/>
    </w:p>
    <w:p w14:paraId="322C2B44" w14:textId="74A4CB55" w:rsidR="00765141" w:rsidRDefault="00765141" w:rsidP="00EF4C49">
      <w:pPr>
        <w:pStyle w:val="3-BodyText"/>
      </w:pPr>
      <w:r>
        <w:t>The PBAC previously considered mobocertinib at the November 2022 and July 2023 PBAC meetings</w:t>
      </w:r>
      <w:r w:rsidRPr="00415381">
        <w:t xml:space="preserve"> for the treatment of adults with </w:t>
      </w:r>
      <w:r w:rsidR="008272D0" w:rsidRPr="008272D0">
        <w:rPr>
          <w:i/>
        </w:rPr>
        <w:t>EGFR</w:t>
      </w:r>
      <w:r w:rsidRPr="00415381">
        <w:t xml:space="preserve"> ex20ins positive locally advanced or metastatic NSCLC who have received PBC (i.e., second-line treatment). Mobocertinib was recommended at the July 2023 meeting, however, </w:t>
      </w:r>
      <w:r w:rsidR="0014166C">
        <w:t xml:space="preserve">the submission stated it </w:t>
      </w:r>
      <w:r>
        <w:t>did not proceed with listing d</w:t>
      </w:r>
      <w:r w:rsidRPr="00415381">
        <w:t xml:space="preserve">ue to </w:t>
      </w:r>
      <w:r w:rsidR="00F42237">
        <w:t xml:space="preserve">the </w:t>
      </w:r>
      <w:r w:rsidRPr="00415381">
        <w:t>deregistration of mobocertinib.</w:t>
      </w:r>
    </w:p>
    <w:p w14:paraId="6384ADF6" w14:textId="77777777" w:rsidR="00765141" w:rsidRPr="0098262F" w:rsidRDefault="00765141" w:rsidP="00765141">
      <w:pPr>
        <w:pStyle w:val="2-SectionHeading"/>
      </w:pPr>
      <w:bookmarkStart w:id="25" w:name="_Toc107902078"/>
      <w:bookmarkStart w:id="26" w:name="_Toc174628131"/>
      <w:bookmarkStart w:id="27" w:name="_Toc177532576"/>
      <w:bookmarkStart w:id="28" w:name="_Toc177548274"/>
      <w:bookmarkEnd w:id="25"/>
      <w:r w:rsidRPr="0098262F">
        <w:t>Requested listing</w:t>
      </w:r>
      <w:bookmarkEnd w:id="26"/>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3793"/>
        <w:gridCol w:w="1417"/>
        <w:gridCol w:w="1367"/>
      </w:tblGrid>
      <w:tr w:rsidR="00765141" w:rsidRPr="0098262F" w14:paraId="648D8FAC" w14:textId="77777777" w:rsidTr="003A3C78">
        <w:trPr>
          <w:cantSplit/>
          <w:trHeight w:val="20"/>
        </w:trPr>
        <w:tc>
          <w:tcPr>
            <w:tcW w:w="1353" w:type="pct"/>
            <w:vAlign w:val="center"/>
          </w:tcPr>
          <w:p w14:paraId="7412A389" w14:textId="77777777" w:rsidR="00765141" w:rsidRPr="0098262F" w:rsidRDefault="00765141" w:rsidP="00AD1D65">
            <w:pPr>
              <w:pStyle w:val="In-tableHeading"/>
              <w:jc w:val="left"/>
            </w:pPr>
            <w:bookmarkStart w:id="29" w:name="_Hlk104809082"/>
            <w:r w:rsidRPr="0098262F">
              <w:t>MEDICINAL PRODUCT</w:t>
            </w:r>
          </w:p>
          <w:p w14:paraId="0A18B190" w14:textId="77777777" w:rsidR="00765141" w:rsidRPr="0098262F" w:rsidRDefault="00765141" w:rsidP="00AD1D65">
            <w:pPr>
              <w:pStyle w:val="In-tableHeading"/>
              <w:jc w:val="left"/>
            </w:pPr>
            <w:r w:rsidRPr="0098262F">
              <w:t>Form</w:t>
            </w:r>
          </w:p>
        </w:tc>
        <w:tc>
          <w:tcPr>
            <w:tcW w:w="2103" w:type="pct"/>
            <w:vAlign w:val="center"/>
          </w:tcPr>
          <w:p w14:paraId="70609F47" w14:textId="77777777" w:rsidR="00765141" w:rsidRPr="0098262F" w:rsidRDefault="00765141" w:rsidP="003A3C78">
            <w:pPr>
              <w:pStyle w:val="In-tableHeading"/>
            </w:pPr>
            <w:r w:rsidRPr="0098262F">
              <w:t>Dispensed Price Max Amt</w:t>
            </w:r>
          </w:p>
        </w:tc>
        <w:tc>
          <w:tcPr>
            <w:tcW w:w="786" w:type="pct"/>
            <w:vAlign w:val="center"/>
          </w:tcPr>
          <w:p w14:paraId="45CB48F3" w14:textId="77777777" w:rsidR="00765141" w:rsidRPr="0098262F" w:rsidRDefault="00765141" w:rsidP="003A3C78">
            <w:pPr>
              <w:pStyle w:val="In-tableHeading"/>
            </w:pPr>
            <w:r w:rsidRPr="0098262F">
              <w:t>Max. Amount</w:t>
            </w:r>
          </w:p>
        </w:tc>
        <w:tc>
          <w:tcPr>
            <w:tcW w:w="758" w:type="pct"/>
            <w:vAlign w:val="center"/>
          </w:tcPr>
          <w:p w14:paraId="22BA6A52" w14:textId="77777777" w:rsidR="00765141" w:rsidRPr="0098262F" w:rsidRDefault="00765141" w:rsidP="003A3C78">
            <w:pPr>
              <w:pStyle w:val="In-tableHeading"/>
            </w:pPr>
            <w:r w:rsidRPr="2D6D4E34">
              <w:t>№.of Rpts</w:t>
            </w:r>
          </w:p>
        </w:tc>
      </w:tr>
      <w:tr w:rsidR="00765141" w:rsidRPr="0098262F" w14:paraId="39673BD5" w14:textId="77777777" w:rsidTr="005A557F">
        <w:trPr>
          <w:cantSplit/>
          <w:trHeight w:val="20"/>
        </w:trPr>
        <w:tc>
          <w:tcPr>
            <w:tcW w:w="1353" w:type="pct"/>
            <w:vAlign w:val="center"/>
          </w:tcPr>
          <w:p w14:paraId="5D4403EC" w14:textId="77777777" w:rsidR="005C66BE" w:rsidRDefault="00340364">
            <w:pPr>
              <w:pStyle w:val="TableText0"/>
            </w:pPr>
            <w:r>
              <w:t>AMIVANT</w:t>
            </w:r>
            <w:r w:rsidR="00474C6F">
              <w:t>A</w:t>
            </w:r>
            <w:r>
              <w:t>MAB</w:t>
            </w:r>
            <w:r w:rsidR="00765141">
              <w:t xml:space="preserve"> </w:t>
            </w:r>
          </w:p>
          <w:p w14:paraId="25CDA90E" w14:textId="4F82C0AC" w:rsidR="00765141" w:rsidRPr="0098262F" w:rsidRDefault="00474C6F">
            <w:pPr>
              <w:pStyle w:val="TableText0"/>
            </w:pPr>
            <w:r>
              <w:t>S</w:t>
            </w:r>
            <w:r w:rsidR="00765141">
              <w:t>olution for infusion, 350</w:t>
            </w:r>
            <w:r w:rsidR="003A3C78">
              <w:t> </w:t>
            </w:r>
            <w:r w:rsidR="00765141">
              <w:t>mg/vial</w:t>
            </w:r>
          </w:p>
        </w:tc>
        <w:tc>
          <w:tcPr>
            <w:tcW w:w="2103" w:type="pct"/>
            <w:vAlign w:val="center"/>
          </w:tcPr>
          <w:p w14:paraId="2E3D8498" w14:textId="7158DF92" w:rsidR="005A557F" w:rsidRDefault="00765141" w:rsidP="005A557F">
            <w:pPr>
              <w:pStyle w:val="TableText0"/>
            </w:pPr>
            <w:r w:rsidRPr="00BD1162">
              <w:rPr>
                <w:u w:val="single"/>
              </w:rPr>
              <w:t>Published price:</w:t>
            </w:r>
            <w:r w:rsidR="005A557F">
              <w:rPr>
                <w:u w:val="single"/>
              </w:rPr>
              <w:t xml:space="preserve"> </w:t>
            </w:r>
            <w:r w:rsidR="005A557F">
              <w:t xml:space="preserve"> </w:t>
            </w:r>
          </w:p>
          <w:p w14:paraId="2CBC6350" w14:textId="65B65E20" w:rsidR="00406EC1" w:rsidRDefault="00765141" w:rsidP="005A557F">
            <w:pPr>
              <w:pStyle w:val="TableText0"/>
            </w:pPr>
            <w:r>
              <w:t xml:space="preserve">Public: </w:t>
            </w:r>
            <w:r w:rsidR="00E53A9D" w:rsidRPr="00E53A9D">
              <w:t>$8,</w:t>
            </w:r>
            <w:r w:rsidR="00E86524">
              <w:t>994.13</w:t>
            </w:r>
            <w:r w:rsidR="00406EC1">
              <w:t xml:space="preserve"> </w:t>
            </w:r>
            <w:r>
              <w:t xml:space="preserve">Private: </w:t>
            </w:r>
            <w:r w:rsidR="004E675B" w:rsidRPr="004E675B">
              <w:t>$9,</w:t>
            </w:r>
            <w:r w:rsidR="006252C9">
              <w:t>163.46</w:t>
            </w:r>
          </w:p>
          <w:p w14:paraId="084576E7" w14:textId="0660F73B" w:rsidR="005A557F" w:rsidRPr="00BD1162" w:rsidRDefault="00765141" w:rsidP="005A557F">
            <w:pPr>
              <w:pStyle w:val="TableText0"/>
              <w:rPr>
                <w:u w:val="single"/>
              </w:rPr>
            </w:pPr>
            <w:r w:rsidRPr="00BD1162">
              <w:rPr>
                <w:u w:val="single"/>
              </w:rPr>
              <w:t>Effective price:</w:t>
            </w:r>
            <w:r w:rsidR="00E74A01" w:rsidRPr="00BD1162">
              <w:rPr>
                <w:u w:val="single"/>
              </w:rPr>
              <w:t xml:space="preserve"> </w:t>
            </w:r>
          </w:p>
          <w:p w14:paraId="6085C3EA" w14:textId="34A3562E" w:rsidR="00765141" w:rsidRPr="0098262F" w:rsidRDefault="00765141" w:rsidP="005A557F">
            <w:pPr>
              <w:pStyle w:val="TableText0"/>
            </w:pPr>
            <w:r>
              <w:t xml:space="preserve">Public: </w:t>
            </w:r>
            <w:r w:rsidR="00CC76C4" w:rsidRPr="00CC76C4">
              <w:t>$</w:t>
            </w:r>
            <w:r w:rsidR="00CE016F" w:rsidRPr="00CE016F">
              <w:rPr>
                <w:color w:val="000000"/>
                <w:spacing w:val="54"/>
                <w:shd w:val="solid" w:color="000000" w:fill="000000"/>
                <w:fitText w:val="333" w:id="-762139904"/>
                <w14:textFill>
                  <w14:solidFill>
                    <w14:srgbClr w14:val="000000">
                      <w14:alpha w14:val="100000"/>
                    </w14:srgbClr>
                  </w14:solidFill>
                </w14:textFill>
              </w:rPr>
              <w:t>|||</w:t>
            </w:r>
            <w:r w:rsidR="00CE016F" w:rsidRPr="00CE016F">
              <w:rPr>
                <w:color w:val="000000"/>
                <w:spacing w:val="1"/>
                <w:shd w:val="solid" w:color="000000" w:fill="000000"/>
                <w:fitText w:val="333" w:id="-762139904"/>
                <w14:textFill>
                  <w14:solidFill>
                    <w14:srgbClr w14:val="000000">
                      <w14:alpha w14:val="100000"/>
                    </w14:srgbClr>
                  </w14:solidFill>
                </w14:textFill>
              </w:rPr>
              <w:t>|</w:t>
            </w:r>
            <w:r w:rsidR="00406EC1">
              <w:t xml:space="preserve"> </w:t>
            </w:r>
            <w:r>
              <w:t xml:space="preserve">Private: </w:t>
            </w:r>
            <w:r w:rsidR="008A461C" w:rsidRPr="008A461C">
              <w:t>$</w:t>
            </w:r>
            <w:r w:rsidR="00CE016F">
              <w:rPr>
                <w:color w:val="000000"/>
                <w:spacing w:val="49"/>
                <w:shd w:val="solid" w:color="000000" w:fill="000000"/>
                <w:fitText w:val="320" w:id="-762139903"/>
                <w14:textFill>
                  <w14:solidFill>
                    <w14:srgbClr w14:val="000000">
                      <w14:alpha w14:val="100000"/>
                    </w14:srgbClr>
                  </w14:solidFill>
                </w14:textFill>
              </w:rPr>
              <w:t>|||</w:t>
            </w:r>
            <w:r w:rsidR="00CE016F">
              <w:rPr>
                <w:color w:val="000000"/>
                <w:spacing w:val="1"/>
                <w:shd w:val="solid" w:color="000000" w:fill="000000"/>
                <w:fitText w:val="320" w:id="-762139903"/>
                <w14:textFill>
                  <w14:solidFill>
                    <w14:srgbClr w14:val="000000">
                      <w14:alpha w14:val="100000"/>
                    </w14:srgbClr>
                  </w14:solidFill>
                </w14:textFill>
              </w:rPr>
              <w:t>|</w:t>
            </w:r>
          </w:p>
        </w:tc>
        <w:tc>
          <w:tcPr>
            <w:tcW w:w="786" w:type="pct"/>
            <w:vAlign w:val="center"/>
          </w:tcPr>
          <w:p w14:paraId="33D812D0" w14:textId="77777777" w:rsidR="00765141" w:rsidRDefault="00765141">
            <w:pPr>
              <w:pStyle w:val="TableText0"/>
              <w:jc w:val="center"/>
            </w:pPr>
            <w:r>
              <w:t>2</w:t>
            </w:r>
            <w:r w:rsidR="005E7771">
              <w:t>,</w:t>
            </w:r>
            <w:r>
              <w:t>100 mg</w:t>
            </w:r>
          </w:p>
          <w:p w14:paraId="06B9C500" w14:textId="59C886ED" w:rsidR="00765141" w:rsidRPr="0098262F" w:rsidRDefault="00AD12E2">
            <w:pPr>
              <w:pStyle w:val="TableText0"/>
              <w:jc w:val="center"/>
            </w:pPr>
            <w:r>
              <w:t>(6 vials)</w:t>
            </w:r>
          </w:p>
        </w:tc>
        <w:tc>
          <w:tcPr>
            <w:tcW w:w="758" w:type="pct"/>
            <w:vAlign w:val="center"/>
          </w:tcPr>
          <w:p w14:paraId="0DD940FF" w14:textId="77777777" w:rsidR="00765141" w:rsidRDefault="00765141">
            <w:pPr>
              <w:pStyle w:val="TableText0"/>
              <w:jc w:val="center"/>
            </w:pPr>
            <w:r>
              <w:t>5</w:t>
            </w:r>
            <w:r w:rsidR="00340364">
              <w:t xml:space="preserve"> initial</w:t>
            </w:r>
          </w:p>
          <w:p w14:paraId="1FC73C76" w14:textId="2FBA6CFE" w:rsidR="00765141" w:rsidRPr="0098262F" w:rsidRDefault="00340364">
            <w:pPr>
              <w:pStyle w:val="TableText0"/>
              <w:jc w:val="center"/>
            </w:pPr>
            <w:r>
              <w:t>7 continuing</w:t>
            </w:r>
          </w:p>
        </w:tc>
      </w:tr>
      <w:tr w:rsidR="00765141" w:rsidRPr="0098262F" w14:paraId="2F221493" w14:textId="77777777" w:rsidTr="004F36BE">
        <w:trPr>
          <w:cantSplit/>
          <w:trHeight w:val="20"/>
        </w:trPr>
        <w:tc>
          <w:tcPr>
            <w:tcW w:w="5000" w:type="pct"/>
            <w:gridSpan w:val="4"/>
            <w:vAlign w:val="center"/>
          </w:tcPr>
          <w:p w14:paraId="34515476" w14:textId="77777777" w:rsidR="00765141" w:rsidRPr="0098262F" w:rsidRDefault="00765141">
            <w:pPr>
              <w:keepNext/>
              <w:keepLines/>
              <w:rPr>
                <w:b/>
              </w:rPr>
            </w:pPr>
            <w:r w:rsidRPr="0098262F">
              <w:rPr>
                <w:rFonts w:ascii="Arial Narrow" w:eastAsiaTheme="majorEastAsia" w:hAnsi="Arial Narrow" w:cs="Times New Roman"/>
                <w:b/>
                <w:sz w:val="20"/>
              </w:rPr>
              <w:t>Available brands</w:t>
            </w:r>
            <w:r w:rsidRPr="0098262F">
              <w:rPr>
                <w:b/>
              </w:rPr>
              <w:t xml:space="preserve"> </w:t>
            </w:r>
          </w:p>
        </w:tc>
      </w:tr>
      <w:tr w:rsidR="00765141" w:rsidRPr="0098262F" w14:paraId="2B40C86D" w14:textId="77777777" w:rsidTr="004F36BE">
        <w:trPr>
          <w:cantSplit/>
          <w:trHeight w:val="20"/>
        </w:trPr>
        <w:tc>
          <w:tcPr>
            <w:tcW w:w="5000" w:type="pct"/>
            <w:gridSpan w:val="4"/>
            <w:vAlign w:val="center"/>
          </w:tcPr>
          <w:p w14:paraId="497C1FD9" w14:textId="77777777" w:rsidR="00765141" w:rsidRDefault="00765141">
            <w:pPr>
              <w:pStyle w:val="TableText0"/>
              <w:rPr>
                <w:vertAlign w:val="superscript"/>
              </w:rPr>
            </w:pPr>
            <w:proofErr w:type="spellStart"/>
            <w:r w:rsidRPr="007F062E">
              <w:t>Rybrevant</w:t>
            </w:r>
            <w:proofErr w:type="spellEnd"/>
            <w:r w:rsidRPr="0098262F">
              <w:rPr>
                <w:vertAlign w:val="superscript"/>
              </w:rPr>
              <w:t>®</w:t>
            </w:r>
          </w:p>
          <w:p w14:paraId="39DE9682" w14:textId="77777777" w:rsidR="00765141" w:rsidRPr="0098262F" w:rsidRDefault="00765141">
            <w:pPr>
              <w:pStyle w:val="TableText0"/>
            </w:pPr>
            <w:r>
              <w:t>(amivantamab 350 mg injection, 1 vial)</w:t>
            </w:r>
          </w:p>
        </w:tc>
      </w:tr>
    </w:tbl>
    <w:p w14:paraId="6F55D736" w14:textId="77777777" w:rsidR="00765141" w:rsidRDefault="00765141" w:rsidP="007651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765141" w:rsidRPr="0098262F" w14:paraId="0F7B24EC" w14:textId="77777777">
        <w:trPr>
          <w:cantSplit/>
          <w:trHeight w:val="20"/>
        </w:trPr>
        <w:tc>
          <w:tcPr>
            <w:tcW w:w="5000" w:type="pct"/>
          </w:tcPr>
          <w:bookmarkEnd w:id="29"/>
          <w:p w14:paraId="5A97E00C" w14:textId="77777777" w:rsidR="00765141" w:rsidRPr="7D264DDE" w:rsidRDefault="00765141" w:rsidP="00AD1D65">
            <w:pPr>
              <w:pStyle w:val="TableText0"/>
              <w:keepNext w:val="0"/>
              <w:rPr>
                <w:b/>
              </w:rPr>
            </w:pPr>
            <w:r w:rsidRPr="7D264DDE">
              <w:rPr>
                <w:b/>
              </w:rPr>
              <w:t xml:space="preserve">Category / Program: </w:t>
            </w:r>
            <w:r>
              <w:t>Section 100 – Efficient Funding of Chemotherapy</w:t>
            </w:r>
          </w:p>
        </w:tc>
      </w:tr>
      <w:tr w:rsidR="00765141" w:rsidRPr="0098262F" w14:paraId="0CD2A918" w14:textId="77777777">
        <w:trPr>
          <w:cantSplit/>
          <w:trHeight w:val="20"/>
        </w:trPr>
        <w:tc>
          <w:tcPr>
            <w:tcW w:w="5000" w:type="pct"/>
          </w:tcPr>
          <w:p w14:paraId="02442F2E" w14:textId="77777777" w:rsidR="00765141" w:rsidRPr="0098262F" w:rsidRDefault="00765141" w:rsidP="00AD1D65">
            <w:pPr>
              <w:pStyle w:val="TableText0"/>
              <w:keepNext w:val="0"/>
            </w:pPr>
            <w:r w:rsidRPr="7D264DDE">
              <w:rPr>
                <w:b/>
              </w:rPr>
              <w:t xml:space="preserve">Prescriber type: </w:t>
            </w:r>
            <w:r w:rsidRPr="0098262F">
              <w:t>Medical Practitioners</w:t>
            </w:r>
          </w:p>
        </w:tc>
      </w:tr>
      <w:tr w:rsidR="00765141" w:rsidRPr="0098262F" w14:paraId="08BBE79F" w14:textId="77777777">
        <w:trPr>
          <w:cantSplit/>
          <w:trHeight w:val="138"/>
        </w:trPr>
        <w:tc>
          <w:tcPr>
            <w:tcW w:w="5000" w:type="pct"/>
          </w:tcPr>
          <w:p w14:paraId="08ADA5BD" w14:textId="77777777" w:rsidR="00765141" w:rsidRPr="0098262F" w:rsidRDefault="00765141" w:rsidP="00AD1D65">
            <w:pPr>
              <w:pStyle w:val="TableText0"/>
              <w:keepNext w:val="0"/>
              <w:rPr>
                <w:rFonts w:eastAsia="Times New Roman"/>
              </w:rPr>
            </w:pPr>
            <w:r w:rsidRPr="7D264DDE">
              <w:rPr>
                <w:b/>
              </w:rPr>
              <w:t>Restriction type</w:t>
            </w:r>
            <w:r w:rsidRPr="00086E69">
              <w:rPr>
                <w:b/>
              </w:rPr>
              <w:t xml:space="preserve">: </w:t>
            </w:r>
            <w:r w:rsidRPr="00086E69">
              <w:rPr>
                <w:rFonts w:eastAsia="Times New Roman"/>
                <w:shd w:val="clear" w:color="auto" w:fill="E6E6E6"/>
              </w:rPr>
              <w:fldChar w:fldCharType="begin">
                <w:ffData>
                  <w:name w:val="Check3"/>
                  <w:enabled/>
                  <w:calcOnExit w:val="0"/>
                  <w:checkBox>
                    <w:sizeAuto/>
                    <w:default w:val="1"/>
                  </w:checkBox>
                </w:ffData>
              </w:fldChar>
            </w:r>
            <w:r w:rsidRPr="00086E69">
              <w:rPr>
                <w:rFonts w:eastAsia="Times New Roman"/>
                <w:shd w:val="clear" w:color="auto" w:fill="E6E6E6"/>
              </w:rPr>
              <w:instrText xml:space="preserve"> FORMCHECKBOX </w:instrText>
            </w:r>
            <w:r w:rsidRPr="00086E69">
              <w:rPr>
                <w:rFonts w:eastAsia="Times New Roman"/>
                <w:shd w:val="clear" w:color="auto" w:fill="E6E6E6"/>
              </w:rPr>
            </w:r>
            <w:r w:rsidRPr="00086E69">
              <w:rPr>
                <w:rFonts w:eastAsia="Times New Roman"/>
                <w:shd w:val="clear" w:color="auto" w:fill="E6E6E6"/>
              </w:rPr>
              <w:fldChar w:fldCharType="separate"/>
            </w:r>
            <w:r w:rsidRPr="00086E69">
              <w:rPr>
                <w:rFonts w:eastAsia="Times New Roman"/>
                <w:shd w:val="clear" w:color="auto" w:fill="E6E6E6"/>
              </w:rPr>
              <w:fldChar w:fldCharType="end"/>
            </w:r>
            <w:r w:rsidRPr="00086E69">
              <w:rPr>
                <w:rFonts w:eastAsia="Times New Roman"/>
              </w:rPr>
              <w:t xml:space="preserve">Authority </w:t>
            </w:r>
            <w:r w:rsidRPr="0098262F">
              <w:rPr>
                <w:rFonts w:eastAsia="Times New Roman"/>
              </w:rPr>
              <w:t>Required (telephone/online PBS Authorities system)</w:t>
            </w:r>
          </w:p>
        </w:tc>
      </w:tr>
      <w:tr w:rsidR="00765141" w:rsidRPr="0098262F" w14:paraId="633642FD" w14:textId="77777777">
        <w:trPr>
          <w:cantSplit/>
          <w:trHeight w:val="20"/>
        </w:trPr>
        <w:tc>
          <w:tcPr>
            <w:tcW w:w="5000" w:type="pct"/>
            <w:vAlign w:val="center"/>
          </w:tcPr>
          <w:p w14:paraId="2BB16A2D" w14:textId="77777777" w:rsidR="00765141" w:rsidRPr="0098262F" w:rsidRDefault="00765141" w:rsidP="00AD1D65">
            <w:pPr>
              <w:pStyle w:val="TableText0"/>
              <w:keepNext w:val="0"/>
              <w:rPr>
                <w:color w:val="0066FF"/>
              </w:rPr>
            </w:pPr>
            <w:r w:rsidRPr="7D264DDE">
              <w:rPr>
                <w:b/>
              </w:rPr>
              <w:t>Administrative Advice:</w:t>
            </w:r>
          </w:p>
          <w:p w14:paraId="504301C0" w14:textId="77777777" w:rsidR="00765141" w:rsidRPr="0098262F" w:rsidRDefault="00765141" w:rsidP="00AD1D65">
            <w:pPr>
              <w:pStyle w:val="TableText0"/>
              <w:keepNext w:val="0"/>
              <w:rPr>
                <w:b/>
              </w:rPr>
            </w:pPr>
            <w:r>
              <w:rPr>
                <w:bCs w:val="0"/>
              </w:rPr>
              <w:t>No increase in the maximum quantity may be authorised.</w:t>
            </w:r>
          </w:p>
          <w:p w14:paraId="35A7034C" w14:textId="77777777" w:rsidR="00765141" w:rsidRPr="0098262F" w:rsidRDefault="00765141" w:rsidP="00AD1D65">
            <w:pPr>
              <w:pStyle w:val="TableText0"/>
              <w:keepNext w:val="0"/>
              <w:rPr>
                <w:bCs w:val="0"/>
              </w:rPr>
            </w:pPr>
            <w:r>
              <w:rPr>
                <w:bCs w:val="0"/>
              </w:rPr>
              <w:t xml:space="preserve">No increase in the maximum number of repeats may be authorised. </w:t>
            </w:r>
          </w:p>
        </w:tc>
      </w:tr>
      <w:tr w:rsidR="00765141" w:rsidRPr="0098262F" w14:paraId="3A8C61A5" w14:textId="77777777">
        <w:trPr>
          <w:cantSplit/>
          <w:trHeight w:val="20"/>
        </w:trPr>
        <w:tc>
          <w:tcPr>
            <w:tcW w:w="5000" w:type="pct"/>
            <w:vAlign w:val="center"/>
            <w:hideMark/>
          </w:tcPr>
          <w:p w14:paraId="33B4CF95" w14:textId="2B5E01A4" w:rsidR="00765141" w:rsidRPr="0098262F" w:rsidRDefault="00765141" w:rsidP="00AD1D65">
            <w:pPr>
              <w:pStyle w:val="TableText0"/>
              <w:keepNext w:val="0"/>
              <w:rPr>
                <w:b/>
              </w:rPr>
            </w:pPr>
            <w:r w:rsidRPr="7D264DDE">
              <w:rPr>
                <w:b/>
              </w:rPr>
              <w:t xml:space="preserve">Indication: </w:t>
            </w:r>
            <w:r>
              <w:rPr>
                <w:bCs w:val="0"/>
              </w:rPr>
              <w:t>Stage III</w:t>
            </w:r>
            <w:r w:rsidR="00781B15">
              <w:rPr>
                <w:bCs w:val="0"/>
              </w:rPr>
              <w:t xml:space="preserve"> </w:t>
            </w:r>
            <w:r>
              <w:rPr>
                <w:bCs w:val="0"/>
              </w:rPr>
              <w:t>B</w:t>
            </w:r>
            <w:r w:rsidR="00337EFA">
              <w:rPr>
                <w:bCs w:val="0"/>
              </w:rPr>
              <w:t>/</w:t>
            </w:r>
            <w:r>
              <w:rPr>
                <w:bCs w:val="0"/>
              </w:rPr>
              <w:t>C locally advanced or Stage IV metastatic NSCLC</w:t>
            </w:r>
          </w:p>
        </w:tc>
      </w:tr>
      <w:tr w:rsidR="00765141" w:rsidRPr="0098262F" w14:paraId="0325809D" w14:textId="77777777">
        <w:trPr>
          <w:cantSplit/>
          <w:trHeight w:val="20"/>
        </w:trPr>
        <w:tc>
          <w:tcPr>
            <w:tcW w:w="5000" w:type="pct"/>
            <w:vAlign w:val="center"/>
            <w:hideMark/>
          </w:tcPr>
          <w:p w14:paraId="368ABA9A" w14:textId="77777777" w:rsidR="00765141" w:rsidRPr="0098262F" w:rsidRDefault="00765141" w:rsidP="00AD1D65">
            <w:pPr>
              <w:pStyle w:val="TableText0"/>
              <w:keepNext w:val="0"/>
              <w:rPr>
                <w:color w:val="0066FF"/>
              </w:rPr>
            </w:pPr>
            <w:r w:rsidRPr="7D264DDE">
              <w:rPr>
                <w:b/>
              </w:rPr>
              <w:t xml:space="preserve">Treatment Phase: </w:t>
            </w:r>
            <w:r>
              <w:rPr>
                <w:bCs w:val="0"/>
              </w:rPr>
              <w:t>Initial PBS subsidised treatment</w:t>
            </w:r>
          </w:p>
        </w:tc>
      </w:tr>
      <w:tr w:rsidR="00765141" w:rsidRPr="0098262F" w14:paraId="7E9AD37D" w14:textId="77777777">
        <w:trPr>
          <w:cantSplit/>
          <w:trHeight w:val="20"/>
        </w:trPr>
        <w:tc>
          <w:tcPr>
            <w:tcW w:w="5000" w:type="pct"/>
            <w:vAlign w:val="center"/>
            <w:hideMark/>
          </w:tcPr>
          <w:p w14:paraId="50C3B245" w14:textId="77777777" w:rsidR="00765141" w:rsidRPr="0098262F" w:rsidRDefault="00765141" w:rsidP="00AD1D65">
            <w:pPr>
              <w:pStyle w:val="TableText0"/>
              <w:keepNext w:val="0"/>
            </w:pPr>
            <w:r w:rsidRPr="0098262F">
              <w:rPr>
                <w:b/>
              </w:rPr>
              <w:t>Clinical criteria:</w:t>
            </w:r>
          </w:p>
        </w:tc>
      </w:tr>
      <w:tr w:rsidR="00765141" w:rsidRPr="0098262F" w14:paraId="4A573A4D" w14:textId="77777777">
        <w:trPr>
          <w:cantSplit/>
          <w:trHeight w:val="20"/>
        </w:trPr>
        <w:tc>
          <w:tcPr>
            <w:tcW w:w="5000" w:type="pct"/>
            <w:vAlign w:val="center"/>
            <w:hideMark/>
          </w:tcPr>
          <w:p w14:paraId="14B04BC3" w14:textId="7A079FF5" w:rsidR="00765141" w:rsidRPr="0098262F" w:rsidRDefault="00765141" w:rsidP="00AD1D65">
            <w:pPr>
              <w:pStyle w:val="TableText0"/>
              <w:keepNext w:val="0"/>
            </w:pPr>
            <w:r w:rsidRPr="7D264DDE">
              <w:t>Patient must have evidence in tumour material of an activating epidermal growth factor receptor (</w:t>
            </w:r>
            <w:r w:rsidR="008272D0" w:rsidRPr="008272D0">
              <w:rPr>
                <w:i/>
              </w:rPr>
              <w:t>EGFR</w:t>
            </w:r>
            <w:r w:rsidRPr="7D264DDE">
              <w:t xml:space="preserve">) exon20 insertion mutation </w:t>
            </w:r>
          </w:p>
        </w:tc>
      </w:tr>
      <w:tr w:rsidR="00765141" w:rsidRPr="0098262F" w14:paraId="1CB2169B" w14:textId="77777777">
        <w:trPr>
          <w:cantSplit/>
          <w:trHeight w:val="20"/>
        </w:trPr>
        <w:tc>
          <w:tcPr>
            <w:tcW w:w="5000" w:type="pct"/>
            <w:vAlign w:val="center"/>
            <w:hideMark/>
          </w:tcPr>
          <w:p w14:paraId="0F647A3C" w14:textId="77777777" w:rsidR="00765141" w:rsidRPr="0098262F" w:rsidRDefault="00765141" w:rsidP="00AD1D65">
            <w:pPr>
              <w:pStyle w:val="TableText0"/>
              <w:keepNext w:val="0"/>
            </w:pPr>
            <w:r w:rsidRPr="0098262F">
              <w:rPr>
                <w:b/>
              </w:rPr>
              <w:t>AND</w:t>
            </w:r>
          </w:p>
        </w:tc>
      </w:tr>
      <w:tr w:rsidR="00765141" w14:paraId="3C3484A0" w14:textId="77777777">
        <w:trPr>
          <w:cantSplit/>
          <w:trHeight w:val="20"/>
        </w:trPr>
        <w:tc>
          <w:tcPr>
            <w:tcW w:w="5000" w:type="pct"/>
            <w:vAlign w:val="center"/>
            <w:hideMark/>
          </w:tcPr>
          <w:p w14:paraId="771A04BB" w14:textId="77777777" w:rsidR="00765141" w:rsidRDefault="00765141" w:rsidP="00AD1D65">
            <w:pPr>
              <w:pStyle w:val="TableText0"/>
              <w:keepNext w:val="0"/>
              <w:rPr>
                <w:bCs w:val="0"/>
              </w:rPr>
            </w:pPr>
            <w:r>
              <w:rPr>
                <w:bCs w:val="0"/>
              </w:rPr>
              <w:t xml:space="preserve">Patient must not have received systemic therapy for this condition in the metastatic setting prior to initiation of this drug </w:t>
            </w:r>
          </w:p>
        </w:tc>
      </w:tr>
      <w:tr w:rsidR="00765141" w14:paraId="76D611EA" w14:textId="77777777">
        <w:trPr>
          <w:cantSplit/>
          <w:trHeight w:val="20"/>
        </w:trPr>
        <w:tc>
          <w:tcPr>
            <w:tcW w:w="5000" w:type="pct"/>
            <w:vAlign w:val="center"/>
            <w:hideMark/>
          </w:tcPr>
          <w:p w14:paraId="45D0D05B" w14:textId="77777777" w:rsidR="00765141" w:rsidRDefault="00765141" w:rsidP="00AD1D65">
            <w:pPr>
              <w:pStyle w:val="TableText0"/>
              <w:keepNext w:val="0"/>
            </w:pPr>
            <w:r w:rsidRPr="7D264DDE">
              <w:rPr>
                <w:b/>
              </w:rPr>
              <w:lastRenderedPageBreak/>
              <w:t>AND</w:t>
            </w:r>
          </w:p>
        </w:tc>
      </w:tr>
      <w:tr w:rsidR="00765141" w14:paraId="25723236" w14:textId="77777777">
        <w:trPr>
          <w:cantSplit/>
          <w:trHeight w:val="20"/>
        </w:trPr>
        <w:tc>
          <w:tcPr>
            <w:tcW w:w="5000" w:type="pct"/>
            <w:vAlign w:val="center"/>
            <w:hideMark/>
          </w:tcPr>
          <w:p w14:paraId="0D7A3C91" w14:textId="77777777" w:rsidR="00765141" w:rsidRDefault="00765141" w:rsidP="00AD1D65">
            <w:pPr>
              <w:pStyle w:val="TableText0"/>
              <w:keepNext w:val="0"/>
              <w:rPr>
                <w:bCs w:val="0"/>
              </w:rPr>
            </w:pPr>
            <w:r>
              <w:rPr>
                <w:bCs w:val="0"/>
              </w:rPr>
              <w:t>The treatment must be initiated with platinum-based chemotherapy</w:t>
            </w:r>
          </w:p>
        </w:tc>
      </w:tr>
      <w:tr w:rsidR="00765141" w14:paraId="0E642817" w14:textId="77777777">
        <w:trPr>
          <w:cantSplit/>
          <w:trHeight w:val="20"/>
        </w:trPr>
        <w:tc>
          <w:tcPr>
            <w:tcW w:w="5000" w:type="pct"/>
            <w:vAlign w:val="center"/>
            <w:hideMark/>
          </w:tcPr>
          <w:p w14:paraId="28FD098D" w14:textId="77777777" w:rsidR="00765141" w:rsidRDefault="00765141" w:rsidP="00AD1D65">
            <w:pPr>
              <w:pStyle w:val="TableText0"/>
              <w:keepNext w:val="0"/>
              <w:rPr>
                <w:b/>
              </w:rPr>
            </w:pPr>
            <w:r w:rsidRPr="7D264DDE">
              <w:rPr>
                <w:b/>
              </w:rPr>
              <w:t>AND</w:t>
            </w:r>
          </w:p>
        </w:tc>
      </w:tr>
      <w:tr w:rsidR="00765141" w14:paraId="69C24C6C" w14:textId="77777777">
        <w:trPr>
          <w:cantSplit/>
          <w:trHeight w:val="20"/>
        </w:trPr>
        <w:tc>
          <w:tcPr>
            <w:tcW w:w="5000" w:type="pct"/>
            <w:vAlign w:val="center"/>
            <w:hideMark/>
          </w:tcPr>
          <w:p w14:paraId="3362A0DF" w14:textId="77777777" w:rsidR="00765141" w:rsidRDefault="00765141" w:rsidP="00AD1D65">
            <w:pPr>
              <w:pStyle w:val="TableText0"/>
              <w:keepNext w:val="0"/>
              <w:rPr>
                <w:bCs w:val="0"/>
              </w:rPr>
            </w:pPr>
            <w:r>
              <w:rPr>
                <w:bCs w:val="0"/>
              </w:rPr>
              <w:t>The patient must have a WHO performance status of 2 or less prior to initiation with this drug for this condition</w:t>
            </w:r>
          </w:p>
        </w:tc>
      </w:tr>
      <w:tr w:rsidR="00765141" w:rsidRPr="0098262F" w14:paraId="76E5D5AE" w14:textId="77777777">
        <w:trPr>
          <w:cantSplit/>
          <w:trHeight w:val="20"/>
        </w:trPr>
        <w:tc>
          <w:tcPr>
            <w:tcW w:w="5000" w:type="pct"/>
            <w:vAlign w:val="center"/>
            <w:hideMark/>
          </w:tcPr>
          <w:p w14:paraId="5DFABB07" w14:textId="77777777" w:rsidR="00765141" w:rsidRPr="0098262F" w:rsidRDefault="00765141" w:rsidP="00AD1D65">
            <w:pPr>
              <w:pStyle w:val="TableText0"/>
              <w:keepNext w:val="0"/>
              <w:rPr>
                <w:color w:val="0066FF"/>
              </w:rPr>
            </w:pPr>
            <w:r w:rsidRPr="7D264DDE">
              <w:rPr>
                <w:b/>
              </w:rPr>
              <w:t>Administrative Advice:</w:t>
            </w:r>
          </w:p>
        </w:tc>
      </w:tr>
      <w:tr w:rsidR="00765141" w14:paraId="3C5BF711" w14:textId="77777777">
        <w:trPr>
          <w:cantSplit/>
          <w:trHeight w:val="20"/>
        </w:trPr>
        <w:tc>
          <w:tcPr>
            <w:tcW w:w="5000" w:type="pct"/>
            <w:vAlign w:val="center"/>
            <w:hideMark/>
          </w:tcPr>
          <w:p w14:paraId="6A4361C1" w14:textId="77777777" w:rsidR="00765141" w:rsidRDefault="00765141" w:rsidP="00AD1D65">
            <w:pPr>
              <w:pStyle w:val="TableText0"/>
              <w:keepNext w:val="0"/>
              <w:rPr>
                <w:bCs w:val="0"/>
              </w:rPr>
            </w:pPr>
            <w:r>
              <w:rPr>
                <w:bCs w:val="0"/>
              </w:rPr>
              <w:t>A patient may only qualify for PBS-subsidised treatment under this restriction once.</w:t>
            </w:r>
          </w:p>
          <w:p w14:paraId="360A1888" w14:textId="77777777" w:rsidR="00765141" w:rsidRDefault="00765141" w:rsidP="00AD1D65">
            <w:pPr>
              <w:pStyle w:val="TableText0"/>
              <w:keepNext w:val="0"/>
              <w:rPr>
                <w:bCs w:val="0"/>
              </w:rPr>
            </w:pPr>
            <w:r>
              <w:rPr>
                <w:bCs w:val="0"/>
              </w:rPr>
              <w:t>Following completion of the initial PBS-subsidised course, further applications for treatment will be assessed under the continuing treatment restriction.</w:t>
            </w:r>
          </w:p>
        </w:tc>
      </w:tr>
      <w:tr w:rsidR="00765141" w14:paraId="4BA424C3" w14:textId="77777777">
        <w:trPr>
          <w:cantSplit/>
          <w:trHeight w:val="20"/>
        </w:trPr>
        <w:tc>
          <w:tcPr>
            <w:tcW w:w="5000" w:type="pct"/>
            <w:vAlign w:val="center"/>
            <w:hideMark/>
          </w:tcPr>
          <w:p w14:paraId="2F2222F7" w14:textId="77777777" w:rsidR="00765141" w:rsidRDefault="00765141" w:rsidP="00AD1D65">
            <w:pPr>
              <w:pStyle w:val="TableText0"/>
              <w:keepNext w:val="0"/>
              <w:rPr>
                <w:bCs w:val="0"/>
              </w:rPr>
            </w:pPr>
            <w:r>
              <w:rPr>
                <w:bCs w:val="0"/>
              </w:rPr>
              <w:t>A maximum quantity of a weight-based dose of up to six vials (of 350 mg) is authorised for each administration of amivantamab. The prescriber should specify the number of vials (of 350 mg) required to make up the total dose of amivantamab for each administration at the time of the application.</w:t>
            </w:r>
          </w:p>
        </w:tc>
      </w:tr>
      <w:tr w:rsidR="00765141" w14:paraId="27AF25F4" w14:textId="77777777">
        <w:trPr>
          <w:cantSplit/>
          <w:trHeight w:val="20"/>
        </w:trPr>
        <w:tc>
          <w:tcPr>
            <w:tcW w:w="5000" w:type="pct"/>
            <w:vAlign w:val="center"/>
            <w:hideMark/>
          </w:tcPr>
          <w:p w14:paraId="73232E2B" w14:textId="77777777" w:rsidR="00765141" w:rsidRDefault="00765141" w:rsidP="00AD1D65">
            <w:pPr>
              <w:pStyle w:val="TableText0"/>
              <w:keepNext w:val="0"/>
              <w:rPr>
                <w:bCs w:val="0"/>
              </w:rPr>
            </w:pPr>
            <w:r>
              <w:rPr>
                <w:bCs w:val="0"/>
              </w:rPr>
              <w:t>Special Pricing Arrangements apply</w:t>
            </w:r>
          </w:p>
        </w:tc>
      </w:tr>
      <w:tr w:rsidR="00765141" w14:paraId="5F540104" w14:textId="77777777">
        <w:trPr>
          <w:cantSplit/>
          <w:trHeight w:val="20"/>
        </w:trPr>
        <w:tc>
          <w:tcPr>
            <w:tcW w:w="5000" w:type="pct"/>
            <w:vAlign w:val="center"/>
            <w:hideMark/>
          </w:tcPr>
          <w:p w14:paraId="054FBEB6" w14:textId="77777777" w:rsidR="00765141" w:rsidRDefault="00765141" w:rsidP="00AD1D65">
            <w:pPr>
              <w:pStyle w:val="TableText0"/>
              <w:keepNext w:val="0"/>
              <w:rPr>
                <w:bCs w:val="0"/>
              </w:rPr>
            </w:pPr>
            <w:r>
              <w:rPr>
                <w:bCs w:val="0"/>
              </w:rPr>
              <w:t>Applications for authorisation under this restriction may be made in real time using the Online PBS Authorities system (see www.servicesaustralia.gov.au/HPOS) or by telephone by contacting Services Australia on 1800 888 333.</w:t>
            </w:r>
          </w:p>
        </w:tc>
      </w:tr>
      <w:tr w:rsidR="00765141" w14:paraId="3CAE1DCE" w14:textId="77777777">
        <w:tblPrEx>
          <w:tblCellMar>
            <w:top w:w="0" w:type="dxa"/>
            <w:bottom w:w="0" w:type="dxa"/>
          </w:tblCellMar>
        </w:tblPrEx>
        <w:trPr>
          <w:trHeight w:val="20"/>
        </w:trPr>
        <w:tc>
          <w:tcPr>
            <w:tcW w:w="5000" w:type="pct"/>
          </w:tcPr>
          <w:p w14:paraId="5B71ED6C" w14:textId="77777777" w:rsidR="00765141" w:rsidRDefault="00765141" w:rsidP="00AD1D65">
            <w:pPr>
              <w:pStyle w:val="TableText0"/>
              <w:keepNext w:val="0"/>
            </w:pPr>
            <w:r w:rsidRPr="7D264DDE">
              <w:rPr>
                <w:b/>
              </w:rPr>
              <w:t xml:space="preserve">Category / Program: </w:t>
            </w:r>
            <w:r>
              <w:t>Section 100 – Efficient Funding of Chemotherapy</w:t>
            </w:r>
          </w:p>
        </w:tc>
      </w:tr>
      <w:tr w:rsidR="00765141" w14:paraId="4734C106" w14:textId="77777777">
        <w:tblPrEx>
          <w:tblCellMar>
            <w:top w:w="0" w:type="dxa"/>
            <w:bottom w:w="0" w:type="dxa"/>
          </w:tblCellMar>
        </w:tblPrEx>
        <w:trPr>
          <w:trHeight w:val="20"/>
        </w:trPr>
        <w:tc>
          <w:tcPr>
            <w:tcW w:w="5000" w:type="pct"/>
          </w:tcPr>
          <w:p w14:paraId="7EBA2BF1" w14:textId="77777777" w:rsidR="00765141" w:rsidRDefault="00765141" w:rsidP="00AD1D65">
            <w:pPr>
              <w:pStyle w:val="TableText0"/>
              <w:keepNext w:val="0"/>
            </w:pPr>
            <w:r w:rsidRPr="7D264DDE">
              <w:rPr>
                <w:b/>
              </w:rPr>
              <w:t xml:space="preserve">Prescriber type: </w:t>
            </w:r>
            <w:r>
              <w:t>Medical Practitioners</w:t>
            </w:r>
          </w:p>
        </w:tc>
      </w:tr>
      <w:tr w:rsidR="00765141" w14:paraId="5443D12D" w14:textId="77777777">
        <w:tblPrEx>
          <w:tblCellMar>
            <w:top w:w="0" w:type="dxa"/>
            <w:bottom w:w="0" w:type="dxa"/>
          </w:tblCellMar>
        </w:tblPrEx>
        <w:trPr>
          <w:trHeight w:val="245"/>
        </w:trPr>
        <w:tc>
          <w:tcPr>
            <w:tcW w:w="5000" w:type="pct"/>
          </w:tcPr>
          <w:p w14:paraId="4DDDE26A" w14:textId="3B92E7B4" w:rsidR="00765141" w:rsidRDefault="00765141" w:rsidP="00AD1D65">
            <w:pPr>
              <w:pStyle w:val="TableText0"/>
              <w:keepNext w:val="0"/>
            </w:pPr>
            <w:r w:rsidRPr="7D264DDE">
              <w:rPr>
                <w:b/>
              </w:rPr>
              <w:t>Restriction type</w:t>
            </w:r>
            <w:r w:rsidRPr="00086E69">
              <w:rPr>
                <w:b/>
              </w:rPr>
              <w:t xml:space="preserve">: </w:t>
            </w:r>
            <w:r w:rsidR="00086E69" w:rsidRPr="00086E69">
              <w:rPr>
                <w:rFonts w:eastAsia="Times New Roman"/>
                <w:shd w:val="clear" w:color="auto" w:fill="E6E6E6"/>
              </w:rPr>
              <w:fldChar w:fldCharType="begin">
                <w:ffData>
                  <w:name w:val="Check3"/>
                  <w:enabled/>
                  <w:calcOnExit w:val="0"/>
                  <w:checkBox>
                    <w:sizeAuto/>
                    <w:default w:val="1"/>
                  </w:checkBox>
                </w:ffData>
              </w:fldChar>
            </w:r>
            <w:bookmarkStart w:id="30" w:name="Check3"/>
            <w:r w:rsidR="00086E69" w:rsidRPr="00086E69">
              <w:rPr>
                <w:rFonts w:eastAsia="Times New Roman"/>
                <w:shd w:val="clear" w:color="auto" w:fill="E6E6E6"/>
              </w:rPr>
              <w:instrText xml:space="preserve"> FORMCHECKBOX </w:instrText>
            </w:r>
            <w:r w:rsidR="00086E69" w:rsidRPr="00086E69">
              <w:rPr>
                <w:rFonts w:eastAsia="Times New Roman"/>
                <w:shd w:val="clear" w:color="auto" w:fill="E6E6E6"/>
              </w:rPr>
            </w:r>
            <w:r w:rsidR="00086E69" w:rsidRPr="00086E69">
              <w:rPr>
                <w:rFonts w:eastAsia="Times New Roman"/>
                <w:shd w:val="clear" w:color="auto" w:fill="E6E6E6"/>
              </w:rPr>
              <w:fldChar w:fldCharType="separate"/>
            </w:r>
            <w:r w:rsidR="00086E69" w:rsidRPr="00086E69">
              <w:rPr>
                <w:rFonts w:eastAsia="Times New Roman"/>
                <w:shd w:val="clear" w:color="auto" w:fill="E6E6E6"/>
              </w:rPr>
              <w:fldChar w:fldCharType="end"/>
            </w:r>
            <w:bookmarkEnd w:id="30"/>
            <w:r w:rsidRPr="00086E69">
              <w:rPr>
                <w:rFonts w:eastAsia="Times New Roman"/>
              </w:rPr>
              <w:t xml:space="preserve">Authority </w:t>
            </w:r>
            <w:r w:rsidRPr="0098262F">
              <w:rPr>
                <w:rFonts w:eastAsia="Times New Roman"/>
              </w:rPr>
              <w:t>Required (telephone/online PBS Authorities system)</w:t>
            </w:r>
          </w:p>
        </w:tc>
      </w:tr>
      <w:tr w:rsidR="00765141" w14:paraId="3D3A0FE6" w14:textId="77777777">
        <w:tblPrEx>
          <w:tblCellMar>
            <w:top w:w="0" w:type="dxa"/>
            <w:bottom w:w="0" w:type="dxa"/>
          </w:tblCellMar>
        </w:tblPrEx>
        <w:trPr>
          <w:trHeight w:val="20"/>
        </w:trPr>
        <w:tc>
          <w:tcPr>
            <w:tcW w:w="5000" w:type="pct"/>
            <w:vAlign w:val="center"/>
          </w:tcPr>
          <w:p w14:paraId="48BC8EED" w14:textId="77777777" w:rsidR="00765141" w:rsidRDefault="00765141" w:rsidP="00AD1D65">
            <w:pPr>
              <w:pStyle w:val="TableText0"/>
              <w:keepNext w:val="0"/>
              <w:rPr>
                <w:color w:val="0066FF"/>
              </w:rPr>
            </w:pPr>
            <w:r w:rsidRPr="7D264DDE">
              <w:rPr>
                <w:b/>
              </w:rPr>
              <w:t>Administrative Advice:</w:t>
            </w:r>
          </w:p>
          <w:p w14:paraId="04C4034D" w14:textId="4CA7398E" w:rsidR="00765141" w:rsidRDefault="00765141" w:rsidP="00AD1D65">
            <w:pPr>
              <w:pStyle w:val="TableText0"/>
              <w:keepNext w:val="0"/>
              <w:rPr>
                <w:b/>
              </w:rPr>
            </w:pPr>
            <w:r>
              <w:rPr>
                <w:bCs w:val="0"/>
              </w:rPr>
              <w:t>No increase in the maximum quantity may be authorised.</w:t>
            </w:r>
          </w:p>
          <w:p w14:paraId="6EBF5558" w14:textId="77777777" w:rsidR="00765141" w:rsidRDefault="00765141" w:rsidP="00AD1D65">
            <w:pPr>
              <w:pStyle w:val="TableText0"/>
              <w:keepNext w:val="0"/>
              <w:rPr>
                <w:bCs w:val="0"/>
              </w:rPr>
            </w:pPr>
            <w:r>
              <w:rPr>
                <w:bCs w:val="0"/>
              </w:rPr>
              <w:t xml:space="preserve">No increase in the maximum number of repeats may be authorised. </w:t>
            </w:r>
          </w:p>
        </w:tc>
      </w:tr>
      <w:tr w:rsidR="00765141" w14:paraId="20463C06" w14:textId="77777777">
        <w:tblPrEx>
          <w:tblCellMar>
            <w:top w:w="0" w:type="dxa"/>
            <w:bottom w:w="0" w:type="dxa"/>
          </w:tblCellMar>
        </w:tblPrEx>
        <w:trPr>
          <w:trHeight w:val="20"/>
        </w:trPr>
        <w:tc>
          <w:tcPr>
            <w:tcW w:w="5000" w:type="pct"/>
            <w:vAlign w:val="center"/>
          </w:tcPr>
          <w:p w14:paraId="7780B900" w14:textId="774214A5" w:rsidR="00765141" w:rsidRDefault="00765141" w:rsidP="00AD1D65">
            <w:pPr>
              <w:pStyle w:val="TableText0"/>
              <w:keepNext w:val="0"/>
              <w:rPr>
                <w:b/>
              </w:rPr>
            </w:pPr>
            <w:r w:rsidRPr="7D264DDE">
              <w:rPr>
                <w:b/>
              </w:rPr>
              <w:t xml:space="preserve">Indication: </w:t>
            </w:r>
            <w:r>
              <w:rPr>
                <w:bCs w:val="0"/>
              </w:rPr>
              <w:t>Stage III</w:t>
            </w:r>
            <w:r w:rsidR="00337EFA">
              <w:rPr>
                <w:bCs w:val="0"/>
              </w:rPr>
              <w:t xml:space="preserve"> </w:t>
            </w:r>
            <w:r>
              <w:rPr>
                <w:bCs w:val="0"/>
              </w:rPr>
              <w:t>B</w:t>
            </w:r>
            <w:r w:rsidR="00337EFA">
              <w:rPr>
                <w:bCs w:val="0"/>
              </w:rPr>
              <w:t>/</w:t>
            </w:r>
            <w:r>
              <w:rPr>
                <w:bCs w:val="0"/>
              </w:rPr>
              <w:t>C locally advanced or Stage IV metastatic NSCLC</w:t>
            </w:r>
          </w:p>
        </w:tc>
      </w:tr>
      <w:tr w:rsidR="00765141" w14:paraId="6B151A7E" w14:textId="77777777">
        <w:tblPrEx>
          <w:tblCellMar>
            <w:top w:w="0" w:type="dxa"/>
            <w:bottom w:w="0" w:type="dxa"/>
          </w:tblCellMar>
        </w:tblPrEx>
        <w:trPr>
          <w:trHeight w:val="20"/>
        </w:trPr>
        <w:tc>
          <w:tcPr>
            <w:tcW w:w="5000" w:type="pct"/>
            <w:vAlign w:val="center"/>
          </w:tcPr>
          <w:p w14:paraId="417971F2" w14:textId="77777777" w:rsidR="00765141" w:rsidRDefault="00765141" w:rsidP="00AD1D65">
            <w:pPr>
              <w:pStyle w:val="TableText0"/>
              <w:keepNext w:val="0"/>
              <w:rPr>
                <w:bCs w:val="0"/>
              </w:rPr>
            </w:pPr>
            <w:r w:rsidRPr="7D264DDE">
              <w:rPr>
                <w:b/>
              </w:rPr>
              <w:t xml:space="preserve">Treatment Phase: </w:t>
            </w:r>
            <w:r>
              <w:rPr>
                <w:bCs w:val="0"/>
              </w:rPr>
              <w:t>Continuing PBS subsidised treatment</w:t>
            </w:r>
          </w:p>
        </w:tc>
      </w:tr>
      <w:tr w:rsidR="00765141" w14:paraId="3B52D936" w14:textId="77777777">
        <w:tblPrEx>
          <w:tblCellMar>
            <w:top w:w="0" w:type="dxa"/>
            <w:bottom w:w="0" w:type="dxa"/>
          </w:tblCellMar>
        </w:tblPrEx>
        <w:trPr>
          <w:trHeight w:val="20"/>
        </w:trPr>
        <w:tc>
          <w:tcPr>
            <w:tcW w:w="5000" w:type="pct"/>
            <w:vAlign w:val="center"/>
          </w:tcPr>
          <w:p w14:paraId="23A63BDA" w14:textId="77777777" w:rsidR="00765141" w:rsidRDefault="00765141" w:rsidP="00AD1D65">
            <w:pPr>
              <w:pStyle w:val="TableText0"/>
              <w:keepNext w:val="0"/>
            </w:pPr>
            <w:r w:rsidRPr="7D264DDE">
              <w:rPr>
                <w:b/>
              </w:rPr>
              <w:t>Clinical criteria:</w:t>
            </w:r>
          </w:p>
        </w:tc>
      </w:tr>
      <w:tr w:rsidR="00765141" w14:paraId="315FB816" w14:textId="77777777">
        <w:tblPrEx>
          <w:tblCellMar>
            <w:top w:w="0" w:type="dxa"/>
            <w:bottom w:w="0" w:type="dxa"/>
          </w:tblCellMar>
        </w:tblPrEx>
        <w:trPr>
          <w:trHeight w:val="20"/>
        </w:trPr>
        <w:tc>
          <w:tcPr>
            <w:tcW w:w="5000" w:type="pct"/>
            <w:vAlign w:val="center"/>
          </w:tcPr>
          <w:p w14:paraId="7463BD3D" w14:textId="77777777" w:rsidR="00765141" w:rsidRDefault="00765141" w:rsidP="00AD1D65">
            <w:pPr>
              <w:pStyle w:val="TableText0"/>
              <w:keepNext w:val="0"/>
            </w:pPr>
            <w:r w:rsidRPr="7D264DDE">
              <w:t xml:space="preserve">Patient must have previously received treatment with this drug for this condition </w:t>
            </w:r>
          </w:p>
        </w:tc>
      </w:tr>
      <w:tr w:rsidR="00765141" w14:paraId="07F2DAD2" w14:textId="77777777">
        <w:tblPrEx>
          <w:tblCellMar>
            <w:top w:w="0" w:type="dxa"/>
            <w:bottom w:w="0" w:type="dxa"/>
          </w:tblCellMar>
        </w:tblPrEx>
        <w:trPr>
          <w:trHeight w:val="20"/>
        </w:trPr>
        <w:tc>
          <w:tcPr>
            <w:tcW w:w="5000" w:type="pct"/>
            <w:vAlign w:val="center"/>
          </w:tcPr>
          <w:p w14:paraId="4025DF43" w14:textId="77777777" w:rsidR="00765141" w:rsidRDefault="00765141" w:rsidP="00AD1D65">
            <w:pPr>
              <w:pStyle w:val="TableText0"/>
              <w:keepNext w:val="0"/>
            </w:pPr>
            <w:r w:rsidRPr="7D264DDE">
              <w:rPr>
                <w:b/>
              </w:rPr>
              <w:t>AND</w:t>
            </w:r>
          </w:p>
        </w:tc>
      </w:tr>
      <w:tr w:rsidR="00765141" w14:paraId="3628C608" w14:textId="77777777">
        <w:tblPrEx>
          <w:tblCellMar>
            <w:top w:w="0" w:type="dxa"/>
            <w:bottom w:w="0" w:type="dxa"/>
          </w:tblCellMar>
        </w:tblPrEx>
        <w:trPr>
          <w:trHeight w:val="20"/>
        </w:trPr>
        <w:tc>
          <w:tcPr>
            <w:tcW w:w="5000" w:type="pct"/>
            <w:vAlign w:val="center"/>
          </w:tcPr>
          <w:p w14:paraId="0AC156BA" w14:textId="77777777" w:rsidR="00765141" w:rsidRDefault="00765141" w:rsidP="00AD1D65">
            <w:pPr>
              <w:pStyle w:val="TableText0"/>
              <w:keepNext w:val="0"/>
              <w:rPr>
                <w:bCs w:val="0"/>
              </w:rPr>
            </w:pPr>
            <w:r>
              <w:rPr>
                <w:bCs w:val="0"/>
              </w:rPr>
              <w:t>Patient must not have developed disease progression while receiving treatment with this drug for this condition</w:t>
            </w:r>
          </w:p>
        </w:tc>
      </w:tr>
      <w:tr w:rsidR="00765141" w14:paraId="5FBBBD5E" w14:textId="77777777">
        <w:tblPrEx>
          <w:tblCellMar>
            <w:top w:w="0" w:type="dxa"/>
            <w:bottom w:w="0" w:type="dxa"/>
          </w:tblCellMar>
        </w:tblPrEx>
        <w:trPr>
          <w:trHeight w:val="20"/>
        </w:trPr>
        <w:tc>
          <w:tcPr>
            <w:tcW w:w="5000" w:type="pct"/>
            <w:vAlign w:val="center"/>
          </w:tcPr>
          <w:p w14:paraId="5541FE0B" w14:textId="77777777" w:rsidR="00765141" w:rsidRDefault="00765141" w:rsidP="00AD1D65">
            <w:pPr>
              <w:pStyle w:val="TableText0"/>
              <w:keepNext w:val="0"/>
              <w:rPr>
                <w:color w:val="0066FF"/>
              </w:rPr>
            </w:pPr>
            <w:r w:rsidRPr="7D264DDE">
              <w:rPr>
                <w:b/>
              </w:rPr>
              <w:t>Administrative Advice:</w:t>
            </w:r>
          </w:p>
        </w:tc>
      </w:tr>
      <w:tr w:rsidR="00765141" w14:paraId="3CE72241" w14:textId="77777777">
        <w:tblPrEx>
          <w:tblCellMar>
            <w:top w:w="0" w:type="dxa"/>
            <w:bottom w:w="0" w:type="dxa"/>
          </w:tblCellMar>
        </w:tblPrEx>
        <w:trPr>
          <w:trHeight w:val="20"/>
        </w:trPr>
        <w:tc>
          <w:tcPr>
            <w:tcW w:w="5000" w:type="pct"/>
            <w:vAlign w:val="center"/>
          </w:tcPr>
          <w:p w14:paraId="405CA307" w14:textId="77777777" w:rsidR="00765141" w:rsidRDefault="00765141" w:rsidP="00AD1D65">
            <w:pPr>
              <w:pStyle w:val="TableText0"/>
              <w:keepNext w:val="0"/>
              <w:rPr>
                <w:bCs w:val="0"/>
              </w:rPr>
            </w:pPr>
            <w:r>
              <w:rPr>
                <w:bCs w:val="0"/>
              </w:rPr>
              <w:t>A maximum quantity of a weight-based dose of up to six vials (of 350 mg) is authorised for each administration of amivantamab. The prescriber should specify the number of vials (of 350 mg) required to make up the total dose of amivantamab for each administration at the time of the application.</w:t>
            </w:r>
          </w:p>
        </w:tc>
      </w:tr>
      <w:tr w:rsidR="00765141" w14:paraId="1DFADBB7" w14:textId="77777777">
        <w:tblPrEx>
          <w:tblCellMar>
            <w:top w:w="0" w:type="dxa"/>
            <w:bottom w:w="0" w:type="dxa"/>
          </w:tblCellMar>
        </w:tblPrEx>
        <w:trPr>
          <w:trHeight w:val="20"/>
        </w:trPr>
        <w:tc>
          <w:tcPr>
            <w:tcW w:w="5000" w:type="pct"/>
            <w:vAlign w:val="center"/>
          </w:tcPr>
          <w:p w14:paraId="0A19E1DF" w14:textId="77777777" w:rsidR="00765141" w:rsidRDefault="00765141" w:rsidP="00AD1D65">
            <w:pPr>
              <w:pStyle w:val="TableText0"/>
              <w:keepNext w:val="0"/>
              <w:rPr>
                <w:bCs w:val="0"/>
              </w:rPr>
            </w:pPr>
            <w:r>
              <w:rPr>
                <w:bCs w:val="0"/>
              </w:rPr>
              <w:t>Special Pricing Arrangements apply</w:t>
            </w:r>
          </w:p>
        </w:tc>
      </w:tr>
      <w:tr w:rsidR="00765141" w14:paraId="11EC68B2" w14:textId="77777777">
        <w:tblPrEx>
          <w:tblCellMar>
            <w:top w:w="0" w:type="dxa"/>
            <w:bottom w:w="0" w:type="dxa"/>
          </w:tblCellMar>
        </w:tblPrEx>
        <w:trPr>
          <w:trHeight w:val="20"/>
        </w:trPr>
        <w:tc>
          <w:tcPr>
            <w:tcW w:w="5000" w:type="pct"/>
            <w:vAlign w:val="center"/>
          </w:tcPr>
          <w:p w14:paraId="3BCBBBB2" w14:textId="77777777" w:rsidR="00765141" w:rsidRDefault="00765141" w:rsidP="00AD1D65">
            <w:pPr>
              <w:pStyle w:val="TableText0"/>
              <w:keepNext w:val="0"/>
              <w:rPr>
                <w:bCs w:val="0"/>
              </w:rPr>
            </w:pPr>
            <w:r>
              <w:rPr>
                <w:bCs w:val="0"/>
              </w:rPr>
              <w:t>Applications for authorisation under this restriction may be made in real time using the Online PBS Authorities system (see www.servicesaustralia.gov.au/HPOS) or by telephone by contacting Services Australia on 1800 888 333.</w:t>
            </w:r>
          </w:p>
        </w:tc>
      </w:tr>
    </w:tbl>
    <w:p w14:paraId="369F5B9C" w14:textId="7983D088" w:rsidR="00DD148C" w:rsidRPr="008272D0" w:rsidRDefault="00765141" w:rsidP="008F51CA">
      <w:pPr>
        <w:pStyle w:val="3-BodyText"/>
        <w:spacing w:before="120"/>
      </w:pPr>
      <w:r w:rsidRPr="00791624">
        <w:t>The sponsor requested a special pricing arrangement (SPA)</w:t>
      </w:r>
      <w:r w:rsidR="00AE669C">
        <w:t>.</w:t>
      </w:r>
      <w:r>
        <w:t xml:space="preserve"> </w:t>
      </w:r>
      <w:r w:rsidR="0044037E">
        <w:t>The</w:t>
      </w:r>
      <w:r w:rsidR="00AE669C">
        <w:t xml:space="preserve"> submission requested</w:t>
      </w:r>
      <w:r w:rsidR="00465257">
        <w:t xml:space="preserve"> a published approved ex-manufacturer price (AEMP) per 350</w:t>
      </w:r>
      <w:r w:rsidR="00C84DD4">
        <w:t xml:space="preserve"> mg vial</w:t>
      </w:r>
      <w:r w:rsidR="00E22B6F">
        <w:t xml:space="preserve"> of $</w:t>
      </w:r>
      <w:r w:rsidR="0045123D">
        <w:t>1,</w:t>
      </w:r>
      <w:r w:rsidR="0045123D" w:rsidDel="00814563">
        <w:t>458</w:t>
      </w:r>
      <w:r w:rsidR="0045123D">
        <w:t>.00</w:t>
      </w:r>
      <w:r w:rsidR="00E22B6F">
        <w:t xml:space="preserve"> </w:t>
      </w:r>
      <w:r w:rsidR="00A62E00">
        <w:t>(corrected to $</w:t>
      </w:r>
      <w:r w:rsidR="00A62E00" w:rsidRPr="00C52884">
        <w:t xml:space="preserve">1,484.00 </w:t>
      </w:r>
      <w:r w:rsidR="00A62E00">
        <w:t xml:space="preserve">in the pre-subcommittee response </w:t>
      </w:r>
      <w:r w:rsidR="00297F4D">
        <w:t>[</w:t>
      </w:r>
      <w:r w:rsidR="00A62E00">
        <w:t>PSCR</w:t>
      </w:r>
      <w:r w:rsidR="00297F4D">
        <w:t>]</w:t>
      </w:r>
      <w:r w:rsidR="00A62E00">
        <w:t>)</w:t>
      </w:r>
      <w:r w:rsidR="00E22B6F">
        <w:t xml:space="preserve"> with an effective AEMP of $</w:t>
      </w:r>
      <w:r w:rsidR="00CE016F" w:rsidRPr="00372107">
        <w:rPr>
          <w:color w:val="000000"/>
          <w:w w:val="15"/>
          <w:shd w:val="solid" w:color="000000" w:fill="000000"/>
          <w:fitText w:val="-20" w:id="-762139902"/>
          <w14:textFill>
            <w14:solidFill>
              <w14:srgbClr w14:val="000000">
                <w14:alpha w14:val="100000"/>
              </w14:srgbClr>
            </w14:solidFill>
          </w14:textFill>
        </w:rPr>
        <w:t xml:space="preserve">|  </w:t>
      </w:r>
      <w:r w:rsidR="00CE016F" w:rsidRPr="00372107">
        <w:rPr>
          <w:color w:val="000000"/>
          <w:spacing w:val="-69"/>
          <w:w w:val="15"/>
          <w:shd w:val="solid" w:color="000000" w:fill="000000"/>
          <w:fitText w:val="-20" w:id="-762139902"/>
          <w14:textFill>
            <w14:solidFill>
              <w14:srgbClr w14:val="000000">
                <w14:alpha w14:val="100000"/>
              </w14:srgbClr>
            </w14:solidFill>
          </w14:textFill>
        </w:rPr>
        <w:t>|</w:t>
      </w:r>
      <w:r w:rsidR="00E22B6F">
        <w:t>.</w:t>
      </w:r>
      <w:r w:rsidR="005D0CCE">
        <w:t xml:space="preserve"> </w:t>
      </w:r>
    </w:p>
    <w:p w14:paraId="156EE9A7" w14:textId="092A1430" w:rsidR="000C2B08" w:rsidRPr="00177FBF" w:rsidRDefault="000C2B08" w:rsidP="00EF4C49">
      <w:pPr>
        <w:pStyle w:val="3-BodyText"/>
      </w:pPr>
      <w:r w:rsidRPr="00177FBF">
        <w:t>Patients with Eastern Cooperative Oncology Group (ECOG) status of 2 were excluded from the clinical evidence base, PAPILLON trial, however, were included in the requested listing for amivantamab (</w:t>
      </w:r>
      <w:r w:rsidRPr="00177FBF">
        <w:rPr>
          <w:bCs/>
        </w:rPr>
        <w:t>WHO performance status of 2 or less)</w:t>
      </w:r>
      <w:r w:rsidRPr="00177FBF">
        <w:t>. T</w:t>
      </w:r>
      <w:r w:rsidR="00086206" w:rsidRPr="00177FBF">
        <w:t>he PBAC noted that t</w:t>
      </w:r>
      <w:r w:rsidRPr="00177FBF">
        <w:t xml:space="preserve">here </w:t>
      </w:r>
      <w:r w:rsidR="00FF7B1A" w:rsidRPr="00177FBF">
        <w:t>wa</w:t>
      </w:r>
      <w:r w:rsidRPr="00177FBF">
        <w:t xml:space="preserve">s no clinical data to support the use of amivantamab in patients with ECOG performance status </w:t>
      </w:r>
      <w:r w:rsidR="00C667F1">
        <w:t>of 2</w:t>
      </w:r>
      <w:r w:rsidRPr="00177FBF">
        <w:t xml:space="preserve">. </w:t>
      </w:r>
      <w:r w:rsidR="004B047B" w:rsidRPr="00177FBF">
        <w:t xml:space="preserve">However, the PBAC considered that </w:t>
      </w:r>
      <w:r w:rsidR="00FF7B1A" w:rsidRPr="00177FBF">
        <w:t xml:space="preserve">the inclusion of patients </w:t>
      </w:r>
      <w:r w:rsidR="008B5322">
        <w:t xml:space="preserve">with a WHO performance status of 2 </w:t>
      </w:r>
      <w:r w:rsidR="008F0F8B">
        <w:t xml:space="preserve">or less </w:t>
      </w:r>
      <w:r w:rsidR="00FF7B1A" w:rsidRPr="00177FBF">
        <w:t xml:space="preserve">was reasonable and consistent with </w:t>
      </w:r>
      <w:r w:rsidR="009C134A" w:rsidRPr="00177FBF">
        <w:t xml:space="preserve">other targeted NSCLC treatment listings (e.g., tepotinib and </w:t>
      </w:r>
      <w:r w:rsidR="00826704" w:rsidRPr="00177FBF">
        <w:t>gefitinib).</w:t>
      </w:r>
      <w:r w:rsidRPr="00177FBF">
        <w:t xml:space="preserve"> </w:t>
      </w:r>
    </w:p>
    <w:p w14:paraId="5DEEDF6E" w14:textId="6FF1B9EA" w:rsidR="00765141" w:rsidRPr="00177FBF" w:rsidRDefault="00765141" w:rsidP="00555986">
      <w:pPr>
        <w:pStyle w:val="ExecSumBodyText"/>
        <w:numPr>
          <w:ilvl w:val="1"/>
          <w:numId w:val="5"/>
        </w:numPr>
        <w:ind w:left="709"/>
      </w:pPr>
      <w:r w:rsidRPr="00177FBF">
        <w:t>The PAPILLON trial mostly enrolled patients with Stage IV (97.4%) at screening</w:t>
      </w:r>
      <w:r w:rsidRPr="00177FBF">
        <w:rPr>
          <w:iCs/>
        </w:rPr>
        <w:t xml:space="preserve">. Therefore, the applicability of the trial data to Stage III </w:t>
      </w:r>
      <w:r w:rsidR="0020250F" w:rsidRPr="00177FBF">
        <w:rPr>
          <w:iCs/>
        </w:rPr>
        <w:t xml:space="preserve">B/C </w:t>
      </w:r>
      <w:r w:rsidRPr="00177FBF">
        <w:rPr>
          <w:iCs/>
        </w:rPr>
        <w:t xml:space="preserve">patients included in the proposed restriction </w:t>
      </w:r>
      <w:r w:rsidR="0056023F" w:rsidRPr="00177FBF">
        <w:rPr>
          <w:iCs/>
        </w:rPr>
        <w:t>wa</w:t>
      </w:r>
      <w:r w:rsidRPr="00177FBF">
        <w:rPr>
          <w:iCs/>
        </w:rPr>
        <w:t xml:space="preserve">s uncertain. </w:t>
      </w:r>
      <w:r w:rsidR="009D78DE" w:rsidRPr="00177FBF">
        <w:t xml:space="preserve">The </w:t>
      </w:r>
      <w:r w:rsidR="00475C1E" w:rsidRPr="00177FBF">
        <w:t xml:space="preserve">PBAC agreed with </w:t>
      </w:r>
      <w:r w:rsidR="003C23BD" w:rsidRPr="00177FBF">
        <w:t>the</w:t>
      </w:r>
      <w:r w:rsidR="00475C1E" w:rsidRPr="00177FBF">
        <w:t xml:space="preserve"> </w:t>
      </w:r>
      <w:r w:rsidR="00D550D1" w:rsidRPr="00177FBF">
        <w:t>E</w:t>
      </w:r>
      <w:r w:rsidR="00102100" w:rsidRPr="00177FBF">
        <w:t>SC</w:t>
      </w:r>
      <w:r w:rsidR="004673AE" w:rsidRPr="00177FBF">
        <w:t xml:space="preserve"> </w:t>
      </w:r>
      <w:r w:rsidR="00475C1E" w:rsidRPr="00177FBF">
        <w:t xml:space="preserve">that </w:t>
      </w:r>
      <w:r w:rsidR="00102100" w:rsidRPr="00177FBF">
        <w:t xml:space="preserve">the inclusion </w:t>
      </w:r>
      <w:r w:rsidR="00102100" w:rsidRPr="00177FBF">
        <w:lastRenderedPageBreak/>
        <w:t>of Stage III B/C patients</w:t>
      </w:r>
      <w:r w:rsidR="004673AE" w:rsidRPr="00177FBF">
        <w:t xml:space="preserve"> in the proposed restriction</w:t>
      </w:r>
      <w:r w:rsidR="00102100" w:rsidRPr="00177FBF">
        <w:t xml:space="preserve"> was </w:t>
      </w:r>
      <w:r w:rsidR="004673AE" w:rsidRPr="00177FBF">
        <w:t>likely reasonable</w:t>
      </w:r>
      <w:r w:rsidR="00F91713" w:rsidRPr="00177FBF">
        <w:t xml:space="preserve"> </w:t>
      </w:r>
      <w:r w:rsidR="00555986" w:rsidRPr="00177FBF">
        <w:t xml:space="preserve">despite their small representation in the PAPILLION trial, and noted this would be consistent </w:t>
      </w:r>
      <w:r w:rsidR="00F91713" w:rsidRPr="00177FBF">
        <w:t>with other recommended PBS listings in NSCLC (i.e. osimertinib Public Summary Document [PSD], July 2020 PBAC Meeting</w:t>
      </w:r>
      <w:r w:rsidR="00555986" w:rsidRPr="00177FBF">
        <w:t>; Soria et al 2018</w:t>
      </w:r>
      <w:r w:rsidR="00555986" w:rsidRPr="00177FBF">
        <w:rPr>
          <w:rStyle w:val="FootnoteReference"/>
        </w:rPr>
        <w:footnoteReference w:id="2"/>
      </w:r>
      <w:r w:rsidR="00F91713" w:rsidRPr="00177FBF">
        <w:t>)</w:t>
      </w:r>
      <w:r w:rsidR="002B1CC3" w:rsidRPr="00177FBF">
        <w:t>.</w:t>
      </w:r>
    </w:p>
    <w:p w14:paraId="2FFE6FBB" w14:textId="5FEB1732" w:rsidR="00765141" w:rsidRPr="00177FBF" w:rsidRDefault="091ECDDA" w:rsidP="00086E69">
      <w:pPr>
        <w:pStyle w:val="ExecSumBodyText"/>
        <w:numPr>
          <w:ilvl w:val="1"/>
          <w:numId w:val="5"/>
        </w:numPr>
        <w:ind w:left="709"/>
      </w:pPr>
      <w:r>
        <w:t>The submission stated that the sponsor intends to provide access to amivantamab via a patient access program</w:t>
      </w:r>
      <w:r w:rsidR="5E747FD3">
        <w:t xml:space="preserve"> for approximately 20 patients</w:t>
      </w:r>
      <w:r w:rsidR="21E239DD">
        <w:t>. A</w:t>
      </w:r>
      <w:r>
        <w:t xml:space="preserve"> grandfathering restriction </w:t>
      </w:r>
      <w:r w:rsidR="21E239DD">
        <w:t xml:space="preserve">was </w:t>
      </w:r>
      <w:r>
        <w:t>proposed</w:t>
      </w:r>
      <w:r w:rsidR="21E239DD">
        <w:t xml:space="preserve"> in the submission</w:t>
      </w:r>
      <w:r>
        <w:t xml:space="preserve">. </w:t>
      </w:r>
      <w:r w:rsidR="14D07CA6">
        <w:t xml:space="preserve">The </w:t>
      </w:r>
      <w:r w:rsidR="1D2A5291">
        <w:t xml:space="preserve">PSCR accepted </w:t>
      </w:r>
      <w:r w:rsidR="2D7787CB">
        <w:t xml:space="preserve">the </w:t>
      </w:r>
      <w:r w:rsidR="05E70DCD">
        <w:t>amend</w:t>
      </w:r>
      <w:r w:rsidR="03F141C8">
        <w:t>ed</w:t>
      </w:r>
      <w:r w:rsidR="05E70DCD">
        <w:t xml:space="preserve"> wording</w:t>
      </w:r>
      <w:r w:rsidR="03F141C8">
        <w:t xml:space="preserve"> proposed by the Secretariat</w:t>
      </w:r>
      <w:r w:rsidR="3D015C0C">
        <w:t xml:space="preserve"> for</w:t>
      </w:r>
      <w:r w:rsidR="05E70DCD">
        <w:t xml:space="preserve"> the initial treatment phase to accommodate access to both </w:t>
      </w:r>
      <w:r w:rsidR="79585CB0">
        <w:t xml:space="preserve">new </w:t>
      </w:r>
      <w:r w:rsidR="05E70DCD">
        <w:t xml:space="preserve">patients who had not been treated with amivantamab </w:t>
      </w:r>
      <w:r w:rsidR="0E06BAA1">
        <w:t>before and</w:t>
      </w:r>
      <w:r w:rsidR="1D2A5291">
        <w:t xml:space="preserve"> grandfathered patient</w:t>
      </w:r>
      <w:r w:rsidR="3D015C0C">
        <w:t>s</w:t>
      </w:r>
      <w:r w:rsidR="1D2A5291">
        <w:t>.</w:t>
      </w:r>
    </w:p>
    <w:p w14:paraId="7EE1DF9E" w14:textId="58E5C2D0" w:rsidR="1B2C7A37" w:rsidRDefault="1B2C7A37" w:rsidP="7A1DEC4B">
      <w:pPr>
        <w:pStyle w:val="ExecSumBodyText"/>
        <w:numPr>
          <w:ilvl w:val="1"/>
          <w:numId w:val="5"/>
        </w:numPr>
        <w:ind w:left="709"/>
      </w:pPr>
      <w:r>
        <w:t xml:space="preserve">The submission proposed an administrative advice in the restriction requiring the prescribers to specify the number of vials requested to make up the total dose for each administration, as amivantamab is weight-based (&lt;80 kg or ≥80 kg at baseline). This </w:t>
      </w:r>
      <w:r w:rsidR="00E737A7">
        <w:t>a</w:t>
      </w:r>
      <w:r>
        <w:t xml:space="preserve">dministrative advice is not needed, as according to medicines listed under EFC, authorised prescribers are required to identify the dose of the chemotherapy drug and for an infusion prescription the number of times that supply of the infusion is to be repeated. They are not required to identify the quantity or number of units of a pharmaceutical benefit to be supplied. Pharmacists upon dispensing the EFC algorithms will be directed on the efficient number of vials of a chemotherapy drug that they can use to make up the final dose. Prescribers are expected to refer to the TGA Product Information (PI) for any information regarding dosing schedule. The PSCR accepted the removal of the proposed </w:t>
      </w:r>
      <w:r w:rsidR="00E737A7">
        <w:t>a</w:t>
      </w:r>
      <w:r>
        <w:t xml:space="preserve">dministrate </w:t>
      </w:r>
      <w:r w:rsidR="00E737A7">
        <w:t>a</w:t>
      </w:r>
      <w:r>
        <w:t>dvice.</w:t>
      </w:r>
    </w:p>
    <w:p w14:paraId="5D5C2B0A" w14:textId="311F38F2" w:rsidR="007155C3" w:rsidRPr="00177FBF" w:rsidRDefault="00765141" w:rsidP="00EF4C49">
      <w:pPr>
        <w:pStyle w:val="3-BodyText"/>
        <w:rPr>
          <w:rFonts w:eastAsia="Times New Roman" w:cs="Arial"/>
          <w:snapToGrid w:val="0"/>
        </w:rPr>
      </w:pPr>
      <w:bookmarkStart w:id="31" w:name="_Ref183243383"/>
      <w:r w:rsidRPr="00177FBF">
        <w:t xml:space="preserve">The submission also requested for amivantamab </w:t>
      </w:r>
      <w:r w:rsidR="00127293" w:rsidRPr="00177FBF">
        <w:t>monotherapy</w:t>
      </w:r>
      <w:r w:rsidRPr="00177FBF">
        <w:t xml:space="preserve"> to be considered for second-line use (i.e.</w:t>
      </w:r>
      <w:r w:rsidR="000E4349" w:rsidRPr="00177FBF">
        <w:t>,</w:t>
      </w:r>
      <w:r w:rsidRPr="00177FBF">
        <w:t xml:space="preserve"> on or after progression on PBC) using </w:t>
      </w:r>
      <w:r w:rsidR="00E96F8F" w:rsidRPr="00177FBF">
        <w:t xml:space="preserve">alternative </w:t>
      </w:r>
      <w:r w:rsidRPr="00177FBF">
        <w:t>restriction wording</w:t>
      </w:r>
      <w:r w:rsidR="00C967D6">
        <w:t xml:space="preserve"> </w:t>
      </w:r>
      <w:r w:rsidR="00C967D6" w:rsidRPr="00C967D6">
        <w:t>that allows patients to receive treatment in the first</w:t>
      </w:r>
      <w:r w:rsidR="00C967D6">
        <w:t>-</w:t>
      </w:r>
      <w:r w:rsidR="00C967D6" w:rsidRPr="00C967D6">
        <w:t xml:space="preserve"> or second</w:t>
      </w:r>
      <w:r w:rsidR="00C967D6">
        <w:t>-</w:t>
      </w:r>
      <w:r w:rsidR="00C967D6" w:rsidRPr="00C967D6">
        <w:t>line settin</w:t>
      </w:r>
      <w:r w:rsidR="00C967D6">
        <w:t>g</w:t>
      </w:r>
      <w:r w:rsidRPr="00177FBF">
        <w:t>. The justification provided for this included: high unmet need in this population, recognising that amivantamab monotherapy is provisionally TGA approved for use (as second-line</w:t>
      </w:r>
      <w:r w:rsidR="00E217F4" w:rsidRPr="00177FBF">
        <w:t xml:space="preserve"> treatment</w:t>
      </w:r>
      <w:r w:rsidRPr="00177FBF" w:rsidDel="00E217F4">
        <w:t xml:space="preserve"> </w:t>
      </w:r>
      <w:r w:rsidRPr="00177FBF">
        <w:t>following disease progression on or after PBC) in this population and is recommended as a second-line treatment option in international treatment guidelines. The clinical criteri</w:t>
      </w:r>
      <w:r w:rsidR="00CF6F32" w:rsidRPr="00177FBF">
        <w:t>on</w:t>
      </w:r>
      <w:r w:rsidR="00125495" w:rsidRPr="00177FBF">
        <w:t xml:space="preserve"> stating that a ‘patient</w:t>
      </w:r>
      <w:r w:rsidRPr="00177FBF">
        <w:t xml:space="preserve"> must not have received systemic therapy for this condition in the metastatic setting prior to initiation of this drug</w:t>
      </w:r>
      <w:r w:rsidR="00566B02" w:rsidRPr="00177FBF">
        <w:t>’</w:t>
      </w:r>
      <w:r w:rsidRPr="00177FBF">
        <w:t xml:space="preserve"> from the initial treatment restriction is omitted </w:t>
      </w:r>
      <w:r w:rsidR="001327EC" w:rsidRPr="00177FBF">
        <w:t>from</w:t>
      </w:r>
      <w:r w:rsidRPr="00177FBF">
        <w:t xml:space="preserve"> the proposed </w:t>
      </w:r>
      <w:r w:rsidR="00D61DCB" w:rsidRPr="00177FBF">
        <w:t xml:space="preserve">alternative </w:t>
      </w:r>
      <w:r w:rsidRPr="00177FBF">
        <w:t xml:space="preserve">restriction. </w:t>
      </w:r>
      <w:r w:rsidR="00A912DA" w:rsidRPr="00177FBF">
        <w:t>The clinical evidence presented in the submission for the second-line setting were descriptive and based on single-arm studies. This consideration was not included in the economic model but presented in the financial estimates.</w:t>
      </w:r>
      <w:r w:rsidRPr="00177FBF">
        <w:t xml:space="preserve"> The first-line population as outlined in the PICO</w:t>
      </w:r>
      <w:r w:rsidR="00F15157" w:rsidRPr="00177FBF">
        <w:t xml:space="preserve"> </w:t>
      </w:r>
      <w:r w:rsidR="00965362">
        <w:t>as</w:t>
      </w:r>
      <w:r w:rsidR="00F15157" w:rsidRPr="00177FBF">
        <w:t xml:space="preserve"> the primary </w:t>
      </w:r>
      <w:r w:rsidR="005C4697" w:rsidRPr="00177FBF">
        <w:t xml:space="preserve">information </w:t>
      </w:r>
      <w:r w:rsidR="00F15157" w:rsidRPr="00177FBF">
        <w:t>provided herein</w:t>
      </w:r>
      <w:r w:rsidRPr="00177FBF">
        <w:t xml:space="preserve">, however summarised evidence for second-line use </w:t>
      </w:r>
      <w:r w:rsidR="00AF6E1F" w:rsidRPr="00177FBF">
        <w:t xml:space="preserve">is </w:t>
      </w:r>
      <w:r w:rsidRPr="00177FBF">
        <w:t xml:space="preserve">also </w:t>
      </w:r>
      <w:r w:rsidR="005F47AA" w:rsidRPr="00177FBF">
        <w:t>presented.</w:t>
      </w:r>
      <w:r w:rsidRPr="00177FBF">
        <w:t xml:space="preserve"> </w:t>
      </w:r>
      <w:r w:rsidR="009F0B04" w:rsidRPr="00177FBF">
        <w:t xml:space="preserve">The </w:t>
      </w:r>
      <w:r w:rsidR="00E85E0A" w:rsidRPr="00177FBF">
        <w:t xml:space="preserve">PBAC </w:t>
      </w:r>
      <w:r w:rsidR="00CA2ABF" w:rsidRPr="612DC76D">
        <w:rPr>
          <w:rFonts w:eastAsia="Times New Roman" w:cs="Arial"/>
        </w:rPr>
        <w:t>considered the clinical evidence</w:t>
      </w:r>
      <w:r w:rsidR="00E5031F" w:rsidRPr="612DC76D">
        <w:rPr>
          <w:rFonts w:eastAsia="Times New Roman" w:cs="Arial"/>
        </w:rPr>
        <w:t xml:space="preserve"> presented</w:t>
      </w:r>
      <w:r w:rsidR="00CA2ABF" w:rsidRPr="612DC76D">
        <w:rPr>
          <w:rFonts w:eastAsia="Times New Roman" w:cs="Arial"/>
        </w:rPr>
        <w:t xml:space="preserve"> were adequate to confirm the clinical benefit of amivantamab after disease progression on (or after) PBC</w:t>
      </w:r>
      <w:r w:rsidR="004511AE" w:rsidRPr="612DC76D">
        <w:rPr>
          <w:rFonts w:eastAsia="Times New Roman" w:cs="Arial"/>
        </w:rPr>
        <w:t>.</w:t>
      </w:r>
      <w:r w:rsidR="004511AE" w:rsidRPr="00177FBF">
        <w:t xml:space="preserve"> The PBAC </w:t>
      </w:r>
      <w:r w:rsidR="004511AE" w:rsidRPr="00177FBF">
        <w:lastRenderedPageBreak/>
        <w:t>also noted the high unmet need for this patient population and</w:t>
      </w:r>
      <w:r w:rsidR="004511AE" w:rsidRPr="612DC76D">
        <w:rPr>
          <w:rFonts w:eastAsia="Times New Roman" w:cs="Arial"/>
        </w:rPr>
        <w:t xml:space="preserve"> that the TGA Delegate was inclined to approve this indication for full registration </w:t>
      </w:r>
      <w:r w:rsidR="004511AE" w:rsidRPr="00177FBF">
        <w:t xml:space="preserve">(see paragraph </w:t>
      </w:r>
      <w:r>
        <w:fldChar w:fldCharType="begin"/>
      </w:r>
      <w:r>
        <w:instrText xml:space="preserve"> REF _Ref182469914 \r \h </w:instrText>
      </w:r>
      <w:r w:rsidR="00AD309D" w:rsidRPr="00177FBF">
        <w:instrText xml:space="preserve"> \* MERGEFORMAT </w:instrText>
      </w:r>
      <w:r>
        <w:fldChar w:fldCharType="separate"/>
      </w:r>
      <w:r w:rsidR="00372107">
        <w:t>2.4</w:t>
      </w:r>
      <w:r>
        <w:fldChar w:fldCharType="end"/>
      </w:r>
      <w:r w:rsidR="004511AE">
        <w:t>)</w:t>
      </w:r>
      <w:r w:rsidR="004511AE" w:rsidRPr="612DC76D">
        <w:rPr>
          <w:rFonts w:eastAsia="Times New Roman" w:cs="Arial"/>
        </w:rPr>
        <w:t xml:space="preserve">. The PBAC </w:t>
      </w:r>
      <w:r w:rsidR="009325E8" w:rsidRPr="00177FBF">
        <w:t xml:space="preserve">therefore </w:t>
      </w:r>
      <w:r w:rsidR="00E85E0A" w:rsidRPr="00177FBF">
        <w:t xml:space="preserve">agreed with </w:t>
      </w:r>
      <w:r w:rsidR="009F0B04" w:rsidRPr="00177FBF">
        <w:t xml:space="preserve">ESC </w:t>
      </w:r>
      <w:r w:rsidR="00881CC3" w:rsidRPr="00177FBF">
        <w:t xml:space="preserve">and were </w:t>
      </w:r>
      <w:r w:rsidR="009F0B04" w:rsidRPr="00177FBF">
        <w:t>supportive of a listin</w:t>
      </w:r>
      <w:r w:rsidR="001800F2">
        <w:t>g</w:t>
      </w:r>
      <w:r w:rsidR="2A8FD8F0" w:rsidRPr="5AE76567">
        <w:t xml:space="preserve"> </w:t>
      </w:r>
      <w:r w:rsidR="00F342CD">
        <w:t xml:space="preserve">that </w:t>
      </w:r>
      <w:r w:rsidR="004E5C8A">
        <w:t xml:space="preserve">allows </w:t>
      </w:r>
      <w:r w:rsidR="00F342CD">
        <w:t xml:space="preserve">access </w:t>
      </w:r>
      <w:r w:rsidR="2A8FD8F0" w:rsidRPr="6D2ABA5B">
        <w:t xml:space="preserve">in </w:t>
      </w:r>
      <w:r w:rsidR="2A8FD8F0" w:rsidRPr="7E53AAC4">
        <w:t>the first</w:t>
      </w:r>
      <w:r w:rsidR="009333E7">
        <w:t>-</w:t>
      </w:r>
      <w:r w:rsidR="2A8FD8F0" w:rsidRPr="7E53AAC4">
        <w:t xml:space="preserve">line </w:t>
      </w:r>
      <w:r w:rsidR="02F00027" w:rsidRPr="5678DFD4">
        <w:t>(</w:t>
      </w:r>
      <w:r w:rsidR="02F00027" w:rsidRPr="7DBC083D">
        <w:t xml:space="preserve">treatment naive) </w:t>
      </w:r>
      <w:r w:rsidR="2A8FD8F0" w:rsidRPr="7E53AAC4">
        <w:t xml:space="preserve">and </w:t>
      </w:r>
      <w:r w:rsidR="2A8FD8F0" w:rsidRPr="49A7A81B">
        <w:t xml:space="preserve">second line </w:t>
      </w:r>
      <w:r w:rsidR="73704D35">
        <w:t xml:space="preserve">(i.e. on or after progression on PBC) </w:t>
      </w:r>
      <w:r w:rsidR="004E5C8A">
        <w:t>treatment setting</w:t>
      </w:r>
      <w:r w:rsidR="00133F7F">
        <w:t>.</w:t>
      </w:r>
      <w:bookmarkEnd w:id="31"/>
      <w:r w:rsidR="00133F7F">
        <w:t xml:space="preserve"> </w:t>
      </w:r>
    </w:p>
    <w:p w14:paraId="4020C526" w14:textId="6F6FB9FF" w:rsidR="008A5C9E" w:rsidRPr="008A5C9E" w:rsidRDefault="008A5C9E" w:rsidP="008A5C9E">
      <w:pPr>
        <w:pStyle w:val="ExecSumBodyText"/>
        <w:ind w:firstLine="0"/>
        <w:rPr>
          <w:i/>
        </w:rPr>
      </w:pPr>
      <w:r w:rsidRPr="007D7D18">
        <w:rPr>
          <w:i/>
        </w:rPr>
        <w:t>For more detail on PBAC’s view, see section 7 PBAC outcome.</w:t>
      </w:r>
    </w:p>
    <w:p w14:paraId="5FECFD96" w14:textId="77777777" w:rsidR="00765141" w:rsidRPr="0098262F" w:rsidDel="00195452" w:rsidRDefault="00765141" w:rsidP="00765141">
      <w:pPr>
        <w:pStyle w:val="2-SectionHeading"/>
      </w:pPr>
      <w:bookmarkStart w:id="32" w:name="_Toc174628132"/>
      <w:bookmarkStart w:id="33" w:name="_Toc177532577"/>
      <w:bookmarkStart w:id="34" w:name="_Toc177548275"/>
      <w:r w:rsidRPr="0098262F" w:rsidDel="00195452">
        <w:t>Population and disease</w:t>
      </w:r>
      <w:bookmarkEnd w:id="32"/>
      <w:bookmarkEnd w:id="33"/>
      <w:bookmarkEnd w:id="34"/>
    </w:p>
    <w:p w14:paraId="21C946ED" w14:textId="43DF3C80" w:rsidR="00765141" w:rsidRDefault="00765141" w:rsidP="00EF4C49">
      <w:pPr>
        <w:pStyle w:val="3-BodyText"/>
      </w:pPr>
      <w:r>
        <w:t xml:space="preserve">Lung cancer is the fifth </w:t>
      </w:r>
      <w:proofErr w:type="gramStart"/>
      <w:r>
        <w:t>most commonly diagnosed</w:t>
      </w:r>
      <w:proofErr w:type="gramEnd"/>
      <w:r>
        <w:t xml:space="preserve"> cancer in Australia, with an estimated 14,782 people diagnosed in 2023.</w:t>
      </w:r>
      <w:r w:rsidRPr="7177B32B">
        <w:rPr>
          <w:rStyle w:val="FootnoteReference"/>
        </w:rPr>
        <w:footnoteReference w:id="3"/>
      </w:r>
      <w:r>
        <w:t xml:space="preserve"> It is the most common cause of cancer-related death, with </w:t>
      </w:r>
      <w:r w:rsidR="003328C8">
        <w:t>a</w:t>
      </w:r>
      <w:r w:rsidR="00B503C3">
        <w:t xml:space="preserve"> </w:t>
      </w:r>
      <w:r>
        <w:t xml:space="preserve">5-year survival of 24%. </w:t>
      </w:r>
      <w:r w:rsidR="008272D0" w:rsidRPr="008272D0">
        <w:rPr>
          <w:i/>
        </w:rPr>
        <w:t>EGFR</w:t>
      </w:r>
      <w:r>
        <w:t xml:space="preserve"> mutations are the most common type of mutation in NSCLC, with approximately 30% of NSCLC patients carrying </w:t>
      </w:r>
      <w:r w:rsidR="008272D0" w:rsidRPr="008272D0">
        <w:rPr>
          <w:i/>
        </w:rPr>
        <w:t>EGFR</w:t>
      </w:r>
      <w:r>
        <w:t xml:space="preserve"> mutations.</w:t>
      </w:r>
      <w:r>
        <w:rPr>
          <w:rStyle w:val="FootnoteReference"/>
        </w:rPr>
        <w:footnoteReference w:id="4"/>
      </w:r>
      <w:r>
        <w:t xml:space="preserve"> Among these patients, approximately 4</w:t>
      </w:r>
      <w:r w:rsidR="001C4126">
        <w:rPr>
          <w:rFonts w:cstheme="minorHAnsi"/>
        </w:rPr>
        <w:t>−</w:t>
      </w:r>
      <w:r>
        <w:t xml:space="preserve">15% of patients have </w:t>
      </w:r>
      <w:r w:rsidR="008272D0" w:rsidRPr="008272D0">
        <w:rPr>
          <w:i/>
        </w:rPr>
        <w:t>EGFR</w:t>
      </w:r>
      <w:r>
        <w:t xml:space="preserve"> ex20ins mutations, making it less common than </w:t>
      </w:r>
      <w:r w:rsidR="008272D0" w:rsidRPr="008272D0">
        <w:rPr>
          <w:i/>
        </w:rPr>
        <w:t>EGFR</w:t>
      </w:r>
      <w:r>
        <w:t xml:space="preserve"> exon 19 deletion (ex19del) mutations (46%) and </w:t>
      </w:r>
      <w:r w:rsidR="008272D0" w:rsidRPr="008272D0">
        <w:rPr>
          <w:i/>
        </w:rPr>
        <w:t>EGFR</w:t>
      </w:r>
      <w:r>
        <w:t xml:space="preserve"> L858R point mutation (38%).</w:t>
      </w:r>
      <w:r>
        <w:rPr>
          <w:rStyle w:val="FootnoteReference"/>
        </w:rPr>
        <w:footnoteReference w:id="5"/>
      </w:r>
      <w:r>
        <w:rPr>
          <w:vertAlign w:val="superscript"/>
        </w:rPr>
        <w:t>,</w:t>
      </w:r>
      <w:r w:rsidRPr="00CE0821">
        <w:rPr>
          <w:rStyle w:val="FootnoteReference"/>
        </w:rPr>
        <w:footnoteReference w:id="6"/>
      </w:r>
      <w:r w:rsidRPr="00CE0821">
        <w:rPr>
          <w:vertAlign w:val="superscript"/>
        </w:rPr>
        <w:t>,</w:t>
      </w:r>
      <w:r>
        <w:rPr>
          <w:rStyle w:val="FootnoteReference"/>
        </w:rPr>
        <w:footnoteReference w:id="7"/>
      </w:r>
      <w:r w:rsidR="00D9146F">
        <w:rPr>
          <w:vertAlign w:val="superscript"/>
        </w:rPr>
        <w:t xml:space="preserve"> </w:t>
      </w:r>
      <w:r>
        <w:t xml:space="preserve">Patients with </w:t>
      </w:r>
      <w:r w:rsidR="008272D0" w:rsidRPr="008272D0">
        <w:rPr>
          <w:i/>
        </w:rPr>
        <w:t>EGFR</w:t>
      </w:r>
      <w:r>
        <w:t xml:space="preserve"> 20ins mutations have poorer prognosis and outcomes compared to patients with </w:t>
      </w:r>
      <w:r w:rsidR="001659AE">
        <w:t>more common</w:t>
      </w:r>
      <w:r>
        <w:t xml:space="preserve"> forms of </w:t>
      </w:r>
      <w:r w:rsidR="008272D0" w:rsidRPr="008272D0">
        <w:rPr>
          <w:i/>
        </w:rPr>
        <w:t>EGFR</w:t>
      </w:r>
      <w:r>
        <w:t xml:space="preserve"> mutations.</w:t>
      </w:r>
    </w:p>
    <w:p w14:paraId="41B2A6FF" w14:textId="06FEEC4F" w:rsidR="00765141" w:rsidRDefault="00083E26" w:rsidP="00EF4C49">
      <w:pPr>
        <w:pStyle w:val="3-BodyText"/>
      </w:pPr>
      <w:r>
        <w:t xml:space="preserve">Consistent with the </w:t>
      </w:r>
      <w:r w:rsidR="003E5448">
        <w:t xml:space="preserve">patient population in the PAPILLON pivotal study, the proposed position of </w:t>
      </w:r>
      <w:r w:rsidR="00765141">
        <w:t xml:space="preserve">amivantamab </w:t>
      </w:r>
      <w:r w:rsidR="003E5448">
        <w:t>in combination with PB</w:t>
      </w:r>
      <w:r w:rsidR="00E34FD1">
        <w:t>C</w:t>
      </w:r>
      <w:r w:rsidR="00765141">
        <w:t xml:space="preserve"> is </w:t>
      </w:r>
      <w:r w:rsidR="00594057">
        <w:t>in the</w:t>
      </w:r>
      <w:r w:rsidR="00765141">
        <w:t xml:space="preserve"> </w:t>
      </w:r>
      <w:r w:rsidR="008272D0" w:rsidRPr="008272D0">
        <w:rPr>
          <w:i/>
        </w:rPr>
        <w:t>EGFR</w:t>
      </w:r>
      <w:r w:rsidR="00765141" w:rsidRPr="00370EA1">
        <w:t xml:space="preserve"> ex20ins mutation positive treatment</w:t>
      </w:r>
      <w:r w:rsidR="004F4E4E">
        <w:t>-</w:t>
      </w:r>
      <w:r w:rsidR="00765141">
        <w:t>naïve (</w:t>
      </w:r>
      <w:r w:rsidR="00765141" w:rsidRPr="00370EA1">
        <w:t xml:space="preserve">first-line) locally advanced or metastatic </w:t>
      </w:r>
      <w:r w:rsidR="00765141">
        <w:t xml:space="preserve">NSCLC </w:t>
      </w:r>
      <w:r w:rsidR="00594057">
        <w:t>setting</w:t>
      </w:r>
      <w:r w:rsidR="00765141">
        <w:t xml:space="preserve">. </w:t>
      </w:r>
    </w:p>
    <w:p w14:paraId="663CF036" w14:textId="5DCE9EAA" w:rsidR="00765141" w:rsidRDefault="00765141" w:rsidP="00EF4C49">
      <w:pPr>
        <w:pStyle w:val="3-BodyText"/>
      </w:pPr>
      <w:r>
        <w:t xml:space="preserve">The </w:t>
      </w:r>
      <w:r>
        <w:rPr>
          <w:snapToGrid w:val="0"/>
        </w:rPr>
        <w:t xml:space="preserve">National Comprehensive Cancer Network (NCCN) </w:t>
      </w:r>
      <w:r>
        <w:t xml:space="preserve">clinical NSCLC guidelines were recently updated to recommend ACP as the preferred </w:t>
      </w:r>
      <w:r w:rsidR="007F2FFF">
        <w:t xml:space="preserve">first-line </w:t>
      </w:r>
      <w:r>
        <w:t>treatment option f</w:t>
      </w:r>
      <w:r w:rsidRPr="007F2ED4">
        <w:t>or patients with advanced or metastatic non</w:t>
      </w:r>
      <w:r>
        <w:t>-</w:t>
      </w:r>
      <w:r w:rsidRPr="007F2ED4">
        <w:t xml:space="preserve">squamous </w:t>
      </w:r>
      <w:r w:rsidR="008272D0" w:rsidRPr="008272D0">
        <w:rPr>
          <w:i/>
        </w:rPr>
        <w:t>EGFR</w:t>
      </w:r>
      <w:r w:rsidRPr="007F2ED4">
        <w:t xml:space="preserve"> exon 20 insertion mutation-positive NSCLC</w:t>
      </w:r>
      <w:r>
        <w:t>,</w:t>
      </w:r>
      <w:r>
        <w:rPr>
          <w:rStyle w:val="FootnoteReference"/>
        </w:rPr>
        <w:footnoteReference w:id="8"/>
      </w:r>
      <w:r>
        <w:t xml:space="preserve"> while the </w:t>
      </w:r>
      <w:r w:rsidRPr="003223B2">
        <w:t xml:space="preserve">European Society for Medical Oncology </w:t>
      </w:r>
      <w:r>
        <w:t>(ESMO) clinical guidelines suggest PBC as first-line treatment.</w:t>
      </w:r>
      <w:r>
        <w:rPr>
          <w:rStyle w:val="FootnoteReference"/>
        </w:rPr>
        <w:footnoteReference w:id="9"/>
      </w:r>
      <w:r>
        <w:t xml:space="preserve"> The submission noted that the</w:t>
      </w:r>
      <w:r w:rsidR="00C950B5">
        <w:t xml:space="preserve"> ESMO </w:t>
      </w:r>
      <w:r>
        <w:t xml:space="preserve">guidelines were published prior to the PAPILLON trial results. </w:t>
      </w:r>
    </w:p>
    <w:p w14:paraId="07DAC877" w14:textId="37A07C72" w:rsidR="00B95641" w:rsidRDefault="00B95641" w:rsidP="00EF4C49">
      <w:pPr>
        <w:pStyle w:val="3-BodyText"/>
      </w:pPr>
      <w:r>
        <w:t xml:space="preserve">Amivantamab is a fully human, immunoglobulin G1 (IgG1) bispecific antibody with high affinity for both </w:t>
      </w:r>
      <w:r w:rsidR="008272D0" w:rsidRPr="008272D0">
        <w:rPr>
          <w:i/>
        </w:rPr>
        <w:t>EGFR</w:t>
      </w:r>
      <w:r>
        <w:t xml:space="preserve"> and mesenchymal-epidermal transition (MET) receptors. These characteristics </w:t>
      </w:r>
      <w:r w:rsidRPr="00655BCE">
        <w:t xml:space="preserve">bypass resistance to </w:t>
      </w:r>
      <w:r w:rsidR="003F16DD">
        <w:t>tyrosine kinase inhibitors (</w:t>
      </w:r>
      <w:r w:rsidRPr="00655BCE">
        <w:t>TKIs</w:t>
      </w:r>
      <w:r w:rsidR="003F16DD">
        <w:t>)</w:t>
      </w:r>
      <w:r w:rsidRPr="00655BCE">
        <w:t xml:space="preserve"> and ha</w:t>
      </w:r>
      <w:r>
        <w:t>ve</w:t>
      </w:r>
      <w:r w:rsidRPr="00655BCE">
        <w:t xml:space="preserve"> </w:t>
      </w:r>
      <w:r w:rsidRPr="00655BCE">
        <w:lastRenderedPageBreak/>
        <w:t>immune cell directing activity</w:t>
      </w:r>
      <w:r>
        <w:t xml:space="preserve"> conferring a potential treatment advantage over other </w:t>
      </w:r>
      <w:r w:rsidR="008272D0" w:rsidRPr="008272D0">
        <w:rPr>
          <w:i/>
        </w:rPr>
        <w:t>EGFR</w:t>
      </w:r>
      <w:r>
        <w:t xml:space="preserve"> therapies in those with co-mutations. </w:t>
      </w:r>
      <w:r w:rsidR="008272D0" w:rsidRPr="008272D0">
        <w:rPr>
          <w:i/>
        </w:rPr>
        <w:t>EGFR</w:t>
      </w:r>
      <w:r>
        <w:t xml:space="preserve"> ex20ins mutations have been found to be resistant to TKIs and have been shown to have limited treatment benefit with immunotherapies.</w:t>
      </w:r>
      <w:r>
        <w:rPr>
          <w:rStyle w:val="FootnoteReference"/>
        </w:rPr>
        <w:footnoteReference w:id="10"/>
      </w:r>
      <w:r>
        <w:rPr>
          <w:vertAlign w:val="superscript"/>
        </w:rPr>
        <w:t>,</w:t>
      </w:r>
      <w:r>
        <w:rPr>
          <w:rStyle w:val="FootnoteReference"/>
        </w:rPr>
        <w:footnoteReference w:id="11"/>
      </w:r>
    </w:p>
    <w:p w14:paraId="66F0B7E9" w14:textId="5F3ECB2C" w:rsidR="008A5C9E" w:rsidRPr="007D7D18" w:rsidRDefault="008A5C9E" w:rsidP="008A5C9E">
      <w:pPr>
        <w:spacing w:after="120"/>
        <w:ind w:left="720"/>
        <w:rPr>
          <w:i/>
          <w:iCs/>
        </w:rPr>
      </w:pPr>
      <w:r w:rsidRPr="007D7D18">
        <w:rPr>
          <w:i/>
          <w:iCs/>
        </w:rPr>
        <w:t>For more detail on PBAC’s view, see section 7 PBAC outcome.</w:t>
      </w:r>
    </w:p>
    <w:p w14:paraId="4AD84353" w14:textId="77777777" w:rsidR="00765141" w:rsidRPr="007D7D18" w:rsidRDefault="00765141" w:rsidP="00765141">
      <w:pPr>
        <w:pStyle w:val="2-SectionHeading"/>
      </w:pPr>
      <w:bookmarkStart w:id="35" w:name="_Toc174628133"/>
      <w:bookmarkStart w:id="36" w:name="_Toc177532578"/>
      <w:bookmarkStart w:id="37" w:name="_Toc177548276"/>
      <w:r w:rsidRPr="007D7D18">
        <w:t>Comparator</w:t>
      </w:r>
      <w:bookmarkEnd w:id="35"/>
      <w:bookmarkEnd w:id="36"/>
      <w:bookmarkEnd w:id="37"/>
    </w:p>
    <w:p w14:paraId="1DD82952" w14:textId="1D7DA0C9" w:rsidR="00765141" w:rsidRPr="007D7D18" w:rsidRDefault="00765141" w:rsidP="00EF4C49">
      <w:pPr>
        <w:pStyle w:val="3-BodyText"/>
      </w:pPr>
      <w:r w:rsidRPr="007D7D18">
        <w:t xml:space="preserve">The </w:t>
      </w:r>
      <w:r w:rsidR="00A6493D" w:rsidRPr="007D7D18">
        <w:t xml:space="preserve">proposed comparator </w:t>
      </w:r>
      <w:r w:rsidR="004A2D35" w:rsidRPr="007D7D18">
        <w:t>wa</w:t>
      </w:r>
      <w:r w:rsidRPr="007D7D18">
        <w:t xml:space="preserve">s PBC. The main </w:t>
      </w:r>
      <w:r w:rsidR="00275AFA" w:rsidRPr="007D7D18">
        <w:t xml:space="preserve">reasons </w:t>
      </w:r>
      <w:r w:rsidRPr="007D7D18">
        <w:t xml:space="preserve">provided </w:t>
      </w:r>
      <w:r w:rsidR="008103D1" w:rsidRPr="007D7D18">
        <w:t>by the submission</w:t>
      </w:r>
      <w:r w:rsidRPr="007D7D18">
        <w:t xml:space="preserve"> in support of this were that prior to </w:t>
      </w:r>
      <w:r w:rsidR="005C69FE" w:rsidRPr="007D7D18">
        <w:t xml:space="preserve">the availability of </w:t>
      </w:r>
      <w:r w:rsidRPr="007D7D18">
        <w:t xml:space="preserve">amivantamab, PBC </w:t>
      </w:r>
      <w:r w:rsidR="002F260C" w:rsidRPr="007D7D18">
        <w:t xml:space="preserve">was </w:t>
      </w:r>
      <w:r w:rsidRPr="007D7D18">
        <w:t xml:space="preserve">the recommended first-line treatment </w:t>
      </w:r>
      <w:r w:rsidR="00CB668E" w:rsidRPr="007D7D18">
        <w:t xml:space="preserve">in patients with </w:t>
      </w:r>
      <w:r w:rsidR="008272D0" w:rsidRPr="007D7D18">
        <w:rPr>
          <w:i/>
        </w:rPr>
        <w:t>EGFR</w:t>
      </w:r>
      <w:r w:rsidR="00144EC6" w:rsidRPr="007D7D18">
        <w:t xml:space="preserve"> ex20ins-positive NSCLC to whom</w:t>
      </w:r>
      <w:r w:rsidRPr="007D7D18">
        <w:t xml:space="preserve"> TKIs and immunotherapies confer limited treatment benefit. </w:t>
      </w:r>
    </w:p>
    <w:p w14:paraId="5ABF2DF5" w14:textId="0124AAA7" w:rsidR="004D38A2" w:rsidRPr="004D38A2" w:rsidRDefault="004D38A2" w:rsidP="004D38A2">
      <w:pPr>
        <w:spacing w:after="120"/>
        <w:ind w:left="720"/>
        <w:rPr>
          <w:i/>
          <w:iCs/>
        </w:rPr>
      </w:pPr>
      <w:r w:rsidRPr="007D7D18">
        <w:rPr>
          <w:i/>
          <w:iCs/>
        </w:rPr>
        <w:t>For more detail on PBAC’s view, see section 7 PBAC outcome.</w:t>
      </w:r>
    </w:p>
    <w:p w14:paraId="08B5E68A" w14:textId="77777777" w:rsidR="00765141" w:rsidRDefault="00765141" w:rsidP="00765141">
      <w:pPr>
        <w:pStyle w:val="2-SectionHeading"/>
      </w:pPr>
      <w:bookmarkStart w:id="38" w:name="_Toc174628134"/>
      <w:bookmarkStart w:id="39" w:name="_Toc177532579"/>
      <w:bookmarkStart w:id="40" w:name="_Toc177548277"/>
      <w:bookmarkStart w:id="41" w:name="_Toc22897640"/>
      <w:r w:rsidRPr="0098262F">
        <w:t>Consideration of the evidence</w:t>
      </w:r>
      <w:bookmarkEnd w:id="38"/>
      <w:bookmarkEnd w:id="39"/>
      <w:bookmarkEnd w:id="40"/>
    </w:p>
    <w:p w14:paraId="53545E07" w14:textId="0D49EE77" w:rsidR="007631DC" w:rsidRPr="0098262F" w:rsidRDefault="007631DC" w:rsidP="007631DC">
      <w:pPr>
        <w:pStyle w:val="4-SubsectionHeading"/>
      </w:pPr>
      <w:r>
        <w:t>Sponsor hearing</w:t>
      </w:r>
    </w:p>
    <w:p w14:paraId="6753689F" w14:textId="6C3169B5" w:rsidR="00D50532" w:rsidRPr="00F91542" w:rsidRDefault="00D50532" w:rsidP="00D50532">
      <w:pPr>
        <w:widowControl w:val="0"/>
        <w:numPr>
          <w:ilvl w:val="1"/>
          <w:numId w:val="5"/>
        </w:numPr>
        <w:spacing w:after="120"/>
        <w:ind w:left="720"/>
        <w:rPr>
          <w:rFonts w:cs="Calibri"/>
          <w:bCs/>
          <w:snapToGrid w:val="0"/>
        </w:rPr>
      </w:pPr>
      <w:r w:rsidRPr="00F91542">
        <w:rPr>
          <w:rFonts w:cs="Calibri"/>
          <w:bCs/>
          <w:snapToGrid w:val="0"/>
        </w:rPr>
        <w:t>There was no hearing for this item.</w:t>
      </w:r>
    </w:p>
    <w:p w14:paraId="123CE26C" w14:textId="55D730AB" w:rsidR="007631DC" w:rsidRPr="00843BAD" w:rsidRDefault="00AE6C88" w:rsidP="007631DC">
      <w:pPr>
        <w:pStyle w:val="4-SubsectionHeading"/>
      </w:pPr>
      <w:r w:rsidRPr="00843BAD">
        <w:t>Consumer comments</w:t>
      </w:r>
    </w:p>
    <w:p w14:paraId="427B5BAB" w14:textId="0921DC4F" w:rsidR="00AE481B" w:rsidRDefault="008817CE" w:rsidP="00EF4C49">
      <w:pPr>
        <w:pStyle w:val="3-BodyText"/>
      </w:pPr>
      <w:bookmarkStart w:id="42" w:name="_Hlk76382618"/>
      <w:r w:rsidRPr="00843BAD">
        <w:t>The PBAC noted and welcomed the input from individuals (</w:t>
      </w:r>
      <w:r w:rsidR="00CA6A83" w:rsidRPr="00843BAD">
        <w:t>1</w:t>
      </w:r>
      <w:r w:rsidR="0082209A">
        <w:t>4</w:t>
      </w:r>
      <w:r w:rsidRPr="00843BAD">
        <w:t>), health care professionals (</w:t>
      </w:r>
      <w:r w:rsidR="00CA6A83" w:rsidRPr="00843BAD">
        <w:t>2</w:t>
      </w:r>
      <w:r w:rsidRPr="00843BAD">
        <w:t>) and organisations (</w:t>
      </w:r>
      <w:r w:rsidR="00CA6A83" w:rsidRPr="00843BAD">
        <w:t>4</w:t>
      </w:r>
      <w:r w:rsidRPr="00843BAD">
        <w:t xml:space="preserve">) via the Consumer Comments facility on the PBS website. </w:t>
      </w:r>
    </w:p>
    <w:p w14:paraId="55D813D2" w14:textId="0C9A65E9" w:rsidR="0018795D" w:rsidRDefault="008817CE" w:rsidP="00EF4C49">
      <w:pPr>
        <w:pStyle w:val="3-BodyText"/>
        <w:rPr>
          <w:bCs/>
        </w:rPr>
      </w:pPr>
      <w:r w:rsidRPr="008817CE">
        <w:t xml:space="preserve">The PBAC noted the advice received from </w:t>
      </w:r>
      <w:r w:rsidR="00903B4E">
        <w:t xml:space="preserve">the </w:t>
      </w:r>
      <w:r w:rsidR="00050CE8">
        <w:t xml:space="preserve">Rare Cancers Australia, Lung Foundation Australia and the International Cancer Advocacy Network’s Exon 20 Group </w:t>
      </w:r>
      <w:r w:rsidR="0023048C">
        <w:rPr>
          <w:bCs/>
        </w:rPr>
        <w:t>suppo</w:t>
      </w:r>
      <w:r w:rsidR="0099470A">
        <w:rPr>
          <w:bCs/>
        </w:rPr>
        <w:t>rt</w:t>
      </w:r>
      <w:r w:rsidR="004B7A51">
        <w:rPr>
          <w:bCs/>
        </w:rPr>
        <w:t>ed</w:t>
      </w:r>
      <w:r w:rsidR="0099470A">
        <w:t xml:space="preserve"> the PBS listing</w:t>
      </w:r>
      <w:r w:rsidR="00A41282">
        <w:rPr>
          <w:bCs/>
        </w:rPr>
        <w:t xml:space="preserve"> of amivantamab for the treatment of </w:t>
      </w:r>
      <w:r w:rsidR="0008301B" w:rsidRPr="0008301B">
        <w:rPr>
          <w:bCs/>
        </w:rPr>
        <w:t>patients with EGFR ex20ins mutation positive locally advanced or metastatic NSCLC</w:t>
      </w:r>
      <w:r w:rsidR="0099470A">
        <w:rPr>
          <w:bCs/>
        </w:rPr>
        <w:t>.</w:t>
      </w:r>
    </w:p>
    <w:p w14:paraId="02C83546" w14:textId="24DDEFEA" w:rsidR="008216B6" w:rsidRDefault="0018795D" w:rsidP="00EF4C49">
      <w:pPr>
        <w:pStyle w:val="3-BodyText"/>
      </w:pPr>
      <w:r>
        <w:t>The organisations</w:t>
      </w:r>
      <w:r w:rsidR="00DB6C9E">
        <w:t xml:space="preserve"> noted that </w:t>
      </w:r>
      <w:r w:rsidR="00955D52">
        <w:t xml:space="preserve">patients with </w:t>
      </w:r>
      <w:r w:rsidR="00F04EA5" w:rsidRPr="005E660C">
        <w:t>EGFR ex20ins mutation positive NSCLC</w:t>
      </w:r>
      <w:r w:rsidR="007A31AA">
        <w:t xml:space="preserve"> </w:t>
      </w:r>
      <w:r w:rsidR="00C06AD1">
        <w:t xml:space="preserve">currently </w:t>
      </w:r>
      <w:r w:rsidR="00061484">
        <w:t>face</w:t>
      </w:r>
      <w:r w:rsidR="00C06AD1">
        <w:t xml:space="preserve"> </w:t>
      </w:r>
      <w:r w:rsidR="00133EC4">
        <w:t>particularly</w:t>
      </w:r>
      <w:r w:rsidR="00C06AD1">
        <w:t xml:space="preserve"> low survival rates and </w:t>
      </w:r>
      <w:r w:rsidR="00E36A16">
        <w:t xml:space="preserve">have </w:t>
      </w:r>
      <w:r w:rsidR="00C06AD1">
        <w:t>limited treatment options</w:t>
      </w:r>
      <w:r w:rsidR="00FF5DC0">
        <w:t xml:space="preserve">, creating a significant burden </w:t>
      </w:r>
      <w:r w:rsidR="0081132F">
        <w:t>for patients</w:t>
      </w:r>
      <w:r w:rsidR="00EA12B7">
        <w:t xml:space="preserve"> and </w:t>
      </w:r>
      <w:r w:rsidR="00333D20">
        <w:t xml:space="preserve">their </w:t>
      </w:r>
      <w:proofErr w:type="spellStart"/>
      <w:r w:rsidR="00EA12B7">
        <w:t>carers</w:t>
      </w:r>
      <w:proofErr w:type="spellEnd"/>
      <w:r w:rsidR="00333D20">
        <w:t xml:space="preserve"> and </w:t>
      </w:r>
      <w:r w:rsidR="00EA12B7">
        <w:t>relatives</w:t>
      </w:r>
      <w:r w:rsidR="00C06AD1">
        <w:t>.</w:t>
      </w:r>
      <w:r w:rsidR="00C6645E">
        <w:t xml:space="preserve"> </w:t>
      </w:r>
      <w:r w:rsidR="00A06F08" w:rsidRPr="005E660C">
        <w:t>The</w:t>
      </w:r>
      <w:r w:rsidR="00A06F08" w:rsidRPr="00332073">
        <w:t xml:space="preserve"> </w:t>
      </w:r>
      <w:r w:rsidR="00332073" w:rsidRPr="00332073">
        <w:t>organisations</w:t>
      </w:r>
      <w:r w:rsidR="00332073">
        <w:t xml:space="preserve"> </w:t>
      </w:r>
      <w:r w:rsidR="00681CA2">
        <w:t xml:space="preserve">noted that amivantamab </w:t>
      </w:r>
      <w:r w:rsidR="000E0A72">
        <w:t>was associated with increased PFS</w:t>
      </w:r>
      <w:r w:rsidR="00675F18">
        <w:t>, as shown in the PAPILLON trial</w:t>
      </w:r>
      <w:r w:rsidR="0080659D">
        <w:t xml:space="preserve">, </w:t>
      </w:r>
      <w:r w:rsidR="00E63C06">
        <w:t xml:space="preserve">and considered this to be </w:t>
      </w:r>
      <w:r w:rsidR="000839EB">
        <w:t xml:space="preserve">a </w:t>
      </w:r>
      <w:r w:rsidR="00E63C06">
        <w:t>clinically meaningful</w:t>
      </w:r>
      <w:r w:rsidR="000839EB">
        <w:t xml:space="preserve"> benefit for patients with </w:t>
      </w:r>
      <w:r w:rsidR="00C74D8F">
        <w:t xml:space="preserve">this </w:t>
      </w:r>
      <w:r w:rsidR="003010AD">
        <w:t>uncommon</w:t>
      </w:r>
      <w:r w:rsidR="0009346B">
        <w:t xml:space="preserve"> and </w:t>
      </w:r>
      <w:r w:rsidR="003010AD">
        <w:t xml:space="preserve">often </w:t>
      </w:r>
      <w:r w:rsidR="0009346B">
        <w:t>refractory</w:t>
      </w:r>
      <w:r w:rsidR="00C74D8F">
        <w:t xml:space="preserve"> form of NSCLC.</w:t>
      </w:r>
      <w:r w:rsidR="003A257C">
        <w:t xml:space="preserve"> The </w:t>
      </w:r>
      <w:r w:rsidR="00C55FA2">
        <w:t xml:space="preserve">organisations noted that amivantamab was </w:t>
      </w:r>
      <w:r w:rsidR="007028AA">
        <w:t>associated</w:t>
      </w:r>
      <w:r w:rsidR="00C55FA2">
        <w:t xml:space="preserve"> with adverse </w:t>
      </w:r>
      <w:r w:rsidR="004736F9">
        <w:t xml:space="preserve">side </w:t>
      </w:r>
      <w:r w:rsidR="00C55FA2">
        <w:t xml:space="preserve">effects, including </w:t>
      </w:r>
      <w:r w:rsidR="004A153A">
        <w:t xml:space="preserve">fatigue and </w:t>
      </w:r>
      <w:r w:rsidR="00C55FA2">
        <w:t>rash</w:t>
      </w:r>
      <w:r w:rsidR="004A153A">
        <w:t xml:space="preserve">, </w:t>
      </w:r>
      <w:r w:rsidR="007028AA">
        <w:t>however considered these to be manageable</w:t>
      </w:r>
      <w:r w:rsidR="00991FC3">
        <w:t xml:space="preserve"> with few patients discontinuing treatment</w:t>
      </w:r>
      <w:r w:rsidR="00597002">
        <w:t xml:space="preserve"> due to adverse events</w:t>
      </w:r>
      <w:r w:rsidR="007028AA" w:rsidRPr="005E660C">
        <w:t>.</w:t>
      </w:r>
      <w:r w:rsidR="007028AA">
        <w:t xml:space="preserve"> </w:t>
      </w:r>
      <w:r w:rsidR="00A3480A">
        <w:t>The organisations</w:t>
      </w:r>
      <w:r w:rsidR="00A3480A" w:rsidRPr="00DF288B">
        <w:t xml:space="preserve"> </w:t>
      </w:r>
      <w:r w:rsidR="0035530E">
        <w:t>also</w:t>
      </w:r>
      <w:r w:rsidR="00A3480A">
        <w:t xml:space="preserve"> highlighted </w:t>
      </w:r>
      <w:r w:rsidR="008216B6">
        <w:t xml:space="preserve">the </w:t>
      </w:r>
      <w:r w:rsidR="00FE0078">
        <w:t xml:space="preserve">substantial </w:t>
      </w:r>
      <w:r w:rsidR="008216B6">
        <w:t>financial pressure</w:t>
      </w:r>
      <w:r w:rsidR="00F00403">
        <w:t xml:space="preserve">s experienced by </w:t>
      </w:r>
      <w:r w:rsidR="0080742E">
        <w:t>patients with NSCLC</w:t>
      </w:r>
      <w:r w:rsidR="0035530E">
        <w:t xml:space="preserve">, </w:t>
      </w:r>
      <w:r w:rsidR="003C3845">
        <w:t>pointing out that patients often face</w:t>
      </w:r>
      <w:r w:rsidR="001D4F45">
        <w:t xml:space="preserve"> reduced income</w:t>
      </w:r>
      <w:r w:rsidR="00403F87">
        <w:t xml:space="preserve"> due to an inability to work, coupled with </w:t>
      </w:r>
      <w:r w:rsidR="00403F87" w:rsidRPr="00C6645E">
        <w:t>th</w:t>
      </w:r>
      <w:r w:rsidR="00DE5AA1">
        <w:t>e</w:t>
      </w:r>
      <w:r w:rsidR="00403F87">
        <w:t xml:space="preserve"> cost </w:t>
      </w:r>
      <w:r w:rsidR="00403F87">
        <w:lastRenderedPageBreak/>
        <w:t>of t</w:t>
      </w:r>
      <w:r w:rsidR="00175D4F">
        <w:t>reatment.</w:t>
      </w:r>
      <w:r w:rsidR="00403F87">
        <w:t xml:space="preserve"> </w:t>
      </w:r>
      <w:r w:rsidR="00DD5673">
        <w:t xml:space="preserve">The </w:t>
      </w:r>
      <w:r w:rsidR="004C4D5F">
        <w:t>organisations</w:t>
      </w:r>
      <w:r w:rsidR="00DD5673">
        <w:t xml:space="preserve"> considered the</w:t>
      </w:r>
      <w:r w:rsidR="00F77EFF">
        <w:t xml:space="preserve"> PBS</w:t>
      </w:r>
      <w:r w:rsidR="00DD5673">
        <w:t xml:space="preserve"> listing of </w:t>
      </w:r>
      <w:r w:rsidR="004C4D5F">
        <w:t>amivantamab</w:t>
      </w:r>
      <w:r w:rsidR="00DD5673">
        <w:t xml:space="preserve"> </w:t>
      </w:r>
      <w:r w:rsidR="00061A47">
        <w:t xml:space="preserve">would reduce the financial </w:t>
      </w:r>
      <w:r w:rsidR="00F77EFF">
        <w:t>pressures experienced by</w:t>
      </w:r>
      <w:r w:rsidR="004C4D5F">
        <w:t xml:space="preserve"> patients</w:t>
      </w:r>
      <w:r w:rsidR="00F77EFF">
        <w:t xml:space="preserve">. </w:t>
      </w:r>
    </w:p>
    <w:bookmarkEnd w:id="42"/>
    <w:p w14:paraId="00EDF029" w14:textId="016F83C0" w:rsidR="008817CE" w:rsidRPr="008817CE" w:rsidRDefault="008817CE" w:rsidP="00EF4C49">
      <w:pPr>
        <w:pStyle w:val="3-BodyText"/>
        <w:rPr>
          <w:bCs/>
        </w:rPr>
      </w:pPr>
      <w:r w:rsidRPr="008817CE">
        <w:t xml:space="preserve">The Medical Oncology Group of Australia (MOGA) also expressed its strong support for the </w:t>
      </w:r>
      <w:r w:rsidR="00C82D40">
        <w:t>amivantamab</w:t>
      </w:r>
      <w:r w:rsidR="00C82D40" w:rsidRPr="008817CE">
        <w:t xml:space="preserve"> </w:t>
      </w:r>
      <w:r w:rsidRPr="008817CE">
        <w:t xml:space="preserve">submission, categorising it as one of the therapies of “highest priority for PBS listing” </w:t>
      </w:r>
      <w:proofErr w:type="gramStart"/>
      <w:r w:rsidRPr="008817CE">
        <w:t>on the basis of</w:t>
      </w:r>
      <w:proofErr w:type="gramEnd"/>
      <w:r w:rsidRPr="008817CE">
        <w:t xml:space="preserve"> the </w:t>
      </w:r>
      <w:r w:rsidR="00C82D40">
        <w:t>PAPILLON</w:t>
      </w:r>
      <w:r w:rsidRPr="008817CE">
        <w:t xml:space="preserve"> trial. The PBAC noted that the MOGA presented a European Society for Medical Oncology Magnitude of Clinical Benefit Scale (ESMO-MCBS) for </w:t>
      </w:r>
      <w:r w:rsidR="00EB0333">
        <w:t>amivantamab in combination with chemotherapy</w:t>
      </w:r>
      <w:r w:rsidRPr="008817CE">
        <w:t xml:space="preserve">, which was limited to </w:t>
      </w:r>
      <w:r w:rsidR="00EB0333">
        <w:t>3</w:t>
      </w:r>
      <w:r w:rsidRPr="008817CE">
        <w:t xml:space="preserve"> (out of a maximum of 5, where 5 and 4 represent the grades with substantial improvement)</w:t>
      </w:r>
      <w:r w:rsidR="00EC35C5">
        <w:t>,</w:t>
      </w:r>
      <w:r w:rsidR="00EC35C5" w:rsidRPr="00EC35C5">
        <w:rPr>
          <w:rStyle w:val="FootnoteReference"/>
          <w:bCs/>
        </w:rPr>
        <w:t xml:space="preserve"> </w:t>
      </w:r>
      <w:r w:rsidR="00EC35C5">
        <w:rPr>
          <w:rStyle w:val="FootnoteReference"/>
          <w:bCs/>
        </w:rPr>
        <w:footnoteReference w:id="12"/>
      </w:r>
      <w:r w:rsidRPr="008817CE">
        <w:t xml:space="preserve"> based on a comparison with </w:t>
      </w:r>
      <w:r w:rsidR="00413FD2">
        <w:t>PBC</w:t>
      </w:r>
      <w:r w:rsidRPr="008817CE">
        <w:t>.</w:t>
      </w:r>
    </w:p>
    <w:p w14:paraId="66CD042F" w14:textId="092CB391" w:rsidR="00424F62" w:rsidRDefault="00CA26FE" w:rsidP="00EF4C49">
      <w:pPr>
        <w:pStyle w:val="3-BodyText"/>
      </w:pPr>
      <w:r w:rsidRPr="00843BAD">
        <w:t xml:space="preserve">The </w:t>
      </w:r>
      <w:r w:rsidR="00607D44">
        <w:t xml:space="preserve">PBAC noted </w:t>
      </w:r>
      <w:r w:rsidRPr="00843BAD">
        <w:t xml:space="preserve">comments from health care professionals </w:t>
      </w:r>
      <w:r w:rsidR="00344F92">
        <w:t>supporting the PBS listing of amivantamab</w:t>
      </w:r>
      <w:r w:rsidR="00810D8A">
        <w:t xml:space="preserve"> in </w:t>
      </w:r>
      <w:r w:rsidR="005B3FD4">
        <w:t>both</w:t>
      </w:r>
      <w:r w:rsidR="00810D8A">
        <w:t xml:space="preserve"> the first- and second-line settings</w:t>
      </w:r>
      <w:r w:rsidR="00344F92">
        <w:t xml:space="preserve">. </w:t>
      </w:r>
      <w:r w:rsidR="00307150">
        <w:t xml:space="preserve">The </w:t>
      </w:r>
      <w:r w:rsidR="006D032D">
        <w:t xml:space="preserve">health care professionals </w:t>
      </w:r>
      <w:r w:rsidR="00E81089">
        <w:t>considered</w:t>
      </w:r>
      <w:r w:rsidR="006D032D">
        <w:t xml:space="preserve"> </w:t>
      </w:r>
      <w:r w:rsidR="00FC3A11">
        <w:t>that although</w:t>
      </w:r>
      <w:r w:rsidR="006D032D">
        <w:t xml:space="preserve"> the OS data</w:t>
      </w:r>
      <w:r w:rsidR="00E02EC9">
        <w:t xml:space="preserve"> remains immature</w:t>
      </w:r>
      <w:r w:rsidR="001947D7">
        <w:t>,</w:t>
      </w:r>
      <w:r w:rsidR="00B04688" w:rsidRPr="00C6645E">
        <w:t xml:space="preserve"> amivantamab was associated with </w:t>
      </w:r>
      <w:r w:rsidR="00A1344C">
        <w:t>improved</w:t>
      </w:r>
      <w:r w:rsidR="00B04688" w:rsidRPr="00C6645E">
        <w:t xml:space="preserve"> PFS</w:t>
      </w:r>
      <w:r w:rsidR="00B524B7">
        <w:t xml:space="preserve"> compared with PBC</w:t>
      </w:r>
      <w:r w:rsidR="005A75A3" w:rsidRPr="005A75A3">
        <w:t xml:space="preserve"> </w:t>
      </w:r>
      <w:r w:rsidR="00B04688" w:rsidRPr="00C6645E">
        <w:t>in the PAPILLON trial</w:t>
      </w:r>
      <w:r w:rsidR="00B46672">
        <w:t xml:space="preserve"> </w:t>
      </w:r>
      <w:r w:rsidR="00904501">
        <w:t xml:space="preserve">and considered that this improvement </w:t>
      </w:r>
      <w:r w:rsidR="00AE3C58">
        <w:t>was likely to</w:t>
      </w:r>
      <w:r w:rsidR="006502C9">
        <w:t xml:space="preserve"> extend to </w:t>
      </w:r>
      <w:r w:rsidR="00904501">
        <w:t>OS benefits</w:t>
      </w:r>
      <w:r w:rsidR="00D70260">
        <w:t>.</w:t>
      </w:r>
      <w:r w:rsidR="009C0D38">
        <w:t xml:space="preserve"> It was </w:t>
      </w:r>
      <w:r w:rsidR="001947D7">
        <w:t xml:space="preserve">also </w:t>
      </w:r>
      <w:r w:rsidR="009C0D38">
        <w:t xml:space="preserve">noted that </w:t>
      </w:r>
      <w:r w:rsidR="00EA0954">
        <w:t>amivantamab</w:t>
      </w:r>
      <w:r w:rsidR="009C0D38">
        <w:t xml:space="preserve"> was associated with </w:t>
      </w:r>
      <w:r w:rsidR="00EA0954">
        <w:t xml:space="preserve">a </w:t>
      </w:r>
      <w:r w:rsidR="002235C2">
        <w:t>high</w:t>
      </w:r>
      <w:r>
        <w:t xml:space="preserve"> risk</w:t>
      </w:r>
      <w:r w:rsidRPr="00843BAD">
        <w:t xml:space="preserve"> of infusion reactions and </w:t>
      </w:r>
      <w:r>
        <w:t>venous thrombosis requiring prophylactic anticoagulation</w:t>
      </w:r>
      <w:r w:rsidRPr="00843BAD">
        <w:t xml:space="preserve">. </w:t>
      </w:r>
    </w:p>
    <w:p w14:paraId="7789FCF8" w14:textId="42E9A6D4" w:rsidR="001A5F89" w:rsidRDefault="00CA26FE" w:rsidP="00EF4C49">
      <w:pPr>
        <w:pStyle w:val="3-BodyText"/>
      </w:pPr>
      <w:r w:rsidRPr="00843BAD">
        <w:t xml:space="preserve">The </w:t>
      </w:r>
      <w:r w:rsidR="002076F0">
        <w:t>PBAC noted</w:t>
      </w:r>
      <w:r w:rsidRPr="00843BAD">
        <w:t xml:space="preserve"> comments from </w:t>
      </w:r>
      <w:r w:rsidR="00E359DA">
        <w:t>individuals</w:t>
      </w:r>
      <w:r w:rsidR="00E359DA" w:rsidRPr="00843BAD">
        <w:t xml:space="preserve"> </w:t>
      </w:r>
      <w:r w:rsidR="00BE75B2">
        <w:t>wanting</w:t>
      </w:r>
      <w:r w:rsidRPr="00843BAD">
        <w:t xml:space="preserve"> access to amivantamab described </w:t>
      </w:r>
      <w:r w:rsidR="001744C9">
        <w:t xml:space="preserve">experiencing </w:t>
      </w:r>
      <w:r w:rsidR="004D0395">
        <w:t xml:space="preserve">several </w:t>
      </w:r>
      <w:r w:rsidR="001744C9">
        <w:t xml:space="preserve">side effects from current treatment options </w:t>
      </w:r>
      <w:r w:rsidR="00AF0C02">
        <w:t xml:space="preserve">that </w:t>
      </w:r>
      <w:r w:rsidR="002066FA">
        <w:t xml:space="preserve">resulted in </w:t>
      </w:r>
      <w:r w:rsidR="00B121AD">
        <w:t>hospitalisation</w:t>
      </w:r>
      <w:r w:rsidR="002066FA">
        <w:t xml:space="preserve">. </w:t>
      </w:r>
      <w:r w:rsidR="007738F3">
        <w:t xml:space="preserve">In addition to the physical toll, individuals described </w:t>
      </w:r>
      <w:r w:rsidR="00CC557D">
        <w:t>the</w:t>
      </w:r>
      <w:r w:rsidR="003A099C">
        <w:t xml:space="preserve"> </w:t>
      </w:r>
      <w:r w:rsidR="00F30022">
        <w:t>significant</w:t>
      </w:r>
      <w:r w:rsidR="003A099C">
        <w:t xml:space="preserve"> </w:t>
      </w:r>
      <w:r w:rsidR="001326A1">
        <w:t>emotional</w:t>
      </w:r>
      <w:r w:rsidR="00E03147">
        <w:t xml:space="preserve"> and</w:t>
      </w:r>
      <w:r w:rsidR="003A099C">
        <w:t xml:space="preserve"> </w:t>
      </w:r>
      <w:r w:rsidR="001326A1">
        <w:t>psychological</w:t>
      </w:r>
      <w:r w:rsidR="003A099C">
        <w:t xml:space="preserve"> </w:t>
      </w:r>
      <w:r w:rsidR="00BF0F4F">
        <w:t>cha</w:t>
      </w:r>
      <w:r w:rsidR="00CC557D">
        <w:t>llenges</w:t>
      </w:r>
      <w:r w:rsidR="00753AC9">
        <w:t xml:space="preserve"> </w:t>
      </w:r>
      <w:r w:rsidR="00FD1231">
        <w:t xml:space="preserve">associated with </w:t>
      </w:r>
      <w:r w:rsidR="007D0E62">
        <w:t xml:space="preserve">having a form of </w:t>
      </w:r>
      <w:r w:rsidR="008A7390">
        <w:t xml:space="preserve">NSCLC </w:t>
      </w:r>
      <w:r w:rsidR="007D0E62">
        <w:t>with</w:t>
      </w:r>
      <w:r w:rsidR="00753AC9">
        <w:t xml:space="preserve"> limited treatment options</w:t>
      </w:r>
      <w:r w:rsidR="00F30022">
        <w:t>.</w:t>
      </w:r>
      <w:r w:rsidR="003823D2">
        <w:t xml:space="preserve"> </w:t>
      </w:r>
      <w:r w:rsidR="00BA51E6">
        <w:t xml:space="preserve">The individuals considered </w:t>
      </w:r>
      <w:r w:rsidR="000550B8">
        <w:t>amivantamab</w:t>
      </w:r>
      <w:r w:rsidR="00BA51E6">
        <w:t xml:space="preserve"> would likely </w:t>
      </w:r>
      <w:r w:rsidR="00D137A0">
        <w:t xml:space="preserve">extend and </w:t>
      </w:r>
      <w:r w:rsidR="00BA51E6">
        <w:t xml:space="preserve">improve </w:t>
      </w:r>
      <w:r w:rsidR="00752125">
        <w:t>their</w:t>
      </w:r>
      <w:r w:rsidR="0094443C">
        <w:t xml:space="preserve"> </w:t>
      </w:r>
      <w:r w:rsidR="00926030">
        <w:t>quality of life</w:t>
      </w:r>
      <w:r w:rsidR="00D137A0">
        <w:t>.</w:t>
      </w:r>
      <w:r w:rsidR="0094443C">
        <w:t xml:space="preserve"> </w:t>
      </w:r>
      <w:r w:rsidR="00AB5B3D">
        <w:t>However, the i</w:t>
      </w:r>
      <w:r w:rsidR="003823D2">
        <w:t xml:space="preserve">ndividuals considered the current cost of </w:t>
      </w:r>
      <w:r w:rsidR="00550DBB">
        <w:t xml:space="preserve">amivantamab </w:t>
      </w:r>
      <w:r w:rsidR="00B55F31">
        <w:t>was a significant barrier to treatment.</w:t>
      </w:r>
      <w:r w:rsidR="00020DA0">
        <w:t xml:space="preserve"> </w:t>
      </w:r>
    </w:p>
    <w:p w14:paraId="442F5DDC" w14:textId="7F25A4B7" w:rsidR="00CA26FE" w:rsidRPr="00CA26FE" w:rsidRDefault="00CA26FE" w:rsidP="00EF4C49">
      <w:pPr>
        <w:pStyle w:val="3-BodyText"/>
      </w:pPr>
      <w:r w:rsidRPr="00B95E99">
        <w:t xml:space="preserve">The comments from carers </w:t>
      </w:r>
      <w:r w:rsidR="00F71054">
        <w:t xml:space="preserve">noted the side effects experienced </w:t>
      </w:r>
      <w:r w:rsidR="0065080B">
        <w:t xml:space="preserve">included rashes and diarrhoea which were controlled </w:t>
      </w:r>
      <w:r w:rsidR="005903D3">
        <w:t xml:space="preserve">effectively through </w:t>
      </w:r>
      <w:r w:rsidR="000A77C8">
        <w:t>medication.</w:t>
      </w:r>
      <w:r w:rsidR="00A247CB">
        <w:t xml:space="preserve"> </w:t>
      </w:r>
      <w:r w:rsidRPr="00843BAD">
        <w:t xml:space="preserve">The comments from </w:t>
      </w:r>
      <w:r w:rsidR="00F45A25">
        <w:t>other</w:t>
      </w:r>
      <w:r w:rsidRPr="00F45A25">
        <w:t xml:space="preserve"> </w:t>
      </w:r>
      <w:r w:rsidRPr="00843BAD">
        <w:t xml:space="preserve">interested individuals noted that many people are diagnosed </w:t>
      </w:r>
      <w:r w:rsidR="00A1279E">
        <w:t>between the ages of 40 and 60</w:t>
      </w:r>
      <w:r w:rsidR="009F2B80">
        <w:t xml:space="preserve"> </w:t>
      </w:r>
      <w:r w:rsidR="006441D3">
        <w:t xml:space="preserve">years </w:t>
      </w:r>
      <w:r w:rsidR="009F2B80">
        <w:t>while raising children</w:t>
      </w:r>
      <w:r w:rsidR="001E2D55">
        <w:t xml:space="preserve"> </w:t>
      </w:r>
      <w:r w:rsidR="00A1279E">
        <w:t>and</w:t>
      </w:r>
      <w:r w:rsidRPr="00F45A25">
        <w:t xml:space="preserve"> </w:t>
      </w:r>
      <w:r w:rsidR="006C6EA6">
        <w:t>considered that</w:t>
      </w:r>
      <w:r w:rsidRPr="00F45A25">
        <w:t xml:space="preserve"> </w:t>
      </w:r>
      <w:r w:rsidRPr="00843BAD">
        <w:t xml:space="preserve">amivantamab </w:t>
      </w:r>
      <w:r w:rsidR="00A143DB">
        <w:t>had the potential to extend</w:t>
      </w:r>
      <w:r w:rsidRPr="00F45A25">
        <w:t xml:space="preserve"> </w:t>
      </w:r>
      <w:r w:rsidR="00B31D59">
        <w:t>the duration and</w:t>
      </w:r>
      <w:r w:rsidRPr="00F45A25">
        <w:t xml:space="preserve"> </w:t>
      </w:r>
      <w:r w:rsidRPr="00843BAD">
        <w:t>quality of life</w:t>
      </w:r>
      <w:r w:rsidR="0010340A">
        <w:t xml:space="preserve"> </w:t>
      </w:r>
      <w:r w:rsidR="009061E1">
        <w:t>of</w:t>
      </w:r>
      <w:r w:rsidR="0010340A">
        <w:t xml:space="preserve"> patients, significantly </w:t>
      </w:r>
      <w:r w:rsidR="00883306">
        <w:t>benefiting</w:t>
      </w:r>
      <w:r w:rsidR="0010340A">
        <w:t xml:space="preserve"> both t</w:t>
      </w:r>
      <w:r w:rsidR="00883306">
        <w:t>hem and their families</w:t>
      </w:r>
      <w:r w:rsidRPr="00F45A25">
        <w:t xml:space="preserve">. </w:t>
      </w:r>
    </w:p>
    <w:p w14:paraId="4559F501" w14:textId="71CDF35E" w:rsidR="00765141" w:rsidRPr="0098262F" w:rsidRDefault="00765141" w:rsidP="00765141">
      <w:pPr>
        <w:pStyle w:val="4-SubsectionHeading"/>
      </w:pPr>
      <w:bookmarkStart w:id="43" w:name="_Toc174628135"/>
      <w:bookmarkStart w:id="44" w:name="_Toc177532580"/>
      <w:bookmarkStart w:id="45" w:name="_Toc177548278"/>
      <w:r w:rsidRPr="0098262F">
        <w:t>Clinical trial</w:t>
      </w:r>
      <w:bookmarkEnd w:id="41"/>
      <w:bookmarkEnd w:id="43"/>
      <w:bookmarkEnd w:id="44"/>
      <w:bookmarkEnd w:id="45"/>
    </w:p>
    <w:p w14:paraId="2718FC09" w14:textId="388625B7" w:rsidR="00765141" w:rsidRDefault="00765141" w:rsidP="00EF4C49">
      <w:pPr>
        <w:pStyle w:val="3-BodyText"/>
      </w:pPr>
      <w:r>
        <w:t xml:space="preserve">The submission was based on one ongoing head-to-head </w:t>
      </w:r>
      <w:r w:rsidR="00872F43">
        <w:t xml:space="preserve">randomised </w:t>
      </w:r>
      <w:r>
        <w:t>trial comparing ACP to CP (</w:t>
      </w:r>
      <w:r w:rsidR="00FD6917">
        <w:t>N</w:t>
      </w:r>
      <w:r>
        <w:t xml:space="preserve">=308), the PAPILLON trial. </w:t>
      </w:r>
    </w:p>
    <w:p w14:paraId="0489A27D" w14:textId="72F4FB1F" w:rsidR="00765141" w:rsidRPr="0098262F" w:rsidRDefault="00765141" w:rsidP="00EF4C49">
      <w:pPr>
        <w:pStyle w:val="3-BodyText"/>
      </w:pPr>
      <w:r>
        <w:t>D</w:t>
      </w:r>
      <w:r w:rsidRPr="0098262F">
        <w:t xml:space="preserve">etails of the </w:t>
      </w:r>
      <w:r>
        <w:t>trial</w:t>
      </w:r>
      <w:r w:rsidRPr="0098262F">
        <w:t xml:space="preserve"> presented in the submission are provided in </w:t>
      </w:r>
      <w:r w:rsidRPr="0098262F">
        <w:fldChar w:fldCharType="begin"/>
      </w:r>
      <w:r w:rsidRPr="0098262F">
        <w:instrText xml:space="preserve"> REF _Ref104803956 \h </w:instrText>
      </w:r>
      <w:r w:rsidRPr="0098262F">
        <w:fldChar w:fldCharType="separate"/>
      </w:r>
      <w:r w:rsidR="00372107" w:rsidRPr="0098262F">
        <w:t xml:space="preserve">Table </w:t>
      </w:r>
      <w:r w:rsidR="00372107">
        <w:rPr>
          <w:noProof/>
        </w:rPr>
        <w:t>2</w:t>
      </w:r>
      <w:r w:rsidRPr="0098262F">
        <w:fldChar w:fldCharType="end"/>
      </w:r>
      <w:r w:rsidRPr="0098262F">
        <w:t>.</w:t>
      </w:r>
    </w:p>
    <w:p w14:paraId="2F2B583F" w14:textId="15B3061A" w:rsidR="00765141" w:rsidRPr="0098262F" w:rsidRDefault="00765141" w:rsidP="00765141">
      <w:pPr>
        <w:pStyle w:val="TableFigureHeading"/>
        <w:rPr>
          <w:rStyle w:val="CommentReference"/>
          <w:b/>
          <w:szCs w:val="24"/>
        </w:rPr>
      </w:pPr>
      <w:bookmarkStart w:id="46" w:name="_Ref104803956"/>
      <w:r w:rsidRPr="0098262F">
        <w:lastRenderedPageBreak/>
        <w:t xml:space="preserve">Table </w:t>
      </w:r>
      <w:r w:rsidR="002C794C">
        <w:fldChar w:fldCharType="begin"/>
      </w:r>
      <w:r w:rsidR="002C794C">
        <w:instrText xml:space="preserve"> SEQ Table \* ARABIC </w:instrText>
      </w:r>
      <w:r w:rsidR="002C794C">
        <w:fldChar w:fldCharType="separate"/>
      </w:r>
      <w:r w:rsidR="00372107">
        <w:rPr>
          <w:noProof/>
        </w:rPr>
        <w:t>2</w:t>
      </w:r>
      <w:r w:rsidR="002C794C">
        <w:rPr>
          <w:noProof/>
        </w:rPr>
        <w:fldChar w:fldCharType="end"/>
      </w:r>
      <w:bookmarkEnd w:id="46"/>
      <w:r w:rsidRPr="0098262F">
        <w:t>:</w:t>
      </w:r>
      <w:r w:rsidRPr="0098262F">
        <w:rPr>
          <w:rStyle w:val="CommentReference"/>
          <w:b/>
          <w:szCs w:val="24"/>
        </w:rPr>
        <w:t xml:space="preserve"> </w:t>
      </w:r>
      <w:r>
        <w:rPr>
          <w:rStyle w:val="CommentReference"/>
          <w:b/>
          <w:szCs w:val="24"/>
        </w:rPr>
        <w:t>T</w:t>
      </w:r>
      <w:r w:rsidRPr="0098262F">
        <w:rPr>
          <w:rStyle w:val="CommentReference"/>
          <w:b/>
          <w:szCs w:val="24"/>
        </w:rPr>
        <w: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 and associated reports presented in the submission"/>
      </w:tblPr>
      <w:tblGrid>
        <w:gridCol w:w="1434"/>
        <w:gridCol w:w="5055"/>
        <w:gridCol w:w="2528"/>
      </w:tblGrid>
      <w:tr w:rsidR="00765141" w:rsidRPr="0098262F" w14:paraId="31AA9BBE" w14:textId="77777777">
        <w:trPr>
          <w:cantSplit/>
          <w:tblHeader/>
        </w:trPr>
        <w:tc>
          <w:tcPr>
            <w:tcW w:w="795" w:type="pct"/>
            <w:vAlign w:val="center"/>
          </w:tcPr>
          <w:p w14:paraId="2CE543A0" w14:textId="77777777" w:rsidR="00765141" w:rsidRPr="0098262F" w:rsidRDefault="00765141" w:rsidP="00265DDC">
            <w:pPr>
              <w:pStyle w:val="In-tableHeading"/>
            </w:pPr>
            <w:r w:rsidRPr="0098262F">
              <w:t>Trial ID</w:t>
            </w:r>
          </w:p>
        </w:tc>
        <w:tc>
          <w:tcPr>
            <w:tcW w:w="2803" w:type="pct"/>
            <w:vAlign w:val="center"/>
          </w:tcPr>
          <w:p w14:paraId="726029B0" w14:textId="77777777" w:rsidR="00765141" w:rsidRPr="0098262F" w:rsidRDefault="00765141" w:rsidP="00265DDC">
            <w:pPr>
              <w:pStyle w:val="In-tableHeading"/>
            </w:pPr>
            <w:r w:rsidRPr="0098262F">
              <w:t>Protocol title/ Publication title</w:t>
            </w:r>
          </w:p>
        </w:tc>
        <w:tc>
          <w:tcPr>
            <w:tcW w:w="1402" w:type="pct"/>
            <w:vAlign w:val="center"/>
          </w:tcPr>
          <w:p w14:paraId="6E2C3999" w14:textId="77777777" w:rsidR="00765141" w:rsidRPr="0098262F" w:rsidRDefault="00765141" w:rsidP="00265DDC">
            <w:pPr>
              <w:pStyle w:val="In-tableHeading"/>
            </w:pPr>
            <w:r w:rsidRPr="0098262F">
              <w:t>Publication citation</w:t>
            </w:r>
          </w:p>
        </w:tc>
      </w:tr>
      <w:tr w:rsidR="00765141" w:rsidRPr="0098262F" w14:paraId="46928B66" w14:textId="77777777" w:rsidTr="009250E2">
        <w:trPr>
          <w:cantSplit/>
        </w:trPr>
        <w:tc>
          <w:tcPr>
            <w:tcW w:w="795" w:type="pct"/>
            <w:vMerge w:val="restart"/>
            <w:vAlign w:val="center"/>
          </w:tcPr>
          <w:p w14:paraId="792596EB" w14:textId="77777777" w:rsidR="00765141" w:rsidRPr="006947C9" w:rsidRDefault="00765141" w:rsidP="00616073">
            <w:pPr>
              <w:pStyle w:val="TableText0"/>
              <w:jc w:val="center"/>
            </w:pPr>
            <w:r w:rsidRPr="006947C9">
              <w:t>PAPILLON</w:t>
            </w:r>
          </w:p>
          <w:p w14:paraId="321BBFD7" w14:textId="77777777" w:rsidR="00765141" w:rsidRPr="0098262F" w:rsidRDefault="00765141">
            <w:pPr>
              <w:pStyle w:val="TableText0"/>
              <w:jc w:val="center"/>
              <w:rPr>
                <w:szCs w:val="20"/>
              </w:rPr>
            </w:pPr>
            <w:r w:rsidRPr="006947C9">
              <w:t>NCT04538664</w:t>
            </w:r>
          </w:p>
        </w:tc>
        <w:tc>
          <w:tcPr>
            <w:tcW w:w="2803" w:type="pct"/>
            <w:tcBorders>
              <w:bottom w:val="nil"/>
            </w:tcBorders>
            <w:vAlign w:val="center"/>
          </w:tcPr>
          <w:p w14:paraId="37F9BDF0" w14:textId="485574BE" w:rsidR="00765141" w:rsidRDefault="00765141">
            <w:pPr>
              <w:pStyle w:val="TableText0"/>
            </w:pPr>
            <w:r w:rsidRPr="006947C9">
              <w:t xml:space="preserve">A Randomized, Open-label Phase 3 Study of Combination Amivantamab and Carboplatin-Pemetrexed Therapy, Compared with Carboplatin-Pemetrexed, in Patients with </w:t>
            </w:r>
            <w:r w:rsidR="008272D0" w:rsidRPr="008272D0">
              <w:rPr>
                <w:i/>
              </w:rPr>
              <w:t>EGFR</w:t>
            </w:r>
            <w:r w:rsidRPr="006947C9">
              <w:t xml:space="preserve"> Exon 20ins Mutated Locally Advanced or Metastatic Non-Small Cell Lung Cancer - PAPILLON.</w:t>
            </w:r>
          </w:p>
          <w:p w14:paraId="6D9B685B" w14:textId="77777777" w:rsidR="00765141" w:rsidRPr="0098262F" w:rsidRDefault="00765141">
            <w:pPr>
              <w:pStyle w:val="TableText0"/>
            </w:pPr>
          </w:p>
        </w:tc>
        <w:tc>
          <w:tcPr>
            <w:tcW w:w="1402" w:type="pct"/>
            <w:tcBorders>
              <w:bottom w:val="nil"/>
            </w:tcBorders>
          </w:tcPr>
          <w:p w14:paraId="7DFF4F4F" w14:textId="77777777" w:rsidR="00765141" w:rsidRPr="0098262F" w:rsidRDefault="00765141">
            <w:pPr>
              <w:pStyle w:val="TableText0"/>
              <w:rPr>
                <w:rFonts w:ascii="Times" w:hAnsi="Times"/>
              </w:rPr>
            </w:pPr>
            <w:r w:rsidRPr="006947C9">
              <w:t>Clinical Study Report (Primary Analysis) September 2023</w:t>
            </w:r>
          </w:p>
        </w:tc>
      </w:tr>
      <w:tr w:rsidR="00765141" w:rsidRPr="0098262F" w14:paraId="13B5B8B1" w14:textId="77777777" w:rsidTr="009250E2">
        <w:trPr>
          <w:cantSplit/>
        </w:trPr>
        <w:tc>
          <w:tcPr>
            <w:tcW w:w="795" w:type="pct"/>
            <w:vMerge/>
            <w:vAlign w:val="center"/>
          </w:tcPr>
          <w:p w14:paraId="7EFAB213" w14:textId="77777777" w:rsidR="00765141" w:rsidRPr="0098262F" w:rsidRDefault="00765141">
            <w:pPr>
              <w:pStyle w:val="TableText0"/>
              <w:jc w:val="center"/>
            </w:pPr>
          </w:p>
        </w:tc>
        <w:tc>
          <w:tcPr>
            <w:tcW w:w="2803" w:type="pct"/>
            <w:tcBorders>
              <w:top w:val="nil"/>
              <w:bottom w:val="nil"/>
            </w:tcBorders>
            <w:vAlign w:val="center"/>
          </w:tcPr>
          <w:p w14:paraId="612D84C3" w14:textId="0B40B521" w:rsidR="00765141" w:rsidRDefault="00765141">
            <w:pPr>
              <w:pStyle w:val="TableText0"/>
            </w:pPr>
            <w:r w:rsidRPr="006947C9">
              <w:t xml:space="preserve">A Randomized, Open-label Phase 3 Study of Combination Amivantamab and Carboplatin-Pemetrexed Therapy, Compared with Carboplatin-Pemetrexed, in Patients with </w:t>
            </w:r>
            <w:r w:rsidR="008272D0" w:rsidRPr="008272D0">
              <w:rPr>
                <w:i/>
              </w:rPr>
              <w:t>EGFR</w:t>
            </w:r>
            <w:r w:rsidRPr="006947C9">
              <w:t xml:space="preserve"> Exon 20ins Mutated Locally Advanced or Metastatic Non-Small Cell Lung Cancer – PAPILLON.</w:t>
            </w:r>
          </w:p>
          <w:p w14:paraId="728E83ED" w14:textId="77777777" w:rsidR="00765141" w:rsidRPr="0098262F" w:rsidRDefault="00765141">
            <w:pPr>
              <w:pStyle w:val="TableText0"/>
            </w:pPr>
          </w:p>
        </w:tc>
        <w:tc>
          <w:tcPr>
            <w:tcW w:w="1402" w:type="pct"/>
            <w:tcBorders>
              <w:top w:val="nil"/>
              <w:bottom w:val="nil"/>
            </w:tcBorders>
          </w:tcPr>
          <w:p w14:paraId="60681335" w14:textId="77777777" w:rsidR="00765141" w:rsidRPr="0098262F" w:rsidRDefault="00765141">
            <w:pPr>
              <w:pStyle w:val="TableText0"/>
            </w:pPr>
            <w:r w:rsidRPr="006947C9">
              <w:t>Clinical Study Report (Crossover Phase) September 2023</w:t>
            </w:r>
          </w:p>
        </w:tc>
      </w:tr>
      <w:tr w:rsidR="00765141" w:rsidRPr="0098262F" w14:paraId="289C64C4" w14:textId="77777777" w:rsidTr="009250E2">
        <w:trPr>
          <w:cantSplit/>
        </w:trPr>
        <w:tc>
          <w:tcPr>
            <w:tcW w:w="795" w:type="pct"/>
            <w:vMerge/>
            <w:tcBorders>
              <w:bottom w:val="single" w:sz="4" w:space="0" w:color="auto"/>
            </w:tcBorders>
            <w:vAlign w:val="center"/>
          </w:tcPr>
          <w:p w14:paraId="3D7B0903" w14:textId="77777777" w:rsidR="00765141" w:rsidRPr="0098262F" w:rsidRDefault="00765141">
            <w:pPr>
              <w:pStyle w:val="TableText0"/>
              <w:jc w:val="center"/>
            </w:pPr>
          </w:p>
        </w:tc>
        <w:tc>
          <w:tcPr>
            <w:tcW w:w="2803" w:type="pct"/>
            <w:tcBorders>
              <w:top w:val="nil"/>
              <w:bottom w:val="single" w:sz="4" w:space="0" w:color="auto"/>
            </w:tcBorders>
            <w:vAlign w:val="center"/>
          </w:tcPr>
          <w:p w14:paraId="34158019" w14:textId="378B5CD9" w:rsidR="00765141" w:rsidRPr="0098262F" w:rsidRDefault="00765141">
            <w:pPr>
              <w:pStyle w:val="TableText0"/>
            </w:pPr>
            <w:r w:rsidRPr="006947C9">
              <w:t xml:space="preserve">Zhou et al. Amivantamab plus Chemotherapy in NSCLC with </w:t>
            </w:r>
            <w:r w:rsidR="008272D0" w:rsidRPr="008272D0">
              <w:rPr>
                <w:i/>
              </w:rPr>
              <w:t>EGFR</w:t>
            </w:r>
            <w:r w:rsidRPr="006947C9">
              <w:t xml:space="preserve"> Exon 20 Insertions.</w:t>
            </w:r>
          </w:p>
        </w:tc>
        <w:tc>
          <w:tcPr>
            <w:tcW w:w="1402" w:type="pct"/>
            <w:tcBorders>
              <w:top w:val="nil"/>
              <w:bottom w:val="single" w:sz="4" w:space="0" w:color="auto"/>
            </w:tcBorders>
          </w:tcPr>
          <w:p w14:paraId="37E007EA" w14:textId="31E4F56A" w:rsidR="00765141" w:rsidRPr="0098262F" w:rsidRDefault="00765141">
            <w:pPr>
              <w:pStyle w:val="TableText0"/>
              <w:rPr>
                <w:i/>
              </w:rPr>
            </w:pPr>
            <w:r w:rsidRPr="006947C9">
              <w:rPr>
                <w:i/>
                <w:iCs/>
              </w:rPr>
              <w:t>NEJM</w:t>
            </w:r>
            <w:r w:rsidRPr="006947C9">
              <w:t xml:space="preserve"> 2023; 30;389(22):2039-2051.</w:t>
            </w:r>
          </w:p>
        </w:tc>
      </w:tr>
    </w:tbl>
    <w:p w14:paraId="12D274FE" w14:textId="77777777" w:rsidR="00765141" w:rsidRPr="00C06BAC" w:rsidRDefault="00765141" w:rsidP="00AD07E3">
      <w:pPr>
        <w:pStyle w:val="TableFigureFooter"/>
      </w:pPr>
      <w:r w:rsidRPr="00703E1F">
        <w:t>Source: Table 2.4, p53 of the submission</w:t>
      </w:r>
    </w:p>
    <w:p w14:paraId="7D3F5973" w14:textId="35094B09" w:rsidR="00465233" w:rsidRPr="00465233" w:rsidRDefault="00765141" w:rsidP="00AD07E3">
      <w:pPr>
        <w:pStyle w:val="TableFigureFooter"/>
      </w:pPr>
      <w:r w:rsidRPr="00703E1F">
        <w:t>Abbreviations: NSCLC</w:t>
      </w:r>
      <w:r w:rsidR="00613673">
        <w:t xml:space="preserve">, </w:t>
      </w:r>
      <w:r w:rsidRPr="00703E1F">
        <w:t>non-small cell lung cancer</w:t>
      </w:r>
      <w:r w:rsidR="00613673">
        <w:t>;</w:t>
      </w:r>
      <w:r w:rsidRPr="00703E1F">
        <w:t xml:space="preserve"> </w:t>
      </w:r>
      <w:r w:rsidR="008272D0" w:rsidRPr="008272D0">
        <w:rPr>
          <w:i/>
        </w:rPr>
        <w:t>EGFR</w:t>
      </w:r>
      <w:r w:rsidR="00B15F24">
        <w:t xml:space="preserve">, </w:t>
      </w:r>
      <w:r w:rsidRPr="00703E1F">
        <w:t>epidermal growth factor receptor tyrosine kinase</w:t>
      </w:r>
      <w:r w:rsidR="00613673">
        <w:t>;</w:t>
      </w:r>
      <w:r w:rsidRPr="00703E1F">
        <w:t xml:space="preserve"> Exon 20ins</w:t>
      </w:r>
      <w:r w:rsidR="00613673">
        <w:t xml:space="preserve">, </w:t>
      </w:r>
      <w:r w:rsidRPr="00703E1F">
        <w:t>exon-20 insertion mutations</w:t>
      </w:r>
      <w:r w:rsidR="009B77A6">
        <w:t>.</w:t>
      </w:r>
      <w:r w:rsidR="00465233">
        <w:t xml:space="preserve"> </w:t>
      </w:r>
    </w:p>
    <w:p w14:paraId="3B30A29C" w14:textId="670A6283" w:rsidR="00765141" w:rsidRPr="0098262F" w:rsidRDefault="00765141" w:rsidP="00EF4C49">
      <w:pPr>
        <w:pStyle w:val="3-BodyText"/>
        <w:rPr>
          <w:color w:val="0066FF"/>
        </w:rPr>
      </w:pPr>
      <w:r w:rsidRPr="0098262F">
        <w:t xml:space="preserve">The key features of the direct randomised trial are summarised in </w:t>
      </w:r>
      <w:r w:rsidRPr="0098262F">
        <w:fldChar w:fldCharType="begin"/>
      </w:r>
      <w:r w:rsidRPr="0098262F">
        <w:instrText xml:space="preserve"> REF _Ref104804098 \h  \* MERGEFORMAT </w:instrText>
      </w:r>
      <w:r w:rsidRPr="0098262F">
        <w:fldChar w:fldCharType="separate"/>
      </w:r>
      <w:r w:rsidR="00372107" w:rsidRPr="00372107">
        <w:t>Table 3</w:t>
      </w:r>
      <w:r w:rsidRPr="0098262F">
        <w:fldChar w:fldCharType="end"/>
      </w:r>
      <w:r w:rsidRPr="0098262F">
        <w:t>.</w:t>
      </w:r>
    </w:p>
    <w:p w14:paraId="53DB03BA" w14:textId="12DA26AC" w:rsidR="00765141" w:rsidRPr="0098262F" w:rsidRDefault="00765141" w:rsidP="00765141">
      <w:pPr>
        <w:pStyle w:val="Caption"/>
        <w:rPr>
          <w:rStyle w:val="CommentReference"/>
          <w:rFonts w:eastAsiaTheme="majorEastAsia" w:cstheme="majorBidi"/>
          <w:b/>
          <w:szCs w:val="24"/>
        </w:rPr>
      </w:pPr>
      <w:bookmarkStart w:id="47" w:name="_Ref104804098"/>
      <w:r w:rsidRPr="0098262F">
        <w:rPr>
          <w:rStyle w:val="CommentReference"/>
          <w:rFonts w:eastAsiaTheme="majorEastAsia" w:cstheme="majorBidi"/>
          <w:b/>
          <w:szCs w:val="24"/>
        </w:rPr>
        <w:t xml:space="preserve">Table </w:t>
      </w:r>
      <w:r w:rsidRPr="0098262F">
        <w:rPr>
          <w:rStyle w:val="CommentReference"/>
          <w:rFonts w:eastAsiaTheme="majorEastAsia" w:cstheme="majorBidi"/>
          <w:b/>
          <w:szCs w:val="24"/>
        </w:rPr>
        <w:fldChar w:fldCharType="begin"/>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372107">
        <w:rPr>
          <w:rStyle w:val="CommentReference"/>
          <w:rFonts w:eastAsiaTheme="majorEastAsia" w:cstheme="majorBidi"/>
          <w:b/>
          <w:noProof/>
          <w:szCs w:val="24"/>
        </w:rPr>
        <w:t>3</w:t>
      </w:r>
      <w:r w:rsidRPr="0098262F">
        <w:rPr>
          <w:rStyle w:val="CommentReference"/>
          <w:rFonts w:eastAsiaTheme="majorEastAsia" w:cstheme="majorBidi"/>
          <w:b/>
          <w:szCs w:val="24"/>
        </w:rPr>
        <w:fldChar w:fldCharType="end"/>
      </w:r>
      <w:bookmarkEnd w:id="47"/>
      <w:r w:rsidRPr="0098262F">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86"/>
        <w:gridCol w:w="840"/>
        <w:gridCol w:w="1410"/>
        <w:gridCol w:w="1120"/>
        <w:gridCol w:w="1546"/>
        <w:gridCol w:w="1306"/>
        <w:gridCol w:w="1509"/>
      </w:tblGrid>
      <w:tr w:rsidR="00765141" w:rsidRPr="0098262F" w14:paraId="31632019" w14:textId="77777777" w:rsidTr="00D34066">
        <w:trPr>
          <w:cantSplit/>
          <w:tblHeader/>
        </w:trPr>
        <w:tc>
          <w:tcPr>
            <w:tcW w:w="713" w:type="pct"/>
            <w:shd w:val="clear" w:color="auto" w:fill="auto"/>
            <w:vAlign w:val="center"/>
          </w:tcPr>
          <w:p w14:paraId="142AD43C" w14:textId="77777777" w:rsidR="00765141" w:rsidRPr="0098262F" w:rsidRDefault="00765141" w:rsidP="00265DDC">
            <w:pPr>
              <w:pStyle w:val="In-tableHeading"/>
            </w:pPr>
            <w:r w:rsidRPr="0098262F">
              <w:t>Trial</w:t>
            </w:r>
          </w:p>
        </w:tc>
        <w:tc>
          <w:tcPr>
            <w:tcW w:w="466" w:type="pct"/>
            <w:shd w:val="clear" w:color="auto" w:fill="auto"/>
            <w:vAlign w:val="center"/>
          </w:tcPr>
          <w:p w14:paraId="4A1CB738" w14:textId="77777777" w:rsidR="00765141" w:rsidRPr="0098262F" w:rsidRDefault="00765141" w:rsidP="00265DDC">
            <w:pPr>
              <w:pStyle w:val="In-tableHeading"/>
            </w:pPr>
            <w:r w:rsidRPr="0098262F">
              <w:t>N</w:t>
            </w:r>
          </w:p>
        </w:tc>
        <w:tc>
          <w:tcPr>
            <w:tcW w:w="782" w:type="pct"/>
            <w:shd w:val="clear" w:color="auto" w:fill="auto"/>
            <w:vAlign w:val="center"/>
          </w:tcPr>
          <w:p w14:paraId="4AADCCBD" w14:textId="77777777" w:rsidR="00765141" w:rsidRPr="0098262F" w:rsidRDefault="00765141" w:rsidP="00265DDC">
            <w:pPr>
              <w:pStyle w:val="In-tableHeading"/>
            </w:pPr>
            <w:r w:rsidRPr="0098262F">
              <w:t>Design/ duration</w:t>
            </w:r>
          </w:p>
        </w:tc>
        <w:tc>
          <w:tcPr>
            <w:tcW w:w="621" w:type="pct"/>
            <w:shd w:val="clear" w:color="auto" w:fill="auto"/>
            <w:vAlign w:val="center"/>
          </w:tcPr>
          <w:p w14:paraId="08944FFF" w14:textId="77777777" w:rsidR="00765141" w:rsidRPr="0098262F" w:rsidRDefault="00765141" w:rsidP="00265DDC">
            <w:pPr>
              <w:pStyle w:val="In-tableHeading"/>
            </w:pPr>
            <w:r w:rsidRPr="0098262F">
              <w:t>Risk of bias</w:t>
            </w:r>
          </w:p>
        </w:tc>
        <w:tc>
          <w:tcPr>
            <w:tcW w:w="857" w:type="pct"/>
            <w:shd w:val="clear" w:color="auto" w:fill="auto"/>
            <w:vAlign w:val="center"/>
          </w:tcPr>
          <w:p w14:paraId="3CCD9B3D" w14:textId="77777777" w:rsidR="00765141" w:rsidRPr="0098262F" w:rsidRDefault="00765141" w:rsidP="00265DDC">
            <w:pPr>
              <w:pStyle w:val="In-tableHeading"/>
            </w:pPr>
            <w:r w:rsidRPr="0098262F">
              <w:t>Patient population</w:t>
            </w:r>
          </w:p>
        </w:tc>
        <w:tc>
          <w:tcPr>
            <w:tcW w:w="724" w:type="pct"/>
            <w:shd w:val="clear" w:color="auto" w:fill="auto"/>
            <w:vAlign w:val="center"/>
          </w:tcPr>
          <w:p w14:paraId="36C95671" w14:textId="77777777" w:rsidR="00765141" w:rsidRPr="0098262F" w:rsidRDefault="00765141" w:rsidP="00265DDC">
            <w:pPr>
              <w:pStyle w:val="In-tableHeading"/>
            </w:pPr>
            <w:r w:rsidRPr="0098262F">
              <w:t>Outcome(s)</w:t>
            </w:r>
          </w:p>
        </w:tc>
        <w:tc>
          <w:tcPr>
            <w:tcW w:w="837" w:type="pct"/>
            <w:shd w:val="clear" w:color="auto" w:fill="auto"/>
            <w:vAlign w:val="center"/>
          </w:tcPr>
          <w:p w14:paraId="6505FA60" w14:textId="77777777" w:rsidR="00765141" w:rsidRPr="0098262F" w:rsidRDefault="00765141" w:rsidP="00265DDC">
            <w:pPr>
              <w:pStyle w:val="In-tableHeading"/>
            </w:pPr>
            <w:r w:rsidRPr="0098262F">
              <w:t>Use in modelled evaluation</w:t>
            </w:r>
          </w:p>
        </w:tc>
      </w:tr>
      <w:tr w:rsidR="00765141" w:rsidRPr="0098262F" w14:paraId="3BD12C31" w14:textId="77777777">
        <w:trPr>
          <w:cantSplit/>
        </w:trPr>
        <w:tc>
          <w:tcPr>
            <w:tcW w:w="5000" w:type="pct"/>
            <w:gridSpan w:val="7"/>
            <w:shd w:val="clear" w:color="auto" w:fill="auto"/>
            <w:vAlign w:val="center"/>
          </w:tcPr>
          <w:p w14:paraId="42D33626" w14:textId="77777777" w:rsidR="00765141" w:rsidRPr="0098262F" w:rsidRDefault="00765141" w:rsidP="00367E1E">
            <w:pPr>
              <w:pStyle w:val="In-tableHeading"/>
              <w:jc w:val="both"/>
            </w:pPr>
            <w:r>
              <w:t>ACP vs CP</w:t>
            </w:r>
          </w:p>
        </w:tc>
      </w:tr>
      <w:tr w:rsidR="00765141" w:rsidRPr="008272D0" w14:paraId="2E4BA481" w14:textId="77777777" w:rsidTr="00D34066">
        <w:trPr>
          <w:cantSplit/>
        </w:trPr>
        <w:tc>
          <w:tcPr>
            <w:tcW w:w="713" w:type="pct"/>
            <w:shd w:val="clear" w:color="auto" w:fill="auto"/>
            <w:vAlign w:val="center"/>
          </w:tcPr>
          <w:p w14:paraId="62992C37" w14:textId="77777777" w:rsidR="00765141" w:rsidRPr="008272D0" w:rsidRDefault="00765141">
            <w:pPr>
              <w:pStyle w:val="TableText0"/>
            </w:pPr>
            <w:r w:rsidRPr="008272D0">
              <w:t>PAPILLON</w:t>
            </w:r>
          </w:p>
        </w:tc>
        <w:tc>
          <w:tcPr>
            <w:tcW w:w="466" w:type="pct"/>
            <w:shd w:val="clear" w:color="auto" w:fill="auto"/>
            <w:vAlign w:val="center"/>
          </w:tcPr>
          <w:p w14:paraId="294220B5" w14:textId="77777777" w:rsidR="00765141" w:rsidRPr="008272D0" w:rsidRDefault="00765141">
            <w:pPr>
              <w:pStyle w:val="TableText0"/>
              <w:jc w:val="center"/>
            </w:pPr>
            <w:r w:rsidRPr="008272D0">
              <w:t>308</w:t>
            </w:r>
          </w:p>
        </w:tc>
        <w:tc>
          <w:tcPr>
            <w:tcW w:w="782" w:type="pct"/>
            <w:shd w:val="clear" w:color="auto" w:fill="auto"/>
            <w:vAlign w:val="center"/>
          </w:tcPr>
          <w:p w14:paraId="68ED9AB7" w14:textId="77777777" w:rsidR="00765141" w:rsidRPr="008272D0" w:rsidRDefault="00765141">
            <w:pPr>
              <w:pStyle w:val="TableText0"/>
              <w:jc w:val="center"/>
            </w:pPr>
            <w:r w:rsidRPr="008272D0">
              <w:t>R, OL, MC</w:t>
            </w:r>
          </w:p>
          <w:p w14:paraId="7E554BF2" w14:textId="406A8F53" w:rsidR="00765141" w:rsidRPr="008272D0" w:rsidRDefault="00765141">
            <w:pPr>
              <w:pStyle w:val="TableText0"/>
              <w:jc w:val="center"/>
            </w:pPr>
            <w:r w:rsidRPr="008272D0">
              <w:t>14.9 months</w:t>
            </w:r>
            <w:r w:rsidR="00372C4E" w:rsidRPr="008272D0">
              <w:t xml:space="preserve"> (median)</w:t>
            </w:r>
          </w:p>
        </w:tc>
        <w:tc>
          <w:tcPr>
            <w:tcW w:w="621" w:type="pct"/>
            <w:shd w:val="clear" w:color="auto" w:fill="auto"/>
            <w:vAlign w:val="center"/>
          </w:tcPr>
          <w:p w14:paraId="294F9194" w14:textId="77777777" w:rsidR="00765141" w:rsidRPr="008272D0" w:rsidRDefault="00765141">
            <w:pPr>
              <w:pStyle w:val="TableText0"/>
              <w:jc w:val="center"/>
              <w:rPr>
                <w:vertAlign w:val="superscript"/>
              </w:rPr>
            </w:pPr>
            <w:r w:rsidRPr="008272D0">
              <w:t xml:space="preserve">Some concerns </w:t>
            </w:r>
            <w:proofErr w:type="gramStart"/>
            <w:r w:rsidRPr="008272D0">
              <w:rPr>
                <w:vertAlign w:val="superscript"/>
              </w:rPr>
              <w:t>a</w:t>
            </w:r>
            <w:proofErr w:type="gramEnd"/>
          </w:p>
        </w:tc>
        <w:tc>
          <w:tcPr>
            <w:tcW w:w="857" w:type="pct"/>
            <w:shd w:val="clear" w:color="auto" w:fill="auto"/>
            <w:vAlign w:val="center"/>
          </w:tcPr>
          <w:p w14:paraId="6C90AE9C" w14:textId="5FCB9183" w:rsidR="00765141" w:rsidRPr="008272D0" w:rsidRDefault="00765141">
            <w:pPr>
              <w:pStyle w:val="TableText0"/>
              <w:jc w:val="center"/>
            </w:pPr>
            <w:r w:rsidRPr="008272D0">
              <w:t xml:space="preserve">Treatment-naïve with locally-advanced or metastatic NSCLC and </w:t>
            </w:r>
            <w:r w:rsidR="008272D0" w:rsidRPr="008272D0">
              <w:rPr>
                <w:i/>
              </w:rPr>
              <w:t>EGFR</w:t>
            </w:r>
            <w:r w:rsidRPr="008272D0">
              <w:t xml:space="preserve"> ex20ins</w:t>
            </w:r>
          </w:p>
        </w:tc>
        <w:tc>
          <w:tcPr>
            <w:tcW w:w="724" w:type="pct"/>
            <w:shd w:val="clear" w:color="auto" w:fill="auto"/>
            <w:vAlign w:val="center"/>
          </w:tcPr>
          <w:p w14:paraId="05877A55" w14:textId="77777777" w:rsidR="00765141" w:rsidRPr="008272D0" w:rsidRDefault="00765141">
            <w:pPr>
              <w:pStyle w:val="TableText0"/>
              <w:jc w:val="center"/>
            </w:pPr>
            <w:r w:rsidRPr="008272D0">
              <w:t>Primary: PFS</w:t>
            </w:r>
          </w:p>
          <w:p w14:paraId="396CB278" w14:textId="77777777" w:rsidR="00765141" w:rsidRPr="008272D0" w:rsidRDefault="00765141">
            <w:pPr>
              <w:pStyle w:val="TableText0"/>
              <w:jc w:val="center"/>
            </w:pPr>
            <w:r w:rsidRPr="008272D0">
              <w:t>Secondary: OS, ORR, DoR, TTST, PFS2, TTSP, HRQoL</w:t>
            </w:r>
          </w:p>
        </w:tc>
        <w:tc>
          <w:tcPr>
            <w:tcW w:w="837" w:type="pct"/>
            <w:shd w:val="clear" w:color="auto" w:fill="auto"/>
            <w:vAlign w:val="center"/>
          </w:tcPr>
          <w:p w14:paraId="1A078A26" w14:textId="18DA9E0A" w:rsidR="00765141" w:rsidRPr="008272D0" w:rsidRDefault="00765141">
            <w:pPr>
              <w:pStyle w:val="TableText0"/>
              <w:jc w:val="center"/>
            </w:pPr>
            <w:r w:rsidRPr="008272D0">
              <w:t>PFS, OS</w:t>
            </w:r>
            <w:r w:rsidR="004F0175" w:rsidRPr="008272D0">
              <w:t>, HRQoL</w:t>
            </w:r>
          </w:p>
        </w:tc>
      </w:tr>
    </w:tbl>
    <w:p w14:paraId="26F2B465" w14:textId="77777777" w:rsidR="00765141" w:rsidRPr="008272D0" w:rsidRDefault="00765141" w:rsidP="00AD07E3">
      <w:pPr>
        <w:pStyle w:val="TableFigureFooter"/>
        <w:rPr>
          <w:iCs/>
        </w:rPr>
      </w:pPr>
      <w:r w:rsidRPr="00703E1F">
        <w:t>Source: Table 2.5, p56 of the submission</w:t>
      </w:r>
    </w:p>
    <w:p w14:paraId="47FF3DC3" w14:textId="1DD81A1F" w:rsidR="00765141" w:rsidRPr="008272D0" w:rsidRDefault="00613673" w:rsidP="00AD07E3">
      <w:pPr>
        <w:pStyle w:val="TableFigureFooter"/>
        <w:rPr>
          <w:iCs/>
        </w:rPr>
      </w:pPr>
      <w:r>
        <w:t xml:space="preserve">Abbreviations: </w:t>
      </w:r>
      <w:r w:rsidR="00765141" w:rsidRPr="00703E1F">
        <w:t>DoR</w:t>
      </w:r>
      <w:r w:rsidR="000B3178">
        <w:t>,</w:t>
      </w:r>
      <w:r w:rsidR="00765141" w:rsidRPr="00703E1F">
        <w:t xml:space="preserve"> duration of response; </w:t>
      </w:r>
      <w:r w:rsidR="00765141" w:rsidRPr="003013C3">
        <w:rPr>
          <w:i/>
        </w:rPr>
        <w:t>EFGR</w:t>
      </w:r>
      <w:r w:rsidR="000B3178">
        <w:t>,</w:t>
      </w:r>
      <w:r w:rsidR="00765141" w:rsidRPr="00703E1F">
        <w:t xml:space="preserve"> epidermal growth factor receptor; ex20ins</w:t>
      </w:r>
      <w:r w:rsidR="000B3178">
        <w:t>,</w:t>
      </w:r>
      <w:r w:rsidR="00765141" w:rsidRPr="00703E1F">
        <w:t xml:space="preserve"> exon 20 insertion; </w:t>
      </w:r>
      <w:r w:rsidR="00CA6458" w:rsidRPr="00BD5364">
        <w:t>HRQo</w:t>
      </w:r>
      <w:r w:rsidR="00A20E82">
        <w:t>L</w:t>
      </w:r>
      <w:r w:rsidR="00CA6458">
        <w:t xml:space="preserve">, </w:t>
      </w:r>
      <w:r w:rsidR="00CA6458" w:rsidRPr="00BD5364">
        <w:t>health related quality of life</w:t>
      </w:r>
      <w:r w:rsidR="00CA6458">
        <w:t>;</w:t>
      </w:r>
      <w:r w:rsidR="00765141" w:rsidRPr="00703E1F">
        <w:t xml:space="preserve"> </w:t>
      </w:r>
      <w:r w:rsidR="007D6AE9" w:rsidRPr="00703E1F">
        <w:t>MC</w:t>
      </w:r>
      <w:r w:rsidR="007D6AE9">
        <w:t>,</w:t>
      </w:r>
      <w:r w:rsidR="007D6AE9" w:rsidRPr="00703E1F">
        <w:t xml:space="preserve"> multi-centre; </w:t>
      </w:r>
      <w:r w:rsidR="00765141" w:rsidRPr="00703E1F">
        <w:t>NSCLC</w:t>
      </w:r>
      <w:r w:rsidR="000B3178">
        <w:t>,</w:t>
      </w:r>
      <w:r w:rsidR="00765141" w:rsidRPr="00703E1F">
        <w:t xml:space="preserve"> non-small cell lung cancer; OL</w:t>
      </w:r>
      <w:r w:rsidR="000B3178">
        <w:t>,</w:t>
      </w:r>
      <w:r w:rsidR="00765141" w:rsidRPr="00703E1F">
        <w:t xml:space="preserve"> open label; ORR</w:t>
      </w:r>
      <w:r w:rsidR="000B3178">
        <w:t>,</w:t>
      </w:r>
      <w:r w:rsidR="00765141" w:rsidRPr="00703E1F">
        <w:t xml:space="preserve"> objective response rate; OS</w:t>
      </w:r>
      <w:r w:rsidR="000B3178">
        <w:t>,</w:t>
      </w:r>
      <w:r w:rsidR="00765141" w:rsidRPr="00703E1F">
        <w:t xml:space="preserve"> overall survival; PFS</w:t>
      </w:r>
      <w:r w:rsidR="000B3178">
        <w:t>,</w:t>
      </w:r>
      <w:r w:rsidR="00765141" w:rsidRPr="00703E1F">
        <w:t xml:space="preserve"> progression-free survival; PFS2</w:t>
      </w:r>
      <w:r w:rsidR="000B3178">
        <w:t>,</w:t>
      </w:r>
      <w:r w:rsidR="00765141" w:rsidRPr="00703E1F">
        <w:t xml:space="preserve"> progression free survival after first subsequent therapy; R</w:t>
      </w:r>
      <w:r w:rsidR="000B3178">
        <w:t>,</w:t>
      </w:r>
      <w:r w:rsidR="00765141" w:rsidRPr="00703E1F">
        <w:t xml:space="preserve"> randomised; TTSP</w:t>
      </w:r>
      <w:r w:rsidR="000B3178">
        <w:t>,</w:t>
      </w:r>
      <w:r w:rsidR="00765141" w:rsidRPr="00703E1F">
        <w:t xml:space="preserve"> time to symptomatic progression; TTST</w:t>
      </w:r>
      <w:r w:rsidR="000B3178">
        <w:t>,</w:t>
      </w:r>
      <w:r w:rsidR="00765141" w:rsidRPr="00703E1F">
        <w:t xml:space="preserve"> time to subsequent therapy</w:t>
      </w:r>
    </w:p>
    <w:p w14:paraId="25F14F16" w14:textId="309BCB81" w:rsidR="00765141" w:rsidRPr="00905702" w:rsidRDefault="00765141" w:rsidP="00AD07E3">
      <w:pPr>
        <w:pStyle w:val="TableFigureFooter"/>
      </w:pPr>
      <w:proofErr w:type="spellStart"/>
      <w:r>
        <w:rPr>
          <w:vertAlign w:val="superscript"/>
        </w:rPr>
        <w:t>a</w:t>
      </w:r>
      <w:proofErr w:type="spellEnd"/>
      <w:r w:rsidRPr="00905702">
        <w:t xml:space="preserve"> This was revised from low </w:t>
      </w:r>
      <w:r w:rsidR="003A4893">
        <w:t>(</w:t>
      </w:r>
      <w:r w:rsidR="00307406">
        <w:t xml:space="preserve">as </w:t>
      </w:r>
      <w:r w:rsidR="003A4893">
        <w:t>presented in the submission)</w:t>
      </w:r>
      <w:r w:rsidRPr="00905702">
        <w:t xml:space="preserve"> to some concerns during the evaluation due to introduction of bias relating to the treatment switching and high levels of censoring. </w:t>
      </w:r>
    </w:p>
    <w:p w14:paraId="3573D263" w14:textId="253D8931" w:rsidR="00765141" w:rsidRPr="009E569A" w:rsidRDefault="00765141" w:rsidP="00EF4C49">
      <w:pPr>
        <w:pStyle w:val="3-BodyText"/>
      </w:pPr>
      <w:r>
        <w:t xml:space="preserve">Evidence presented in the submission </w:t>
      </w:r>
      <w:r w:rsidR="008E69B2">
        <w:t>wa</w:t>
      </w:r>
      <w:r>
        <w:t xml:space="preserve">s based on </w:t>
      </w:r>
      <w:r w:rsidR="00183511">
        <w:t xml:space="preserve">a </w:t>
      </w:r>
      <w:r w:rsidR="00132923">
        <w:t xml:space="preserve">data </w:t>
      </w:r>
      <w:r>
        <w:t>cutoff date of 3</w:t>
      </w:r>
      <w:r w:rsidR="00654F1F">
        <w:t> </w:t>
      </w:r>
      <w:r>
        <w:t>May</w:t>
      </w:r>
      <w:r w:rsidR="00654F1F">
        <w:t> </w:t>
      </w:r>
      <w:r>
        <w:t>2023 (median duration of follow-up of 14.9 months) w</w:t>
      </w:r>
      <w:r w:rsidR="00B65EAF">
        <w:t>ith</w:t>
      </w:r>
      <w:r>
        <w:t xml:space="preserve"> 46% </w:t>
      </w:r>
      <w:r w:rsidR="00E6688C">
        <w:t xml:space="preserve">of patients </w:t>
      </w:r>
      <w:r w:rsidDel="00D90775">
        <w:t>i</w:t>
      </w:r>
      <w:r>
        <w:t xml:space="preserve">n the ACP arm and 15% of patients in the CP arm still receiving treatment. The final </w:t>
      </w:r>
      <w:r w:rsidRPr="00383F4E">
        <w:t xml:space="preserve">analysis </w:t>
      </w:r>
      <w:r>
        <w:t>is</w:t>
      </w:r>
      <w:r w:rsidRPr="00383F4E">
        <w:t xml:space="preserve"> expected </w:t>
      </w:r>
      <w:r>
        <w:t>at</w:t>
      </w:r>
      <w:r w:rsidRPr="00383F4E">
        <w:t xml:space="preserve"> the end of 2025 and no further interim analyses are planned. </w:t>
      </w:r>
      <w:r w:rsidRPr="008272D0">
        <w:t xml:space="preserve">At the time of data cutoff, median </w:t>
      </w:r>
      <w:r w:rsidR="00D35697" w:rsidRPr="008272D0">
        <w:t xml:space="preserve">OS </w:t>
      </w:r>
      <w:r w:rsidRPr="008272D0">
        <w:t xml:space="preserve">for the ACP arm was not yet known. </w:t>
      </w:r>
    </w:p>
    <w:p w14:paraId="375B002C" w14:textId="5B859A7B" w:rsidR="00765141" w:rsidRPr="004943E9" w:rsidRDefault="00765141" w:rsidP="00EF4C49">
      <w:pPr>
        <w:pStyle w:val="3-BodyText"/>
      </w:pPr>
      <w:bookmarkStart w:id="48" w:name="_Hlk174792578"/>
      <w:r>
        <w:t xml:space="preserve">Patients in the CP arm were given the option to enter </w:t>
      </w:r>
      <w:r w:rsidR="00891F4C">
        <w:t xml:space="preserve">a </w:t>
      </w:r>
      <w:r>
        <w:t>crossover phase after blinded independent central review (BICR) confirmed progression where participants received amivantamab monotherapy in a 21-day cycle. The crossover phase was neither randomi</w:t>
      </w:r>
      <w:r w:rsidR="008E69B2">
        <w:t>s</w:t>
      </w:r>
      <w:r>
        <w:t>ed nor controlled, and all disease assessments were investigator</w:t>
      </w:r>
      <w:r w:rsidR="00D17543">
        <w:t>-</w:t>
      </w:r>
      <w:r>
        <w:t xml:space="preserve">assessed. 65 patients (42%) from the CP arm crossed over to amivantamab monotherapy following disease progression. </w:t>
      </w:r>
      <w:r w:rsidRPr="008272D0">
        <w:t>There</w:t>
      </w:r>
      <w:r w:rsidRPr="008272D0" w:rsidDel="003E3C0B">
        <w:t xml:space="preserve"> </w:t>
      </w:r>
      <w:r w:rsidR="003E3C0B" w:rsidRPr="008272D0">
        <w:t xml:space="preserve">is </w:t>
      </w:r>
      <w:r w:rsidRPr="008272D0">
        <w:t>significant potential for bias in data generated after crossover. Crossover limits the rigor of longer term follow up comparisons</w:t>
      </w:r>
      <w:r w:rsidR="007C7468" w:rsidRPr="008272D0">
        <w:t xml:space="preserve"> of OS</w:t>
      </w:r>
      <w:r w:rsidR="00DA35AE" w:rsidRPr="008272D0">
        <w:t xml:space="preserve"> outcomes</w:t>
      </w:r>
      <w:r w:rsidRPr="008272D0">
        <w:t xml:space="preserve"> between the CP and ACP groups. </w:t>
      </w:r>
      <w:r w:rsidR="000923C5">
        <w:t>The Pre</w:t>
      </w:r>
      <w:r w:rsidR="00A01460">
        <w:t xml:space="preserve">-PBAC </w:t>
      </w:r>
      <w:r w:rsidR="00EE630F">
        <w:t xml:space="preserve">Response </w:t>
      </w:r>
      <w:r w:rsidR="005D25E3">
        <w:t>acknowledged</w:t>
      </w:r>
      <w:r w:rsidR="00831376">
        <w:t xml:space="preserve"> </w:t>
      </w:r>
      <w:r w:rsidR="00831376">
        <w:lastRenderedPageBreak/>
        <w:t xml:space="preserve">the </w:t>
      </w:r>
      <w:r w:rsidR="002676B6">
        <w:t>potential for b</w:t>
      </w:r>
      <w:r w:rsidR="00195422">
        <w:t xml:space="preserve">ias in </w:t>
      </w:r>
      <w:r w:rsidR="00B621CF">
        <w:t xml:space="preserve">the </w:t>
      </w:r>
      <w:r w:rsidR="00195422">
        <w:t xml:space="preserve">data </w:t>
      </w:r>
      <w:r w:rsidR="0080114C">
        <w:t>after</w:t>
      </w:r>
      <w:r w:rsidR="00195422">
        <w:t xml:space="preserve"> cross-over, however highlight</w:t>
      </w:r>
      <w:r w:rsidR="00C95AF1">
        <w:t>ed</w:t>
      </w:r>
      <w:r w:rsidR="00251DE0">
        <w:t xml:space="preserve"> that </w:t>
      </w:r>
      <w:r w:rsidR="00251DE0">
        <w:rPr>
          <w:lang w:val="en-US"/>
        </w:rPr>
        <w:t xml:space="preserve">the cross-over biases against </w:t>
      </w:r>
      <w:r w:rsidR="00251DE0" w:rsidRPr="006C1C47">
        <w:rPr>
          <w:lang w:val="en-US"/>
        </w:rPr>
        <w:t>ACP</w:t>
      </w:r>
      <w:r w:rsidR="006652F0">
        <w:rPr>
          <w:lang w:val="en-US"/>
        </w:rPr>
        <w:t xml:space="preserve"> rather than CP</w:t>
      </w:r>
      <w:r w:rsidR="00195422">
        <w:rPr>
          <w:lang w:val="en-US"/>
        </w:rPr>
        <w:t>.</w:t>
      </w:r>
      <w:r w:rsidR="006C1C47" w:rsidRPr="006C1C47">
        <w:rPr>
          <w:lang w:val="en-US"/>
        </w:rPr>
        <w:t xml:space="preserve"> </w:t>
      </w:r>
    </w:p>
    <w:bookmarkEnd w:id="48"/>
    <w:p w14:paraId="39227A84" w14:textId="7F80FB0F" w:rsidR="00765141" w:rsidRPr="00790A0E" w:rsidRDefault="00765141" w:rsidP="00EF4C49">
      <w:pPr>
        <w:pStyle w:val="3-BodyText"/>
      </w:pPr>
      <w:r w:rsidRPr="00790A0E">
        <w:t>Results from the crossover phase (alongside data from a Phase I, single-arm study, CHRYSALIS) were included in the submission to support the request for amivantamab as second-line therapy (</w:t>
      </w:r>
      <w:r w:rsidR="003E3C74">
        <w:t xml:space="preserve">alternative </w:t>
      </w:r>
      <w:r w:rsidRPr="00790A0E">
        <w:t>PBS listing</w:t>
      </w:r>
      <w:r w:rsidR="00CF425D">
        <w:t xml:space="preserve">, paragraph </w:t>
      </w:r>
      <w:r w:rsidR="00BD1D64">
        <w:fldChar w:fldCharType="begin"/>
      </w:r>
      <w:r w:rsidR="00BD1D64">
        <w:instrText xml:space="preserve"> REF _Ref183243383 \r \h </w:instrText>
      </w:r>
      <w:r w:rsidR="00BD1D64">
        <w:fldChar w:fldCharType="separate"/>
      </w:r>
      <w:r w:rsidR="00372107">
        <w:t>3.6</w:t>
      </w:r>
      <w:r w:rsidR="00BD1D64">
        <w:fldChar w:fldCharType="end"/>
      </w:r>
      <w:r w:rsidRPr="00790A0E">
        <w:t xml:space="preserve">). </w:t>
      </w:r>
      <w:r w:rsidR="000C6989" w:rsidDel="00E21F0C">
        <w:t xml:space="preserve">CHRYSALIS is a phase I, open-label, dose-escalation, and dose-expansion study, which included a </w:t>
      </w:r>
      <w:r w:rsidR="00F47225" w:rsidDel="00E21F0C">
        <w:t xml:space="preserve">post-platinum </w:t>
      </w:r>
      <w:r w:rsidR="000C6989" w:rsidDel="00E21F0C">
        <w:t xml:space="preserve">population with </w:t>
      </w:r>
      <w:r w:rsidR="008272D0" w:rsidRPr="008272D0">
        <w:rPr>
          <w:i/>
        </w:rPr>
        <w:t>EGFR</w:t>
      </w:r>
      <w:r w:rsidR="000C6989" w:rsidDel="00E21F0C">
        <w:t xml:space="preserve"> </w:t>
      </w:r>
      <w:r w:rsidR="00F47225" w:rsidDel="00E21F0C">
        <w:t>e</w:t>
      </w:r>
      <w:r w:rsidR="000C6989" w:rsidDel="00E21F0C">
        <w:t>xon20ins NSCLC.</w:t>
      </w:r>
      <w:r w:rsidR="000C6989" w:rsidDel="00BF6FED">
        <w:t xml:space="preserve"> </w:t>
      </w:r>
      <w:r w:rsidR="008851A7" w:rsidRPr="008272D0">
        <w:t>The</w:t>
      </w:r>
      <w:r w:rsidR="00640FB2" w:rsidRPr="008272D0">
        <w:t xml:space="preserve"> </w:t>
      </w:r>
      <w:r w:rsidR="00C91F9D" w:rsidRPr="008272D0">
        <w:t xml:space="preserve">dose </w:t>
      </w:r>
      <w:r w:rsidR="007471C5" w:rsidRPr="008272D0">
        <w:t>regimen</w:t>
      </w:r>
      <w:r w:rsidR="00640FB2" w:rsidRPr="008272D0">
        <w:t xml:space="preserve"> of amivantamab </w:t>
      </w:r>
      <w:r w:rsidR="00CD4DF7" w:rsidRPr="008272D0">
        <w:t xml:space="preserve">monotherapy </w:t>
      </w:r>
      <w:r w:rsidR="00640FB2" w:rsidRPr="008272D0">
        <w:t xml:space="preserve">during the crossover phase </w:t>
      </w:r>
      <w:r w:rsidR="00CF2F48" w:rsidRPr="008272D0">
        <w:t xml:space="preserve">of the PAPILLON trial </w:t>
      </w:r>
      <w:r w:rsidR="00640FB2" w:rsidRPr="008272D0">
        <w:t xml:space="preserve">differed from the draft </w:t>
      </w:r>
      <w:r w:rsidR="00035A2D" w:rsidRPr="008272D0">
        <w:t>Product Information (</w:t>
      </w:r>
      <w:r w:rsidR="00640FB2" w:rsidRPr="008272D0">
        <w:t>PI</w:t>
      </w:r>
      <w:r w:rsidR="00035A2D" w:rsidRPr="008272D0">
        <w:t>)</w:t>
      </w:r>
      <w:r w:rsidR="00640FB2" w:rsidRPr="008272D0">
        <w:t xml:space="preserve"> dosing for amivantamab monotherapy (</w:t>
      </w:r>
      <w:r w:rsidR="00DB028A" w:rsidRPr="008272D0">
        <w:t>1</w:t>
      </w:r>
      <w:r w:rsidR="00B94AFC" w:rsidRPr="008272D0">
        <w:t>050</w:t>
      </w:r>
      <w:r w:rsidR="00DB028A" w:rsidRPr="008272D0">
        <w:t xml:space="preserve"> mg for &lt;80</w:t>
      </w:r>
      <w:r w:rsidR="004D49F3">
        <w:t> </w:t>
      </w:r>
      <w:r w:rsidR="00DB028A" w:rsidRPr="008272D0">
        <w:t xml:space="preserve">kg or </w:t>
      </w:r>
      <w:r w:rsidR="00B94AFC" w:rsidRPr="008272D0">
        <w:t>14</w:t>
      </w:r>
      <w:r w:rsidR="00DB028A" w:rsidRPr="008272D0">
        <w:t xml:space="preserve">00 </w:t>
      </w:r>
      <w:r w:rsidR="00531B73" w:rsidRPr="008272D0">
        <w:t xml:space="preserve">mg </w:t>
      </w:r>
      <w:r w:rsidR="00DB028A" w:rsidRPr="008272D0">
        <w:t>for ≥80 kg</w:t>
      </w:r>
      <w:r w:rsidR="007471C5" w:rsidRPr="008272D0">
        <w:t>,</w:t>
      </w:r>
      <w:r w:rsidR="00DB028A" w:rsidRPr="008272D0">
        <w:t xml:space="preserve"> </w:t>
      </w:r>
      <w:r w:rsidR="00640FB2" w:rsidRPr="008272D0">
        <w:t>every 2 weeks</w:t>
      </w:r>
      <w:r w:rsidR="00EE495E" w:rsidRPr="008272D0">
        <w:t xml:space="preserve"> from week 5</w:t>
      </w:r>
      <w:r w:rsidR="001C0DC2" w:rsidRPr="008272D0">
        <w:t xml:space="preserve">, based on the </w:t>
      </w:r>
      <w:r w:rsidR="002D740D" w:rsidRPr="008272D0">
        <w:t>CHRYSALIS study</w:t>
      </w:r>
      <w:r w:rsidR="00640FB2" w:rsidRPr="008272D0">
        <w:t>).</w:t>
      </w:r>
    </w:p>
    <w:p w14:paraId="7AC2EE52" w14:textId="10F2CC06" w:rsidR="00765141" w:rsidRPr="004D0309" w:rsidRDefault="00765141" w:rsidP="00EF4C49">
      <w:pPr>
        <w:pStyle w:val="3-BodyText"/>
      </w:pPr>
      <w:bookmarkStart w:id="49" w:name="_Ref176953884"/>
      <w:r w:rsidRPr="008272D0">
        <w:t>The overall risk of bias</w:t>
      </w:r>
      <w:r w:rsidR="00761B15" w:rsidRPr="008272D0">
        <w:t xml:space="preserve"> associated with the PAP</w:t>
      </w:r>
      <w:r w:rsidR="00827D31" w:rsidRPr="008272D0">
        <w:t>ILLON trial</w:t>
      </w:r>
      <w:r w:rsidRPr="008272D0">
        <w:t xml:space="preserve"> was rated </w:t>
      </w:r>
      <w:r w:rsidR="00540BAA">
        <w:t>by</w:t>
      </w:r>
      <w:r w:rsidR="00524A5B">
        <w:t xml:space="preserve"> the evaluation </w:t>
      </w:r>
      <w:r w:rsidRPr="008272D0">
        <w:t>as prompting ‘some concerns’ because:</w:t>
      </w:r>
      <w:bookmarkEnd w:id="49"/>
    </w:p>
    <w:p w14:paraId="233DADDC" w14:textId="77777777" w:rsidR="00765141" w:rsidRPr="000D740A" w:rsidRDefault="00765141" w:rsidP="000D740A">
      <w:pPr>
        <w:pStyle w:val="ListParagraph"/>
      </w:pPr>
      <w:r w:rsidRPr="000D740A">
        <w:t>Although the crossover phase was consistent with the trial protocol, allowing patients to switch treatments introduces possible selection effects in comparing longer term outcomes between the CP and ACP groups.</w:t>
      </w:r>
    </w:p>
    <w:p w14:paraId="1043A452" w14:textId="723F1F89" w:rsidR="00765141" w:rsidRPr="000D740A" w:rsidRDefault="00765141" w:rsidP="000D740A">
      <w:pPr>
        <w:pStyle w:val="ListParagraph"/>
      </w:pPr>
      <w:r w:rsidRPr="000D740A">
        <w:t>The open-label nature (non-blinding of study participants and treating clinicians) of the PAPILLON trial may have introduced performance and detection biases. All outcomes were investigator</w:t>
      </w:r>
      <w:r w:rsidR="00F112D3" w:rsidRPr="000D740A">
        <w:t>-</w:t>
      </w:r>
      <w:r w:rsidRPr="000D740A">
        <w:t>assessed apart from PFS and ORR which were assessed by BICR.</w:t>
      </w:r>
    </w:p>
    <w:p w14:paraId="0E0397A3" w14:textId="5F3896FE" w:rsidR="00765141" w:rsidRPr="000D740A" w:rsidRDefault="00765141" w:rsidP="000D740A">
      <w:pPr>
        <w:pStyle w:val="ListParagraph"/>
      </w:pPr>
      <w:r w:rsidRPr="000D740A">
        <w:t xml:space="preserve">The results presented in the submission were based on a </w:t>
      </w:r>
      <w:r w:rsidR="00F5533F" w:rsidRPr="000D740A">
        <w:t xml:space="preserve">data </w:t>
      </w:r>
      <w:r w:rsidRPr="000D740A">
        <w:t>cutoff that was planned for the primary outcome</w:t>
      </w:r>
      <w:r w:rsidR="00FC38FE" w:rsidRPr="000D740A">
        <w:t xml:space="preserve"> (PFS)</w:t>
      </w:r>
      <w:r w:rsidRPr="000D740A">
        <w:t xml:space="preserve"> analysis. </w:t>
      </w:r>
      <w:r w:rsidR="00D54F95" w:rsidRPr="000D740A">
        <w:t>The evaluation considered that the a</w:t>
      </w:r>
      <w:r w:rsidRPr="000D740A">
        <w:t>ssessment of secondary outcomes appear</w:t>
      </w:r>
      <w:r w:rsidR="00D54F95" w:rsidRPr="000D740A">
        <w:t>ed</w:t>
      </w:r>
      <w:r w:rsidRPr="000D740A">
        <w:t xml:space="preserve"> premature, as evidence</w:t>
      </w:r>
      <w:r w:rsidR="00776D9F" w:rsidRPr="000D740A">
        <w:t>d</w:t>
      </w:r>
      <w:r w:rsidRPr="000D740A">
        <w:t xml:space="preserve"> by the failure to reach median OS within the 14.9 months follow up period leading to high levels of censoring (OS: 81.7% in ACP and 72.9% in CP).</w:t>
      </w:r>
      <w:r w:rsidR="008D2880" w:rsidRPr="000D740A">
        <w:t xml:space="preserve"> High levels of censoring </w:t>
      </w:r>
      <w:r w:rsidR="00B101F7" w:rsidRPr="000D740A">
        <w:t>could</w:t>
      </w:r>
      <w:r w:rsidR="008D2880" w:rsidRPr="000D740A">
        <w:t xml:space="preserve"> lead to bias if the participants</w:t>
      </w:r>
      <w:r w:rsidR="00B101F7" w:rsidRPr="000D740A">
        <w:t xml:space="preserve"> censored are different from those who remain in the analysis. </w:t>
      </w:r>
    </w:p>
    <w:p w14:paraId="3ADD0462" w14:textId="77777777" w:rsidR="00765141" w:rsidRPr="000D740A" w:rsidRDefault="00765141" w:rsidP="000D740A">
      <w:pPr>
        <w:pStyle w:val="ListParagraph"/>
      </w:pPr>
      <w:r w:rsidRPr="000D740A">
        <w:t>The higher proportion of patients in the ACP arm discontinuing treatment due to non-progression or death events (10.6% vs 5.8%) and the higher proportion with at least one missing scheduled disease evaluation (7.2% vs 3.9%) compared to the CP arm raises some concerns of attrition bias. Additionally, the incidence of drug-related treatment emergent adverse events (TEAEs) leading to discontinuation was substantially higher in the ACP arm than the CP arm (23.8% vs 10.3%).</w:t>
      </w:r>
    </w:p>
    <w:p w14:paraId="7F839800" w14:textId="77777777" w:rsidR="00765141" w:rsidRPr="0098262F" w:rsidRDefault="00765141" w:rsidP="00765141">
      <w:pPr>
        <w:pStyle w:val="4-SubsectionHeading"/>
      </w:pPr>
      <w:bookmarkStart w:id="50" w:name="_Toc22897641"/>
      <w:bookmarkStart w:id="51" w:name="_Toc174628136"/>
      <w:bookmarkStart w:id="52" w:name="_Toc177532581"/>
      <w:bookmarkStart w:id="53" w:name="_Toc177548279"/>
      <w:r w:rsidRPr="0098262F">
        <w:t>Comparative effectiveness</w:t>
      </w:r>
      <w:bookmarkEnd w:id="50"/>
      <w:bookmarkEnd w:id="51"/>
      <w:bookmarkEnd w:id="52"/>
      <w:bookmarkEnd w:id="53"/>
    </w:p>
    <w:p w14:paraId="766B4503" w14:textId="679ADA83" w:rsidR="00765141" w:rsidRDefault="00765141" w:rsidP="00EF4C49">
      <w:pPr>
        <w:pStyle w:val="3-BodyText"/>
      </w:pPr>
      <w:r w:rsidRPr="00BA4987">
        <w:t xml:space="preserve">A summary of the efficacy results for </w:t>
      </w:r>
      <w:r>
        <w:t xml:space="preserve">PFS, </w:t>
      </w:r>
      <w:r w:rsidRPr="00BA4987">
        <w:t xml:space="preserve">OS </w:t>
      </w:r>
      <w:r>
        <w:t xml:space="preserve">and ORR </w:t>
      </w:r>
      <w:r w:rsidRPr="00BA4987">
        <w:t xml:space="preserve">from the full analysis set (FAS) population in PAPILLON </w:t>
      </w:r>
      <w:r>
        <w:t xml:space="preserve">at </w:t>
      </w:r>
      <w:r w:rsidR="00F5533F">
        <w:t xml:space="preserve">data </w:t>
      </w:r>
      <w:r>
        <w:t xml:space="preserve">cutoff date of 3 May 2023 </w:t>
      </w:r>
      <w:r w:rsidRPr="00BA4987">
        <w:t xml:space="preserve">is presented in </w:t>
      </w:r>
      <w:r w:rsidRPr="00BA4987">
        <w:fldChar w:fldCharType="begin"/>
      </w:r>
      <w:r w:rsidRPr="00BA4987">
        <w:instrText xml:space="preserve"> REF _Ref174094275 \h </w:instrText>
      </w:r>
      <w:r>
        <w:instrText xml:space="preserve"> \* MERGEFORMAT </w:instrText>
      </w:r>
      <w:r w:rsidRPr="00BA4987">
        <w:fldChar w:fldCharType="separate"/>
      </w:r>
      <w:r w:rsidR="00372107" w:rsidRPr="00372107">
        <w:rPr>
          <w:rStyle w:val="CommentReference"/>
          <w:rFonts w:asciiTheme="minorHAnsi" w:hAnsiTheme="minorHAnsi"/>
          <w:b w:val="0"/>
          <w:sz w:val="24"/>
          <w:szCs w:val="22"/>
        </w:rPr>
        <w:t>Table 4</w:t>
      </w:r>
      <w:r w:rsidRPr="00BA4987">
        <w:fldChar w:fldCharType="end"/>
      </w:r>
      <w:r>
        <w:t>.</w:t>
      </w:r>
    </w:p>
    <w:p w14:paraId="0C437E9A" w14:textId="0693EA55" w:rsidR="00765141" w:rsidRDefault="00765141" w:rsidP="00765141">
      <w:pPr>
        <w:pStyle w:val="TableFigureHeading"/>
        <w:rPr>
          <w:rStyle w:val="CommentReference"/>
          <w:b/>
          <w:szCs w:val="24"/>
        </w:rPr>
      </w:pPr>
      <w:bookmarkStart w:id="54" w:name="_Ref174094275"/>
      <w:r w:rsidRPr="0098262F">
        <w:rPr>
          <w:rStyle w:val="CommentReference"/>
          <w:b/>
          <w:szCs w:val="24"/>
        </w:rPr>
        <w:lastRenderedPageBreak/>
        <w:t xml:space="preserve">Table </w:t>
      </w:r>
      <w:r w:rsidRPr="0098262F">
        <w:rPr>
          <w:rStyle w:val="CommentReference"/>
          <w:b/>
          <w:szCs w:val="24"/>
        </w:rPr>
        <w:fldChar w:fldCharType="begin"/>
      </w:r>
      <w:r w:rsidRPr="0098262F">
        <w:rPr>
          <w:rStyle w:val="CommentReference"/>
          <w:b/>
          <w:szCs w:val="24"/>
        </w:rPr>
        <w:instrText xml:space="preserve"> SEQ Table \* ARABIC </w:instrText>
      </w:r>
      <w:r w:rsidRPr="0098262F">
        <w:rPr>
          <w:rStyle w:val="CommentReference"/>
          <w:b/>
          <w:szCs w:val="24"/>
        </w:rPr>
        <w:fldChar w:fldCharType="separate"/>
      </w:r>
      <w:r w:rsidR="00372107">
        <w:rPr>
          <w:rStyle w:val="CommentReference"/>
          <w:b/>
          <w:noProof/>
          <w:szCs w:val="24"/>
        </w:rPr>
        <w:t>4</w:t>
      </w:r>
      <w:r w:rsidRPr="0098262F">
        <w:rPr>
          <w:rStyle w:val="CommentReference"/>
          <w:b/>
          <w:szCs w:val="24"/>
        </w:rPr>
        <w:fldChar w:fldCharType="end"/>
      </w:r>
      <w:bookmarkEnd w:id="54"/>
      <w:r w:rsidRPr="0098262F">
        <w:rPr>
          <w:rStyle w:val="CommentReference"/>
          <w:b/>
          <w:szCs w:val="24"/>
        </w:rPr>
        <w:t xml:space="preserve">: Summary of </w:t>
      </w:r>
      <w:r>
        <w:rPr>
          <w:rStyle w:val="CommentReference"/>
          <w:b/>
          <w:szCs w:val="24"/>
        </w:rPr>
        <w:t xml:space="preserve">PFS, OS and ORR </w:t>
      </w:r>
      <w:r w:rsidRPr="0098262F">
        <w:rPr>
          <w:rStyle w:val="CommentReference"/>
          <w:b/>
          <w:szCs w:val="24"/>
        </w:rPr>
        <w:t xml:space="preserve">outcomes in </w:t>
      </w:r>
      <w:r>
        <w:rPr>
          <w:rStyle w:val="CommentReference"/>
          <w:b/>
          <w:szCs w:val="24"/>
        </w:rPr>
        <w:t>PAPILLON trial (FAS)</w:t>
      </w:r>
    </w:p>
    <w:tbl>
      <w:tblPr>
        <w:tblStyle w:val="TableGrid"/>
        <w:tblW w:w="5000" w:type="pct"/>
        <w:tblLook w:val="04A0" w:firstRow="1" w:lastRow="0" w:firstColumn="1" w:lastColumn="0" w:noHBand="0" w:noVBand="1"/>
        <w:tblCaption w:val="Table 4: Summary of PFS, OS and ORR outcomes in PAPILLON trial (FAS)"/>
      </w:tblPr>
      <w:tblGrid>
        <w:gridCol w:w="4199"/>
        <w:gridCol w:w="2409"/>
        <w:gridCol w:w="70"/>
        <w:gridCol w:w="2339"/>
      </w:tblGrid>
      <w:tr w:rsidR="00765141" w:rsidRPr="00360C18" w14:paraId="771C1ABC" w14:textId="77777777">
        <w:tc>
          <w:tcPr>
            <w:tcW w:w="2328" w:type="pct"/>
          </w:tcPr>
          <w:p w14:paraId="145C8CD3" w14:textId="77777777" w:rsidR="00765141" w:rsidRPr="00360C18" w:rsidRDefault="00765141">
            <w:pPr>
              <w:pStyle w:val="TableFigureHeading"/>
              <w:jc w:val="center"/>
            </w:pPr>
          </w:p>
        </w:tc>
        <w:tc>
          <w:tcPr>
            <w:tcW w:w="1375" w:type="pct"/>
            <w:gridSpan w:val="2"/>
          </w:tcPr>
          <w:p w14:paraId="3D933AF1" w14:textId="77777777" w:rsidR="00765141" w:rsidRDefault="00765141">
            <w:pPr>
              <w:pStyle w:val="TableFigureHeading"/>
              <w:jc w:val="center"/>
            </w:pPr>
            <w:r w:rsidRPr="00360C18">
              <w:t>ACP</w:t>
            </w:r>
          </w:p>
          <w:p w14:paraId="5449038B" w14:textId="77777777" w:rsidR="00765141" w:rsidRPr="00360C18" w:rsidRDefault="00765141">
            <w:pPr>
              <w:pStyle w:val="TableFigureHeading"/>
              <w:jc w:val="center"/>
            </w:pPr>
            <w:r>
              <w:t>(N=153)</w:t>
            </w:r>
          </w:p>
        </w:tc>
        <w:tc>
          <w:tcPr>
            <w:tcW w:w="1297" w:type="pct"/>
          </w:tcPr>
          <w:p w14:paraId="1019DD17" w14:textId="77777777" w:rsidR="00765141" w:rsidRPr="00360C18" w:rsidRDefault="00765141">
            <w:pPr>
              <w:pStyle w:val="TableFigureHeading"/>
              <w:jc w:val="center"/>
            </w:pPr>
            <w:r w:rsidRPr="00360C18">
              <w:t>CP</w:t>
            </w:r>
          </w:p>
          <w:p w14:paraId="4B437CEB" w14:textId="77777777" w:rsidR="00765141" w:rsidRPr="00360C18" w:rsidRDefault="00765141">
            <w:pPr>
              <w:pStyle w:val="TableFigureHeading"/>
              <w:jc w:val="center"/>
            </w:pPr>
            <w:r w:rsidRPr="00360C18">
              <w:t>(N=155)</w:t>
            </w:r>
          </w:p>
        </w:tc>
      </w:tr>
      <w:tr w:rsidR="00765141" w:rsidRPr="00360C18" w14:paraId="4F3A86D5" w14:textId="77777777">
        <w:tc>
          <w:tcPr>
            <w:tcW w:w="2328" w:type="pct"/>
          </w:tcPr>
          <w:p w14:paraId="0C3A968F" w14:textId="77777777" w:rsidR="00765141" w:rsidRPr="00360C18" w:rsidRDefault="00765141">
            <w:pPr>
              <w:pStyle w:val="TableText0"/>
            </w:pPr>
            <w:r>
              <w:t>Median follow-up (months)</w:t>
            </w:r>
          </w:p>
        </w:tc>
        <w:tc>
          <w:tcPr>
            <w:tcW w:w="2672" w:type="pct"/>
            <w:gridSpan w:val="3"/>
          </w:tcPr>
          <w:p w14:paraId="3EAEB3F5" w14:textId="77777777" w:rsidR="00765141" w:rsidRPr="00360C18" w:rsidRDefault="00765141">
            <w:pPr>
              <w:pStyle w:val="TableText0"/>
              <w:jc w:val="center"/>
            </w:pPr>
            <w:r>
              <w:t>14.9</w:t>
            </w:r>
          </w:p>
        </w:tc>
      </w:tr>
      <w:tr w:rsidR="00765141" w:rsidRPr="00360C18" w14:paraId="06A8584A" w14:textId="77777777">
        <w:tc>
          <w:tcPr>
            <w:tcW w:w="5000" w:type="pct"/>
            <w:gridSpan w:val="4"/>
            <w:vAlign w:val="center"/>
          </w:tcPr>
          <w:p w14:paraId="13538880" w14:textId="77777777" w:rsidR="00765141" w:rsidRPr="00360C18" w:rsidRDefault="00765141">
            <w:pPr>
              <w:pStyle w:val="TableText0"/>
            </w:pPr>
            <w:r w:rsidRPr="00472C34">
              <w:rPr>
                <w:b/>
                <w:bCs w:val="0"/>
              </w:rPr>
              <w:t>Progression-free survival</w:t>
            </w:r>
            <w:r>
              <w:rPr>
                <w:b/>
                <w:bCs w:val="0"/>
              </w:rPr>
              <w:t xml:space="preserve"> (BICR)</w:t>
            </w:r>
          </w:p>
        </w:tc>
      </w:tr>
      <w:tr w:rsidR="00765141" w:rsidRPr="00360C18" w14:paraId="63BD1047" w14:textId="77777777">
        <w:tc>
          <w:tcPr>
            <w:tcW w:w="2328" w:type="pct"/>
            <w:vAlign w:val="center"/>
          </w:tcPr>
          <w:p w14:paraId="034FD4CC" w14:textId="77777777" w:rsidR="00765141" w:rsidRPr="00360C18" w:rsidRDefault="00765141">
            <w:pPr>
              <w:pStyle w:val="TableText0"/>
            </w:pPr>
            <w:r w:rsidRPr="0098262F">
              <w:t>Events</w:t>
            </w:r>
            <w:r>
              <w:t xml:space="preserve"> (progression or death)</w:t>
            </w:r>
            <w:r w:rsidRPr="0098262F">
              <w:t>, n (%)</w:t>
            </w:r>
          </w:p>
        </w:tc>
        <w:tc>
          <w:tcPr>
            <w:tcW w:w="1375" w:type="pct"/>
            <w:gridSpan w:val="2"/>
          </w:tcPr>
          <w:p w14:paraId="28A33548" w14:textId="77777777" w:rsidR="00765141" w:rsidRPr="009A1BE9" w:rsidRDefault="00765141">
            <w:pPr>
              <w:pStyle w:val="TableText0"/>
              <w:jc w:val="center"/>
            </w:pPr>
            <w:r w:rsidRPr="009A1BE9">
              <w:t>84 (54.9%)</w:t>
            </w:r>
          </w:p>
        </w:tc>
        <w:tc>
          <w:tcPr>
            <w:tcW w:w="1297" w:type="pct"/>
          </w:tcPr>
          <w:p w14:paraId="183FD437" w14:textId="77777777" w:rsidR="00765141" w:rsidRPr="00360C18" w:rsidRDefault="00765141">
            <w:pPr>
              <w:pStyle w:val="TableText0"/>
              <w:jc w:val="center"/>
            </w:pPr>
            <w:r w:rsidRPr="009A1BE9">
              <w:t>132 (85.2%)</w:t>
            </w:r>
          </w:p>
        </w:tc>
      </w:tr>
      <w:tr w:rsidR="00765141" w:rsidRPr="00360C18" w14:paraId="3A67F452" w14:textId="77777777">
        <w:tc>
          <w:tcPr>
            <w:tcW w:w="2328" w:type="pct"/>
          </w:tcPr>
          <w:p w14:paraId="67266CE0" w14:textId="77777777" w:rsidR="00765141" w:rsidRPr="0017164F" w:rsidRDefault="00765141">
            <w:pPr>
              <w:pStyle w:val="TableText0"/>
            </w:pPr>
            <w:r w:rsidRPr="0017164F">
              <w:t>Censored</w:t>
            </w:r>
          </w:p>
        </w:tc>
        <w:tc>
          <w:tcPr>
            <w:tcW w:w="1375" w:type="pct"/>
            <w:gridSpan w:val="2"/>
          </w:tcPr>
          <w:p w14:paraId="482BBB98" w14:textId="77777777" w:rsidR="00765141" w:rsidRPr="001C01A7" w:rsidRDefault="00765141">
            <w:pPr>
              <w:pStyle w:val="TableText0"/>
              <w:jc w:val="center"/>
              <w:rPr>
                <w:vertAlign w:val="superscript"/>
              </w:rPr>
            </w:pPr>
            <w:r w:rsidRPr="0017164F">
              <w:t>69 (45.1%)</w:t>
            </w:r>
            <w:r>
              <w:t xml:space="preserve"> </w:t>
            </w:r>
            <w:r>
              <w:rPr>
                <w:vertAlign w:val="superscript"/>
              </w:rPr>
              <w:t>e</w:t>
            </w:r>
          </w:p>
        </w:tc>
        <w:tc>
          <w:tcPr>
            <w:tcW w:w="1297" w:type="pct"/>
            <w:vAlign w:val="center"/>
          </w:tcPr>
          <w:p w14:paraId="50C8977A" w14:textId="77777777" w:rsidR="00765141" w:rsidRPr="0017164F" w:rsidRDefault="00765141">
            <w:pPr>
              <w:pStyle w:val="TableText0"/>
              <w:jc w:val="center"/>
            </w:pPr>
            <w:r w:rsidRPr="0017164F">
              <w:t>23 (14.8%)</w:t>
            </w:r>
            <w:r>
              <w:t xml:space="preserve"> </w:t>
            </w:r>
            <w:r>
              <w:rPr>
                <w:vertAlign w:val="superscript"/>
              </w:rPr>
              <w:t>e</w:t>
            </w:r>
          </w:p>
        </w:tc>
      </w:tr>
      <w:tr w:rsidR="00765141" w:rsidRPr="00360C18" w14:paraId="299236A1" w14:textId="77777777">
        <w:tc>
          <w:tcPr>
            <w:tcW w:w="2328" w:type="pct"/>
          </w:tcPr>
          <w:p w14:paraId="4114AED4" w14:textId="77777777" w:rsidR="00765141" w:rsidRPr="00360C18" w:rsidRDefault="00765141">
            <w:pPr>
              <w:pStyle w:val="TableText0"/>
            </w:pPr>
            <w:r w:rsidRPr="0098262F">
              <w:t>Median PFS, months (95% CI)</w:t>
            </w:r>
          </w:p>
        </w:tc>
        <w:tc>
          <w:tcPr>
            <w:tcW w:w="1375" w:type="pct"/>
            <w:gridSpan w:val="2"/>
          </w:tcPr>
          <w:p w14:paraId="5183C7F7" w14:textId="77777777" w:rsidR="00765141" w:rsidRPr="009A1BE9" w:rsidRDefault="00765141">
            <w:pPr>
              <w:pStyle w:val="TableText0"/>
              <w:jc w:val="center"/>
            </w:pPr>
            <w:r w:rsidRPr="009A1BE9">
              <w:t>11.37 (9.79, 13.70)</w:t>
            </w:r>
          </w:p>
        </w:tc>
        <w:tc>
          <w:tcPr>
            <w:tcW w:w="1297" w:type="pct"/>
          </w:tcPr>
          <w:p w14:paraId="479B3D79" w14:textId="77777777" w:rsidR="00765141" w:rsidRPr="00360C18" w:rsidRDefault="00765141">
            <w:pPr>
              <w:pStyle w:val="TableText0"/>
              <w:jc w:val="center"/>
            </w:pPr>
            <w:r w:rsidRPr="009A1BE9">
              <w:t>6.70 (5.59, 7.33)</w:t>
            </w:r>
          </w:p>
        </w:tc>
      </w:tr>
      <w:tr w:rsidR="00765141" w:rsidRPr="00360C18" w14:paraId="47DDE3D8" w14:textId="77777777">
        <w:tc>
          <w:tcPr>
            <w:tcW w:w="2328" w:type="pct"/>
          </w:tcPr>
          <w:p w14:paraId="69469900" w14:textId="77777777" w:rsidR="00765141" w:rsidRPr="009A1BE9" w:rsidRDefault="00765141">
            <w:pPr>
              <w:pStyle w:val="TableText0"/>
            </w:pPr>
            <w:r w:rsidRPr="009A1BE9">
              <w:t>p-value</w:t>
            </w:r>
            <w:r w:rsidRPr="009A1BE9">
              <w:rPr>
                <w:vertAlign w:val="superscript"/>
              </w:rPr>
              <w:t>a</w:t>
            </w:r>
          </w:p>
        </w:tc>
        <w:tc>
          <w:tcPr>
            <w:tcW w:w="2672" w:type="pct"/>
            <w:gridSpan w:val="3"/>
          </w:tcPr>
          <w:p w14:paraId="54687F06" w14:textId="77777777" w:rsidR="00765141" w:rsidRPr="004C782E" w:rsidRDefault="00765141">
            <w:pPr>
              <w:pStyle w:val="TableText0"/>
              <w:jc w:val="center"/>
              <w:rPr>
                <w:b/>
                <w:bCs w:val="0"/>
              </w:rPr>
            </w:pPr>
            <w:r w:rsidRPr="004C782E">
              <w:rPr>
                <w:b/>
                <w:bCs w:val="0"/>
              </w:rPr>
              <w:t>&lt;0.0001</w:t>
            </w:r>
          </w:p>
        </w:tc>
      </w:tr>
      <w:tr w:rsidR="00765141" w:rsidRPr="00360C18" w14:paraId="144504EE" w14:textId="77777777">
        <w:tc>
          <w:tcPr>
            <w:tcW w:w="2328" w:type="pct"/>
          </w:tcPr>
          <w:p w14:paraId="267AA711" w14:textId="77777777" w:rsidR="00765141" w:rsidRPr="009A1BE9" w:rsidRDefault="00765141">
            <w:pPr>
              <w:pStyle w:val="TableText0"/>
            </w:pPr>
            <w:r w:rsidRPr="009A1BE9">
              <w:t>Hazard ratio (95% CI)</w:t>
            </w:r>
            <w:r w:rsidRPr="009A1BE9">
              <w:rPr>
                <w:vertAlign w:val="superscript"/>
              </w:rPr>
              <w:t>b</w:t>
            </w:r>
          </w:p>
        </w:tc>
        <w:tc>
          <w:tcPr>
            <w:tcW w:w="2672" w:type="pct"/>
            <w:gridSpan w:val="3"/>
          </w:tcPr>
          <w:p w14:paraId="4A680999" w14:textId="77777777" w:rsidR="00765141" w:rsidRPr="004C782E" w:rsidRDefault="00765141">
            <w:pPr>
              <w:pStyle w:val="TableText0"/>
              <w:jc w:val="center"/>
              <w:rPr>
                <w:b/>
                <w:bCs w:val="0"/>
              </w:rPr>
            </w:pPr>
            <w:r w:rsidRPr="004C782E">
              <w:rPr>
                <w:b/>
                <w:bCs w:val="0"/>
              </w:rPr>
              <w:t>0.395 (0.296, 0.528)</w:t>
            </w:r>
          </w:p>
        </w:tc>
      </w:tr>
      <w:tr w:rsidR="00765141" w:rsidRPr="00360C18" w14:paraId="0749AC9C" w14:textId="77777777">
        <w:tc>
          <w:tcPr>
            <w:tcW w:w="5000" w:type="pct"/>
            <w:gridSpan w:val="4"/>
          </w:tcPr>
          <w:p w14:paraId="36DAE9D7" w14:textId="7D378F51" w:rsidR="00765141" w:rsidRPr="00271358" w:rsidRDefault="00765141">
            <w:pPr>
              <w:pStyle w:val="TableText0"/>
            </w:pPr>
            <w:r w:rsidRPr="00472C34">
              <w:rPr>
                <w:b/>
                <w:bCs w:val="0"/>
              </w:rPr>
              <w:t>Overall survival</w:t>
            </w:r>
            <w:r>
              <w:rPr>
                <w:b/>
                <w:bCs w:val="0"/>
              </w:rPr>
              <w:t xml:space="preserve"> </w:t>
            </w:r>
          </w:p>
        </w:tc>
      </w:tr>
      <w:tr w:rsidR="00765141" w:rsidRPr="00360C18" w14:paraId="30A9EF59" w14:textId="77777777">
        <w:tc>
          <w:tcPr>
            <w:tcW w:w="2328" w:type="pct"/>
          </w:tcPr>
          <w:p w14:paraId="306F856F" w14:textId="77777777" w:rsidR="00765141" w:rsidRPr="009A1BE9" w:rsidRDefault="00765141">
            <w:pPr>
              <w:pStyle w:val="TableText0"/>
            </w:pPr>
            <w:r w:rsidRPr="00360C18">
              <w:t>Event</w:t>
            </w:r>
            <w:r>
              <w:t xml:space="preserve"> (death)</w:t>
            </w:r>
          </w:p>
        </w:tc>
        <w:tc>
          <w:tcPr>
            <w:tcW w:w="1336" w:type="pct"/>
          </w:tcPr>
          <w:p w14:paraId="415EC5F8" w14:textId="77777777" w:rsidR="00765141" w:rsidRPr="00271358" w:rsidRDefault="00765141">
            <w:pPr>
              <w:pStyle w:val="TableText0"/>
              <w:jc w:val="center"/>
            </w:pPr>
            <w:r w:rsidRPr="00CE45B8">
              <w:t>28 (18.3%)</w:t>
            </w:r>
          </w:p>
        </w:tc>
        <w:tc>
          <w:tcPr>
            <w:tcW w:w="1336" w:type="pct"/>
            <w:gridSpan w:val="2"/>
          </w:tcPr>
          <w:p w14:paraId="6BDDA258" w14:textId="77777777" w:rsidR="00765141" w:rsidRPr="00271358" w:rsidRDefault="00765141">
            <w:pPr>
              <w:pStyle w:val="TableText0"/>
              <w:jc w:val="center"/>
            </w:pPr>
            <w:r w:rsidRPr="00CE45B8">
              <w:t>42 (27.1%)</w:t>
            </w:r>
          </w:p>
        </w:tc>
      </w:tr>
      <w:tr w:rsidR="00765141" w:rsidRPr="00360C18" w14:paraId="7F1D89B9" w14:textId="77777777">
        <w:tc>
          <w:tcPr>
            <w:tcW w:w="2328" w:type="pct"/>
          </w:tcPr>
          <w:p w14:paraId="024FFA09" w14:textId="77777777" w:rsidR="00765141" w:rsidRPr="009A1BE9" w:rsidRDefault="00765141">
            <w:pPr>
              <w:pStyle w:val="TableText0"/>
            </w:pPr>
            <w:r w:rsidRPr="002C2F16">
              <w:t>Censored</w:t>
            </w:r>
          </w:p>
        </w:tc>
        <w:tc>
          <w:tcPr>
            <w:tcW w:w="1336" w:type="pct"/>
          </w:tcPr>
          <w:p w14:paraId="5137D06F" w14:textId="77777777" w:rsidR="00765141" w:rsidRPr="00271358" w:rsidRDefault="00765141">
            <w:pPr>
              <w:pStyle w:val="TableText0"/>
              <w:jc w:val="center"/>
            </w:pPr>
            <w:r w:rsidRPr="00CE45B8">
              <w:t>125 (81.7%)</w:t>
            </w:r>
          </w:p>
        </w:tc>
        <w:tc>
          <w:tcPr>
            <w:tcW w:w="1336" w:type="pct"/>
            <w:gridSpan w:val="2"/>
          </w:tcPr>
          <w:p w14:paraId="65440FC3" w14:textId="77777777" w:rsidR="00765141" w:rsidRPr="00271358" w:rsidRDefault="00765141">
            <w:pPr>
              <w:pStyle w:val="TableText0"/>
              <w:jc w:val="center"/>
            </w:pPr>
            <w:r w:rsidRPr="00CE45B8">
              <w:t>113 (72.9%)</w:t>
            </w:r>
          </w:p>
        </w:tc>
      </w:tr>
      <w:tr w:rsidR="00765141" w:rsidRPr="00360C18" w14:paraId="0AE4E1AF" w14:textId="77777777">
        <w:tc>
          <w:tcPr>
            <w:tcW w:w="2328" w:type="pct"/>
          </w:tcPr>
          <w:p w14:paraId="2B396EE7" w14:textId="160E23FF" w:rsidR="00765141" w:rsidRPr="009A1BE9" w:rsidRDefault="00765141">
            <w:pPr>
              <w:pStyle w:val="TableText0"/>
            </w:pPr>
            <w:r w:rsidRPr="009A1BE9">
              <w:t>Median</w:t>
            </w:r>
            <w:r>
              <w:t xml:space="preserve"> OS, months</w:t>
            </w:r>
            <w:r w:rsidRPr="009A1BE9">
              <w:t xml:space="preserve"> (95% CI)</w:t>
            </w:r>
          </w:p>
        </w:tc>
        <w:tc>
          <w:tcPr>
            <w:tcW w:w="1336" w:type="pct"/>
          </w:tcPr>
          <w:p w14:paraId="55604E96" w14:textId="77777777" w:rsidR="00765141" w:rsidRPr="00271358" w:rsidRDefault="00765141">
            <w:pPr>
              <w:pStyle w:val="TableText0"/>
              <w:jc w:val="center"/>
            </w:pPr>
            <w:r w:rsidRPr="00CE45B8">
              <w:t>NE (NE, NE)</w:t>
            </w:r>
          </w:p>
        </w:tc>
        <w:tc>
          <w:tcPr>
            <w:tcW w:w="1336" w:type="pct"/>
            <w:gridSpan w:val="2"/>
          </w:tcPr>
          <w:p w14:paraId="6AB3B2F2" w14:textId="77777777" w:rsidR="00765141" w:rsidRPr="00271358" w:rsidRDefault="00765141">
            <w:pPr>
              <w:pStyle w:val="TableText0"/>
              <w:jc w:val="center"/>
            </w:pPr>
            <w:r w:rsidRPr="00CE45B8">
              <w:t>24.38 (22.08, NE)</w:t>
            </w:r>
          </w:p>
        </w:tc>
      </w:tr>
      <w:tr w:rsidR="00765141" w:rsidRPr="00360C18" w14:paraId="777D1FEF" w14:textId="77777777">
        <w:tc>
          <w:tcPr>
            <w:tcW w:w="2328" w:type="pct"/>
          </w:tcPr>
          <w:p w14:paraId="09B29C0B" w14:textId="77777777" w:rsidR="00765141" w:rsidRDefault="00765141">
            <w:pPr>
              <w:pStyle w:val="TableText0"/>
            </w:pPr>
            <w:r w:rsidRPr="009A1BE9">
              <w:t>6-month event-free rate (95% CI)</w:t>
            </w:r>
          </w:p>
        </w:tc>
        <w:tc>
          <w:tcPr>
            <w:tcW w:w="1336" w:type="pct"/>
          </w:tcPr>
          <w:p w14:paraId="2418FE95" w14:textId="77777777" w:rsidR="00765141" w:rsidRPr="00CE45B8" w:rsidRDefault="00765141">
            <w:pPr>
              <w:pStyle w:val="TableText0"/>
              <w:jc w:val="center"/>
            </w:pPr>
            <w:r w:rsidRPr="00CE45B8">
              <w:t>0.94 (0.89, 0.97)</w:t>
            </w:r>
          </w:p>
        </w:tc>
        <w:tc>
          <w:tcPr>
            <w:tcW w:w="1336" w:type="pct"/>
            <w:gridSpan w:val="2"/>
          </w:tcPr>
          <w:p w14:paraId="6DEB5086" w14:textId="77777777" w:rsidR="00765141" w:rsidRPr="00CE45B8" w:rsidRDefault="00765141">
            <w:pPr>
              <w:pStyle w:val="TableText0"/>
              <w:jc w:val="center"/>
            </w:pPr>
            <w:r w:rsidRPr="00CE45B8">
              <w:t>0.97 (0.92, 0.99)</w:t>
            </w:r>
          </w:p>
        </w:tc>
      </w:tr>
      <w:tr w:rsidR="00765141" w:rsidRPr="00360C18" w14:paraId="00B18CF3" w14:textId="77777777">
        <w:tc>
          <w:tcPr>
            <w:tcW w:w="2328" w:type="pct"/>
          </w:tcPr>
          <w:p w14:paraId="163F0C63" w14:textId="77777777" w:rsidR="00765141" w:rsidRPr="009A1BE9" w:rsidRDefault="00765141">
            <w:pPr>
              <w:pStyle w:val="TableText0"/>
            </w:pPr>
            <w:r w:rsidRPr="009A1BE9">
              <w:t>12-month event-free rate (95% CI)</w:t>
            </w:r>
          </w:p>
        </w:tc>
        <w:tc>
          <w:tcPr>
            <w:tcW w:w="1336" w:type="pct"/>
          </w:tcPr>
          <w:p w14:paraId="0BCAEF7C" w14:textId="77777777" w:rsidR="00765141" w:rsidRPr="00CE45B8" w:rsidRDefault="00765141">
            <w:pPr>
              <w:pStyle w:val="TableText0"/>
              <w:jc w:val="center"/>
            </w:pPr>
            <w:r w:rsidRPr="00CE45B8">
              <w:t>0.86 (0.79, 0.91)</w:t>
            </w:r>
          </w:p>
        </w:tc>
        <w:tc>
          <w:tcPr>
            <w:tcW w:w="1336" w:type="pct"/>
            <w:gridSpan w:val="2"/>
          </w:tcPr>
          <w:p w14:paraId="03522066" w14:textId="77777777" w:rsidR="00765141" w:rsidRPr="00CE45B8" w:rsidRDefault="00765141">
            <w:pPr>
              <w:pStyle w:val="TableText0"/>
              <w:jc w:val="center"/>
            </w:pPr>
            <w:r w:rsidRPr="00CE45B8">
              <w:t>0.82 (0.74, 0.87)</w:t>
            </w:r>
          </w:p>
        </w:tc>
      </w:tr>
      <w:tr w:rsidR="00765141" w:rsidRPr="00360C18" w14:paraId="0F75149C" w14:textId="77777777">
        <w:tc>
          <w:tcPr>
            <w:tcW w:w="2328" w:type="pct"/>
          </w:tcPr>
          <w:p w14:paraId="3678F9FB" w14:textId="77777777" w:rsidR="00765141" w:rsidRPr="009A1BE9" w:rsidRDefault="00765141">
            <w:pPr>
              <w:pStyle w:val="TableText0"/>
            </w:pPr>
            <w:r w:rsidRPr="009A1BE9">
              <w:t>18-month event-free rate (95% CI)</w:t>
            </w:r>
          </w:p>
        </w:tc>
        <w:tc>
          <w:tcPr>
            <w:tcW w:w="1336" w:type="pct"/>
          </w:tcPr>
          <w:p w14:paraId="5A1AE965" w14:textId="77777777" w:rsidR="00765141" w:rsidRPr="00CE45B8" w:rsidRDefault="00765141">
            <w:pPr>
              <w:pStyle w:val="TableText0"/>
              <w:jc w:val="center"/>
            </w:pPr>
            <w:r w:rsidRPr="00CE45B8">
              <w:t>0.74 (0.64, 0.82)</w:t>
            </w:r>
          </w:p>
        </w:tc>
        <w:tc>
          <w:tcPr>
            <w:tcW w:w="1336" w:type="pct"/>
            <w:gridSpan w:val="2"/>
          </w:tcPr>
          <w:p w14:paraId="55789EE8" w14:textId="77777777" w:rsidR="00765141" w:rsidRPr="00CE45B8" w:rsidRDefault="00765141">
            <w:pPr>
              <w:pStyle w:val="TableText0"/>
              <w:jc w:val="center"/>
            </w:pPr>
            <w:r w:rsidRPr="00CE45B8">
              <w:t>0.68 (0.58, 0.76)</w:t>
            </w:r>
          </w:p>
        </w:tc>
      </w:tr>
      <w:tr w:rsidR="00765141" w:rsidRPr="00360C18" w14:paraId="011E3A31" w14:textId="77777777">
        <w:tc>
          <w:tcPr>
            <w:tcW w:w="2328" w:type="pct"/>
          </w:tcPr>
          <w:p w14:paraId="19A44E7C" w14:textId="77777777" w:rsidR="00765141" w:rsidRPr="009A1BE9" w:rsidRDefault="00765141">
            <w:pPr>
              <w:pStyle w:val="TableText0"/>
            </w:pPr>
            <w:r w:rsidRPr="00CE45B8">
              <w:t>24-month event-free rate (95% CI)</w:t>
            </w:r>
          </w:p>
        </w:tc>
        <w:tc>
          <w:tcPr>
            <w:tcW w:w="1336" w:type="pct"/>
          </w:tcPr>
          <w:p w14:paraId="4F63AC29" w14:textId="77777777" w:rsidR="00765141" w:rsidRPr="00CE45B8" w:rsidRDefault="00765141">
            <w:pPr>
              <w:pStyle w:val="TableText0"/>
              <w:jc w:val="center"/>
            </w:pPr>
            <w:r w:rsidRPr="00CE45B8">
              <w:t>0.72 (0.61, 0.81)</w:t>
            </w:r>
          </w:p>
        </w:tc>
        <w:tc>
          <w:tcPr>
            <w:tcW w:w="1336" w:type="pct"/>
            <w:gridSpan w:val="2"/>
          </w:tcPr>
          <w:p w14:paraId="3DD074D1" w14:textId="77777777" w:rsidR="00765141" w:rsidRPr="00CE45B8" w:rsidRDefault="00765141">
            <w:pPr>
              <w:pStyle w:val="TableText0"/>
              <w:jc w:val="center"/>
            </w:pPr>
            <w:r w:rsidRPr="00CE45B8">
              <w:t>0.54 (0.37, 0.68)</w:t>
            </w:r>
          </w:p>
        </w:tc>
      </w:tr>
      <w:tr w:rsidR="00765141" w:rsidRPr="00360C18" w14:paraId="42C7BBA5" w14:textId="77777777">
        <w:tc>
          <w:tcPr>
            <w:tcW w:w="2328" w:type="pct"/>
          </w:tcPr>
          <w:p w14:paraId="7FAB091E" w14:textId="77777777" w:rsidR="00765141" w:rsidRPr="00CE45B8" w:rsidRDefault="00765141">
            <w:pPr>
              <w:pStyle w:val="TableText0"/>
            </w:pPr>
            <w:r w:rsidRPr="009A1BE9">
              <w:t>p-</w:t>
            </w:r>
            <w:proofErr w:type="spellStart"/>
            <w:r w:rsidRPr="009A1BE9">
              <w:t>value</w:t>
            </w:r>
            <w:r>
              <w:rPr>
                <w:vertAlign w:val="superscript"/>
              </w:rPr>
              <w:t>c</w:t>
            </w:r>
            <w:proofErr w:type="spellEnd"/>
          </w:p>
        </w:tc>
        <w:tc>
          <w:tcPr>
            <w:tcW w:w="2672" w:type="pct"/>
            <w:gridSpan w:val="3"/>
          </w:tcPr>
          <w:p w14:paraId="5F89C141" w14:textId="77777777" w:rsidR="00765141" w:rsidRPr="00CE45B8" w:rsidRDefault="00765141">
            <w:pPr>
              <w:pStyle w:val="TableText0"/>
              <w:jc w:val="center"/>
            </w:pPr>
            <w:r w:rsidRPr="00CE45B8">
              <w:t>0.1056</w:t>
            </w:r>
          </w:p>
        </w:tc>
      </w:tr>
      <w:tr w:rsidR="00765141" w:rsidRPr="00360C18" w14:paraId="11487556" w14:textId="77777777">
        <w:tc>
          <w:tcPr>
            <w:tcW w:w="2328" w:type="pct"/>
          </w:tcPr>
          <w:p w14:paraId="03768B67" w14:textId="52907A90" w:rsidR="00765141" w:rsidRPr="006C036F" w:rsidRDefault="00765141">
            <w:pPr>
              <w:pStyle w:val="TableText0"/>
              <w:rPr>
                <w:vertAlign w:val="superscript"/>
              </w:rPr>
            </w:pPr>
            <w:r w:rsidRPr="009A1BE9">
              <w:t>Hazard ratio (95% CI)</w:t>
            </w:r>
            <w:r w:rsidR="006C036F">
              <w:rPr>
                <w:vertAlign w:val="superscript"/>
              </w:rPr>
              <w:t>b</w:t>
            </w:r>
          </w:p>
        </w:tc>
        <w:tc>
          <w:tcPr>
            <w:tcW w:w="2672" w:type="pct"/>
            <w:gridSpan w:val="3"/>
          </w:tcPr>
          <w:p w14:paraId="75CE9574" w14:textId="77777777" w:rsidR="00765141" w:rsidRPr="00CE45B8" w:rsidRDefault="00765141">
            <w:pPr>
              <w:pStyle w:val="TableText0"/>
              <w:jc w:val="center"/>
            </w:pPr>
            <w:r w:rsidRPr="00CF6B14">
              <w:t>0.675 (0.418, 1.090)</w:t>
            </w:r>
          </w:p>
        </w:tc>
      </w:tr>
      <w:tr w:rsidR="00765141" w:rsidRPr="00360C18" w14:paraId="19F44B6B" w14:textId="77777777">
        <w:tc>
          <w:tcPr>
            <w:tcW w:w="5000" w:type="pct"/>
            <w:gridSpan w:val="4"/>
          </w:tcPr>
          <w:p w14:paraId="23CA10D4" w14:textId="77777777" w:rsidR="00765141" w:rsidRPr="00CE45B8" w:rsidRDefault="00765141">
            <w:pPr>
              <w:pStyle w:val="TableText0"/>
            </w:pPr>
            <w:r>
              <w:rPr>
                <w:b/>
                <w:bCs w:val="0"/>
              </w:rPr>
              <w:t>Objective response rate (BICR)</w:t>
            </w:r>
          </w:p>
        </w:tc>
      </w:tr>
      <w:tr w:rsidR="00765141" w:rsidRPr="00360C18" w14:paraId="3B2EFEF5" w14:textId="77777777" w:rsidTr="00A539BA">
        <w:tc>
          <w:tcPr>
            <w:tcW w:w="2328" w:type="pct"/>
          </w:tcPr>
          <w:p w14:paraId="4BFDF667" w14:textId="77777777" w:rsidR="00765141" w:rsidRPr="009A1BE9" w:rsidRDefault="00765141">
            <w:pPr>
              <w:pStyle w:val="TableText0"/>
            </w:pPr>
            <w:r w:rsidRPr="00CC772E">
              <w:t>Number of subjects with measurable disease at</w:t>
            </w:r>
            <w:r>
              <w:t xml:space="preserve"> </w:t>
            </w:r>
            <w:r w:rsidRPr="00CC772E">
              <w:t>baseline</w:t>
            </w:r>
          </w:p>
        </w:tc>
        <w:tc>
          <w:tcPr>
            <w:tcW w:w="1336" w:type="pct"/>
            <w:vAlign w:val="center"/>
          </w:tcPr>
          <w:p w14:paraId="68E29F8A" w14:textId="77777777" w:rsidR="00765141" w:rsidRPr="00CF6B14" w:rsidRDefault="00765141" w:rsidP="00A539BA">
            <w:pPr>
              <w:pStyle w:val="TableText0"/>
              <w:jc w:val="center"/>
            </w:pPr>
            <w:r w:rsidRPr="00CC772E">
              <w:t>152</w:t>
            </w:r>
          </w:p>
        </w:tc>
        <w:tc>
          <w:tcPr>
            <w:tcW w:w="1336" w:type="pct"/>
            <w:gridSpan w:val="2"/>
            <w:vAlign w:val="center"/>
          </w:tcPr>
          <w:p w14:paraId="590F4DF8" w14:textId="77777777" w:rsidR="00765141" w:rsidRPr="00CE45B8" w:rsidRDefault="00765141" w:rsidP="00A539BA">
            <w:pPr>
              <w:pStyle w:val="TableText0"/>
              <w:jc w:val="center"/>
            </w:pPr>
            <w:r w:rsidRPr="00CC772E">
              <w:t>152</w:t>
            </w:r>
          </w:p>
        </w:tc>
      </w:tr>
      <w:tr w:rsidR="00765141" w:rsidRPr="00360C18" w14:paraId="09CBADC9" w14:textId="77777777">
        <w:tc>
          <w:tcPr>
            <w:tcW w:w="2328" w:type="pct"/>
          </w:tcPr>
          <w:p w14:paraId="14F7CB02" w14:textId="77777777" w:rsidR="00765141" w:rsidRPr="009A1BE9" w:rsidRDefault="00765141">
            <w:pPr>
              <w:pStyle w:val="TableText0"/>
            </w:pPr>
            <w:r w:rsidRPr="00CC772E">
              <w:t>Responders (CR + PR)</w:t>
            </w:r>
          </w:p>
        </w:tc>
        <w:tc>
          <w:tcPr>
            <w:tcW w:w="1336" w:type="pct"/>
          </w:tcPr>
          <w:p w14:paraId="0133C294" w14:textId="77777777" w:rsidR="00765141" w:rsidRPr="00CF6B14" w:rsidRDefault="00765141">
            <w:pPr>
              <w:pStyle w:val="TableText0"/>
              <w:jc w:val="center"/>
            </w:pPr>
            <w:r w:rsidRPr="00CC772E">
              <w:t>111</w:t>
            </w:r>
          </w:p>
        </w:tc>
        <w:tc>
          <w:tcPr>
            <w:tcW w:w="1336" w:type="pct"/>
            <w:gridSpan w:val="2"/>
          </w:tcPr>
          <w:p w14:paraId="39BC59BE" w14:textId="77777777" w:rsidR="00765141" w:rsidRPr="00CE45B8" w:rsidRDefault="00765141">
            <w:pPr>
              <w:pStyle w:val="TableText0"/>
              <w:jc w:val="center"/>
            </w:pPr>
            <w:r w:rsidRPr="00CC772E">
              <w:t>72</w:t>
            </w:r>
          </w:p>
        </w:tc>
      </w:tr>
      <w:tr w:rsidR="00765141" w:rsidRPr="00360C18" w14:paraId="3680AA4C" w14:textId="77777777">
        <w:tc>
          <w:tcPr>
            <w:tcW w:w="2328" w:type="pct"/>
          </w:tcPr>
          <w:p w14:paraId="65D6BC34" w14:textId="77777777" w:rsidR="00765141" w:rsidRPr="009A1BE9" w:rsidRDefault="00765141">
            <w:pPr>
              <w:pStyle w:val="TableText0"/>
            </w:pPr>
            <w:r w:rsidRPr="00CC772E">
              <w:t>Objective response rate</w:t>
            </w:r>
          </w:p>
        </w:tc>
        <w:tc>
          <w:tcPr>
            <w:tcW w:w="1336" w:type="pct"/>
          </w:tcPr>
          <w:p w14:paraId="79FEFBF7" w14:textId="77777777" w:rsidR="00765141" w:rsidRPr="00CF6B14" w:rsidRDefault="00765141">
            <w:pPr>
              <w:pStyle w:val="TableText0"/>
              <w:jc w:val="center"/>
            </w:pPr>
            <w:r w:rsidRPr="00CC772E">
              <w:t>73.0%</w:t>
            </w:r>
          </w:p>
        </w:tc>
        <w:tc>
          <w:tcPr>
            <w:tcW w:w="1336" w:type="pct"/>
            <w:gridSpan w:val="2"/>
          </w:tcPr>
          <w:p w14:paraId="46153435" w14:textId="77777777" w:rsidR="00765141" w:rsidRPr="00CE45B8" w:rsidRDefault="00765141">
            <w:pPr>
              <w:pStyle w:val="TableText0"/>
              <w:jc w:val="center"/>
            </w:pPr>
            <w:r w:rsidRPr="00CC772E">
              <w:t>47.4%</w:t>
            </w:r>
          </w:p>
        </w:tc>
      </w:tr>
      <w:tr w:rsidR="00765141" w:rsidRPr="00360C18" w14:paraId="0D2F5A19" w14:textId="77777777">
        <w:tc>
          <w:tcPr>
            <w:tcW w:w="2328" w:type="pct"/>
          </w:tcPr>
          <w:p w14:paraId="011205AC" w14:textId="3F6D8558" w:rsidR="00765141" w:rsidRPr="00CC772E" w:rsidRDefault="00765141">
            <w:pPr>
              <w:pStyle w:val="TableText0"/>
            </w:pPr>
            <w:r w:rsidRPr="00CC772E">
              <w:t>p-</w:t>
            </w:r>
            <w:r w:rsidR="00904036" w:rsidRPr="00CC772E">
              <w:t>value</w:t>
            </w:r>
            <w:r w:rsidR="00904036">
              <w:rPr>
                <w:vertAlign w:val="superscript"/>
              </w:rPr>
              <w:t>a</w:t>
            </w:r>
          </w:p>
        </w:tc>
        <w:tc>
          <w:tcPr>
            <w:tcW w:w="2672" w:type="pct"/>
            <w:gridSpan w:val="3"/>
          </w:tcPr>
          <w:p w14:paraId="2B7045B7" w14:textId="77777777" w:rsidR="00765141" w:rsidRPr="0010756A" w:rsidRDefault="00765141">
            <w:pPr>
              <w:pStyle w:val="TableText0"/>
              <w:jc w:val="center"/>
              <w:rPr>
                <w:b/>
              </w:rPr>
            </w:pPr>
            <w:r w:rsidRPr="0010756A">
              <w:rPr>
                <w:b/>
              </w:rPr>
              <w:t>&lt;0.0001</w:t>
            </w:r>
          </w:p>
        </w:tc>
      </w:tr>
      <w:tr w:rsidR="00765141" w:rsidRPr="00360C18" w14:paraId="7E2815F4" w14:textId="77777777" w:rsidTr="00B67C1E">
        <w:tc>
          <w:tcPr>
            <w:tcW w:w="2328" w:type="pct"/>
            <w:tcBorders>
              <w:bottom w:val="single" w:sz="4" w:space="0" w:color="auto"/>
            </w:tcBorders>
          </w:tcPr>
          <w:p w14:paraId="6CA01D2D" w14:textId="77777777" w:rsidR="00765141" w:rsidRPr="009A1BE9" w:rsidRDefault="00765141">
            <w:pPr>
              <w:pStyle w:val="TableText0"/>
            </w:pPr>
            <w:r w:rsidRPr="00CC772E">
              <w:t>Odds ratio (95% CI)</w:t>
            </w:r>
            <w:r>
              <w:rPr>
                <w:vertAlign w:val="superscript"/>
              </w:rPr>
              <w:t>d</w:t>
            </w:r>
          </w:p>
        </w:tc>
        <w:tc>
          <w:tcPr>
            <w:tcW w:w="2672" w:type="pct"/>
            <w:gridSpan w:val="3"/>
            <w:tcBorders>
              <w:bottom w:val="single" w:sz="4" w:space="0" w:color="auto"/>
            </w:tcBorders>
          </w:tcPr>
          <w:p w14:paraId="558C305C" w14:textId="77777777" w:rsidR="00765141" w:rsidRPr="0010756A" w:rsidRDefault="00765141">
            <w:pPr>
              <w:pStyle w:val="TableText0"/>
              <w:jc w:val="center"/>
              <w:rPr>
                <w:b/>
              </w:rPr>
            </w:pPr>
            <w:r w:rsidRPr="0010756A">
              <w:rPr>
                <w:b/>
              </w:rPr>
              <w:t>2.971 (1.844, 4.787)</w:t>
            </w:r>
          </w:p>
        </w:tc>
      </w:tr>
      <w:tr w:rsidR="00765141" w:rsidRPr="00360C18" w14:paraId="5BD71A76" w14:textId="77777777" w:rsidTr="00B67C1E">
        <w:tc>
          <w:tcPr>
            <w:tcW w:w="2328" w:type="pct"/>
            <w:tcBorders>
              <w:right w:val="nil"/>
            </w:tcBorders>
          </w:tcPr>
          <w:p w14:paraId="62DF3E5B" w14:textId="77777777" w:rsidR="00765141" w:rsidRPr="009A1BE9" w:rsidRDefault="00765141">
            <w:pPr>
              <w:pStyle w:val="TableText0"/>
            </w:pPr>
            <w:r w:rsidRPr="00CC772E">
              <w:t>Best Overall Response</w:t>
            </w:r>
            <w:r>
              <w:t xml:space="preserve"> (n, [%])</w:t>
            </w:r>
          </w:p>
        </w:tc>
        <w:tc>
          <w:tcPr>
            <w:tcW w:w="1336" w:type="pct"/>
            <w:tcBorders>
              <w:left w:val="nil"/>
              <w:right w:val="nil"/>
            </w:tcBorders>
          </w:tcPr>
          <w:p w14:paraId="296807B2" w14:textId="77777777" w:rsidR="00765141" w:rsidRPr="00CF6B14" w:rsidRDefault="00765141">
            <w:pPr>
              <w:pStyle w:val="TableText0"/>
              <w:jc w:val="center"/>
            </w:pPr>
          </w:p>
        </w:tc>
        <w:tc>
          <w:tcPr>
            <w:tcW w:w="1336" w:type="pct"/>
            <w:gridSpan w:val="2"/>
            <w:tcBorders>
              <w:left w:val="nil"/>
            </w:tcBorders>
          </w:tcPr>
          <w:p w14:paraId="16FBFAF4" w14:textId="77777777" w:rsidR="00765141" w:rsidRPr="00CE45B8" w:rsidRDefault="00765141">
            <w:pPr>
              <w:pStyle w:val="TableText0"/>
              <w:jc w:val="center"/>
            </w:pPr>
          </w:p>
        </w:tc>
      </w:tr>
      <w:tr w:rsidR="00765141" w:rsidRPr="00360C18" w14:paraId="48043A97" w14:textId="77777777">
        <w:tc>
          <w:tcPr>
            <w:tcW w:w="2328" w:type="pct"/>
          </w:tcPr>
          <w:p w14:paraId="661F0711" w14:textId="77777777" w:rsidR="00765141" w:rsidRPr="009A1BE9" w:rsidRDefault="00765141">
            <w:pPr>
              <w:pStyle w:val="TableText0"/>
            </w:pPr>
            <w:r>
              <w:t xml:space="preserve">  </w:t>
            </w:r>
            <w:r w:rsidRPr="00CC772E">
              <w:t>Complete Response (CR)</w:t>
            </w:r>
          </w:p>
        </w:tc>
        <w:tc>
          <w:tcPr>
            <w:tcW w:w="1336" w:type="pct"/>
          </w:tcPr>
          <w:p w14:paraId="4F5F0E16" w14:textId="77777777" w:rsidR="00765141" w:rsidRPr="00CF6B14" w:rsidRDefault="00765141">
            <w:pPr>
              <w:pStyle w:val="TableText0"/>
              <w:jc w:val="center"/>
            </w:pPr>
            <w:r w:rsidRPr="00CC772E">
              <w:t>6 (3.9%)</w:t>
            </w:r>
          </w:p>
        </w:tc>
        <w:tc>
          <w:tcPr>
            <w:tcW w:w="1336" w:type="pct"/>
            <w:gridSpan w:val="2"/>
          </w:tcPr>
          <w:p w14:paraId="0CAC45F3" w14:textId="77777777" w:rsidR="00765141" w:rsidRPr="00CE45B8" w:rsidRDefault="00765141">
            <w:pPr>
              <w:pStyle w:val="TableText0"/>
              <w:jc w:val="center"/>
            </w:pPr>
            <w:r w:rsidRPr="00B661A0">
              <w:t>1 (0.7%)</w:t>
            </w:r>
          </w:p>
        </w:tc>
      </w:tr>
      <w:tr w:rsidR="00765141" w:rsidRPr="00360C18" w14:paraId="02730D92" w14:textId="77777777">
        <w:tc>
          <w:tcPr>
            <w:tcW w:w="2328" w:type="pct"/>
          </w:tcPr>
          <w:p w14:paraId="65489F5A" w14:textId="77777777" w:rsidR="00765141" w:rsidRPr="009A1BE9" w:rsidRDefault="00765141">
            <w:pPr>
              <w:pStyle w:val="TableText0"/>
            </w:pPr>
            <w:r>
              <w:t xml:space="preserve">  </w:t>
            </w:r>
            <w:r w:rsidRPr="00CC772E">
              <w:t>Partial Response (PR)</w:t>
            </w:r>
          </w:p>
        </w:tc>
        <w:tc>
          <w:tcPr>
            <w:tcW w:w="1336" w:type="pct"/>
          </w:tcPr>
          <w:p w14:paraId="2E161A23" w14:textId="77777777" w:rsidR="00765141" w:rsidRPr="00CF6B14" w:rsidRDefault="00765141">
            <w:pPr>
              <w:pStyle w:val="TableText0"/>
              <w:jc w:val="center"/>
            </w:pPr>
            <w:r w:rsidRPr="00B661A0">
              <w:t>105 (69.1%)</w:t>
            </w:r>
          </w:p>
        </w:tc>
        <w:tc>
          <w:tcPr>
            <w:tcW w:w="1336" w:type="pct"/>
            <w:gridSpan w:val="2"/>
          </w:tcPr>
          <w:p w14:paraId="20F56D69" w14:textId="77777777" w:rsidR="00765141" w:rsidRPr="00CE45B8" w:rsidRDefault="00765141">
            <w:pPr>
              <w:pStyle w:val="TableText0"/>
              <w:jc w:val="center"/>
            </w:pPr>
            <w:r w:rsidRPr="00B661A0">
              <w:t>71 (46.7%)</w:t>
            </w:r>
          </w:p>
        </w:tc>
      </w:tr>
      <w:tr w:rsidR="00765141" w:rsidRPr="00360C18" w14:paraId="6D005028" w14:textId="77777777">
        <w:tc>
          <w:tcPr>
            <w:tcW w:w="2328" w:type="pct"/>
          </w:tcPr>
          <w:p w14:paraId="12DC44E7" w14:textId="77777777" w:rsidR="00765141" w:rsidRPr="009A1BE9" w:rsidRDefault="00765141">
            <w:pPr>
              <w:pStyle w:val="TableText0"/>
            </w:pPr>
            <w:r>
              <w:t xml:space="preserve">  </w:t>
            </w:r>
            <w:r w:rsidRPr="00CC772E">
              <w:t>Stable Disease (SD)</w:t>
            </w:r>
          </w:p>
        </w:tc>
        <w:tc>
          <w:tcPr>
            <w:tcW w:w="1336" w:type="pct"/>
          </w:tcPr>
          <w:p w14:paraId="274C0180" w14:textId="77777777" w:rsidR="00765141" w:rsidRPr="00CF6B14" w:rsidRDefault="00765141">
            <w:pPr>
              <w:pStyle w:val="TableText0"/>
              <w:jc w:val="center"/>
            </w:pPr>
            <w:r w:rsidRPr="0063764C">
              <w:t>29 (19.1%)</w:t>
            </w:r>
          </w:p>
        </w:tc>
        <w:tc>
          <w:tcPr>
            <w:tcW w:w="1336" w:type="pct"/>
            <w:gridSpan w:val="2"/>
          </w:tcPr>
          <w:p w14:paraId="29E26318" w14:textId="77777777" w:rsidR="00765141" w:rsidRPr="00CE45B8" w:rsidRDefault="00765141">
            <w:pPr>
              <w:pStyle w:val="TableText0"/>
              <w:jc w:val="center"/>
            </w:pPr>
            <w:r w:rsidRPr="0063764C">
              <w:t>62 (40.8%)</w:t>
            </w:r>
          </w:p>
        </w:tc>
      </w:tr>
      <w:tr w:rsidR="00765141" w:rsidRPr="00360C18" w14:paraId="50CC3D3F" w14:textId="77777777">
        <w:tc>
          <w:tcPr>
            <w:tcW w:w="2328" w:type="pct"/>
          </w:tcPr>
          <w:p w14:paraId="400FF076" w14:textId="77777777" w:rsidR="00765141" w:rsidRPr="009A1BE9" w:rsidRDefault="00765141">
            <w:pPr>
              <w:pStyle w:val="TableText0"/>
            </w:pPr>
            <w:r>
              <w:t xml:space="preserve">  </w:t>
            </w:r>
            <w:r w:rsidRPr="00CC772E">
              <w:t>Progressive Disease (PD)</w:t>
            </w:r>
          </w:p>
        </w:tc>
        <w:tc>
          <w:tcPr>
            <w:tcW w:w="1336" w:type="pct"/>
          </w:tcPr>
          <w:p w14:paraId="3E88C84B" w14:textId="77777777" w:rsidR="00765141" w:rsidRPr="00CF6B14" w:rsidRDefault="00765141">
            <w:pPr>
              <w:pStyle w:val="TableText0"/>
              <w:jc w:val="center"/>
            </w:pPr>
            <w:r w:rsidRPr="00B661A0">
              <w:t>4 (2.6%)</w:t>
            </w:r>
          </w:p>
        </w:tc>
        <w:tc>
          <w:tcPr>
            <w:tcW w:w="1336" w:type="pct"/>
            <w:gridSpan w:val="2"/>
          </w:tcPr>
          <w:p w14:paraId="2078AE87" w14:textId="77777777" w:rsidR="00765141" w:rsidRPr="00CE45B8" w:rsidRDefault="00765141">
            <w:pPr>
              <w:pStyle w:val="TableText0"/>
              <w:jc w:val="center"/>
            </w:pPr>
            <w:r w:rsidRPr="00B661A0">
              <w:t>16 (10.5%)</w:t>
            </w:r>
          </w:p>
        </w:tc>
      </w:tr>
      <w:tr w:rsidR="00765141" w:rsidRPr="00360C18" w14:paraId="10254234" w14:textId="77777777">
        <w:tc>
          <w:tcPr>
            <w:tcW w:w="2328" w:type="pct"/>
          </w:tcPr>
          <w:p w14:paraId="46566950" w14:textId="77777777" w:rsidR="00765141" w:rsidRPr="009A1BE9" w:rsidRDefault="00765141">
            <w:pPr>
              <w:pStyle w:val="TableText0"/>
            </w:pPr>
            <w:r>
              <w:t xml:space="preserve">  </w:t>
            </w:r>
            <w:r w:rsidRPr="00CC772E">
              <w:t>Not Evaluable (NE)</w:t>
            </w:r>
          </w:p>
        </w:tc>
        <w:tc>
          <w:tcPr>
            <w:tcW w:w="1336" w:type="pct"/>
          </w:tcPr>
          <w:p w14:paraId="7C12EA37" w14:textId="77777777" w:rsidR="00765141" w:rsidRPr="00CF6B14" w:rsidRDefault="00765141">
            <w:pPr>
              <w:pStyle w:val="TableText0"/>
              <w:jc w:val="center"/>
            </w:pPr>
            <w:r w:rsidRPr="00B661A0">
              <w:t>8 (5.3%)</w:t>
            </w:r>
          </w:p>
        </w:tc>
        <w:tc>
          <w:tcPr>
            <w:tcW w:w="1336" w:type="pct"/>
            <w:gridSpan w:val="2"/>
          </w:tcPr>
          <w:p w14:paraId="7CB03D1B" w14:textId="77777777" w:rsidR="00765141" w:rsidRPr="00CE45B8" w:rsidRDefault="00765141">
            <w:pPr>
              <w:pStyle w:val="TableText0"/>
              <w:jc w:val="center"/>
            </w:pPr>
            <w:r w:rsidRPr="00B661A0">
              <w:t>2 (1.3%)</w:t>
            </w:r>
          </w:p>
        </w:tc>
      </w:tr>
    </w:tbl>
    <w:p w14:paraId="00696F14" w14:textId="77777777" w:rsidR="00765141" w:rsidRPr="00C06BAC" w:rsidRDefault="00765141" w:rsidP="00AD07E3">
      <w:pPr>
        <w:pStyle w:val="TableFigureFooter"/>
      </w:pPr>
      <w:r w:rsidRPr="000334E1">
        <w:t>Source: Tables 2.24 and 2.26, p94 of the submission</w:t>
      </w:r>
    </w:p>
    <w:p w14:paraId="67D70FDB" w14:textId="34590D0B" w:rsidR="00765141" w:rsidRPr="008272D0" w:rsidRDefault="00765141" w:rsidP="00AD07E3">
      <w:pPr>
        <w:pStyle w:val="TableFigureFooter"/>
        <w:rPr>
          <w:iCs/>
        </w:rPr>
      </w:pPr>
      <w:r w:rsidRPr="000334E1">
        <w:t xml:space="preserve">Abbreviations: ACP, amivantamab plus carboplatin/ pemetrexed; BICR, blinded independent central review; CI, confidence interval; CP, carboplatin/ pemetrexed; </w:t>
      </w:r>
      <w:r w:rsidR="00073E21">
        <w:t>CR</w:t>
      </w:r>
      <w:r w:rsidR="00644D48">
        <w:t xml:space="preserve">, </w:t>
      </w:r>
      <w:r w:rsidR="00353E78">
        <w:t>complete response</w:t>
      </w:r>
      <w:r w:rsidR="00644D48">
        <w:t xml:space="preserve">; </w:t>
      </w:r>
      <w:r w:rsidRPr="000334E1">
        <w:t xml:space="preserve">ECOG, Eastern Cooperative Oncology Group; FAS, </w:t>
      </w:r>
      <w:r w:rsidR="00FF2DFC">
        <w:t>f</w:t>
      </w:r>
      <w:r w:rsidRPr="000334E1">
        <w:t xml:space="preserve">ull analysis set; </w:t>
      </w:r>
      <w:r w:rsidR="006D4E1E">
        <w:t>n</w:t>
      </w:r>
      <w:r w:rsidR="00232D15">
        <w:t>/N</w:t>
      </w:r>
      <w:r w:rsidR="006D4E1E">
        <w:t xml:space="preserve">, </w:t>
      </w:r>
      <w:r w:rsidR="00232D15">
        <w:t>n</w:t>
      </w:r>
      <w:r w:rsidR="006D4E1E">
        <w:t xml:space="preserve">umber; </w:t>
      </w:r>
      <w:r w:rsidRPr="000334E1">
        <w:t>NE, not estimable; ORR, objective response rate; OS, overall survival; PD, progressive disease; PR, partial response; PFS, progression free survival; PS, performance status</w:t>
      </w:r>
      <w:r w:rsidR="003A31EE">
        <w:t>.</w:t>
      </w:r>
    </w:p>
    <w:p w14:paraId="40882A3D" w14:textId="77777777" w:rsidR="00765141" w:rsidRPr="000334E1" w:rsidRDefault="00765141" w:rsidP="00AD07E3">
      <w:pPr>
        <w:pStyle w:val="TableFigureFooter"/>
      </w:pPr>
      <w:r w:rsidRPr="000334E1">
        <w:rPr>
          <w:vertAlign w:val="superscript"/>
        </w:rPr>
        <w:t>a</w:t>
      </w:r>
      <w:r w:rsidRPr="000334E1">
        <w:t xml:space="preserve"> p-value is from a log-rank test stratified by ECOG PS (0 or 1) and history of brain metastases (yes or no).</w:t>
      </w:r>
    </w:p>
    <w:p w14:paraId="42C93AAE" w14:textId="2586A7F3" w:rsidR="00765141" w:rsidRPr="000334E1" w:rsidRDefault="00765141" w:rsidP="00AD07E3">
      <w:pPr>
        <w:pStyle w:val="TableFigureFooter"/>
      </w:pPr>
      <w:r w:rsidRPr="000334E1">
        <w:rPr>
          <w:vertAlign w:val="superscript"/>
        </w:rPr>
        <w:t>b</w:t>
      </w:r>
      <w:r w:rsidRPr="000334E1">
        <w:t xml:space="preserve"> Hazard ratio is from stratified </w:t>
      </w:r>
      <w:r w:rsidR="009335C7">
        <w:t>(PFS)/unstratified (OS)</w:t>
      </w:r>
      <w:r w:rsidRPr="000334E1">
        <w:t xml:space="preserve"> proportional hazards model. Hazard ratio &lt;1 favours ACP.</w:t>
      </w:r>
    </w:p>
    <w:p w14:paraId="3CDCFADB" w14:textId="77777777" w:rsidR="00765141" w:rsidRPr="000334E1" w:rsidRDefault="00765141" w:rsidP="00AD07E3">
      <w:pPr>
        <w:pStyle w:val="TableFigureFooter"/>
      </w:pPr>
      <w:r w:rsidRPr="000334E1">
        <w:rPr>
          <w:vertAlign w:val="superscript"/>
        </w:rPr>
        <w:t>c</w:t>
      </w:r>
      <w:r w:rsidRPr="000334E1">
        <w:t xml:space="preserve"> p-value is from a log-rank test.</w:t>
      </w:r>
    </w:p>
    <w:p w14:paraId="04906EA4" w14:textId="77777777" w:rsidR="00765141" w:rsidRPr="00CE2E4A" w:rsidRDefault="00765141" w:rsidP="00AD07E3">
      <w:pPr>
        <w:pStyle w:val="TableFigureFooter"/>
      </w:pPr>
      <w:r w:rsidRPr="000334E1">
        <w:rPr>
          <w:vertAlign w:val="superscript"/>
        </w:rPr>
        <w:t>d</w:t>
      </w:r>
      <w:r w:rsidRPr="000334E1">
        <w:t xml:space="preserve"> Odds ratio &gt;1 favours ACP.</w:t>
      </w:r>
    </w:p>
    <w:p w14:paraId="33F13D34" w14:textId="77777777" w:rsidR="00765141" w:rsidRDefault="00765141" w:rsidP="00AD07E3">
      <w:pPr>
        <w:pStyle w:val="TableFigureFooter"/>
      </w:pPr>
      <w:r w:rsidRPr="00CE2E4A">
        <w:rPr>
          <w:vertAlign w:val="superscript"/>
        </w:rPr>
        <w:t>e</w:t>
      </w:r>
      <w:r w:rsidRPr="00CE2E4A">
        <w:t xml:space="preserve"> 39.2% in ACP arm </w:t>
      </w:r>
      <w:r>
        <w:t xml:space="preserve">and </w:t>
      </w:r>
      <w:r w:rsidRPr="00CE2E4A">
        <w:t>12.9%</w:t>
      </w:r>
      <w:r>
        <w:t xml:space="preserve"> </w:t>
      </w:r>
      <w:r w:rsidRPr="00CE2E4A">
        <w:t>in CP arm</w:t>
      </w:r>
      <w:r>
        <w:t xml:space="preserve"> censored due to study cut-off</w:t>
      </w:r>
    </w:p>
    <w:p w14:paraId="684FA6A5" w14:textId="77777777" w:rsidR="00765141" w:rsidRPr="008272D0" w:rsidRDefault="00765141" w:rsidP="00AD07E3">
      <w:pPr>
        <w:pStyle w:val="TableFigureFooter"/>
        <w:rPr>
          <w:iCs/>
        </w:rPr>
      </w:pPr>
      <w:r w:rsidRPr="000334E1">
        <w:rPr>
          <w:b/>
          <w:bCs/>
        </w:rPr>
        <w:t>Bold</w:t>
      </w:r>
      <w:r w:rsidRPr="000334E1">
        <w:t xml:space="preserve"> text indicates statistically significant results.</w:t>
      </w:r>
    </w:p>
    <w:p w14:paraId="52B8FD47" w14:textId="6E542717" w:rsidR="00765141" w:rsidRDefault="00765141" w:rsidP="00EF4C49">
      <w:pPr>
        <w:pStyle w:val="3-BodyText"/>
      </w:pPr>
      <w:r>
        <w:t xml:space="preserve">The primary outcome for the PAPILLON trial was PFS. After an overall median </w:t>
      </w:r>
      <w:r w:rsidR="00B10EFF">
        <w:t>follow up</w:t>
      </w:r>
      <w:r>
        <w:t xml:space="preserve"> of 14.9 months, significantly fewer patients in the ACP arm had disease progression or death compared to the CP arm (54.9% in ACP, 85.2% in CP</w:t>
      </w:r>
      <w:r w:rsidR="00BA310A">
        <w:t xml:space="preserve">). </w:t>
      </w:r>
      <w:r w:rsidR="003D6E5F">
        <w:t>The median PFS</w:t>
      </w:r>
      <w:r w:rsidR="00732A9D">
        <w:t xml:space="preserve"> for the ACP and CP arms were </w:t>
      </w:r>
      <w:r w:rsidR="008E6CA4">
        <w:t xml:space="preserve">11.37 and </w:t>
      </w:r>
      <w:r w:rsidR="003409A2">
        <w:t>6.70 months</w:t>
      </w:r>
      <w:r w:rsidR="00003589">
        <w:t>, respectively</w:t>
      </w:r>
      <w:r w:rsidR="0016287D">
        <w:t>,</w:t>
      </w:r>
      <w:r w:rsidR="00003589">
        <w:t xml:space="preserve"> and this was</w:t>
      </w:r>
      <w:r w:rsidR="00565563">
        <w:t xml:space="preserve"> a</w:t>
      </w:r>
      <w:r w:rsidR="0028492D">
        <w:t xml:space="preserve"> statistically significant difference (</w:t>
      </w:r>
      <w:r>
        <w:t xml:space="preserve">hazard ratio (HR) 0.395 (95% </w:t>
      </w:r>
      <w:r w:rsidR="006F19E5">
        <w:t>confidence interval [</w:t>
      </w:r>
      <w:r>
        <w:t>CI</w:t>
      </w:r>
      <w:r w:rsidR="00277B42">
        <w:t xml:space="preserve">] </w:t>
      </w:r>
      <w:r w:rsidRPr="00CF6B14">
        <w:t>0.296, 0.528</w:t>
      </w:r>
      <w:r>
        <w:t>).</w:t>
      </w:r>
      <w:r w:rsidDel="00071208">
        <w:t xml:space="preserve"> </w:t>
      </w:r>
      <w:r>
        <w:t xml:space="preserve">The Kaplan Meier (KM) curves for PFS in the PAPILLON trial are presented in </w:t>
      </w:r>
      <w:r>
        <w:fldChar w:fldCharType="begin"/>
      </w:r>
      <w:r>
        <w:instrText xml:space="preserve"> REF _Ref174094586 \h </w:instrText>
      </w:r>
      <w:r>
        <w:fldChar w:fldCharType="separate"/>
      </w:r>
      <w:r w:rsidR="00372107">
        <w:t xml:space="preserve">Figure </w:t>
      </w:r>
      <w:r w:rsidR="00372107">
        <w:rPr>
          <w:noProof/>
        </w:rPr>
        <w:t>1</w:t>
      </w:r>
      <w:r>
        <w:fldChar w:fldCharType="end"/>
      </w:r>
      <w:r>
        <w:t>.</w:t>
      </w:r>
    </w:p>
    <w:p w14:paraId="1DD977DE" w14:textId="50F14D2F" w:rsidR="00765141" w:rsidRDefault="00765141" w:rsidP="00765141">
      <w:pPr>
        <w:pStyle w:val="TableFigureHeading"/>
      </w:pPr>
      <w:bookmarkStart w:id="55" w:name="_Ref174094586"/>
      <w:bookmarkStart w:id="56" w:name="_Ref174094577"/>
      <w:r>
        <w:lastRenderedPageBreak/>
        <w:t xml:space="preserve">Figure </w:t>
      </w:r>
      <w:r w:rsidR="002C794C">
        <w:fldChar w:fldCharType="begin"/>
      </w:r>
      <w:r w:rsidR="002C794C">
        <w:instrText xml:space="preserve"> SEQ Figure \* ARABIC </w:instrText>
      </w:r>
      <w:r w:rsidR="002C794C">
        <w:fldChar w:fldCharType="separate"/>
      </w:r>
      <w:r w:rsidR="00372107">
        <w:rPr>
          <w:noProof/>
        </w:rPr>
        <w:t>1</w:t>
      </w:r>
      <w:r w:rsidR="002C794C">
        <w:rPr>
          <w:noProof/>
        </w:rPr>
        <w:fldChar w:fldCharType="end"/>
      </w:r>
      <w:bookmarkEnd w:id="55"/>
      <w:r>
        <w:t xml:space="preserve">: </w:t>
      </w:r>
      <w:r w:rsidRPr="00D9067B">
        <w:t>Kaplan-Meier plot of PFS by BICR (FAS, stratified)</w:t>
      </w:r>
      <w:bookmarkEnd w:id="56"/>
    </w:p>
    <w:p w14:paraId="3AD848C7" w14:textId="77777777" w:rsidR="00765141" w:rsidRDefault="00765141" w:rsidP="00765141">
      <w:r>
        <w:rPr>
          <w:noProof/>
        </w:rPr>
        <w:drawing>
          <wp:inline distT="0" distB="0" distL="0" distR="0" wp14:anchorId="779625C9" wp14:editId="7DEE2849">
            <wp:extent cx="5732145" cy="3098800"/>
            <wp:effectExtent l="0" t="0" r="1905" b="6350"/>
            <wp:docPr id="722317603" name="Picture 722317603" descr="Figure 1: Kaplan-Meier plot of PFS by BICR (FAS, stra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317603" name="Picture 722317603" descr="Figure 1: Kaplan-Meier plot of PFS by BICR (FAS, stratified)"/>
                    <pic:cNvPicPr/>
                  </pic:nvPicPr>
                  <pic:blipFill>
                    <a:blip r:embed="rId11"/>
                    <a:stretch>
                      <a:fillRect/>
                    </a:stretch>
                  </pic:blipFill>
                  <pic:spPr>
                    <a:xfrm>
                      <a:off x="0" y="0"/>
                      <a:ext cx="5732145" cy="3098800"/>
                    </a:xfrm>
                    <a:prstGeom prst="rect">
                      <a:avLst/>
                    </a:prstGeom>
                  </pic:spPr>
                </pic:pic>
              </a:graphicData>
            </a:graphic>
          </wp:inline>
        </w:drawing>
      </w:r>
    </w:p>
    <w:p w14:paraId="166CDEED" w14:textId="77777777" w:rsidR="00765141" w:rsidRDefault="00765141" w:rsidP="00AD07E3">
      <w:pPr>
        <w:pStyle w:val="TableFigureFooter"/>
      </w:pPr>
      <w:r>
        <w:t xml:space="preserve">Source: Figure 2.4, p90 of the submission </w:t>
      </w:r>
    </w:p>
    <w:p w14:paraId="69B0DB66" w14:textId="77777777" w:rsidR="00765141" w:rsidRDefault="00765141" w:rsidP="00AD07E3">
      <w:pPr>
        <w:pStyle w:val="TableFigureFooter"/>
      </w:pPr>
      <w:r>
        <w:t>Abbreviations: ACP,</w:t>
      </w:r>
      <w:r w:rsidRPr="00856AF7">
        <w:t xml:space="preserve"> </w:t>
      </w:r>
      <w:r>
        <w:t>a</w:t>
      </w:r>
      <w:r w:rsidRPr="00856AF7">
        <w:t xml:space="preserve">mivantamab plus </w:t>
      </w:r>
      <w:r w:rsidRPr="006F356D">
        <w:t>carboplatin/ pemetrexed</w:t>
      </w:r>
      <w:r>
        <w:t>;</w:t>
      </w:r>
      <w:r w:rsidRPr="00856AF7">
        <w:t xml:space="preserve"> </w:t>
      </w:r>
      <w:r>
        <w:t xml:space="preserve">CP, </w:t>
      </w:r>
      <w:r w:rsidRPr="006F356D">
        <w:t>carboplatin/ pemetrexed</w:t>
      </w:r>
      <w:r>
        <w:t>;</w:t>
      </w:r>
      <w:r w:rsidRPr="009A1BE9">
        <w:t xml:space="preserve"> BICR</w:t>
      </w:r>
      <w:r>
        <w:t>,</w:t>
      </w:r>
      <w:r w:rsidRPr="009A1BE9">
        <w:t xml:space="preserve"> blinded independent central review</w:t>
      </w:r>
      <w:r>
        <w:t>; FAS, full analysis set; PFS, progression free survival.</w:t>
      </w:r>
    </w:p>
    <w:p w14:paraId="40DDC5D3" w14:textId="0C0501FA" w:rsidR="00765141" w:rsidRDefault="00765141" w:rsidP="00EF4C49">
      <w:pPr>
        <w:pStyle w:val="3-BodyText"/>
      </w:pPr>
      <w:r>
        <w:t xml:space="preserve">For PFS, the superior treatment effect for ACP over CP was consistent across subgroups, including age, sex, race, weight, history of brain metastasis, ECOG performance status score and history of smoking. Likely due to small sample sizes, HR estimates were not statistically significant among two subgroups: patients age </w:t>
      </w:r>
      <w:r w:rsidRPr="00B276BA">
        <w:rPr>
          <w:rFonts w:cs="Calibri"/>
        </w:rPr>
        <w:t>≥</w:t>
      </w:r>
      <w:r>
        <w:t>75</w:t>
      </w:r>
      <w:r w:rsidR="00E0349C">
        <w:t> </w:t>
      </w:r>
      <w:r>
        <w:t>years (HR=0.59; 95% CI 0.22, 1.58) and history of brain metastasis (HR=0.63; 95% CI 0.38, 1.06), though HR estimates were consistent with the overall effect.</w:t>
      </w:r>
    </w:p>
    <w:p w14:paraId="16FB0D77" w14:textId="26BB3DCA" w:rsidR="00765141" w:rsidRDefault="00765141" w:rsidP="00EF4C49">
      <w:pPr>
        <w:pStyle w:val="3-BodyText"/>
      </w:pPr>
      <w:r>
        <w:t xml:space="preserve">Secondary outcomes included OS and ORR. At the time of cutoff for data analysis, median OS was not reached in the ACP arm and was </w:t>
      </w:r>
      <w:r w:rsidRPr="00063DBA">
        <w:t>24.</w:t>
      </w:r>
      <w:r>
        <w:t xml:space="preserve">4 months in the CP arm. The submission stated that there was a strong trend towards improved survival in the ACP arm (HR=0.676; 95% CI </w:t>
      </w:r>
      <w:r w:rsidRPr="001C59B0">
        <w:t>0.418, 1.090</w:t>
      </w:r>
      <w:r>
        <w:t xml:space="preserve">). The KM curves for OS in the PAPILLON trial are presented in </w:t>
      </w:r>
      <w:r>
        <w:fldChar w:fldCharType="begin"/>
      </w:r>
      <w:r>
        <w:instrText xml:space="preserve"> REF _Ref174094591 \h </w:instrText>
      </w:r>
      <w:r>
        <w:fldChar w:fldCharType="separate"/>
      </w:r>
      <w:r w:rsidR="00372107">
        <w:t xml:space="preserve">Figure </w:t>
      </w:r>
      <w:r w:rsidR="00372107">
        <w:rPr>
          <w:noProof/>
        </w:rPr>
        <w:t>2</w:t>
      </w:r>
      <w:r>
        <w:fldChar w:fldCharType="end"/>
      </w:r>
      <w:r>
        <w:t xml:space="preserve">. </w:t>
      </w:r>
    </w:p>
    <w:p w14:paraId="38405198" w14:textId="0494640A" w:rsidR="00765141" w:rsidRDefault="00765141" w:rsidP="00765141">
      <w:pPr>
        <w:pStyle w:val="TableFigureHeading"/>
      </w:pPr>
      <w:bookmarkStart w:id="57" w:name="_Ref174094591"/>
      <w:r>
        <w:lastRenderedPageBreak/>
        <w:t xml:space="preserve">Figure </w:t>
      </w:r>
      <w:r w:rsidR="002C794C">
        <w:fldChar w:fldCharType="begin"/>
      </w:r>
      <w:r w:rsidR="002C794C">
        <w:instrText xml:space="preserve"> SEQ Figure \* ARABIC </w:instrText>
      </w:r>
      <w:r w:rsidR="002C794C">
        <w:fldChar w:fldCharType="separate"/>
      </w:r>
      <w:r w:rsidR="00372107">
        <w:rPr>
          <w:noProof/>
        </w:rPr>
        <w:t>2</w:t>
      </w:r>
      <w:r w:rsidR="002C794C">
        <w:rPr>
          <w:noProof/>
        </w:rPr>
        <w:fldChar w:fldCharType="end"/>
      </w:r>
      <w:bookmarkEnd w:id="57"/>
      <w:r>
        <w:t>: Kaplan-Meier plot of OS by investigators (FAS, unstratified)</w:t>
      </w:r>
    </w:p>
    <w:p w14:paraId="1686F303" w14:textId="77777777" w:rsidR="00765141" w:rsidRDefault="00765141" w:rsidP="00765141">
      <w:r>
        <w:rPr>
          <w:noProof/>
        </w:rPr>
        <w:drawing>
          <wp:inline distT="0" distB="0" distL="0" distR="0" wp14:anchorId="39C16A20" wp14:editId="6CF3B500">
            <wp:extent cx="5732145" cy="3055628"/>
            <wp:effectExtent l="0" t="0" r="1905" b="0"/>
            <wp:docPr id="1612018865" name="Picture 1612018865" descr="Figure 2: Kaplan-Meier plot of OS by investigators (FAS, unstra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018865" name="Picture 1612018865" descr="Figure 2: Kaplan-Meier plot of OS by investigators (FAS, unstratified)"/>
                    <pic:cNvPicPr/>
                  </pic:nvPicPr>
                  <pic:blipFill>
                    <a:blip r:embed="rId12"/>
                    <a:stretch>
                      <a:fillRect/>
                    </a:stretch>
                  </pic:blipFill>
                  <pic:spPr>
                    <a:xfrm>
                      <a:off x="0" y="0"/>
                      <a:ext cx="5732145" cy="3055628"/>
                    </a:xfrm>
                    <a:prstGeom prst="rect">
                      <a:avLst/>
                    </a:prstGeom>
                  </pic:spPr>
                </pic:pic>
              </a:graphicData>
            </a:graphic>
          </wp:inline>
        </w:drawing>
      </w:r>
    </w:p>
    <w:p w14:paraId="522575CF" w14:textId="77777777" w:rsidR="00765141" w:rsidRDefault="00765141" w:rsidP="00AD07E3">
      <w:pPr>
        <w:pStyle w:val="TableFigureFooter"/>
      </w:pPr>
      <w:r>
        <w:t xml:space="preserve">Source: Figure 2.7, p94 of the submission </w:t>
      </w:r>
    </w:p>
    <w:p w14:paraId="02255720" w14:textId="4E6B54D8" w:rsidR="00765141" w:rsidRDefault="002F7E4A" w:rsidP="00AD07E3">
      <w:pPr>
        <w:pStyle w:val="TableFigureFooter"/>
      </w:pPr>
      <w:r>
        <w:t xml:space="preserve">Abbreviations: </w:t>
      </w:r>
      <w:r w:rsidR="00765141">
        <w:t>ACP, a</w:t>
      </w:r>
      <w:r w:rsidR="00765141" w:rsidRPr="00856AF7">
        <w:t xml:space="preserve">mivantamab plus </w:t>
      </w:r>
      <w:r w:rsidR="00765141" w:rsidRPr="006F356D">
        <w:t>carboplatin/ pemetrexed</w:t>
      </w:r>
      <w:r w:rsidR="00765141">
        <w:t>;</w:t>
      </w:r>
      <w:r w:rsidR="00765141" w:rsidRPr="00856AF7">
        <w:t xml:space="preserve"> </w:t>
      </w:r>
      <w:r w:rsidR="00765141">
        <w:t xml:space="preserve">CP, </w:t>
      </w:r>
      <w:r w:rsidR="00765141" w:rsidRPr="006F356D">
        <w:t>carboplatin/ pemetrexed</w:t>
      </w:r>
      <w:r w:rsidR="00765141">
        <w:t>;</w:t>
      </w:r>
      <w:r w:rsidR="00765141" w:rsidRPr="009A1BE9">
        <w:t xml:space="preserve"> BICR</w:t>
      </w:r>
      <w:r w:rsidR="00765141">
        <w:t xml:space="preserve">, </w:t>
      </w:r>
      <w:r w:rsidR="00765141" w:rsidRPr="009A1BE9">
        <w:t>blinded independent central review</w:t>
      </w:r>
      <w:r w:rsidR="00025817">
        <w:t xml:space="preserve">; FAS, </w:t>
      </w:r>
      <w:r w:rsidR="002A5654">
        <w:t>full analysis set</w:t>
      </w:r>
      <w:r w:rsidR="00345CFB">
        <w:t xml:space="preserve">; </w:t>
      </w:r>
      <w:r w:rsidR="00025817">
        <w:t xml:space="preserve">OS, </w:t>
      </w:r>
      <w:r w:rsidR="00697A23">
        <w:t>overall survival.</w:t>
      </w:r>
    </w:p>
    <w:p w14:paraId="3B5296B7" w14:textId="2DCCE562" w:rsidR="00CC5C14" w:rsidRDefault="00DA0B10" w:rsidP="00EF4C49">
      <w:pPr>
        <w:pStyle w:val="3-BodyText"/>
      </w:pPr>
      <w:r w:rsidRPr="008272D0">
        <w:t>Literature demonstrating the correlation between PFS and OS in NSCLC remain mixed. Evidence suggests that the association between these outcomes is weak (low to medium correlation) particularly for metastatic lung cancer.</w:t>
      </w:r>
      <w:r w:rsidRPr="008272D0">
        <w:rPr>
          <w:rStyle w:val="FootnoteReference"/>
        </w:rPr>
        <w:footnoteReference w:id="13"/>
      </w:r>
      <w:r w:rsidR="00CC5C14" w:rsidRPr="008272D0">
        <w:rPr>
          <w:vertAlign w:val="superscript"/>
        </w:rPr>
        <w:t>,</w:t>
      </w:r>
      <w:r w:rsidRPr="008272D0">
        <w:rPr>
          <w:rStyle w:val="FootnoteReference"/>
        </w:rPr>
        <w:footnoteReference w:id="14"/>
      </w:r>
      <w:r w:rsidRPr="008272D0">
        <w:t xml:space="preserve"> </w:t>
      </w:r>
      <w:r w:rsidR="001C3694" w:rsidRPr="008272D0">
        <w:t>Conversely, a</w:t>
      </w:r>
      <w:r w:rsidRPr="008272D0">
        <w:t xml:space="preserve">mong studies that report a surrogate threshold effect (STE), suggested </w:t>
      </w:r>
      <w:r w:rsidR="000C5386" w:rsidRPr="008272D0">
        <w:t xml:space="preserve">PFS </w:t>
      </w:r>
      <w:r w:rsidRPr="008272D0">
        <w:t>difference</w:t>
      </w:r>
      <w:r w:rsidR="00D90F6D" w:rsidRPr="008272D0">
        <w:t>s</w:t>
      </w:r>
      <w:r w:rsidRPr="008272D0">
        <w:t xml:space="preserve"> of 3.3</w:t>
      </w:r>
      <w:r w:rsidR="002E6893">
        <w:t> </w:t>
      </w:r>
      <w:r w:rsidRPr="008272D0">
        <w:t>months (with a trial size of 250 patients)</w:t>
      </w:r>
      <w:r w:rsidRPr="008272D0">
        <w:rPr>
          <w:rStyle w:val="FootnoteReference"/>
        </w:rPr>
        <w:footnoteReference w:id="15"/>
      </w:r>
      <w:r w:rsidRPr="008272D0">
        <w:t xml:space="preserve"> and 4.2 months</w:t>
      </w:r>
      <w:r w:rsidRPr="008272D0">
        <w:rPr>
          <w:rStyle w:val="FootnoteReference"/>
        </w:rPr>
        <w:footnoteReference w:id="16"/>
      </w:r>
      <w:r w:rsidRPr="008272D0">
        <w:t xml:space="preserve"> </w:t>
      </w:r>
      <w:r w:rsidR="00D90F6D" w:rsidRPr="008272D0">
        <w:t>are</w:t>
      </w:r>
      <w:r w:rsidRPr="008272D0">
        <w:t xml:space="preserve"> required to predict OS. </w:t>
      </w:r>
      <w:r w:rsidR="001E100E" w:rsidRPr="008272D0">
        <w:t xml:space="preserve">The </w:t>
      </w:r>
      <w:r w:rsidR="00F63D4A" w:rsidRPr="008272D0">
        <w:t>reported difference in median PFS</w:t>
      </w:r>
      <w:r w:rsidR="002D0AD0" w:rsidRPr="008272D0">
        <w:t xml:space="preserve"> of 4.67 months </w:t>
      </w:r>
      <w:r w:rsidR="0014669E" w:rsidRPr="008272D0">
        <w:t>between the ACP and CP arms</w:t>
      </w:r>
      <w:r w:rsidR="002D0AD0" w:rsidRPr="008272D0">
        <w:t xml:space="preserve"> in the PAPILLON trial </w:t>
      </w:r>
      <w:r w:rsidR="00E861D9" w:rsidRPr="008272D0">
        <w:t>is above the</w:t>
      </w:r>
      <w:r w:rsidR="00D90F6D" w:rsidRPr="008272D0">
        <w:t>se</w:t>
      </w:r>
      <w:r w:rsidR="008B5559">
        <w:t xml:space="preserve"> </w:t>
      </w:r>
      <w:r w:rsidR="00E861D9" w:rsidRPr="008272D0">
        <w:t>STE</w:t>
      </w:r>
      <w:r w:rsidR="00D90F6D" w:rsidRPr="008272D0">
        <w:t>s</w:t>
      </w:r>
      <w:r w:rsidR="00E861D9" w:rsidRPr="008272D0">
        <w:t>.</w:t>
      </w:r>
    </w:p>
    <w:p w14:paraId="2BB4BABF" w14:textId="54941DF8" w:rsidR="00765141" w:rsidRPr="0024557B" w:rsidRDefault="00765141" w:rsidP="00EF4C49">
      <w:pPr>
        <w:pStyle w:val="3-BodyText"/>
      </w:pPr>
      <w:r>
        <w:t xml:space="preserve">The </w:t>
      </w:r>
      <w:r w:rsidR="004B66C4" w:rsidRPr="00620E0B">
        <w:t>submission used</w:t>
      </w:r>
      <w:r w:rsidR="004B66C4">
        <w:t xml:space="preserve"> </w:t>
      </w:r>
      <w:r>
        <w:t xml:space="preserve">three methods to adjust the OS outcome for treatment switching: i) two-stage estimation (TSE), (ii) inverse probability of censoring weight (IPCW) and (iii) rank preserving structural failure time (RPSFT). </w:t>
      </w:r>
      <w:r w:rsidRPr="009F2209">
        <w:t>IPCW and RP</w:t>
      </w:r>
      <w:r>
        <w:t>S</w:t>
      </w:r>
      <w:r w:rsidRPr="009F2209">
        <w:t xml:space="preserve">FT were pre-specified in the protocol as supplementary analyses to adjust for confounding from treatment </w:t>
      </w:r>
      <w:r w:rsidRPr="002D24CD">
        <w:t>crossover.</w:t>
      </w:r>
      <w:r w:rsidR="004B66C4" w:rsidRPr="002D24CD">
        <w:t xml:space="preserve"> </w:t>
      </w:r>
      <w:r w:rsidR="00BA6A95" w:rsidRPr="00620E0B">
        <w:t>The ESC noted that pre-specified adjustments were typically more robust compared with post-hoc adjustments.</w:t>
      </w:r>
    </w:p>
    <w:p w14:paraId="4F6CF81E" w14:textId="73E396A9" w:rsidR="00765141" w:rsidRPr="003417AC" w:rsidRDefault="00765141" w:rsidP="00EF4C49">
      <w:pPr>
        <w:pStyle w:val="3-BodyText"/>
      </w:pPr>
      <w:r w:rsidRPr="008272D0" w:rsidDel="009D10B8">
        <w:t xml:space="preserve">Each of the approaches applied have their merits and limitations and each method relies on a specific set of assumptions. While the submission described the steps of </w:t>
      </w:r>
      <w:r w:rsidRPr="008272D0" w:rsidDel="009D10B8">
        <w:lastRenderedPageBreak/>
        <w:t xml:space="preserve">conducting the respective analyses, the submission lacked details on how models were selected, </w:t>
      </w:r>
      <w:r w:rsidRPr="008272D0" w:rsidDel="009D10B8">
        <w:rPr>
          <w:lang w:val="en-US"/>
        </w:rPr>
        <w:t xml:space="preserve">no tests (and results) were presented to demonstrate how the models performed and empirical results regarding assumptions being met or violated were not presented. </w:t>
      </w:r>
    </w:p>
    <w:p w14:paraId="227782B9" w14:textId="4472AD94" w:rsidR="00765141" w:rsidRPr="008272D0" w:rsidRDefault="00765141" w:rsidP="00EF4C49">
      <w:pPr>
        <w:pStyle w:val="3-BodyText"/>
      </w:pPr>
      <w:r>
        <w:t>The submission stated that the RPSFT approach m</w:t>
      </w:r>
      <w:r w:rsidR="005351D0">
        <w:t>ight</w:t>
      </w:r>
      <w:r>
        <w:t xml:space="preserve"> not be the most appropriate method given that </w:t>
      </w:r>
      <w:r w:rsidR="008E75E7">
        <w:t xml:space="preserve">the </w:t>
      </w:r>
      <w:r>
        <w:t xml:space="preserve">‘common treatment effect’ assumption </w:t>
      </w:r>
      <w:r w:rsidR="005351D0">
        <w:t>wa</w:t>
      </w:r>
      <w:r>
        <w:t xml:space="preserve">s not met as there </w:t>
      </w:r>
      <w:r w:rsidR="005351D0">
        <w:t>wa</w:t>
      </w:r>
      <w:r>
        <w:t xml:space="preserve">s uncertainty in the magnitude of treatment effect of amivantamab as first-line use (ACP arm) compared to the treatment effect </w:t>
      </w:r>
      <w:r w:rsidR="008B6334">
        <w:t xml:space="preserve">in </w:t>
      </w:r>
      <w:r>
        <w:t xml:space="preserve">those who have progressed on PBC. </w:t>
      </w:r>
      <w:r w:rsidRPr="008272D0">
        <w:t>Simulation studies testing different methods for adjusting for treatment switching have shown that the RPSFT method produces results with low bias provided that the common treatment effect assumption holds but may be subject to high bias when this assumption is violated</w:t>
      </w:r>
      <w:r w:rsidRPr="002D24CD">
        <w:t>.</w:t>
      </w:r>
      <w:r w:rsidRPr="002D24CD">
        <w:rPr>
          <w:rStyle w:val="FootnoteReference"/>
        </w:rPr>
        <w:footnoteReference w:id="17"/>
      </w:r>
      <w:r w:rsidRPr="002D24CD">
        <w:t xml:space="preserve"> </w:t>
      </w:r>
      <w:r w:rsidR="00907713" w:rsidRPr="00620E0B">
        <w:t xml:space="preserve">The ESC agreed with the submission that given </w:t>
      </w:r>
      <w:r w:rsidR="00F11DDB" w:rsidRPr="00620E0B">
        <w:t>the</w:t>
      </w:r>
      <w:r w:rsidR="00907713" w:rsidRPr="00620E0B">
        <w:t xml:space="preserve"> common treatment effect </w:t>
      </w:r>
      <w:r w:rsidR="00F11DDB" w:rsidRPr="00620E0B">
        <w:t xml:space="preserve">assumption </w:t>
      </w:r>
      <w:r w:rsidR="007A27FB" w:rsidRPr="00620E0B">
        <w:t>was</w:t>
      </w:r>
      <w:r w:rsidR="00907713" w:rsidRPr="00620E0B">
        <w:t xml:space="preserve"> not met for </w:t>
      </w:r>
      <w:r w:rsidR="00037FA8" w:rsidRPr="00620E0B">
        <w:t xml:space="preserve">the </w:t>
      </w:r>
      <w:r w:rsidR="00907713" w:rsidRPr="00620E0B">
        <w:t>RPSFT</w:t>
      </w:r>
      <w:r w:rsidR="00037FA8" w:rsidRPr="00620E0B">
        <w:t xml:space="preserve"> approach</w:t>
      </w:r>
      <w:r w:rsidR="00907713" w:rsidRPr="00620E0B">
        <w:t xml:space="preserve">, it was likely subject to bias and </w:t>
      </w:r>
      <w:r w:rsidR="007A27FB" w:rsidRPr="00620E0B">
        <w:t>a less</w:t>
      </w:r>
      <w:r w:rsidR="00907713" w:rsidRPr="00620E0B">
        <w:t xml:space="preserve"> reliable estimate of the treatment effect.</w:t>
      </w:r>
    </w:p>
    <w:p w14:paraId="79E2C3D0" w14:textId="57D8D6B8" w:rsidR="009D10B8" w:rsidRPr="00DA63C6" w:rsidRDefault="00765141" w:rsidP="00EF4C49">
      <w:pPr>
        <w:pStyle w:val="3-BodyText"/>
      </w:pPr>
      <w:r>
        <w:t>The submission favour</w:t>
      </w:r>
      <w:r w:rsidR="00025817">
        <w:t>ed</w:t>
      </w:r>
      <w:r>
        <w:t xml:space="preserve"> the TSE and IPCW approaches over the RPSFT on the basis that key prognostic factors were identified and included in the analyses thus </w:t>
      </w:r>
      <w:r w:rsidRPr="008272D0">
        <w:t>(somewhat)</w:t>
      </w:r>
      <w:r>
        <w:t xml:space="preserve"> satisfying the ‘no unmeasured confounders’ assumption. </w:t>
      </w:r>
      <w:r w:rsidRPr="008272D0">
        <w:t>Details of the systematic literature and Delphi panel used to identify prognostic factors were not included in the submission.</w:t>
      </w:r>
      <w:r w:rsidRPr="00833647">
        <w:t xml:space="preserve"> </w:t>
      </w:r>
      <w:r w:rsidR="00FE7957" w:rsidRPr="008272D0">
        <w:t>Although the submission likely included</w:t>
      </w:r>
      <w:r w:rsidR="00541D70" w:rsidRPr="008272D0">
        <w:t xml:space="preserve"> relevant covariates,</w:t>
      </w:r>
      <w:r w:rsidR="00FE7957" w:rsidRPr="008272D0">
        <w:t xml:space="preserve"> </w:t>
      </w:r>
      <w:r w:rsidR="00252330" w:rsidRPr="008272D0">
        <w:t xml:space="preserve">other </w:t>
      </w:r>
      <w:r w:rsidR="00541D70" w:rsidRPr="008272D0">
        <w:t xml:space="preserve">important </w:t>
      </w:r>
      <w:r w:rsidR="00833647" w:rsidRPr="008272D0">
        <w:t xml:space="preserve">prognostic variables identified from the literature </w:t>
      </w:r>
      <w:r w:rsidR="00BF70C9" w:rsidRPr="008272D0">
        <w:t xml:space="preserve">such as </w:t>
      </w:r>
      <w:r w:rsidR="00833647" w:rsidRPr="008272D0">
        <w:t>body mass index (BMI)</w:t>
      </w:r>
      <w:r w:rsidR="00833647" w:rsidRPr="008272D0">
        <w:rPr>
          <w:rStyle w:val="FootnoteReference"/>
        </w:rPr>
        <w:footnoteReference w:id="18"/>
      </w:r>
      <w:r w:rsidR="00833647" w:rsidRPr="008272D0">
        <w:rPr>
          <w:vertAlign w:val="superscript"/>
        </w:rPr>
        <w:t>,</w:t>
      </w:r>
      <w:r w:rsidR="00833647" w:rsidRPr="008272D0">
        <w:rPr>
          <w:rStyle w:val="FootnoteReference"/>
        </w:rPr>
        <w:footnoteReference w:id="19"/>
      </w:r>
      <w:r w:rsidR="00D3095C" w:rsidRPr="008272D0">
        <w:rPr>
          <w:vertAlign w:val="superscript"/>
        </w:rPr>
        <w:t xml:space="preserve"> </w:t>
      </w:r>
      <w:r w:rsidR="00E85BDF" w:rsidRPr="008272D0">
        <w:t>were</w:t>
      </w:r>
      <w:r w:rsidR="00833647" w:rsidRPr="008272D0">
        <w:t xml:space="preserve"> not considered</w:t>
      </w:r>
      <w:r w:rsidRPr="008272D0">
        <w:t xml:space="preserve">. </w:t>
      </w:r>
    </w:p>
    <w:p w14:paraId="43DDE007" w14:textId="3D75498C" w:rsidR="00765141" w:rsidRPr="00687CEE" w:rsidRDefault="00765141" w:rsidP="00EF4C49">
      <w:pPr>
        <w:pStyle w:val="3-BodyText"/>
      </w:pPr>
      <w:r>
        <w:t xml:space="preserve">The OS results adjusted for treatment switching are presented in </w:t>
      </w:r>
      <w:r>
        <w:fldChar w:fldCharType="begin"/>
      </w:r>
      <w:r>
        <w:instrText xml:space="preserve"> REF _Ref174110716 \h </w:instrText>
      </w:r>
      <w:r>
        <w:fldChar w:fldCharType="separate"/>
      </w:r>
      <w:r w:rsidR="00372107">
        <w:t xml:space="preserve">Table </w:t>
      </w:r>
      <w:r w:rsidR="00372107">
        <w:rPr>
          <w:noProof/>
        </w:rPr>
        <w:t>5</w:t>
      </w:r>
      <w:r>
        <w:fldChar w:fldCharType="end"/>
      </w:r>
      <w:r>
        <w:t>.</w:t>
      </w:r>
    </w:p>
    <w:p w14:paraId="31E847F5" w14:textId="32F75F21" w:rsidR="00765141" w:rsidRDefault="00765141" w:rsidP="00C44859">
      <w:pPr>
        <w:pStyle w:val="TableFigureHeading"/>
        <w:keepLines/>
      </w:pPr>
      <w:bookmarkStart w:id="58" w:name="_Ref174110716"/>
      <w:r>
        <w:t xml:space="preserve">Table </w:t>
      </w:r>
      <w:r w:rsidR="002C794C">
        <w:fldChar w:fldCharType="begin"/>
      </w:r>
      <w:r w:rsidR="002C794C">
        <w:instrText xml:space="preserve"> SEQ Table \* ARABIC </w:instrText>
      </w:r>
      <w:r w:rsidR="002C794C">
        <w:fldChar w:fldCharType="separate"/>
      </w:r>
      <w:r w:rsidR="00372107">
        <w:rPr>
          <w:noProof/>
        </w:rPr>
        <w:t>5</w:t>
      </w:r>
      <w:r w:rsidR="002C794C">
        <w:rPr>
          <w:noProof/>
        </w:rPr>
        <w:fldChar w:fldCharType="end"/>
      </w:r>
      <w:bookmarkEnd w:id="58"/>
      <w:r>
        <w:t xml:space="preserve">: Results for OS </w:t>
      </w:r>
      <w:r w:rsidR="00712A76">
        <w:t xml:space="preserve">unadjusted and </w:t>
      </w:r>
      <w:r>
        <w:t>adjusted for treatment switching</w:t>
      </w:r>
    </w:p>
    <w:tbl>
      <w:tblPr>
        <w:tblStyle w:val="TableGrid"/>
        <w:tblW w:w="5000" w:type="pct"/>
        <w:tblLook w:val="04A0" w:firstRow="1" w:lastRow="0" w:firstColumn="1" w:lastColumn="0" w:noHBand="0" w:noVBand="1"/>
        <w:tblCaption w:val="Table 5: Results for OS unadjusted and adjusted for treatment switching"/>
      </w:tblPr>
      <w:tblGrid>
        <w:gridCol w:w="4624"/>
        <w:gridCol w:w="4393"/>
      </w:tblGrid>
      <w:tr w:rsidR="00765141" w:rsidRPr="0041737E" w14:paraId="4E1772A3" w14:textId="77777777" w:rsidTr="00C44859">
        <w:trPr>
          <w:trHeight w:val="113"/>
        </w:trPr>
        <w:tc>
          <w:tcPr>
            <w:tcW w:w="2564" w:type="pct"/>
          </w:tcPr>
          <w:p w14:paraId="371D4C8F" w14:textId="77777777" w:rsidR="00765141" w:rsidRPr="0041737E" w:rsidRDefault="00765141" w:rsidP="006D426F">
            <w:pPr>
              <w:pStyle w:val="In-tableHeading"/>
            </w:pPr>
          </w:p>
        </w:tc>
        <w:tc>
          <w:tcPr>
            <w:tcW w:w="2436" w:type="pct"/>
            <w:vAlign w:val="center"/>
          </w:tcPr>
          <w:p w14:paraId="0BB8DD88" w14:textId="77777777" w:rsidR="00765141" w:rsidRPr="0041737E" w:rsidRDefault="00765141" w:rsidP="006D426F">
            <w:pPr>
              <w:pStyle w:val="In-tableHeading"/>
            </w:pPr>
            <w:r w:rsidRPr="000722B3">
              <w:t>HR (95% CI)</w:t>
            </w:r>
          </w:p>
        </w:tc>
      </w:tr>
      <w:tr w:rsidR="00CC5C14" w:rsidRPr="0041737E" w14:paraId="1B3C9F58" w14:textId="77777777" w:rsidTr="00712A76">
        <w:tc>
          <w:tcPr>
            <w:tcW w:w="2564" w:type="pct"/>
          </w:tcPr>
          <w:p w14:paraId="48A2CAFB" w14:textId="1654BD21" w:rsidR="000B3601" w:rsidRPr="000B3601" w:rsidRDefault="000B3601" w:rsidP="00C44859">
            <w:pPr>
              <w:pStyle w:val="TableText0"/>
              <w:rPr>
                <w:b/>
                <w:bCs w:val="0"/>
              </w:rPr>
            </w:pPr>
            <w:r w:rsidRPr="000B3601">
              <w:rPr>
                <w:b/>
                <w:bCs w:val="0"/>
              </w:rPr>
              <w:t>Unadjusted</w:t>
            </w:r>
          </w:p>
        </w:tc>
        <w:tc>
          <w:tcPr>
            <w:tcW w:w="2436" w:type="pct"/>
          </w:tcPr>
          <w:p w14:paraId="2851E563" w14:textId="77777777" w:rsidR="000B3601" w:rsidRPr="000722B3" w:rsidRDefault="000B3601" w:rsidP="00C44859">
            <w:pPr>
              <w:pStyle w:val="In-tableHeading"/>
            </w:pPr>
          </w:p>
        </w:tc>
      </w:tr>
      <w:tr w:rsidR="00CC5C14" w:rsidRPr="0041737E" w14:paraId="115745EA" w14:textId="77777777" w:rsidTr="00712A76">
        <w:tc>
          <w:tcPr>
            <w:tcW w:w="2564" w:type="pct"/>
          </w:tcPr>
          <w:p w14:paraId="7495B4F2" w14:textId="15844441" w:rsidR="00765141" w:rsidRPr="0041737E" w:rsidRDefault="007A13C0" w:rsidP="00C44859">
            <w:pPr>
              <w:pStyle w:val="TableText0"/>
            </w:pPr>
            <w:r>
              <w:t xml:space="preserve">  </w:t>
            </w:r>
            <w:r w:rsidR="00765141">
              <w:t>FAS</w:t>
            </w:r>
            <w:r w:rsidR="008159F1">
              <w:t>, unstratified</w:t>
            </w:r>
          </w:p>
        </w:tc>
        <w:tc>
          <w:tcPr>
            <w:tcW w:w="2436" w:type="pct"/>
          </w:tcPr>
          <w:p w14:paraId="517CAB28" w14:textId="72D26110" w:rsidR="00765141" w:rsidRPr="0041737E" w:rsidRDefault="00765141" w:rsidP="00C44859">
            <w:pPr>
              <w:pStyle w:val="TableText0"/>
              <w:jc w:val="center"/>
            </w:pPr>
            <w:r w:rsidRPr="0041737E">
              <w:t>0.6</w:t>
            </w:r>
            <w:r w:rsidR="00EB0E2E">
              <w:t>8</w:t>
            </w:r>
            <w:r w:rsidRPr="0041737E">
              <w:t xml:space="preserve"> (0.4</w:t>
            </w:r>
            <w:r w:rsidR="00EB0E2E">
              <w:t>2</w:t>
            </w:r>
            <w:r w:rsidRPr="0041737E">
              <w:t>, 1.09)</w:t>
            </w:r>
          </w:p>
        </w:tc>
      </w:tr>
      <w:tr w:rsidR="00765141" w:rsidRPr="0041737E" w14:paraId="5F34FB14" w14:textId="77777777" w:rsidTr="00712A76">
        <w:tc>
          <w:tcPr>
            <w:tcW w:w="2564" w:type="pct"/>
            <w:hideMark/>
          </w:tcPr>
          <w:p w14:paraId="5AD95E81" w14:textId="0E921947" w:rsidR="00765141" w:rsidRPr="00F6356E" w:rsidRDefault="007A13C0" w:rsidP="00C44859">
            <w:pPr>
              <w:pStyle w:val="TableText0"/>
              <w:rPr>
                <w:vertAlign w:val="superscript"/>
              </w:rPr>
            </w:pPr>
            <w:r>
              <w:t xml:space="preserve">  </w:t>
            </w:r>
            <w:r w:rsidR="00CF6206">
              <w:t>FAS</w:t>
            </w:r>
            <w:r w:rsidR="00C45B8F">
              <w:t>, s</w:t>
            </w:r>
            <w:r w:rsidR="00765141" w:rsidRPr="0041737E">
              <w:t xml:space="preserve">tratified </w:t>
            </w:r>
          </w:p>
        </w:tc>
        <w:tc>
          <w:tcPr>
            <w:tcW w:w="2436" w:type="pct"/>
            <w:hideMark/>
          </w:tcPr>
          <w:p w14:paraId="36791C07" w14:textId="23FB69EA" w:rsidR="00765141" w:rsidRPr="0041737E" w:rsidRDefault="00765141" w:rsidP="00C44859">
            <w:pPr>
              <w:pStyle w:val="TableText0"/>
              <w:jc w:val="center"/>
            </w:pPr>
            <w:r w:rsidRPr="0041737E">
              <w:t>0.7</w:t>
            </w:r>
            <w:r w:rsidR="00EB0E2E">
              <w:t>2</w:t>
            </w:r>
            <w:r w:rsidRPr="0041737E">
              <w:t xml:space="preserve"> (0.44, 1.1</w:t>
            </w:r>
            <w:r w:rsidR="00EB0E2E">
              <w:t>7</w:t>
            </w:r>
            <w:r w:rsidRPr="0041737E">
              <w:t>)</w:t>
            </w:r>
          </w:p>
        </w:tc>
      </w:tr>
      <w:tr w:rsidR="00CC5C14" w:rsidRPr="0041737E" w14:paraId="21706864" w14:textId="77777777" w:rsidTr="000B3601">
        <w:tc>
          <w:tcPr>
            <w:tcW w:w="5000" w:type="pct"/>
            <w:gridSpan w:val="2"/>
          </w:tcPr>
          <w:p w14:paraId="21C97A7B" w14:textId="63FA8D56" w:rsidR="000B3601" w:rsidRPr="000B3601" w:rsidRDefault="000B3601" w:rsidP="00C44859">
            <w:pPr>
              <w:pStyle w:val="TableText0"/>
              <w:rPr>
                <w:b/>
                <w:bCs w:val="0"/>
              </w:rPr>
            </w:pPr>
            <w:r w:rsidRPr="000B3601">
              <w:rPr>
                <w:b/>
                <w:bCs w:val="0"/>
              </w:rPr>
              <w:t>Adjusted for treatment switching</w:t>
            </w:r>
          </w:p>
        </w:tc>
      </w:tr>
      <w:tr w:rsidR="00765141" w:rsidRPr="0041737E" w14:paraId="40382A90" w14:textId="77777777" w:rsidTr="00712A76">
        <w:tc>
          <w:tcPr>
            <w:tcW w:w="2564" w:type="pct"/>
            <w:hideMark/>
          </w:tcPr>
          <w:p w14:paraId="65A3B874" w14:textId="77777777" w:rsidR="00765141" w:rsidRPr="0041737E" w:rsidRDefault="00765141" w:rsidP="00C44859">
            <w:pPr>
              <w:pStyle w:val="TableText0"/>
            </w:pPr>
            <w:r>
              <w:t xml:space="preserve">  </w:t>
            </w:r>
            <w:r w:rsidRPr="0041737E">
              <w:t>TSE</w:t>
            </w:r>
          </w:p>
        </w:tc>
        <w:tc>
          <w:tcPr>
            <w:tcW w:w="2436" w:type="pct"/>
            <w:hideMark/>
          </w:tcPr>
          <w:p w14:paraId="23EC6DAC" w14:textId="77777777" w:rsidR="00765141" w:rsidRPr="0041737E" w:rsidRDefault="00765141" w:rsidP="00C44859">
            <w:pPr>
              <w:pStyle w:val="TableText0"/>
              <w:jc w:val="center"/>
            </w:pPr>
            <w:r w:rsidRPr="0041737E">
              <w:t xml:space="preserve">0.55 </w:t>
            </w:r>
            <w:r w:rsidRPr="0041737E">
              <w:rPr>
                <w:lang w:val="en-US"/>
              </w:rPr>
              <w:t>(0.34, 0.89)</w:t>
            </w:r>
          </w:p>
        </w:tc>
      </w:tr>
      <w:tr w:rsidR="00765141" w:rsidRPr="0041737E" w14:paraId="6E3A7E46" w14:textId="77777777" w:rsidTr="00712A76">
        <w:tc>
          <w:tcPr>
            <w:tcW w:w="2564" w:type="pct"/>
            <w:hideMark/>
          </w:tcPr>
          <w:p w14:paraId="45C5B04D" w14:textId="5E37D73D" w:rsidR="00765141" w:rsidRPr="0041737E" w:rsidRDefault="00765141" w:rsidP="00C44859">
            <w:pPr>
              <w:pStyle w:val="TableText0"/>
            </w:pPr>
            <w:r>
              <w:t xml:space="preserve">  </w:t>
            </w:r>
            <w:r w:rsidRPr="0041737E">
              <w:t>IP</w:t>
            </w:r>
            <w:r w:rsidR="002E291B">
              <w:t>C</w:t>
            </w:r>
            <w:r w:rsidRPr="0041737E">
              <w:t>W</w:t>
            </w:r>
          </w:p>
        </w:tc>
        <w:tc>
          <w:tcPr>
            <w:tcW w:w="2436" w:type="pct"/>
            <w:hideMark/>
          </w:tcPr>
          <w:p w14:paraId="2F65C4C5" w14:textId="77777777" w:rsidR="00765141" w:rsidRPr="0041737E" w:rsidRDefault="00765141" w:rsidP="00C44859">
            <w:pPr>
              <w:pStyle w:val="TableText0"/>
              <w:jc w:val="center"/>
            </w:pPr>
            <w:r w:rsidRPr="0041737E">
              <w:t>0.52 (0.28, 0.94)</w:t>
            </w:r>
          </w:p>
        </w:tc>
      </w:tr>
      <w:tr w:rsidR="00765141" w:rsidRPr="0041737E" w14:paraId="45E118BF" w14:textId="77777777" w:rsidTr="00712A76">
        <w:tc>
          <w:tcPr>
            <w:tcW w:w="2564" w:type="pct"/>
            <w:hideMark/>
          </w:tcPr>
          <w:p w14:paraId="550B32EC" w14:textId="77777777" w:rsidR="00765141" w:rsidRPr="0041737E" w:rsidRDefault="00765141" w:rsidP="00C44859">
            <w:pPr>
              <w:pStyle w:val="TableText0"/>
            </w:pPr>
            <w:r>
              <w:t xml:space="preserve">  </w:t>
            </w:r>
            <w:r w:rsidRPr="0041737E">
              <w:t>RPSFT</w:t>
            </w:r>
          </w:p>
        </w:tc>
        <w:tc>
          <w:tcPr>
            <w:tcW w:w="2436" w:type="pct"/>
            <w:hideMark/>
          </w:tcPr>
          <w:p w14:paraId="4348408C" w14:textId="77777777" w:rsidR="00765141" w:rsidRPr="0041737E" w:rsidRDefault="00765141" w:rsidP="00C44859">
            <w:pPr>
              <w:pStyle w:val="TableText0"/>
              <w:jc w:val="center"/>
            </w:pPr>
            <w:r w:rsidRPr="0041737E">
              <w:t>0.60 (0.32, 1.12)</w:t>
            </w:r>
          </w:p>
        </w:tc>
      </w:tr>
    </w:tbl>
    <w:p w14:paraId="677F21B7" w14:textId="77777777" w:rsidR="00765141" w:rsidRDefault="00765141" w:rsidP="00C44859">
      <w:pPr>
        <w:pStyle w:val="FooterTableFigure"/>
        <w:keepNext/>
        <w:keepLines/>
      </w:pPr>
      <w:r>
        <w:t>Source: Compiled during the evaluation from Table 2.26, 2.58, p94, 139 of the submission</w:t>
      </w:r>
    </w:p>
    <w:p w14:paraId="133D4A84" w14:textId="200F366D" w:rsidR="00765141" w:rsidRDefault="00765141" w:rsidP="00C44859">
      <w:pPr>
        <w:pStyle w:val="FooterTableFigure"/>
        <w:keepNext/>
        <w:keepLines/>
      </w:pPr>
      <w:r>
        <w:t>Abbreviations: CI, confidence interval;</w:t>
      </w:r>
      <w:r w:rsidRPr="00856AF7">
        <w:t xml:space="preserve"> </w:t>
      </w:r>
      <w:r w:rsidR="00F6356E">
        <w:t>ECOG</w:t>
      </w:r>
      <w:r w:rsidR="00107061">
        <w:t xml:space="preserve"> PS; European</w:t>
      </w:r>
      <w:r w:rsidR="00DC3362">
        <w:t xml:space="preserve"> </w:t>
      </w:r>
      <w:r w:rsidR="00F9664F">
        <w:t>Cooperative</w:t>
      </w:r>
      <w:r w:rsidR="00DC3362">
        <w:t xml:space="preserve"> Oncology Group performance status; </w:t>
      </w:r>
      <w:r w:rsidRPr="00DC6930">
        <w:t>OS</w:t>
      </w:r>
      <w:r>
        <w:t>,</w:t>
      </w:r>
      <w:r w:rsidRPr="00DC6930">
        <w:t xml:space="preserve"> overall survival</w:t>
      </w:r>
      <w:r>
        <w:t>;</w:t>
      </w:r>
      <w:r w:rsidRPr="00DC6930">
        <w:t xml:space="preserve"> </w:t>
      </w:r>
      <w:r>
        <w:t xml:space="preserve">HR, hazard ratio; FAS, full analysis set; </w:t>
      </w:r>
      <w:r w:rsidRPr="00DC6930">
        <w:t>IPCW</w:t>
      </w:r>
      <w:r>
        <w:t>,</w:t>
      </w:r>
      <w:r w:rsidRPr="00DC6930">
        <w:t xml:space="preserve"> </w:t>
      </w:r>
      <w:r>
        <w:t>i</w:t>
      </w:r>
      <w:r w:rsidRPr="00DC6930">
        <w:t xml:space="preserve">nverse </w:t>
      </w:r>
      <w:r>
        <w:t>p</w:t>
      </w:r>
      <w:r w:rsidRPr="00DC6930">
        <w:t xml:space="preserve">robability of </w:t>
      </w:r>
      <w:r>
        <w:t>c</w:t>
      </w:r>
      <w:r w:rsidRPr="00DC6930">
        <w:t xml:space="preserve">ensoring </w:t>
      </w:r>
      <w:r>
        <w:t>w</w:t>
      </w:r>
      <w:r w:rsidRPr="00DC6930">
        <w:t>eighting</w:t>
      </w:r>
      <w:r>
        <w:t>;</w:t>
      </w:r>
      <w:r w:rsidRPr="00DC6930">
        <w:t xml:space="preserve"> TSE</w:t>
      </w:r>
      <w:r>
        <w:t>,</w:t>
      </w:r>
      <w:r w:rsidRPr="00DC6930">
        <w:t xml:space="preserve"> </w:t>
      </w:r>
      <w:r>
        <w:t>t</w:t>
      </w:r>
      <w:r w:rsidRPr="00A45B33">
        <w:t>wo-stage estimation</w:t>
      </w:r>
      <w:r>
        <w:t>;</w:t>
      </w:r>
      <w:r w:rsidRPr="00DC6930">
        <w:t xml:space="preserve"> RPSFT</w:t>
      </w:r>
      <w:r>
        <w:t>,</w:t>
      </w:r>
      <w:r w:rsidRPr="00DC6930">
        <w:t xml:space="preserve"> rank preserving survival failure time</w:t>
      </w:r>
      <w:r>
        <w:t>.</w:t>
      </w:r>
    </w:p>
    <w:p w14:paraId="4F0D35EF" w14:textId="4D6538C6" w:rsidR="00F6356E" w:rsidRPr="00F6356E" w:rsidRDefault="00F6356E" w:rsidP="00765141">
      <w:pPr>
        <w:pStyle w:val="FooterTableFigure"/>
      </w:pPr>
      <w:r>
        <w:rPr>
          <w:vertAlign w:val="superscript"/>
        </w:rPr>
        <w:t>a</w:t>
      </w:r>
      <w:r>
        <w:t xml:space="preserve"> S</w:t>
      </w:r>
      <w:r w:rsidRPr="00F6356E">
        <w:t>tratified by ECOG PS (0 or 1) and history of brain metastases (yes or no).</w:t>
      </w:r>
    </w:p>
    <w:p w14:paraId="24F7ABE5" w14:textId="2FFB96CA" w:rsidR="001E65A4" w:rsidRPr="008272D0" w:rsidRDefault="00765141" w:rsidP="00EF4C49">
      <w:pPr>
        <w:pStyle w:val="3-BodyText"/>
      </w:pPr>
      <w:bookmarkStart w:id="59" w:name="_Ref179980694"/>
      <w:bookmarkStart w:id="60" w:name="_Ref174604895"/>
      <w:r>
        <w:lastRenderedPageBreak/>
        <w:t xml:space="preserve">The results from </w:t>
      </w:r>
      <w:r w:rsidR="00C96B1C">
        <w:t xml:space="preserve">the </w:t>
      </w:r>
      <w:r>
        <w:t>TSE</w:t>
      </w:r>
      <w:r w:rsidR="00C96B1C">
        <w:t xml:space="preserve"> approach</w:t>
      </w:r>
      <w:r>
        <w:t xml:space="preserve"> were applied as the base case in the economic model. </w:t>
      </w:r>
      <w:r w:rsidR="00D2274B">
        <w:fldChar w:fldCharType="begin"/>
      </w:r>
      <w:r w:rsidR="00D2274B">
        <w:instrText xml:space="preserve"> REF _Ref176953629 \h </w:instrText>
      </w:r>
      <w:r w:rsidR="00D2274B">
        <w:fldChar w:fldCharType="separate"/>
      </w:r>
      <w:r w:rsidR="00372107" w:rsidRPr="00501DB7">
        <w:t>Figure</w:t>
      </w:r>
      <w:r w:rsidR="00372107" w:rsidRPr="00501DB7" w:rsidDel="00F07DDF">
        <w:t xml:space="preserve"> </w:t>
      </w:r>
      <w:r w:rsidR="00372107">
        <w:rPr>
          <w:noProof/>
        </w:rPr>
        <w:t>3</w:t>
      </w:r>
      <w:r w:rsidR="00D2274B">
        <w:fldChar w:fldCharType="end"/>
      </w:r>
      <w:r w:rsidR="008A1A52">
        <w:t xml:space="preserve"> </w:t>
      </w:r>
      <w:r w:rsidR="00014628" w:rsidRPr="00014628">
        <w:t xml:space="preserve">shows the OS KM curves from the PAPILLON trial and the TSE-adjusted OS KM curve for CP. </w:t>
      </w:r>
      <w:r w:rsidR="009A13B6" w:rsidRPr="008272D0">
        <w:t xml:space="preserve">As noted in paragraph </w:t>
      </w:r>
      <w:r w:rsidR="009A13B6" w:rsidRPr="008272D0">
        <w:fldChar w:fldCharType="begin"/>
      </w:r>
      <w:r w:rsidR="009A13B6" w:rsidRPr="008272D0">
        <w:instrText xml:space="preserve"> REF _Ref176953884 \r \h </w:instrText>
      </w:r>
      <w:r w:rsidR="009A13B6" w:rsidRPr="008272D0">
        <w:fldChar w:fldCharType="separate"/>
      </w:r>
      <w:r w:rsidR="00372107">
        <w:t>6.15</w:t>
      </w:r>
      <w:r w:rsidR="009A13B6" w:rsidRPr="008272D0">
        <w:fldChar w:fldCharType="end"/>
      </w:r>
      <w:r w:rsidR="009A13B6" w:rsidRPr="008272D0">
        <w:t>, the assessment of OS appears premature</w:t>
      </w:r>
      <w:r w:rsidR="006E69B4" w:rsidRPr="008272D0">
        <w:t xml:space="preserve"> as median OS for the ACP arm ha</w:t>
      </w:r>
      <w:r w:rsidR="008A1A52" w:rsidRPr="008272D0">
        <w:t>d</w:t>
      </w:r>
      <w:r w:rsidR="006E69B4" w:rsidRPr="008272D0">
        <w:t xml:space="preserve"> not b</w:t>
      </w:r>
      <w:r w:rsidR="00072E1B" w:rsidRPr="008272D0">
        <w:t xml:space="preserve">een reached </w:t>
      </w:r>
      <w:r w:rsidR="002C5748" w:rsidRPr="008272D0">
        <w:t xml:space="preserve">at data cutoff (median </w:t>
      </w:r>
      <w:r w:rsidR="0026734C" w:rsidRPr="008272D0">
        <w:t>of 14.9 months follow-up)</w:t>
      </w:r>
      <w:r w:rsidR="00112E16" w:rsidRPr="008272D0">
        <w:t xml:space="preserve"> and</w:t>
      </w:r>
      <w:r w:rsidR="00B83CB4" w:rsidRPr="008272D0">
        <w:t xml:space="preserve"> a </w:t>
      </w:r>
      <w:r w:rsidR="006A571D" w:rsidRPr="008272D0">
        <w:t>large proportion of patients</w:t>
      </w:r>
      <w:r w:rsidR="001E65A4" w:rsidRPr="008272D0">
        <w:t xml:space="preserve"> censored (81.7% in ACP and 72.9% in CP) for analysis.</w:t>
      </w:r>
      <w:r w:rsidR="001808B9" w:rsidRPr="008272D0">
        <w:t xml:space="preserve"> This meant that </w:t>
      </w:r>
      <w:r w:rsidR="00145085" w:rsidRPr="008272D0">
        <w:t xml:space="preserve">the analysis was informed by a small number of </w:t>
      </w:r>
      <w:r w:rsidR="00946635" w:rsidRPr="008272D0">
        <w:t>events (</w:t>
      </w:r>
      <w:r w:rsidR="00A926E4" w:rsidRPr="008272D0">
        <w:fldChar w:fldCharType="begin"/>
      </w:r>
      <w:r w:rsidR="00A926E4" w:rsidRPr="008272D0">
        <w:instrText xml:space="preserve"> REF _Ref174094275 \h  \* MERGEFORMAT </w:instrText>
      </w:r>
      <w:r w:rsidR="00A926E4" w:rsidRPr="008272D0">
        <w:fldChar w:fldCharType="separate"/>
      </w:r>
      <w:r w:rsidR="00372107" w:rsidRPr="00372107">
        <w:t>Table 4</w:t>
      </w:r>
      <w:r w:rsidR="00A926E4" w:rsidRPr="008272D0">
        <w:fldChar w:fldCharType="end"/>
      </w:r>
      <w:r w:rsidR="00A926E4" w:rsidRPr="008272D0">
        <w:t>).</w:t>
      </w:r>
      <w:bookmarkEnd w:id="59"/>
      <w:r w:rsidR="00A926E4" w:rsidRPr="008272D0">
        <w:t xml:space="preserve"> </w:t>
      </w:r>
    </w:p>
    <w:p w14:paraId="0B80E8D1" w14:textId="255AC11A" w:rsidR="00F07DDF" w:rsidRPr="00501DB7" w:rsidRDefault="00F07DDF" w:rsidP="002E6893">
      <w:pPr>
        <w:pStyle w:val="Caption"/>
      </w:pPr>
      <w:bookmarkStart w:id="61" w:name="_Ref176953629"/>
      <w:r w:rsidRPr="00501DB7">
        <w:t>Figure</w:t>
      </w:r>
      <w:r w:rsidRPr="00501DB7" w:rsidDel="00F07DDF">
        <w:t xml:space="preserve"> </w:t>
      </w:r>
      <w:r w:rsidR="002C794C">
        <w:fldChar w:fldCharType="begin"/>
      </w:r>
      <w:r w:rsidR="002C794C">
        <w:instrText xml:space="preserve"> SEQ Figure \* ARABIC </w:instrText>
      </w:r>
      <w:r w:rsidR="002C794C">
        <w:fldChar w:fldCharType="separate"/>
      </w:r>
      <w:r w:rsidR="00372107">
        <w:rPr>
          <w:noProof/>
        </w:rPr>
        <w:t>3</w:t>
      </w:r>
      <w:r w:rsidR="002C794C">
        <w:rPr>
          <w:noProof/>
        </w:rPr>
        <w:fldChar w:fldCharType="end"/>
      </w:r>
      <w:bookmarkEnd w:id="61"/>
      <w:r w:rsidRPr="00501DB7" w:rsidDel="00BB07A0">
        <w:t xml:space="preserve">: </w:t>
      </w:r>
      <w:r w:rsidR="007F1583">
        <w:t xml:space="preserve">Observed </w:t>
      </w:r>
      <w:r w:rsidR="00192BD1">
        <w:t>and adjusted (TSE) Kaplan-Meier curves for OS</w:t>
      </w:r>
    </w:p>
    <w:p w14:paraId="6B70562A" w14:textId="77777777" w:rsidR="00F07DDF" w:rsidRDefault="00F07DDF" w:rsidP="002E6893">
      <w:pPr>
        <w:keepNext/>
        <w:keepLines/>
      </w:pPr>
      <w:r w:rsidRPr="00501DB7">
        <w:rPr>
          <w:noProof/>
        </w:rPr>
        <w:drawing>
          <wp:inline distT="0" distB="0" distL="0" distR="0" wp14:anchorId="0450C8DB" wp14:editId="77976F73">
            <wp:extent cx="5732145" cy="3158967"/>
            <wp:effectExtent l="0" t="0" r="0" b="3810"/>
            <wp:docPr id="301189383" name="Picture 2" descr="Figure 3: Observed and adjusted (TSE) Kaplan-Meier curves for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89383" name="Picture 2" descr="Figure 3: Observed and adjusted (TSE) Kaplan-Meier curves for OS"/>
                    <pic:cNvPicPr/>
                  </pic:nvPicPr>
                  <pic:blipFill>
                    <a:blip r:embed="rId13"/>
                    <a:stretch>
                      <a:fillRect/>
                    </a:stretch>
                  </pic:blipFill>
                  <pic:spPr>
                    <a:xfrm>
                      <a:off x="0" y="0"/>
                      <a:ext cx="5732145" cy="3158967"/>
                    </a:xfrm>
                    <a:prstGeom prst="rect">
                      <a:avLst/>
                    </a:prstGeom>
                  </pic:spPr>
                </pic:pic>
              </a:graphicData>
            </a:graphic>
          </wp:inline>
        </w:drawing>
      </w:r>
      <w:r w:rsidRPr="00501DB7">
        <w:t xml:space="preserve"> </w:t>
      </w:r>
    </w:p>
    <w:p w14:paraId="4FA68AF5" w14:textId="77777777" w:rsidR="00F07DDF" w:rsidRDefault="00F07DDF" w:rsidP="002E6893">
      <w:pPr>
        <w:pStyle w:val="TableFooter"/>
        <w:keepNext/>
        <w:keepLines/>
      </w:pPr>
      <w:r w:rsidRPr="004E3E7F">
        <w:t>Source: Figure 3.12, p178 of the submission</w:t>
      </w:r>
    </w:p>
    <w:p w14:paraId="432DC307" w14:textId="1DE178DA" w:rsidR="00F07DDF" w:rsidRPr="008272D0" w:rsidRDefault="00F07DDF" w:rsidP="00AD07E3">
      <w:pPr>
        <w:pStyle w:val="TableFigureFooter"/>
        <w:rPr>
          <w:iCs/>
        </w:rPr>
      </w:pPr>
      <w:r w:rsidRPr="004E3E7F">
        <w:t>Abbreviations: 2L, second line; ACP, amivantamab plus carboplatin / pemetrexed; Adj, adjusted; CP, carboplatin / pemetrexed</w:t>
      </w:r>
      <w:r w:rsidR="008A37E5">
        <w:t xml:space="preserve">; </w:t>
      </w:r>
      <w:r w:rsidR="008A37E5" w:rsidRPr="00B84584">
        <w:t>OS</w:t>
      </w:r>
      <w:r w:rsidR="00014628">
        <w:t>,</w:t>
      </w:r>
      <w:r w:rsidR="008A37E5" w:rsidRPr="00B84584">
        <w:t xml:space="preserve"> overall survival</w:t>
      </w:r>
      <w:r w:rsidR="008A37E5">
        <w:t>,</w:t>
      </w:r>
      <w:r w:rsidR="008A37E5" w:rsidRPr="00B84584">
        <w:t xml:space="preserve"> </w:t>
      </w:r>
      <w:r w:rsidR="008A37E5">
        <w:t>TSE, two-stage est</w:t>
      </w:r>
      <w:r w:rsidR="00014628">
        <w:t xml:space="preserve">imation; </w:t>
      </w:r>
      <w:proofErr w:type="spellStart"/>
      <w:r w:rsidR="008A37E5" w:rsidRPr="00B84584">
        <w:t>Unadj</w:t>
      </w:r>
      <w:proofErr w:type="spellEnd"/>
      <w:r w:rsidR="00014628">
        <w:t>,</w:t>
      </w:r>
      <w:r w:rsidR="008A37E5" w:rsidRPr="00B84584">
        <w:t xml:space="preserve"> unadjuste</w:t>
      </w:r>
      <w:r w:rsidR="008A37E5">
        <w:t>d</w:t>
      </w:r>
      <w:r w:rsidR="00014628">
        <w:t>.</w:t>
      </w:r>
    </w:p>
    <w:p w14:paraId="600DE11B" w14:textId="7E79E4CC" w:rsidR="006C1802" w:rsidRPr="006C1802" w:rsidRDefault="00765141" w:rsidP="00EF4C49">
      <w:pPr>
        <w:pStyle w:val="3-BodyText"/>
      </w:pPr>
      <w:bookmarkStart w:id="62" w:name="_Ref177025758"/>
      <w:bookmarkStart w:id="63" w:name="_Ref179980765"/>
      <w:r w:rsidRPr="00620E0B">
        <w:rPr>
          <w:lang w:val="en-US"/>
        </w:rPr>
        <w:t>T</w:t>
      </w:r>
      <w:r w:rsidR="007A27FB" w:rsidRPr="00620E0B">
        <w:rPr>
          <w:lang w:val="en-US"/>
        </w:rPr>
        <w:t xml:space="preserve">he evaluation considered that </w:t>
      </w:r>
      <w:r w:rsidR="007A27FB" w:rsidRPr="00F11DDB">
        <w:rPr>
          <w:lang w:val="en-US"/>
        </w:rPr>
        <w:t>t</w:t>
      </w:r>
      <w:r w:rsidRPr="00F11DDB">
        <w:rPr>
          <w:lang w:val="en-US"/>
        </w:rPr>
        <w:t>heoretically</w:t>
      </w:r>
      <w:r w:rsidRPr="008272D0">
        <w:rPr>
          <w:lang w:val="en-US"/>
        </w:rPr>
        <w:t xml:space="preserve"> the TSE approach </w:t>
      </w:r>
      <w:r w:rsidR="007A27FB">
        <w:rPr>
          <w:lang w:val="en-US"/>
        </w:rPr>
        <w:t>wa</w:t>
      </w:r>
      <w:r w:rsidRPr="008272D0">
        <w:rPr>
          <w:lang w:val="en-US"/>
        </w:rPr>
        <w:t xml:space="preserve">s an appropriate adjustment method as it is less sensitive to data requirements and the ‘common treatment effect’ assumption that is relevant to IPCW and RPSFT methods. However, the TSE approach does rely </w:t>
      </w:r>
      <w:r w:rsidR="007D1E0C" w:rsidRPr="008272D0">
        <w:rPr>
          <w:lang w:val="en-US"/>
        </w:rPr>
        <w:t xml:space="preserve">on </w:t>
      </w:r>
      <w:r w:rsidRPr="008272D0">
        <w:rPr>
          <w:lang w:val="en-US"/>
        </w:rPr>
        <w:t xml:space="preserve">the assumptions that treatment switching occurs soon after disease progression and that </w:t>
      </w:r>
      <w:r w:rsidR="00555796" w:rsidRPr="008272D0">
        <w:rPr>
          <w:lang w:val="en-US"/>
        </w:rPr>
        <w:t xml:space="preserve">at the time of switching, </w:t>
      </w:r>
      <w:r w:rsidRPr="008272D0">
        <w:rPr>
          <w:lang w:val="en-US"/>
        </w:rPr>
        <w:t xml:space="preserve">patients are </w:t>
      </w:r>
      <w:r w:rsidR="00555796" w:rsidRPr="008272D0">
        <w:rPr>
          <w:lang w:val="en-US"/>
        </w:rPr>
        <w:t xml:space="preserve">all </w:t>
      </w:r>
      <w:r w:rsidRPr="008272D0">
        <w:rPr>
          <w:lang w:val="en-US"/>
        </w:rPr>
        <w:t xml:space="preserve">at a similar stage of disease at the time of progression. These assumptions could not be verified based on </w:t>
      </w:r>
      <w:r w:rsidR="003253A0" w:rsidRPr="008272D0">
        <w:rPr>
          <w:lang w:val="en-US"/>
        </w:rPr>
        <w:t xml:space="preserve">the </w:t>
      </w:r>
      <w:r w:rsidRPr="008272D0">
        <w:rPr>
          <w:lang w:val="en-US"/>
        </w:rPr>
        <w:t>data/results presented in the submission</w:t>
      </w:r>
      <w:r w:rsidR="008A1A52" w:rsidRPr="008272D0">
        <w:rPr>
          <w:lang w:val="en-US"/>
        </w:rPr>
        <w:t>.</w:t>
      </w:r>
      <w:bookmarkEnd w:id="60"/>
      <w:bookmarkEnd w:id="62"/>
      <w:r w:rsidR="0092087E">
        <w:rPr>
          <w:lang w:val="en-US"/>
        </w:rPr>
        <w:t xml:space="preserve"> </w:t>
      </w:r>
    </w:p>
    <w:p w14:paraId="3160660C" w14:textId="0FBBA719" w:rsidR="00765141" w:rsidRPr="002D24CD" w:rsidRDefault="007A27FB" w:rsidP="00EF4C49">
      <w:pPr>
        <w:pStyle w:val="3-BodyText"/>
      </w:pPr>
      <w:r w:rsidRPr="00620E0B">
        <w:rPr>
          <w:lang w:val="en-US"/>
        </w:rPr>
        <w:t>The ESC noted that additional information and sensitivity analyses to support the selection of the TSE approach were provided in the PSCR.</w:t>
      </w:r>
      <w:r w:rsidRPr="002D24CD">
        <w:t xml:space="preserve"> </w:t>
      </w:r>
      <w:r w:rsidRPr="00620E0B">
        <w:t>The</w:t>
      </w:r>
      <w:r w:rsidR="00F11DDB" w:rsidRPr="00620E0B">
        <w:t xml:space="preserve"> </w:t>
      </w:r>
      <w:bookmarkStart w:id="64" w:name="_Hlk179980526"/>
      <w:r w:rsidR="0092087E" w:rsidRPr="00620E0B">
        <w:rPr>
          <w:lang w:val="en-US"/>
        </w:rPr>
        <w:t>ESC considered the TS</w:t>
      </w:r>
      <w:r w:rsidR="005A0A6E" w:rsidRPr="00620E0B">
        <w:rPr>
          <w:lang w:val="en-US"/>
        </w:rPr>
        <w:t>E</w:t>
      </w:r>
      <w:r w:rsidR="0092087E" w:rsidRPr="00620E0B">
        <w:rPr>
          <w:lang w:val="en-US"/>
        </w:rPr>
        <w:t xml:space="preserve"> assumptions (no unmeasured confounders, no time-dependent confounding after secondary baseline until treatment switching</w:t>
      </w:r>
      <w:r w:rsidR="005A0A6E" w:rsidRPr="00620E0B">
        <w:rPr>
          <w:lang w:val="en-US"/>
        </w:rPr>
        <w:t>,</w:t>
      </w:r>
      <w:r w:rsidRPr="00620E0B">
        <w:rPr>
          <w:lang w:val="en-US"/>
        </w:rPr>
        <w:t xml:space="preserve"> all identified/measured confounders included and correctly specified in the regression adjustment based on a relatively well-fitting parametric AFT model to the observed post-progression survival data</w:t>
      </w:r>
      <w:r w:rsidR="005A0A6E" w:rsidRPr="00620E0B">
        <w:rPr>
          <w:lang w:val="en-US"/>
        </w:rPr>
        <w:t>) were likely met and had increased confidence in the robustness of the TSE-adjusted OS results</w:t>
      </w:r>
      <w:bookmarkEnd w:id="64"/>
      <w:r w:rsidR="005A0A6E" w:rsidRPr="00620E0B">
        <w:rPr>
          <w:lang w:val="en-US"/>
        </w:rPr>
        <w:t xml:space="preserve">. </w:t>
      </w:r>
      <w:bookmarkEnd w:id="63"/>
    </w:p>
    <w:p w14:paraId="5A37A7C2" w14:textId="3A1F72E5" w:rsidR="00765141" w:rsidRDefault="00765141" w:rsidP="00EF4C49">
      <w:pPr>
        <w:pStyle w:val="3-BodyText"/>
      </w:pPr>
      <w:r w:rsidRPr="00A305F5">
        <w:lastRenderedPageBreak/>
        <w:t>The patient</w:t>
      </w:r>
      <w:r w:rsidR="007D1E0C">
        <w:t>-</w:t>
      </w:r>
      <w:r w:rsidRPr="00A305F5">
        <w:t xml:space="preserve">reported outcome measures </w:t>
      </w:r>
      <w:r>
        <w:t xml:space="preserve">included in the PAPILLON trial included the </w:t>
      </w:r>
      <w:r w:rsidR="00596C21" w:rsidRPr="00596C21">
        <w:t xml:space="preserve">EuroQol 5 Dimension 5 Level </w:t>
      </w:r>
      <w:r w:rsidR="00596C21">
        <w:t>(</w:t>
      </w:r>
      <w:r w:rsidRPr="00A305F5">
        <w:t>EQ-5D-5L</w:t>
      </w:r>
      <w:r w:rsidR="00596C21">
        <w:t>)</w:t>
      </w:r>
      <w:r>
        <w:t xml:space="preserve"> and were analysed as an exploratory endpoint. </w:t>
      </w:r>
      <w:r w:rsidRPr="00F57957">
        <w:t xml:space="preserve">EQ-5D-5L utility scores </w:t>
      </w:r>
      <w:r>
        <w:t xml:space="preserve">(based on the UK value set) </w:t>
      </w:r>
      <w:r w:rsidRPr="00F57957">
        <w:t xml:space="preserve">were maintained across all treatment cycles and </w:t>
      </w:r>
      <w:r>
        <w:t xml:space="preserve">differences between treatment arms </w:t>
      </w:r>
      <w:r w:rsidRPr="00F57957">
        <w:t>were no</w:t>
      </w:r>
      <w:r>
        <w:t>t</w:t>
      </w:r>
      <w:r w:rsidRPr="00F57957">
        <w:t xml:space="preserve"> statistically significant</w:t>
      </w:r>
      <w:r>
        <w:t xml:space="preserve"> </w:t>
      </w:r>
      <w:r w:rsidRPr="00F57957">
        <w:t>(p&gt;0.05).</w:t>
      </w:r>
    </w:p>
    <w:p w14:paraId="242BAFAB" w14:textId="41F85126" w:rsidR="00765141" w:rsidRDefault="00765141" w:rsidP="00EF4C49">
      <w:pPr>
        <w:pStyle w:val="3-BodyText"/>
      </w:pPr>
      <w:r>
        <w:t>The submission also included</w:t>
      </w:r>
      <w:r w:rsidRPr="007D28DF">
        <w:t xml:space="preserve"> data from </w:t>
      </w:r>
      <w:r w:rsidR="006A279A">
        <w:t>a</w:t>
      </w:r>
      <w:r w:rsidRPr="007D28DF">
        <w:t xml:space="preserve"> Phase I, single-arm study (CHRYSALIS; N=153) and data from the PAPILLON trial crossover phase (N=65)</w:t>
      </w:r>
      <w:r>
        <w:t xml:space="preserve"> to demonstrate the use of amivantamab monotherapy as second-line treatment (following progression on or after PBC) to support the submission’s request for a</w:t>
      </w:r>
      <w:r w:rsidR="007203A4">
        <w:t>n alternative</w:t>
      </w:r>
      <w:r>
        <w:t xml:space="preserve"> PBS restriction</w:t>
      </w:r>
      <w:r w:rsidR="00111714">
        <w:t xml:space="preserve"> that allows patients to receive treatment in the first- or second-line setting</w:t>
      </w:r>
      <w:r w:rsidR="005C103F">
        <w:t xml:space="preserve"> (see paragraph </w:t>
      </w:r>
      <w:r w:rsidR="005C103F">
        <w:fldChar w:fldCharType="begin"/>
      </w:r>
      <w:r w:rsidR="005C103F">
        <w:instrText xml:space="preserve"> REF _Ref183243383 \r \h </w:instrText>
      </w:r>
      <w:r w:rsidR="005C103F">
        <w:fldChar w:fldCharType="separate"/>
      </w:r>
      <w:r w:rsidR="00372107">
        <w:t>3.6</w:t>
      </w:r>
      <w:r w:rsidR="005C103F">
        <w:fldChar w:fldCharType="end"/>
      </w:r>
      <w:r w:rsidR="005C103F">
        <w:t>)</w:t>
      </w:r>
      <w:r>
        <w:t xml:space="preserve">. </w:t>
      </w:r>
    </w:p>
    <w:bookmarkStart w:id="65" w:name="_Ref174375031"/>
    <w:p w14:paraId="4CE34A15" w14:textId="35106CD8" w:rsidR="00765141" w:rsidRPr="00F246E0" w:rsidRDefault="008521E6" w:rsidP="00EF4C49">
      <w:pPr>
        <w:pStyle w:val="3-BodyText"/>
      </w:pPr>
      <w:r>
        <w:fldChar w:fldCharType="begin"/>
      </w:r>
      <w:r>
        <w:rPr>
          <w:rFonts w:eastAsia="Times New Roman" w:cs="Arial"/>
          <w:szCs w:val="24"/>
        </w:rPr>
        <w:instrText xml:space="preserve"> REF _Ref177136403 \h </w:instrText>
      </w:r>
      <w:r>
        <w:fldChar w:fldCharType="separate"/>
      </w:r>
      <w:r w:rsidR="00372107">
        <w:t xml:space="preserve">Table </w:t>
      </w:r>
      <w:r w:rsidR="00372107">
        <w:rPr>
          <w:noProof/>
        </w:rPr>
        <w:t>6</w:t>
      </w:r>
      <w:r>
        <w:fldChar w:fldCharType="end"/>
      </w:r>
      <w:r w:rsidR="00765141">
        <w:t xml:space="preserve"> presents a summary of the efficacy results from CHRYSALIS and PAPILLON crossover phase</w:t>
      </w:r>
      <w:r w:rsidR="00765141" w:rsidRPr="00C06BAC">
        <w:t>.</w:t>
      </w:r>
      <w:bookmarkStart w:id="66" w:name="_Ref174276518"/>
      <w:bookmarkEnd w:id="65"/>
    </w:p>
    <w:p w14:paraId="469DD9C0" w14:textId="64F216AC" w:rsidR="00765141" w:rsidRDefault="00765141" w:rsidP="006D426F">
      <w:pPr>
        <w:pStyle w:val="TableFigureHeading"/>
      </w:pPr>
      <w:bookmarkStart w:id="67" w:name="_Ref177136403"/>
      <w:r>
        <w:t xml:space="preserve">Table </w:t>
      </w:r>
      <w:r w:rsidR="002C794C">
        <w:fldChar w:fldCharType="begin"/>
      </w:r>
      <w:r w:rsidR="002C794C">
        <w:instrText xml:space="preserve"> SEQ Table \* ARABIC </w:instrText>
      </w:r>
      <w:r w:rsidR="002C794C">
        <w:fldChar w:fldCharType="separate"/>
      </w:r>
      <w:r w:rsidR="00372107">
        <w:rPr>
          <w:noProof/>
        </w:rPr>
        <w:t>6</w:t>
      </w:r>
      <w:r w:rsidR="002C794C">
        <w:rPr>
          <w:noProof/>
        </w:rPr>
        <w:fldChar w:fldCharType="end"/>
      </w:r>
      <w:bookmarkEnd w:id="66"/>
      <w:bookmarkEnd w:id="67"/>
      <w:r>
        <w:t xml:space="preserve">: </w:t>
      </w:r>
      <w:r w:rsidRPr="009D6A95">
        <w:t>Summary</w:t>
      </w:r>
      <w:r>
        <w:t xml:space="preserve"> of key results from CHRYSALIS and PAPILLON crossover phase for amivantamab </w:t>
      </w:r>
    </w:p>
    <w:tbl>
      <w:tblPr>
        <w:tblStyle w:val="TableGrid"/>
        <w:tblW w:w="5000" w:type="pct"/>
        <w:tblLook w:val="04A0" w:firstRow="1" w:lastRow="0" w:firstColumn="1" w:lastColumn="0" w:noHBand="0" w:noVBand="1"/>
      </w:tblPr>
      <w:tblGrid>
        <w:gridCol w:w="3114"/>
        <w:gridCol w:w="1984"/>
        <w:gridCol w:w="1986"/>
        <w:gridCol w:w="1933"/>
      </w:tblGrid>
      <w:tr w:rsidR="00765141" w:rsidRPr="0067228B" w14:paraId="1E29212C" w14:textId="77777777" w:rsidTr="00DD2FDF">
        <w:trPr>
          <w:trHeight w:val="223"/>
          <w:tblHeader/>
        </w:trPr>
        <w:tc>
          <w:tcPr>
            <w:tcW w:w="1727" w:type="pct"/>
            <w:vMerge w:val="restart"/>
            <w:shd w:val="clear" w:color="auto" w:fill="auto"/>
            <w:vAlign w:val="center"/>
          </w:tcPr>
          <w:p w14:paraId="30B77796" w14:textId="77777777" w:rsidR="00765141" w:rsidRPr="0067228B" w:rsidRDefault="00765141" w:rsidP="006D426F">
            <w:pPr>
              <w:pStyle w:val="TableFigureHeading"/>
              <w:rPr>
                <w:lang w:val="en-GB"/>
              </w:rPr>
            </w:pPr>
          </w:p>
        </w:tc>
        <w:tc>
          <w:tcPr>
            <w:tcW w:w="2201" w:type="pct"/>
            <w:gridSpan w:val="2"/>
            <w:shd w:val="clear" w:color="auto" w:fill="auto"/>
            <w:vAlign w:val="center"/>
          </w:tcPr>
          <w:p w14:paraId="0973915C" w14:textId="77777777" w:rsidR="00765141" w:rsidRPr="0067228B" w:rsidRDefault="00765141" w:rsidP="006D426F">
            <w:pPr>
              <w:pStyle w:val="TableFigureHeading"/>
              <w:jc w:val="center"/>
              <w:rPr>
                <w:lang w:val="en-GB"/>
              </w:rPr>
            </w:pPr>
            <w:r>
              <w:rPr>
                <w:lang w:val="en-GB"/>
              </w:rPr>
              <w:t>CHRYSALIS</w:t>
            </w:r>
          </w:p>
        </w:tc>
        <w:tc>
          <w:tcPr>
            <w:tcW w:w="1072" w:type="pct"/>
            <w:vMerge w:val="restart"/>
            <w:shd w:val="clear" w:color="auto" w:fill="auto"/>
            <w:vAlign w:val="center"/>
          </w:tcPr>
          <w:p w14:paraId="319C1E0F" w14:textId="77777777" w:rsidR="00765141" w:rsidRDefault="00765141" w:rsidP="006D426F">
            <w:pPr>
              <w:pStyle w:val="TableFigureHeading"/>
              <w:jc w:val="center"/>
              <w:rPr>
                <w:lang w:val="en-GB"/>
              </w:rPr>
            </w:pPr>
            <w:r>
              <w:rPr>
                <w:lang w:val="en-GB"/>
              </w:rPr>
              <w:t xml:space="preserve">PAPILLON </w:t>
            </w:r>
            <w:r>
              <w:t>crossover</w:t>
            </w:r>
          </w:p>
          <w:p w14:paraId="4D3A02A9" w14:textId="77777777" w:rsidR="00765141" w:rsidRPr="0067228B" w:rsidRDefault="00765141" w:rsidP="006D426F">
            <w:pPr>
              <w:pStyle w:val="TableFigureHeading"/>
              <w:jc w:val="center"/>
              <w:rPr>
                <w:lang w:val="en-GB"/>
              </w:rPr>
            </w:pPr>
            <w:r>
              <w:rPr>
                <w:lang w:val="en-GB"/>
              </w:rPr>
              <w:t>(N=65)</w:t>
            </w:r>
          </w:p>
        </w:tc>
      </w:tr>
      <w:tr w:rsidR="00765141" w:rsidRPr="00B90646" w14:paraId="66E1B0FB" w14:textId="77777777" w:rsidTr="00DD2FDF">
        <w:trPr>
          <w:trHeight w:val="412"/>
        </w:trPr>
        <w:tc>
          <w:tcPr>
            <w:tcW w:w="1727" w:type="pct"/>
            <w:vMerge/>
            <w:shd w:val="clear" w:color="auto" w:fill="F2F2F2" w:themeFill="background1" w:themeFillShade="F2"/>
            <w:vAlign w:val="center"/>
          </w:tcPr>
          <w:p w14:paraId="2AEA5BB8" w14:textId="77777777" w:rsidR="00765141" w:rsidRPr="00B90646" w:rsidRDefault="00765141" w:rsidP="006D426F">
            <w:pPr>
              <w:pStyle w:val="Tablebullet"/>
              <w:keepNext/>
              <w:numPr>
                <w:ilvl w:val="0"/>
                <w:numId w:val="0"/>
              </w:numPr>
              <w:spacing w:before="0" w:after="0"/>
              <w:rPr>
                <w:rFonts w:ascii="Arial Narrow" w:eastAsiaTheme="minorHAnsi" w:hAnsi="Arial Narrow" w:cstheme="minorBidi"/>
                <w:sz w:val="20"/>
              </w:rPr>
            </w:pPr>
          </w:p>
        </w:tc>
        <w:tc>
          <w:tcPr>
            <w:tcW w:w="1100" w:type="pct"/>
            <w:shd w:val="clear" w:color="auto" w:fill="auto"/>
            <w:vAlign w:val="center"/>
          </w:tcPr>
          <w:p w14:paraId="7BCD674D" w14:textId="77777777" w:rsidR="00765141" w:rsidRPr="00141313" w:rsidRDefault="00765141" w:rsidP="006D426F">
            <w:pPr>
              <w:pStyle w:val="TableHeading"/>
              <w:spacing w:before="0" w:after="0"/>
              <w:jc w:val="center"/>
              <w:rPr>
                <w:lang w:val="en-GB"/>
              </w:rPr>
            </w:pPr>
            <w:r>
              <w:rPr>
                <w:lang w:val="en-GB"/>
              </w:rPr>
              <w:t xml:space="preserve">Efficacy population (N=81) </w:t>
            </w:r>
            <w:r>
              <w:rPr>
                <w:vertAlign w:val="superscript"/>
                <w:lang w:val="en-GB"/>
              </w:rPr>
              <w:t>a</w:t>
            </w:r>
          </w:p>
        </w:tc>
        <w:tc>
          <w:tcPr>
            <w:tcW w:w="1101" w:type="pct"/>
            <w:shd w:val="clear" w:color="auto" w:fill="auto"/>
            <w:vAlign w:val="center"/>
          </w:tcPr>
          <w:p w14:paraId="1200DD6D" w14:textId="77777777" w:rsidR="00765141" w:rsidRPr="00141313" w:rsidRDefault="00765141" w:rsidP="006D426F">
            <w:pPr>
              <w:pStyle w:val="TableHeading"/>
              <w:spacing w:before="0" w:after="0"/>
              <w:jc w:val="center"/>
              <w:rPr>
                <w:vertAlign w:val="superscript"/>
                <w:lang w:val="en-GB"/>
              </w:rPr>
            </w:pPr>
            <w:r>
              <w:rPr>
                <w:lang w:val="en-GB"/>
              </w:rPr>
              <w:t xml:space="preserve">Additional efficacy population (N=124) </w:t>
            </w:r>
            <w:r>
              <w:rPr>
                <w:vertAlign w:val="superscript"/>
                <w:lang w:val="en-GB"/>
              </w:rPr>
              <w:t>b</w:t>
            </w:r>
          </w:p>
        </w:tc>
        <w:tc>
          <w:tcPr>
            <w:tcW w:w="1072" w:type="pct"/>
            <w:vMerge/>
            <w:vAlign w:val="center"/>
          </w:tcPr>
          <w:p w14:paraId="463B5A2A" w14:textId="77777777" w:rsidR="00765141" w:rsidRPr="00B90646" w:rsidRDefault="00765141" w:rsidP="006D426F">
            <w:pPr>
              <w:pStyle w:val="TableText1"/>
              <w:spacing w:before="0" w:after="0"/>
              <w:jc w:val="center"/>
              <w:rPr>
                <w:rFonts w:ascii="Arial Narrow" w:eastAsiaTheme="minorHAnsi" w:hAnsi="Arial Narrow" w:cstheme="minorBidi"/>
                <w:sz w:val="20"/>
              </w:rPr>
            </w:pPr>
          </w:p>
        </w:tc>
      </w:tr>
      <w:tr w:rsidR="00765141" w:rsidRPr="00466019" w14:paraId="0BCB9F86" w14:textId="77777777" w:rsidTr="00DD2FDF">
        <w:trPr>
          <w:trHeight w:val="185"/>
        </w:trPr>
        <w:tc>
          <w:tcPr>
            <w:tcW w:w="1727" w:type="pct"/>
            <w:vAlign w:val="center"/>
          </w:tcPr>
          <w:p w14:paraId="7B4F83F1" w14:textId="77777777" w:rsidR="00765141" w:rsidRPr="00B90646" w:rsidRDefault="00765141" w:rsidP="006D426F">
            <w:pPr>
              <w:pStyle w:val="Tablebullet"/>
              <w:keepNext/>
              <w:numPr>
                <w:ilvl w:val="0"/>
                <w:numId w:val="0"/>
              </w:numPr>
              <w:spacing w:before="0" w:after="0"/>
              <w:rPr>
                <w:rFonts w:ascii="Arial Narrow" w:eastAsiaTheme="minorHAnsi" w:hAnsi="Arial Narrow" w:cstheme="minorBidi"/>
                <w:sz w:val="20"/>
              </w:rPr>
            </w:pPr>
            <w:r>
              <w:rPr>
                <w:rFonts w:ascii="Arial Narrow" w:eastAsiaTheme="minorHAnsi" w:hAnsi="Arial Narrow" w:cstheme="minorBidi"/>
                <w:sz w:val="20"/>
              </w:rPr>
              <w:t xml:space="preserve">Median follow up, months </w:t>
            </w:r>
          </w:p>
        </w:tc>
        <w:tc>
          <w:tcPr>
            <w:tcW w:w="1100" w:type="pct"/>
            <w:vAlign w:val="center"/>
          </w:tcPr>
          <w:p w14:paraId="3485B0EF" w14:textId="77777777" w:rsidR="00765141" w:rsidRPr="00B90646" w:rsidRDefault="00765141" w:rsidP="006D426F">
            <w:pPr>
              <w:pStyle w:val="TableText1"/>
              <w:spacing w:before="0" w:after="0"/>
              <w:jc w:val="center"/>
              <w:rPr>
                <w:rFonts w:ascii="Arial Narrow" w:eastAsiaTheme="minorHAnsi" w:hAnsi="Arial Narrow" w:cstheme="minorBidi"/>
                <w:sz w:val="20"/>
              </w:rPr>
            </w:pPr>
            <w:r>
              <w:rPr>
                <w:rFonts w:ascii="Arial Narrow" w:eastAsiaTheme="minorHAnsi" w:hAnsi="Arial Narrow" w:cstheme="minorBidi"/>
                <w:sz w:val="20"/>
              </w:rPr>
              <w:t>14.5</w:t>
            </w:r>
          </w:p>
        </w:tc>
        <w:tc>
          <w:tcPr>
            <w:tcW w:w="1101" w:type="pct"/>
            <w:vAlign w:val="center"/>
          </w:tcPr>
          <w:p w14:paraId="07E18862" w14:textId="77777777" w:rsidR="00765141" w:rsidRPr="00B90646" w:rsidRDefault="00765141" w:rsidP="006D426F">
            <w:pPr>
              <w:pStyle w:val="TableText1"/>
              <w:spacing w:before="0" w:after="0"/>
              <w:jc w:val="center"/>
              <w:rPr>
                <w:rFonts w:ascii="Arial Narrow" w:eastAsiaTheme="minorHAnsi" w:hAnsi="Arial Narrow" w:cstheme="minorBidi"/>
                <w:sz w:val="20"/>
              </w:rPr>
            </w:pPr>
            <w:r>
              <w:rPr>
                <w:rFonts w:ascii="Arial Narrow" w:eastAsiaTheme="minorHAnsi" w:hAnsi="Arial Narrow" w:cstheme="minorBidi"/>
                <w:sz w:val="20"/>
              </w:rPr>
              <w:t>11.9</w:t>
            </w:r>
          </w:p>
        </w:tc>
        <w:tc>
          <w:tcPr>
            <w:tcW w:w="1072" w:type="pct"/>
            <w:vAlign w:val="center"/>
          </w:tcPr>
          <w:p w14:paraId="7239DCFC"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11.9</w:t>
            </w:r>
          </w:p>
        </w:tc>
      </w:tr>
      <w:tr w:rsidR="00765141" w:rsidRPr="00466019" w14:paraId="0D27A11C" w14:textId="77777777" w:rsidTr="002D0619">
        <w:tc>
          <w:tcPr>
            <w:tcW w:w="5000" w:type="pct"/>
            <w:gridSpan w:val="4"/>
            <w:vAlign w:val="center"/>
          </w:tcPr>
          <w:p w14:paraId="048B86AB" w14:textId="77777777" w:rsidR="006427A0" w:rsidRPr="005E18EB" w:rsidRDefault="006427A0" w:rsidP="006D426F">
            <w:pPr>
              <w:pStyle w:val="TableText1"/>
              <w:spacing w:before="0" w:after="0"/>
              <w:jc w:val="left"/>
              <w:rPr>
                <w:rFonts w:ascii="Arial Narrow" w:eastAsiaTheme="minorHAnsi" w:hAnsi="Arial Narrow" w:cstheme="minorBidi"/>
                <w:b/>
                <w:bCs/>
                <w:sz w:val="20"/>
              </w:rPr>
            </w:pPr>
            <w:r w:rsidRPr="005E18EB">
              <w:rPr>
                <w:rFonts w:ascii="Arial Narrow" w:eastAsiaTheme="minorHAnsi" w:hAnsi="Arial Narrow" w:cstheme="minorBidi"/>
                <w:b/>
                <w:bCs/>
                <w:sz w:val="20"/>
              </w:rPr>
              <w:t>Progression-free survival</w:t>
            </w:r>
          </w:p>
        </w:tc>
      </w:tr>
      <w:tr w:rsidR="00765141" w:rsidRPr="00466019" w14:paraId="2348904F" w14:textId="77777777" w:rsidTr="00DD2FDF">
        <w:tc>
          <w:tcPr>
            <w:tcW w:w="1727" w:type="pct"/>
            <w:vAlign w:val="center"/>
          </w:tcPr>
          <w:p w14:paraId="445C6D5D" w14:textId="1C682009" w:rsidR="00765141" w:rsidRPr="005E18EB" w:rsidRDefault="00765141" w:rsidP="006D426F">
            <w:pPr>
              <w:pStyle w:val="Tablebullet"/>
              <w:keepNext/>
              <w:numPr>
                <w:ilvl w:val="0"/>
                <w:numId w:val="0"/>
              </w:numPr>
              <w:spacing w:before="0" w:after="0"/>
              <w:rPr>
                <w:rFonts w:ascii="Arial Narrow" w:eastAsiaTheme="minorHAnsi" w:hAnsi="Arial Narrow" w:cstheme="minorBidi"/>
                <w:sz w:val="20"/>
              </w:rPr>
            </w:pPr>
            <w:r w:rsidRPr="005E18EB">
              <w:rPr>
                <w:rFonts w:ascii="Arial Narrow" w:eastAsiaTheme="minorHAnsi" w:hAnsi="Arial Narrow" w:cstheme="minorBidi"/>
                <w:sz w:val="20"/>
              </w:rPr>
              <w:t>Event</w:t>
            </w:r>
            <w:r w:rsidR="00C547E9">
              <w:rPr>
                <w:rFonts w:ascii="Arial Narrow" w:eastAsiaTheme="minorHAnsi" w:hAnsi="Arial Narrow" w:cstheme="minorBidi"/>
                <w:sz w:val="20"/>
              </w:rPr>
              <w:t>s (progression or death</w:t>
            </w:r>
            <w:r w:rsidR="008C470E">
              <w:rPr>
                <w:rFonts w:ascii="Arial Narrow" w:eastAsiaTheme="minorHAnsi" w:hAnsi="Arial Narrow" w:cstheme="minorBidi"/>
                <w:sz w:val="20"/>
              </w:rPr>
              <w:t>), n %</w:t>
            </w:r>
          </w:p>
        </w:tc>
        <w:tc>
          <w:tcPr>
            <w:tcW w:w="1100" w:type="pct"/>
            <w:vAlign w:val="center"/>
          </w:tcPr>
          <w:p w14:paraId="28DC597C"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57 (70.4%)</w:t>
            </w:r>
          </w:p>
        </w:tc>
        <w:tc>
          <w:tcPr>
            <w:tcW w:w="1101" w:type="pct"/>
            <w:vAlign w:val="center"/>
          </w:tcPr>
          <w:p w14:paraId="2861B594"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90 (72.6%)</w:t>
            </w:r>
          </w:p>
        </w:tc>
        <w:tc>
          <w:tcPr>
            <w:tcW w:w="1072" w:type="pct"/>
            <w:vAlign w:val="center"/>
          </w:tcPr>
          <w:p w14:paraId="477FA5D6"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35 (53.8%)</w:t>
            </w:r>
          </w:p>
        </w:tc>
      </w:tr>
      <w:tr w:rsidR="00765141" w:rsidRPr="00466019" w14:paraId="112D33B7" w14:textId="77777777" w:rsidTr="00DD2FDF">
        <w:tc>
          <w:tcPr>
            <w:tcW w:w="1727" w:type="pct"/>
            <w:vAlign w:val="center"/>
          </w:tcPr>
          <w:p w14:paraId="31D4E08C" w14:textId="137FB82B" w:rsidR="00765141" w:rsidRPr="005E18EB" w:rsidRDefault="00765141" w:rsidP="006D426F">
            <w:pPr>
              <w:pStyle w:val="Tablebullet"/>
              <w:keepNext/>
              <w:numPr>
                <w:ilvl w:val="0"/>
                <w:numId w:val="0"/>
              </w:numPr>
              <w:spacing w:before="0" w:after="0"/>
              <w:rPr>
                <w:rFonts w:ascii="Arial Narrow" w:eastAsiaTheme="minorHAnsi" w:hAnsi="Arial Narrow" w:cstheme="minorBidi"/>
                <w:sz w:val="20"/>
              </w:rPr>
            </w:pPr>
            <w:r w:rsidRPr="005E18EB">
              <w:rPr>
                <w:rFonts w:ascii="Arial Narrow" w:eastAsiaTheme="minorHAnsi" w:hAnsi="Arial Narrow" w:cstheme="minorBidi"/>
                <w:sz w:val="20"/>
              </w:rPr>
              <w:t>Median time to event</w:t>
            </w:r>
            <w:r w:rsidR="00557E52">
              <w:rPr>
                <w:rFonts w:ascii="Arial Narrow" w:eastAsiaTheme="minorHAnsi" w:hAnsi="Arial Narrow" w:cstheme="minorBidi"/>
                <w:sz w:val="20"/>
              </w:rPr>
              <w:t>, months</w:t>
            </w:r>
            <w:r w:rsidRPr="005E18EB">
              <w:rPr>
                <w:rFonts w:ascii="Arial Narrow" w:eastAsiaTheme="minorHAnsi" w:hAnsi="Arial Narrow" w:cstheme="minorBidi"/>
                <w:sz w:val="20"/>
              </w:rPr>
              <w:t xml:space="preserve"> (95% CI)</w:t>
            </w:r>
          </w:p>
        </w:tc>
        <w:tc>
          <w:tcPr>
            <w:tcW w:w="1100" w:type="pct"/>
            <w:vAlign w:val="center"/>
          </w:tcPr>
          <w:p w14:paraId="4EB71707"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8.25 (5.49, 12.32)</w:t>
            </w:r>
          </w:p>
        </w:tc>
        <w:tc>
          <w:tcPr>
            <w:tcW w:w="1101" w:type="pct"/>
            <w:vAlign w:val="center"/>
          </w:tcPr>
          <w:p w14:paraId="60FB3BE9"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6.80 (5.55, 8.28)</w:t>
            </w:r>
          </w:p>
        </w:tc>
        <w:tc>
          <w:tcPr>
            <w:tcW w:w="1072" w:type="pct"/>
            <w:vAlign w:val="center"/>
          </w:tcPr>
          <w:p w14:paraId="213647B7"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6.77 (4.40, 9.59)</w:t>
            </w:r>
          </w:p>
        </w:tc>
      </w:tr>
      <w:tr w:rsidR="00765141" w:rsidRPr="00466019" w14:paraId="576E608F" w14:textId="77777777" w:rsidTr="002D0619">
        <w:tc>
          <w:tcPr>
            <w:tcW w:w="5000" w:type="pct"/>
            <w:gridSpan w:val="4"/>
            <w:vAlign w:val="center"/>
          </w:tcPr>
          <w:p w14:paraId="1DD2CFF7" w14:textId="77777777" w:rsidR="006427A0" w:rsidRPr="005E18EB" w:rsidRDefault="006427A0" w:rsidP="006D426F">
            <w:pPr>
              <w:pStyle w:val="TableText1"/>
              <w:spacing w:before="0" w:after="0"/>
              <w:jc w:val="left"/>
              <w:rPr>
                <w:rFonts w:ascii="Arial Narrow" w:eastAsiaTheme="minorHAnsi" w:hAnsi="Arial Narrow" w:cstheme="minorBidi"/>
                <w:b/>
                <w:bCs/>
                <w:sz w:val="20"/>
              </w:rPr>
            </w:pPr>
            <w:r w:rsidRPr="005E18EB">
              <w:rPr>
                <w:rFonts w:ascii="Arial Narrow" w:eastAsiaTheme="minorHAnsi" w:hAnsi="Arial Narrow" w:cstheme="minorBidi"/>
                <w:b/>
                <w:bCs/>
                <w:sz w:val="20"/>
              </w:rPr>
              <w:t>Overall survival</w:t>
            </w:r>
          </w:p>
        </w:tc>
      </w:tr>
      <w:tr w:rsidR="00765141" w:rsidRPr="00466019" w14:paraId="7C84FC5A" w14:textId="77777777" w:rsidTr="00DD2FDF">
        <w:tc>
          <w:tcPr>
            <w:tcW w:w="1727" w:type="pct"/>
            <w:vAlign w:val="center"/>
          </w:tcPr>
          <w:p w14:paraId="407B3F8A" w14:textId="7721FC4E" w:rsidR="00765141" w:rsidRPr="00B90646" w:rsidRDefault="00765141" w:rsidP="006D426F">
            <w:pPr>
              <w:pStyle w:val="Tablebullet"/>
              <w:keepNext/>
              <w:numPr>
                <w:ilvl w:val="0"/>
                <w:numId w:val="0"/>
              </w:numPr>
              <w:spacing w:before="0" w:after="0"/>
              <w:rPr>
                <w:rFonts w:ascii="Arial Narrow" w:eastAsiaTheme="minorHAnsi" w:hAnsi="Arial Narrow" w:cstheme="minorBidi"/>
                <w:sz w:val="20"/>
              </w:rPr>
            </w:pPr>
            <w:r w:rsidRPr="005E18EB">
              <w:rPr>
                <w:rFonts w:ascii="Arial Narrow" w:eastAsiaTheme="minorHAnsi" w:hAnsi="Arial Narrow" w:cstheme="minorBidi"/>
                <w:sz w:val="20"/>
              </w:rPr>
              <w:t>Event</w:t>
            </w:r>
            <w:r w:rsidR="00495D44">
              <w:rPr>
                <w:rFonts w:ascii="Arial Narrow" w:eastAsiaTheme="minorHAnsi" w:hAnsi="Arial Narrow" w:cstheme="minorBidi"/>
                <w:sz w:val="20"/>
              </w:rPr>
              <w:t>s (death), n %</w:t>
            </w:r>
          </w:p>
        </w:tc>
        <w:tc>
          <w:tcPr>
            <w:tcW w:w="1100" w:type="pct"/>
            <w:vAlign w:val="center"/>
          </w:tcPr>
          <w:p w14:paraId="5341790F" w14:textId="77777777" w:rsidR="00765141" w:rsidRPr="00B90646"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31 (38.3%)</w:t>
            </w:r>
          </w:p>
        </w:tc>
        <w:tc>
          <w:tcPr>
            <w:tcW w:w="1101" w:type="pct"/>
            <w:vAlign w:val="center"/>
          </w:tcPr>
          <w:p w14:paraId="11CE0BD2" w14:textId="77777777" w:rsidR="00765141"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44 (35.5%)</w:t>
            </w:r>
          </w:p>
        </w:tc>
        <w:tc>
          <w:tcPr>
            <w:tcW w:w="1072" w:type="pct"/>
            <w:vAlign w:val="center"/>
          </w:tcPr>
          <w:p w14:paraId="28A822D3"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17 (26.2%)</w:t>
            </w:r>
          </w:p>
        </w:tc>
      </w:tr>
      <w:tr w:rsidR="00765141" w:rsidRPr="00466019" w14:paraId="74D191DB" w14:textId="77777777" w:rsidTr="00DD2FDF">
        <w:tc>
          <w:tcPr>
            <w:tcW w:w="1727" w:type="pct"/>
            <w:vAlign w:val="center"/>
          </w:tcPr>
          <w:p w14:paraId="14D1FBF0" w14:textId="226D32AC" w:rsidR="00765141" w:rsidRPr="00012463" w:rsidRDefault="00765141" w:rsidP="006D426F">
            <w:pPr>
              <w:pStyle w:val="Tablebullet"/>
              <w:keepNext/>
              <w:numPr>
                <w:ilvl w:val="0"/>
                <w:numId w:val="0"/>
              </w:numPr>
              <w:spacing w:before="0" w:after="0"/>
              <w:rPr>
                <w:rFonts w:ascii="Arial Narrow" w:eastAsiaTheme="minorHAnsi" w:hAnsi="Arial Narrow" w:cstheme="minorBidi"/>
                <w:sz w:val="20"/>
              </w:rPr>
            </w:pPr>
            <w:r w:rsidRPr="005E18EB">
              <w:rPr>
                <w:rFonts w:ascii="Arial Narrow" w:eastAsiaTheme="minorHAnsi" w:hAnsi="Arial Narrow" w:cstheme="minorBidi"/>
                <w:sz w:val="20"/>
              </w:rPr>
              <w:t>Median time to event</w:t>
            </w:r>
            <w:r w:rsidR="00557E52">
              <w:rPr>
                <w:rFonts w:ascii="Arial Narrow" w:eastAsiaTheme="minorHAnsi" w:hAnsi="Arial Narrow" w:cstheme="minorBidi"/>
                <w:sz w:val="20"/>
              </w:rPr>
              <w:t>, months</w:t>
            </w:r>
            <w:r w:rsidRPr="005E18EB">
              <w:rPr>
                <w:rFonts w:ascii="Arial Narrow" w:eastAsiaTheme="minorHAnsi" w:hAnsi="Arial Narrow" w:cstheme="minorBidi"/>
                <w:sz w:val="20"/>
              </w:rPr>
              <w:t xml:space="preserve"> (95% CI)</w:t>
            </w:r>
          </w:p>
        </w:tc>
        <w:tc>
          <w:tcPr>
            <w:tcW w:w="1100" w:type="pct"/>
            <w:vAlign w:val="center"/>
          </w:tcPr>
          <w:p w14:paraId="56BAE7C0" w14:textId="77777777" w:rsidR="00765141"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22.77 (17.48, NE)</w:t>
            </w:r>
          </w:p>
        </w:tc>
        <w:tc>
          <w:tcPr>
            <w:tcW w:w="1101" w:type="pct"/>
            <w:vAlign w:val="center"/>
          </w:tcPr>
          <w:p w14:paraId="5B59881D" w14:textId="77777777" w:rsidR="00765141" w:rsidRPr="00012463"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22.77 (17.48, NE)</w:t>
            </w:r>
          </w:p>
        </w:tc>
        <w:tc>
          <w:tcPr>
            <w:tcW w:w="1072" w:type="pct"/>
            <w:vAlign w:val="center"/>
          </w:tcPr>
          <w:p w14:paraId="14C7B8CC"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17.68 (12.09, NE)</w:t>
            </w:r>
          </w:p>
        </w:tc>
      </w:tr>
      <w:tr w:rsidR="00765141" w:rsidRPr="00466019" w14:paraId="657B8708" w14:textId="77777777" w:rsidTr="002D0619">
        <w:tc>
          <w:tcPr>
            <w:tcW w:w="5000" w:type="pct"/>
            <w:gridSpan w:val="4"/>
            <w:vAlign w:val="center"/>
          </w:tcPr>
          <w:p w14:paraId="5EECB020" w14:textId="77777777" w:rsidR="006427A0" w:rsidRPr="005E18EB" w:rsidRDefault="006427A0" w:rsidP="006D426F">
            <w:pPr>
              <w:pStyle w:val="TableText1"/>
              <w:spacing w:before="0" w:after="0"/>
              <w:jc w:val="left"/>
              <w:rPr>
                <w:rFonts w:ascii="Arial Narrow" w:eastAsiaTheme="minorHAnsi" w:hAnsi="Arial Narrow" w:cstheme="minorBidi"/>
                <w:b/>
                <w:bCs/>
                <w:sz w:val="20"/>
              </w:rPr>
            </w:pPr>
            <w:r w:rsidRPr="005E18EB">
              <w:rPr>
                <w:rFonts w:ascii="Arial Narrow" w:eastAsiaTheme="minorHAnsi" w:hAnsi="Arial Narrow" w:cstheme="minorBidi"/>
                <w:b/>
                <w:bCs/>
                <w:sz w:val="20"/>
              </w:rPr>
              <w:t>Objective response rate</w:t>
            </w:r>
          </w:p>
        </w:tc>
      </w:tr>
      <w:tr w:rsidR="00765141" w:rsidRPr="00466019" w14:paraId="44A36504" w14:textId="77777777" w:rsidTr="00DD2FDF">
        <w:tc>
          <w:tcPr>
            <w:tcW w:w="1727" w:type="pct"/>
            <w:vAlign w:val="center"/>
          </w:tcPr>
          <w:p w14:paraId="4EF83BA3" w14:textId="77777777" w:rsidR="00765141" w:rsidRDefault="00765141" w:rsidP="006D426F">
            <w:pPr>
              <w:pStyle w:val="Tablebullet"/>
              <w:keepNext/>
              <w:numPr>
                <w:ilvl w:val="0"/>
                <w:numId w:val="0"/>
              </w:numPr>
              <w:spacing w:before="0" w:after="0"/>
              <w:rPr>
                <w:rFonts w:ascii="Arial Narrow" w:eastAsiaTheme="minorHAnsi" w:hAnsi="Arial Narrow" w:cstheme="minorBidi"/>
                <w:sz w:val="20"/>
              </w:rPr>
            </w:pPr>
            <w:r w:rsidRPr="005E18EB">
              <w:rPr>
                <w:rFonts w:ascii="Arial Narrow" w:eastAsiaTheme="minorHAnsi" w:hAnsi="Arial Narrow" w:cstheme="minorBidi"/>
                <w:sz w:val="20"/>
              </w:rPr>
              <w:t>Responders (CR + PR)</w:t>
            </w:r>
          </w:p>
        </w:tc>
        <w:tc>
          <w:tcPr>
            <w:tcW w:w="1100" w:type="pct"/>
            <w:vAlign w:val="center"/>
          </w:tcPr>
          <w:p w14:paraId="2414AE1D" w14:textId="77777777" w:rsidR="00765141" w:rsidRPr="00A32EF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31</w:t>
            </w:r>
          </w:p>
        </w:tc>
        <w:tc>
          <w:tcPr>
            <w:tcW w:w="1101" w:type="pct"/>
            <w:vAlign w:val="center"/>
          </w:tcPr>
          <w:p w14:paraId="48685677" w14:textId="77777777" w:rsidR="00765141" w:rsidRPr="008C6EAF"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45</w:t>
            </w:r>
          </w:p>
        </w:tc>
        <w:tc>
          <w:tcPr>
            <w:tcW w:w="1072" w:type="pct"/>
            <w:vAlign w:val="center"/>
          </w:tcPr>
          <w:p w14:paraId="65C9FB74" w14:textId="77777777"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22</w:t>
            </w:r>
          </w:p>
        </w:tc>
      </w:tr>
      <w:tr w:rsidR="00765141" w:rsidRPr="00466019" w14:paraId="30FE65EE" w14:textId="77777777" w:rsidTr="00DD2FDF">
        <w:tc>
          <w:tcPr>
            <w:tcW w:w="1727" w:type="pct"/>
            <w:vAlign w:val="center"/>
          </w:tcPr>
          <w:p w14:paraId="4B6713E2" w14:textId="017244CE" w:rsidR="00765141" w:rsidRPr="00F2261E" w:rsidRDefault="00765141" w:rsidP="006D426F">
            <w:pPr>
              <w:pStyle w:val="Tablebullet"/>
              <w:keepNext/>
              <w:numPr>
                <w:ilvl w:val="0"/>
                <w:numId w:val="0"/>
              </w:numPr>
              <w:spacing w:before="0" w:after="0"/>
              <w:rPr>
                <w:rFonts w:ascii="Arial Narrow" w:eastAsiaTheme="minorHAnsi" w:hAnsi="Arial Narrow" w:cstheme="minorBidi"/>
                <w:sz w:val="20"/>
              </w:rPr>
            </w:pPr>
            <w:r w:rsidRPr="005E18EB">
              <w:rPr>
                <w:rFonts w:ascii="Arial Narrow" w:eastAsiaTheme="minorHAnsi" w:hAnsi="Arial Narrow" w:cstheme="minorBidi"/>
                <w:sz w:val="20"/>
              </w:rPr>
              <w:t>Overall response rate</w:t>
            </w:r>
            <w:r w:rsidR="00A354DB">
              <w:rPr>
                <w:rFonts w:ascii="Arial Narrow" w:eastAsiaTheme="minorHAnsi" w:hAnsi="Arial Narrow" w:cstheme="minorBidi"/>
                <w:sz w:val="20"/>
              </w:rPr>
              <w:t>, %</w:t>
            </w:r>
            <w:r w:rsidRPr="005E18EB">
              <w:rPr>
                <w:rFonts w:ascii="Arial Narrow" w:eastAsiaTheme="minorHAnsi" w:hAnsi="Arial Narrow" w:cstheme="minorBidi"/>
                <w:sz w:val="20"/>
              </w:rPr>
              <w:t xml:space="preserve"> (95% CI)</w:t>
            </w:r>
          </w:p>
        </w:tc>
        <w:tc>
          <w:tcPr>
            <w:tcW w:w="1100" w:type="pct"/>
            <w:vAlign w:val="center"/>
          </w:tcPr>
          <w:p w14:paraId="4C729F3D" w14:textId="52F023B1" w:rsidR="00765141" w:rsidRPr="00A32EF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38.3 (27.7, 49.7)</w:t>
            </w:r>
          </w:p>
        </w:tc>
        <w:tc>
          <w:tcPr>
            <w:tcW w:w="1101" w:type="pct"/>
            <w:vAlign w:val="center"/>
          </w:tcPr>
          <w:p w14:paraId="6453D4B4" w14:textId="1A41AFF6" w:rsidR="00765141" w:rsidRPr="008C6EAF"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36.3 (27.8, 45.4)</w:t>
            </w:r>
          </w:p>
        </w:tc>
        <w:tc>
          <w:tcPr>
            <w:tcW w:w="1072" w:type="pct"/>
            <w:vAlign w:val="center"/>
          </w:tcPr>
          <w:p w14:paraId="7F13ECA8" w14:textId="60F7F61A" w:rsidR="00765141" w:rsidRPr="005E18EB" w:rsidRDefault="00765141" w:rsidP="006D426F">
            <w:pPr>
              <w:pStyle w:val="TableText1"/>
              <w:spacing w:before="0" w:after="0"/>
              <w:jc w:val="center"/>
              <w:rPr>
                <w:rFonts w:ascii="Arial Narrow" w:eastAsiaTheme="minorHAnsi" w:hAnsi="Arial Narrow" w:cstheme="minorBidi"/>
                <w:sz w:val="20"/>
              </w:rPr>
            </w:pPr>
            <w:r w:rsidRPr="005E18EB">
              <w:rPr>
                <w:rFonts w:ascii="Arial Narrow" w:eastAsiaTheme="minorHAnsi" w:hAnsi="Arial Narrow" w:cstheme="minorBidi"/>
                <w:sz w:val="20"/>
              </w:rPr>
              <w:t>39.3 (26.5, 53.2)</w:t>
            </w:r>
          </w:p>
        </w:tc>
      </w:tr>
    </w:tbl>
    <w:p w14:paraId="2A9921BF" w14:textId="7D9AA7EC" w:rsidR="00765141" w:rsidRPr="00C06BAC" w:rsidRDefault="00765141" w:rsidP="006D426F">
      <w:pPr>
        <w:pStyle w:val="TableFooter"/>
        <w:keepNext/>
      </w:pPr>
      <w:r>
        <w:t>Source: Table 11, Appendix 1 of the submission</w:t>
      </w:r>
      <w:r w:rsidR="0033742A">
        <w:t xml:space="preserve">. </w:t>
      </w:r>
    </w:p>
    <w:p w14:paraId="4FB05E66" w14:textId="55283072" w:rsidR="00765141" w:rsidRDefault="00765141" w:rsidP="006D426F">
      <w:pPr>
        <w:pStyle w:val="TableFooter"/>
        <w:keepNext/>
        <w:rPr>
          <w:szCs w:val="20"/>
        </w:rPr>
      </w:pPr>
      <w:r>
        <w:t xml:space="preserve">Abbreviations: </w:t>
      </w:r>
      <w:r w:rsidRPr="00A131E3">
        <w:rPr>
          <w:szCs w:val="20"/>
        </w:rPr>
        <w:t>CI</w:t>
      </w:r>
      <w:r>
        <w:rPr>
          <w:szCs w:val="20"/>
        </w:rPr>
        <w:t>,</w:t>
      </w:r>
      <w:r w:rsidRPr="00A131E3">
        <w:rPr>
          <w:szCs w:val="20"/>
        </w:rPr>
        <w:t xml:space="preserve"> confidence interval; CR</w:t>
      </w:r>
      <w:r>
        <w:rPr>
          <w:szCs w:val="20"/>
        </w:rPr>
        <w:t xml:space="preserve">, </w:t>
      </w:r>
      <w:r w:rsidRPr="00A131E3">
        <w:rPr>
          <w:szCs w:val="20"/>
        </w:rPr>
        <w:t>complete responder; NE</w:t>
      </w:r>
      <w:r>
        <w:rPr>
          <w:szCs w:val="20"/>
        </w:rPr>
        <w:t xml:space="preserve">, </w:t>
      </w:r>
      <w:r w:rsidRPr="00A131E3">
        <w:rPr>
          <w:szCs w:val="20"/>
        </w:rPr>
        <w:t>not evaluable;</w:t>
      </w:r>
      <w:r>
        <w:rPr>
          <w:szCs w:val="20"/>
        </w:rPr>
        <w:t xml:space="preserve"> PR, partial responder.</w:t>
      </w:r>
    </w:p>
    <w:p w14:paraId="3C2249DE" w14:textId="20FE312C" w:rsidR="00765141" w:rsidRPr="00C03445" w:rsidRDefault="00765141" w:rsidP="006D426F">
      <w:pPr>
        <w:pStyle w:val="TableFooter"/>
        <w:keepNext/>
      </w:pPr>
      <w:r>
        <w:rPr>
          <w:vertAlign w:val="superscript"/>
        </w:rPr>
        <w:t>a</w:t>
      </w:r>
      <w:r>
        <w:t xml:space="preserve"> P</w:t>
      </w:r>
      <w:r w:rsidRPr="00650785">
        <w:t>rimary efficacy population</w:t>
      </w:r>
      <w:r>
        <w:t xml:space="preserve"> included patients who had undergone </w:t>
      </w:r>
      <w:r>
        <w:rPr>
          <w:u w:val="single"/>
        </w:rPr>
        <w:t>&gt;</w:t>
      </w:r>
      <w:r>
        <w:t>3 post-baseline disease assessments or discontinued treatment for any reason, including disease progression/death, prior to the cut-off of 8 June 2020</w:t>
      </w:r>
      <w:r w:rsidR="006303CB">
        <w:t>.</w:t>
      </w:r>
    </w:p>
    <w:p w14:paraId="0A78A930" w14:textId="52B139F4" w:rsidR="00765141" w:rsidRDefault="00765141" w:rsidP="006D426F">
      <w:pPr>
        <w:pStyle w:val="TableFooter"/>
        <w:keepNext/>
      </w:pPr>
      <w:r>
        <w:rPr>
          <w:vertAlign w:val="superscript"/>
        </w:rPr>
        <w:t>b</w:t>
      </w:r>
      <w:r>
        <w:t xml:space="preserve"> Additional</w:t>
      </w:r>
      <w:r w:rsidRPr="006B71D2">
        <w:t xml:space="preserve"> efficacy analysis </w:t>
      </w:r>
      <w:r>
        <w:t>included</w:t>
      </w:r>
      <w:r w:rsidRPr="006B71D2">
        <w:t xml:space="preserve"> patients who had &gt;6 months of follow-up from the last subject enrolled date (29 September 2020) at the cut-off of 30 March 2021</w:t>
      </w:r>
      <w:r w:rsidR="00132ACF">
        <w:t>.</w:t>
      </w:r>
    </w:p>
    <w:p w14:paraId="60F0E473" w14:textId="74091EBA" w:rsidR="00765141" w:rsidRPr="008D4844" w:rsidRDefault="00765141" w:rsidP="00765141">
      <w:pPr>
        <w:pStyle w:val="TableFooter"/>
        <w:widowControl w:val="0"/>
      </w:pPr>
      <w:r>
        <w:t>Note: The dose and frequency of amivantamab between the CHRYSALIS and PAPILLON crossover phase differ</w:t>
      </w:r>
      <w:r w:rsidR="00302F4F">
        <w:t>ed</w:t>
      </w:r>
      <w:r>
        <w:t xml:space="preserve">. </w:t>
      </w:r>
      <w:r w:rsidRPr="007A351B">
        <w:t>For instance, for those weighing &lt;80 kg, patients in CHRYSALI received a lower dose of amivantamab (1</w:t>
      </w:r>
      <w:r w:rsidR="009A62CF">
        <w:t>,</w:t>
      </w:r>
      <w:r w:rsidRPr="007A351B">
        <w:t>050 mg for patients) every two weeks while in PAPILLON, patients were treated with 1</w:t>
      </w:r>
      <w:r w:rsidR="009A62CF">
        <w:t>,</w:t>
      </w:r>
      <w:r w:rsidRPr="007A351B">
        <w:t>750 mg of amivantamab every three weeks.</w:t>
      </w:r>
    </w:p>
    <w:p w14:paraId="147902CC" w14:textId="77777777" w:rsidR="00765141" w:rsidRPr="0098262F" w:rsidRDefault="00765141" w:rsidP="00765141">
      <w:pPr>
        <w:pStyle w:val="4-SubsectionHeading"/>
      </w:pPr>
      <w:bookmarkStart w:id="68" w:name="_Toc22897642"/>
      <w:bookmarkStart w:id="69" w:name="_Toc174628137"/>
      <w:bookmarkStart w:id="70" w:name="_Toc177532582"/>
      <w:bookmarkStart w:id="71" w:name="_Toc177548280"/>
      <w:r w:rsidRPr="0098262F">
        <w:t>Comparative harms</w:t>
      </w:r>
      <w:bookmarkEnd w:id="68"/>
      <w:bookmarkEnd w:id="69"/>
      <w:bookmarkEnd w:id="70"/>
      <w:bookmarkEnd w:id="71"/>
    </w:p>
    <w:p w14:paraId="016CF89F" w14:textId="2D966128" w:rsidR="00765141" w:rsidRDefault="00765141" w:rsidP="00EF4C49">
      <w:pPr>
        <w:pStyle w:val="3-BodyText"/>
      </w:pPr>
      <w:bookmarkStart w:id="72" w:name="_Ref176945182"/>
      <w:r>
        <w:t xml:space="preserve">A summary of the comparative harms for ACP vs CP from the PAPILLON trial after a median follow-up for 14.9 months </w:t>
      </w:r>
      <w:r w:rsidR="00222844">
        <w:t xml:space="preserve">is </w:t>
      </w:r>
      <w:r>
        <w:t xml:space="preserve">presented in </w:t>
      </w:r>
      <w:r>
        <w:fldChar w:fldCharType="begin"/>
      </w:r>
      <w:r>
        <w:instrText xml:space="preserve"> REF _Ref174277249 \h </w:instrText>
      </w:r>
      <w:r>
        <w:fldChar w:fldCharType="separate"/>
      </w:r>
      <w:r w:rsidR="00372107" w:rsidRPr="0098262F">
        <w:t xml:space="preserve">Table </w:t>
      </w:r>
      <w:r w:rsidR="00372107">
        <w:rPr>
          <w:noProof/>
        </w:rPr>
        <w:t>7</w:t>
      </w:r>
      <w:r>
        <w:fldChar w:fldCharType="end"/>
      </w:r>
      <w:r>
        <w:t xml:space="preserve">. Patients in the ACP arm had a greater risk of experiencing </w:t>
      </w:r>
      <w:r w:rsidRPr="00770D91">
        <w:t>any drug-related TEAE, a greater risk of experiencing grade 3 or higher AEs and a greater risk of experiencing an AE requiring dose discontinuation, reduction or interruption.</w:t>
      </w:r>
      <w:bookmarkEnd w:id="72"/>
    </w:p>
    <w:p w14:paraId="647CA1BB" w14:textId="6469E52D" w:rsidR="00765141" w:rsidRDefault="00765141" w:rsidP="00765141">
      <w:pPr>
        <w:pStyle w:val="TableFigureHeading"/>
        <w:rPr>
          <w:rStyle w:val="CommentReference"/>
          <w:b/>
          <w:szCs w:val="24"/>
        </w:rPr>
      </w:pPr>
      <w:bookmarkStart w:id="73" w:name="_Ref174277249"/>
      <w:r w:rsidRPr="0098262F">
        <w:lastRenderedPageBreak/>
        <w:t xml:space="preserve">Table </w:t>
      </w:r>
      <w:r w:rsidR="002C794C">
        <w:fldChar w:fldCharType="begin"/>
      </w:r>
      <w:r w:rsidR="002C794C">
        <w:instrText xml:space="preserve"> SEQ Table \* ARABIC </w:instrText>
      </w:r>
      <w:r w:rsidR="002C794C">
        <w:fldChar w:fldCharType="separate"/>
      </w:r>
      <w:r w:rsidR="00372107">
        <w:rPr>
          <w:noProof/>
        </w:rPr>
        <w:t>7</w:t>
      </w:r>
      <w:r w:rsidR="002C794C">
        <w:rPr>
          <w:noProof/>
        </w:rPr>
        <w:fldChar w:fldCharType="end"/>
      </w:r>
      <w:bookmarkEnd w:id="73"/>
      <w:r w:rsidRPr="0098262F">
        <w:t xml:space="preserve">: </w:t>
      </w:r>
      <w:r w:rsidRPr="0098262F">
        <w:rPr>
          <w:rStyle w:val="CommentReference"/>
          <w:b/>
          <w:szCs w:val="24"/>
        </w:rPr>
        <w:t>Summary of key adverse events in the trials</w:t>
      </w:r>
    </w:p>
    <w:tbl>
      <w:tblPr>
        <w:tblStyle w:val="TableGrid"/>
        <w:tblW w:w="0" w:type="auto"/>
        <w:tblLook w:val="04A0" w:firstRow="1" w:lastRow="0" w:firstColumn="1" w:lastColumn="0" w:noHBand="0" w:noVBand="1"/>
      </w:tblPr>
      <w:tblGrid>
        <w:gridCol w:w="2830"/>
        <w:gridCol w:w="1546"/>
        <w:gridCol w:w="1547"/>
        <w:gridCol w:w="1547"/>
        <w:gridCol w:w="1547"/>
      </w:tblGrid>
      <w:tr w:rsidR="00765141" w:rsidRPr="00AC2208" w14:paraId="54C16894" w14:textId="77777777">
        <w:trPr>
          <w:tblHeader/>
        </w:trPr>
        <w:tc>
          <w:tcPr>
            <w:tcW w:w="2830" w:type="dxa"/>
            <w:shd w:val="clear" w:color="auto" w:fill="auto"/>
            <w:vAlign w:val="center"/>
          </w:tcPr>
          <w:p w14:paraId="1C556F5B" w14:textId="77777777" w:rsidR="00765141" w:rsidRPr="00AC2208" w:rsidRDefault="00765141">
            <w:pPr>
              <w:pStyle w:val="TableFigureHeading"/>
              <w:jc w:val="center"/>
              <w:rPr>
                <w:lang w:val="en-GB"/>
              </w:rPr>
            </w:pPr>
          </w:p>
        </w:tc>
        <w:tc>
          <w:tcPr>
            <w:tcW w:w="1546" w:type="dxa"/>
            <w:shd w:val="clear" w:color="auto" w:fill="auto"/>
            <w:vAlign w:val="center"/>
          </w:tcPr>
          <w:p w14:paraId="149DC988" w14:textId="77777777" w:rsidR="00765141" w:rsidRDefault="00765141">
            <w:pPr>
              <w:pStyle w:val="TableFigureHeading"/>
              <w:jc w:val="center"/>
              <w:rPr>
                <w:lang w:val="en-GB"/>
              </w:rPr>
            </w:pPr>
            <w:r>
              <w:rPr>
                <w:lang w:val="en-GB"/>
              </w:rPr>
              <w:t>ACP</w:t>
            </w:r>
          </w:p>
          <w:p w14:paraId="04492739" w14:textId="77777777" w:rsidR="00765141" w:rsidRDefault="00765141">
            <w:pPr>
              <w:pStyle w:val="TableFigureHeading"/>
              <w:jc w:val="center"/>
              <w:rPr>
                <w:lang w:val="en-GB"/>
              </w:rPr>
            </w:pPr>
            <w:r>
              <w:rPr>
                <w:lang w:val="en-GB"/>
              </w:rPr>
              <w:t>N=151</w:t>
            </w:r>
          </w:p>
        </w:tc>
        <w:tc>
          <w:tcPr>
            <w:tcW w:w="1547" w:type="dxa"/>
            <w:shd w:val="clear" w:color="auto" w:fill="auto"/>
            <w:vAlign w:val="center"/>
          </w:tcPr>
          <w:p w14:paraId="05726DC2" w14:textId="77777777" w:rsidR="00765141" w:rsidRDefault="00765141">
            <w:pPr>
              <w:pStyle w:val="TableFigureHeading"/>
              <w:jc w:val="center"/>
              <w:rPr>
                <w:lang w:val="en-GB"/>
              </w:rPr>
            </w:pPr>
            <w:r>
              <w:rPr>
                <w:lang w:val="en-GB"/>
              </w:rPr>
              <w:t>CP</w:t>
            </w:r>
          </w:p>
          <w:p w14:paraId="11E959DC" w14:textId="77777777" w:rsidR="00765141" w:rsidRDefault="00765141">
            <w:pPr>
              <w:pStyle w:val="TableFigureHeading"/>
              <w:jc w:val="center"/>
              <w:rPr>
                <w:lang w:val="en-GB"/>
              </w:rPr>
            </w:pPr>
            <w:r>
              <w:rPr>
                <w:lang w:val="en-GB"/>
              </w:rPr>
              <w:t>N=155</w:t>
            </w:r>
          </w:p>
        </w:tc>
        <w:tc>
          <w:tcPr>
            <w:tcW w:w="1547" w:type="dxa"/>
            <w:shd w:val="clear" w:color="auto" w:fill="auto"/>
            <w:vAlign w:val="center"/>
          </w:tcPr>
          <w:p w14:paraId="4029111B" w14:textId="77777777" w:rsidR="00765141" w:rsidRPr="005D0E7C" w:rsidRDefault="00765141">
            <w:pPr>
              <w:pStyle w:val="TableFigureHeading"/>
              <w:jc w:val="center"/>
              <w:rPr>
                <w:vertAlign w:val="superscript"/>
                <w:lang w:val="en-GB"/>
              </w:rPr>
            </w:pPr>
            <w:r>
              <w:rPr>
                <w:lang w:val="en-GB"/>
              </w:rPr>
              <w:t xml:space="preserve">Risk difference (95% CI) </w:t>
            </w:r>
            <w:r>
              <w:rPr>
                <w:vertAlign w:val="superscript"/>
                <w:lang w:val="en-GB"/>
              </w:rPr>
              <w:t>d</w:t>
            </w:r>
          </w:p>
        </w:tc>
        <w:tc>
          <w:tcPr>
            <w:tcW w:w="1547" w:type="dxa"/>
            <w:shd w:val="clear" w:color="auto" w:fill="auto"/>
            <w:vAlign w:val="center"/>
          </w:tcPr>
          <w:p w14:paraId="02821DE4" w14:textId="77777777" w:rsidR="00765141" w:rsidRPr="005D0E7C" w:rsidRDefault="00765141">
            <w:pPr>
              <w:pStyle w:val="TableFigureHeading"/>
              <w:jc w:val="center"/>
              <w:rPr>
                <w:vertAlign w:val="superscript"/>
                <w:lang w:val="en-GB"/>
              </w:rPr>
            </w:pPr>
            <w:r>
              <w:rPr>
                <w:lang w:val="en-GB"/>
              </w:rPr>
              <w:t xml:space="preserve">Relative risk (95% CI) </w:t>
            </w:r>
            <w:r>
              <w:rPr>
                <w:vertAlign w:val="superscript"/>
                <w:lang w:val="en-GB"/>
              </w:rPr>
              <w:t>e</w:t>
            </w:r>
          </w:p>
        </w:tc>
      </w:tr>
      <w:tr w:rsidR="00765141" w:rsidRPr="00794872" w14:paraId="096E87C6" w14:textId="77777777">
        <w:tc>
          <w:tcPr>
            <w:tcW w:w="2830" w:type="dxa"/>
            <w:vAlign w:val="center"/>
          </w:tcPr>
          <w:p w14:paraId="1AD5CAD0" w14:textId="77777777" w:rsidR="00765141" w:rsidRPr="00794872" w:rsidRDefault="00765141">
            <w:pPr>
              <w:pStyle w:val="TableText0"/>
            </w:pPr>
            <w:r>
              <w:t>Median follow-up (months)</w:t>
            </w:r>
          </w:p>
        </w:tc>
        <w:tc>
          <w:tcPr>
            <w:tcW w:w="1546" w:type="dxa"/>
            <w:vAlign w:val="center"/>
          </w:tcPr>
          <w:p w14:paraId="16D25E43" w14:textId="77777777" w:rsidR="00765141" w:rsidRPr="00794872" w:rsidRDefault="00765141">
            <w:pPr>
              <w:pStyle w:val="TableText0"/>
              <w:jc w:val="center"/>
            </w:pPr>
            <w:r>
              <w:t>14.6</w:t>
            </w:r>
          </w:p>
        </w:tc>
        <w:tc>
          <w:tcPr>
            <w:tcW w:w="1547" w:type="dxa"/>
            <w:vAlign w:val="center"/>
          </w:tcPr>
          <w:p w14:paraId="1F76FBDF" w14:textId="77777777" w:rsidR="00765141" w:rsidRPr="00794872" w:rsidRDefault="00765141">
            <w:pPr>
              <w:pStyle w:val="TableText0"/>
              <w:jc w:val="center"/>
            </w:pPr>
            <w:r>
              <w:t>15.5</w:t>
            </w:r>
          </w:p>
        </w:tc>
        <w:tc>
          <w:tcPr>
            <w:tcW w:w="1547" w:type="dxa"/>
            <w:vAlign w:val="center"/>
          </w:tcPr>
          <w:p w14:paraId="32A95116" w14:textId="77777777" w:rsidR="00765141" w:rsidRPr="00794872" w:rsidRDefault="00765141">
            <w:pPr>
              <w:pStyle w:val="TableText0"/>
              <w:jc w:val="center"/>
            </w:pPr>
            <w:r>
              <w:t>-</w:t>
            </w:r>
          </w:p>
        </w:tc>
        <w:tc>
          <w:tcPr>
            <w:tcW w:w="1547" w:type="dxa"/>
            <w:vAlign w:val="center"/>
          </w:tcPr>
          <w:p w14:paraId="24987FE0" w14:textId="77777777" w:rsidR="00765141" w:rsidRPr="00794872" w:rsidRDefault="00765141">
            <w:pPr>
              <w:pStyle w:val="TableText0"/>
              <w:jc w:val="center"/>
            </w:pPr>
            <w:r>
              <w:t>-</w:t>
            </w:r>
          </w:p>
        </w:tc>
      </w:tr>
      <w:tr w:rsidR="00765141" w:rsidRPr="00794872" w14:paraId="3A58C86D" w14:textId="77777777">
        <w:tc>
          <w:tcPr>
            <w:tcW w:w="2830" w:type="dxa"/>
            <w:vAlign w:val="center"/>
          </w:tcPr>
          <w:p w14:paraId="705B70C6" w14:textId="77777777" w:rsidR="00765141" w:rsidRPr="0052602F" w:rsidRDefault="00765141">
            <w:pPr>
              <w:pStyle w:val="TableText0"/>
            </w:pPr>
            <w:r>
              <w:t>Any</w:t>
            </w:r>
            <w:r w:rsidRPr="0052602F">
              <w:t xml:space="preserve"> </w:t>
            </w:r>
            <w:r>
              <w:t>TE</w:t>
            </w:r>
            <w:r w:rsidRPr="0052602F">
              <w:t>AE</w:t>
            </w:r>
            <w:r>
              <w:t>,</w:t>
            </w:r>
            <w:r w:rsidRPr="0052602F">
              <w:t xml:space="preserve"> n</w:t>
            </w:r>
            <w:r>
              <w:t xml:space="preserve"> (</w:t>
            </w:r>
            <w:r w:rsidRPr="0052602F">
              <w:t>%)</w:t>
            </w:r>
          </w:p>
        </w:tc>
        <w:tc>
          <w:tcPr>
            <w:tcW w:w="1546" w:type="dxa"/>
            <w:vAlign w:val="center"/>
          </w:tcPr>
          <w:p w14:paraId="7F023E75" w14:textId="77777777" w:rsidR="00765141" w:rsidRPr="00794872" w:rsidRDefault="00765141">
            <w:pPr>
              <w:pStyle w:val="TableText0"/>
              <w:jc w:val="center"/>
            </w:pPr>
            <w:r w:rsidRPr="00C32192">
              <w:t>151 (100.0%)</w:t>
            </w:r>
          </w:p>
        </w:tc>
        <w:tc>
          <w:tcPr>
            <w:tcW w:w="1547" w:type="dxa"/>
            <w:vAlign w:val="center"/>
          </w:tcPr>
          <w:p w14:paraId="14230950" w14:textId="77777777" w:rsidR="00765141" w:rsidRPr="00794872" w:rsidRDefault="00765141">
            <w:pPr>
              <w:pStyle w:val="TableText0"/>
              <w:jc w:val="center"/>
            </w:pPr>
            <w:r w:rsidRPr="00C32192">
              <w:t>152 (98.1%)</w:t>
            </w:r>
          </w:p>
        </w:tc>
        <w:tc>
          <w:tcPr>
            <w:tcW w:w="1547" w:type="dxa"/>
            <w:vAlign w:val="center"/>
          </w:tcPr>
          <w:p w14:paraId="1F2910D1" w14:textId="77777777" w:rsidR="00765141" w:rsidRPr="0052602F" w:rsidRDefault="00765141">
            <w:pPr>
              <w:pStyle w:val="TableText0"/>
              <w:jc w:val="center"/>
              <w:rPr>
                <w:highlight w:val="yellow"/>
              </w:rPr>
            </w:pPr>
            <w:r w:rsidRPr="005D0E7C">
              <w:t>0.02 (0, 0.04)</w:t>
            </w:r>
          </w:p>
        </w:tc>
        <w:tc>
          <w:tcPr>
            <w:tcW w:w="1547" w:type="dxa"/>
            <w:vAlign w:val="center"/>
          </w:tcPr>
          <w:p w14:paraId="0576D1BC" w14:textId="77777777" w:rsidR="00765141" w:rsidRPr="00794872" w:rsidRDefault="00765141">
            <w:pPr>
              <w:pStyle w:val="TableText0"/>
              <w:jc w:val="center"/>
            </w:pPr>
            <w:r>
              <w:t>1.02 (0.99, 1.05)</w:t>
            </w:r>
          </w:p>
        </w:tc>
      </w:tr>
      <w:tr w:rsidR="00765141" w:rsidRPr="00794872" w14:paraId="5056AED3" w14:textId="77777777">
        <w:tc>
          <w:tcPr>
            <w:tcW w:w="2830" w:type="dxa"/>
            <w:vAlign w:val="center"/>
          </w:tcPr>
          <w:p w14:paraId="7B0DE119" w14:textId="7461DA8D" w:rsidR="00765141" w:rsidRPr="0045436A" w:rsidRDefault="00765141" w:rsidP="00C62FA8">
            <w:pPr>
              <w:pStyle w:val="TableText0"/>
              <w:ind w:firstLine="166"/>
              <w:rPr>
                <w:vertAlign w:val="superscript"/>
              </w:rPr>
            </w:pPr>
            <w:r w:rsidRPr="0045436A">
              <w:t xml:space="preserve">Drug-related </w:t>
            </w:r>
            <w:r w:rsidRPr="0045436A">
              <w:rPr>
                <w:vertAlign w:val="superscript"/>
              </w:rPr>
              <w:t>a</w:t>
            </w:r>
          </w:p>
        </w:tc>
        <w:tc>
          <w:tcPr>
            <w:tcW w:w="1546" w:type="dxa"/>
            <w:vAlign w:val="center"/>
          </w:tcPr>
          <w:p w14:paraId="5E8184AD" w14:textId="77777777" w:rsidR="00765141" w:rsidRPr="0045436A" w:rsidRDefault="00765141">
            <w:pPr>
              <w:pStyle w:val="TableText0"/>
              <w:jc w:val="center"/>
            </w:pPr>
            <w:r w:rsidRPr="0045436A">
              <w:t>151 (100.0%)</w:t>
            </w:r>
          </w:p>
        </w:tc>
        <w:tc>
          <w:tcPr>
            <w:tcW w:w="1547" w:type="dxa"/>
            <w:vAlign w:val="center"/>
          </w:tcPr>
          <w:p w14:paraId="29CBBFC9" w14:textId="77777777" w:rsidR="00765141" w:rsidRPr="0045436A" w:rsidRDefault="00765141">
            <w:pPr>
              <w:pStyle w:val="TableText0"/>
              <w:jc w:val="center"/>
            </w:pPr>
            <w:r w:rsidRPr="0045436A">
              <w:t>146 (94.2%)</w:t>
            </w:r>
          </w:p>
        </w:tc>
        <w:tc>
          <w:tcPr>
            <w:tcW w:w="1547" w:type="dxa"/>
            <w:vAlign w:val="center"/>
          </w:tcPr>
          <w:p w14:paraId="08893AD2" w14:textId="77777777" w:rsidR="00765141" w:rsidRPr="00D0390D" w:rsidRDefault="00765141">
            <w:pPr>
              <w:pStyle w:val="TableText0"/>
              <w:jc w:val="center"/>
              <w:rPr>
                <w:b/>
                <w:bCs w:val="0"/>
              </w:rPr>
            </w:pPr>
            <w:r w:rsidRPr="00D0390D">
              <w:rPr>
                <w:b/>
                <w:bCs w:val="0"/>
              </w:rPr>
              <w:t>0.06 (0.02, 0.09)</w:t>
            </w:r>
          </w:p>
        </w:tc>
        <w:tc>
          <w:tcPr>
            <w:tcW w:w="1547" w:type="dxa"/>
            <w:vAlign w:val="center"/>
          </w:tcPr>
          <w:p w14:paraId="13A231A1" w14:textId="77777777" w:rsidR="00765141" w:rsidRPr="00D0390D" w:rsidRDefault="00765141">
            <w:pPr>
              <w:pStyle w:val="TableText0"/>
              <w:jc w:val="center"/>
              <w:rPr>
                <w:b/>
                <w:bCs w:val="0"/>
              </w:rPr>
            </w:pPr>
            <w:r w:rsidRPr="00D0390D">
              <w:rPr>
                <w:b/>
                <w:bCs w:val="0"/>
              </w:rPr>
              <w:t>1.06 (1.02, 1.11)</w:t>
            </w:r>
          </w:p>
        </w:tc>
      </w:tr>
      <w:tr w:rsidR="00765141" w:rsidRPr="00794872" w14:paraId="3BA9B6D5" w14:textId="77777777">
        <w:tc>
          <w:tcPr>
            <w:tcW w:w="2830" w:type="dxa"/>
            <w:vAlign w:val="center"/>
          </w:tcPr>
          <w:p w14:paraId="287DBD7B" w14:textId="77777777" w:rsidR="00765141" w:rsidRPr="0045436A" w:rsidRDefault="00765141">
            <w:pPr>
              <w:pStyle w:val="TableText0"/>
            </w:pPr>
            <w:r w:rsidRPr="0045436A">
              <w:t>Any Grade ≥3 TEAE, n (%)</w:t>
            </w:r>
          </w:p>
        </w:tc>
        <w:tc>
          <w:tcPr>
            <w:tcW w:w="1546" w:type="dxa"/>
            <w:vAlign w:val="center"/>
          </w:tcPr>
          <w:p w14:paraId="7ADACF94" w14:textId="77777777" w:rsidR="00765141" w:rsidRPr="0045436A" w:rsidRDefault="00765141">
            <w:pPr>
              <w:pStyle w:val="TableText0"/>
              <w:jc w:val="center"/>
            </w:pPr>
            <w:r w:rsidRPr="0045436A">
              <w:t>114 (75.5%)</w:t>
            </w:r>
          </w:p>
        </w:tc>
        <w:tc>
          <w:tcPr>
            <w:tcW w:w="1547" w:type="dxa"/>
            <w:vAlign w:val="center"/>
          </w:tcPr>
          <w:p w14:paraId="375A4DF0" w14:textId="77777777" w:rsidR="00765141" w:rsidRPr="0045436A" w:rsidRDefault="00765141">
            <w:pPr>
              <w:pStyle w:val="TableText0"/>
              <w:jc w:val="center"/>
            </w:pPr>
            <w:r w:rsidRPr="0045436A">
              <w:t>83 (53.5%)</w:t>
            </w:r>
          </w:p>
        </w:tc>
        <w:tc>
          <w:tcPr>
            <w:tcW w:w="1547" w:type="dxa"/>
            <w:vAlign w:val="center"/>
          </w:tcPr>
          <w:p w14:paraId="1E6CBCB1" w14:textId="77777777" w:rsidR="00765141" w:rsidRPr="00D0390D" w:rsidRDefault="00765141">
            <w:pPr>
              <w:pStyle w:val="TableText0"/>
              <w:jc w:val="center"/>
              <w:rPr>
                <w:b/>
                <w:bCs w:val="0"/>
              </w:rPr>
            </w:pPr>
            <w:r w:rsidRPr="00D0390D">
              <w:rPr>
                <w:b/>
                <w:bCs w:val="0"/>
              </w:rPr>
              <w:t>0.22 (0.12, 0.32)</w:t>
            </w:r>
          </w:p>
        </w:tc>
        <w:tc>
          <w:tcPr>
            <w:tcW w:w="1547" w:type="dxa"/>
            <w:vAlign w:val="center"/>
          </w:tcPr>
          <w:p w14:paraId="4C8F973C" w14:textId="77777777" w:rsidR="00765141" w:rsidRPr="00D0390D" w:rsidRDefault="00765141">
            <w:pPr>
              <w:pStyle w:val="TableText0"/>
              <w:jc w:val="center"/>
              <w:rPr>
                <w:b/>
                <w:bCs w:val="0"/>
              </w:rPr>
            </w:pPr>
            <w:r w:rsidRPr="00D0390D">
              <w:rPr>
                <w:b/>
                <w:bCs w:val="0"/>
              </w:rPr>
              <w:t>1.41 (1.19, 1.68)</w:t>
            </w:r>
          </w:p>
        </w:tc>
      </w:tr>
      <w:tr w:rsidR="00765141" w:rsidRPr="00794872" w14:paraId="030F4318" w14:textId="77777777">
        <w:tc>
          <w:tcPr>
            <w:tcW w:w="2830" w:type="dxa"/>
            <w:vAlign w:val="center"/>
          </w:tcPr>
          <w:p w14:paraId="78D7E1A4" w14:textId="30637EA0" w:rsidR="00765141" w:rsidRPr="0045436A" w:rsidRDefault="00765141" w:rsidP="00C62FA8">
            <w:pPr>
              <w:pStyle w:val="TableText0"/>
              <w:ind w:firstLine="166"/>
            </w:pPr>
            <w:r w:rsidRPr="0045436A">
              <w:t xml:space="preserve">Drug-related </w:t>
            </w:r>
            <w:r w:rsidRPr="0045436A">
              <w:rPr>
                <w:vertAlign w:val="superscript"/>
              </w:rPr>
              <w:t>a</w:t>
            </w:r>
          </w:p>
        </w:tc>
        <w:tc>
          <w:tcPr>
            <w:tcW w:w="1546" w:type="dxa"/>
            <w:vAlign w:val="center"/>
          </w:tcPr>
          <w:p w14:paraId="0CF84FBC" w14:textId="77777777" w:rsidR="00765141" w:rsidRPr="0045436A" w:rsidRDefault="00765141">
            <w:pPr>
              <w:pStyle w:val="TableText0"/>
              <w:jc w:val="center"/>
            </w:pPr>
            <w:r w:rsidRPr="0045436A">
              <w:t>100 (66.2%)</w:t>
            </w:r>
          </w:p>
        </w:tc>
        <w:tc>
          <w:tcPr>
            <w:tcW w:w="1547" w:type="dxa"/>
            <w:vAlign w:val="center"/>
          </w:tcPr>
          <w:p w14:paraId="2D179C37" w14:textId="77777777" w:rsidR="00765141" w:rsidRPr="0045436A" w:rsidRDefault="00765141">
            <w:pPr>
              <w:pStyle w:val="TableText0"/>
              <w:jc w:val="center"/>
            </w:pPr>
            <w:r w:rsidRPr="0045436A">
              <w:t>57 (36.8%)</w:t>
            </w:r>
          </w:p>
        </w:tc>
        <w:tc>
          <w:tcPr>
            <w:tcW w:w="1547" w:type="dxa"/>
            <w:vAlign w:val="center"/>
          </w:tcPr>
          <w:p w14:paraId="7DD0B74E" w14:textId="77777777" w:rsidR="00765141" w:rsidRPr="00E711B0" w:rsidRDefault="00765141">
            <w:pPr>
              <w:pStyle w:val="TableText0"/>
              <w:jc w:val="center"/>
              <w:rPr>
                <w:b/>
                <w:bCs w:val="0"/>
              </w:rPr>
            </w:pPr>
            <w:r w:rsidRPr="00E711B0">
              <w:rPr>
                <w:b/>
                <w:bCs w:val="0"/>
              </w:rPr>
              <w:t>0.29 (0.19, 0.4)</w:t>
            </w:r>
          </w:p>
        </w:tc>
        <w:tc>
          <w:tcPr>
            <w:tcW w:w="1547" w:type="dxa"/>
            <w:vAlign w:val="center"/>
          </w:tcPr>
          <w:p w14:paraId="4B15168F" w14:textId="77777777" w:rsidR="00765141" w:rsidRPr="00E711B0" w:rsidRDefault="00765141">
            <w:pPr>
              <w:pStyle w:val="TableText0"/>
              <w:jc w:val="center"/>
              <w:rPr>
                <w:b/>
                <w:bCs w:val="0"/>
              </w:rPr>
            </w:pPr>
            <w:r w:rsidRPr="00E711B0">
              <w:rPr>
                <w:b/>
                <w:bCs w:val="0"/>
              </w:rPr>
              <w:t>1.8 (1.42, 2.28)</w:t>
            </w:r>
          </w:p>
        </w:tc>
      </w:tr>
      <w:tr w:rsidR="00765141" w:rsidRPr="00794872" w14:paraId="409021A9" w14:textId="77777777">
        <w:tc>
          <w:tcPr>
            <w:tcW w:w="2830" w:type="dxa"/>
            <w:vAlign w:val="center"/>
          </w:tcPr>
          <w:p w14:paraId="7B8DACB5" w14:textId="77777777" w:rsidR="00765141" w:rsidRPr="0045436A" w:rsidRDefault="00765141">
            <w:pPr>
              <w:pStyle w:val="TableText0"/>
            </w:pPr>
            <w:r w:rsidRPr="0045436A">
              <w:t>Any SAE, n (%)</w:t>
            </w:r>
          </w:p>
        </w:tc>
        <w:tc>
          <w:tcPr>
            <w:tcW w:w="1546" w:type="dxa"/>
            <w:vAlign w:val="center"/>
          </w:tcPr>
          <w:p w14:paraId="0527966B" w14:textId="77777777" w:rsidR="00765141" w:rsidRPr="0045436A" w:rsidRDefault="00765141">
            <w:pPr>
              <w:pStyle w:val="TableText0"/>
              <w:jc w:val="center"/>
            </w:pPr>
            <w:r w:rsidRPr="0045436A">
              <w:t>56 (37.1%)</w:t>
            </w:r>
          </w:p>
        </w:tc>
        <w:tc>
          <w:tcPr>
            <w:tcW w:w="1547" w:type="dxa"/>
            <w:vAlign w:val="center"/>
          </w:tcPr>
          <w:p w14:paraId="5AC2383F" w14:textId="77777777" w:rsidR="00765141" w:rsidRPr="0045436A" w:rsidRDefault="00765141">
            <w:pPr>
              <w:pStyle w:val="TableText0"/>
              <w:jc w:val="center"/>
            </w:pPr>
            <w:r w:rsidRPr="0045436A">
              <w:t>48 (31.0%)</w:t>
            </w:r>
          </w:p>
        </w:tc>
        <w:tc>
          <w:tcPr>
            <w:tcW w:w="1547" w:type="dxa"/>
            <w:vAlign w:val="center"/>
          </w:tcPr>
          <w:p w14:paraId="67F4BD9F" w14:textId="77777777" w:rsidR="00765141" w:rsidRPr="0045436A" w:rsidRDefault="00765141">
            <w:pPr>
              <w:pStyle w:val="TableText0"/>
              <w:jc w:val="center"/>
            </w:pPr>
            <w:r w:rsidRPr="0045436A">
              <w:t>0.06 (-0.04, 0.17)</w:t>
            </w:r>
          </w:p>
        </w:tc>
        <w:tc>
          <w:tcPr>
            <w:tcW w:w="1547" w:type="dxa"/>
            <w:vAlign w:val="center"/>
          </w:tcPr>
          <w:p w14:paraId="331B7CD1" w14:textId="77777777" w:rsidR="00765141" w:rsidRPr="0045436A" w:rsidRDefault="00765141">
            <w:pPr>
              <w:pStyle w:val="TableText0"/>
              <w:jc w:val="center"/>
            </w:pPr>
            <w:r w:rsidRPr="0045436A">
              <w:t>1.20 (0.88, 1.64)</w:t>
            </w:r>
          </w:p>
        </w:tc>
      </w:tr>
      <w:tr w:rsidR="00765141" w:rsidRPr="00794872" w14:paraId="01BAED4E" w14:textId="77777777">
        <w:tc>
          <w:tcPr>
            <w:tcW w:w="2830" w:type="dxa"/>
            <w:vAlign w:val="center"/>
          </w:tcPr>
          <w:p w14:paraId="74683206" w14:textId="77777777" w:rsidR="00765141" w:rsidRPr="0045436A" w:rsidRDefault="00765141">
            <w:pPr>
              <w:pStyle w:val="TableText0"/>
            </w:pPr>
            <w:r w:rsidRPr="0045436A">
              <w:t xml:space="preserve">   Drug-related </w:t>
            </w:r>
            <w:r w:rsidRPr="0045436A">
              <w:rPr>
                <w:vertAlign w:val="superscript"/>
              </w:rPr>
              <w:t>a</w:t>
            </w:r>
          </w:p>
        </w:tc>
        <w:tc>
          <w:tcPr>
            <w:tcW w:w="1546" w:type="dxa"/>
            <w:vAlign w:val="center"/>
          </w:tcPr>
          <w:p w14:paraId="5C540404" w14:textId="77777777" w:rsidR="00765141" w:rsidRPr="0045436A" w:rsidRDefault="00765141">
            <w:pPr>
              <w:pStyle w:val="TableText0"/>
              <w:jc w:val="center"/>
            </w:pPr>
            <w:r w:rsidRPr="0045436A">
              <w:t>36 (23.8%)</w:t>
            </w:r>
          </w:p>
        </w:tc>
        <w:tc>
          <w:tcPr>
            <w:tcW w:w="1547" w:type="dxa"/>
            <w:vAlign w:val="center"/>
          </w:tcPr>
          <w:p w14:paraId="1E2B06C4" w14:textId="77777777" w:rsidR="00765141" w:rsidRPr="0045436A" w:rsidRDefault="00765141">
            <w:pPr>
              <w:pStyle w:val="TableText0"/>
              <w:jc w:val="center"/>
            </w:pPr>
            <w:r w:rsidRPr="0045436A">
              <w:t>16 (10.3%)</w:t>
            </w:r>
          </w:p>
        </w:tc>
        <w:tc>
          <w:tcPr>
            <w:tcW w:w="1547" w:type="dxa"/>
            <w:vAlign w:val="center"/>
          </w:tcPr>
          <w:p w14:paraId="73AF4399" w14:textId="77777777" w:rsidR="00765141" w:rsidRPr="00E711B0" w:rsidRDefault="00765141">
            <w:pPr>
              <w:pStyle w:val="TableText0"/>
              <w:jc w:val="center"/>
              <w:rPr>
                <w:b/>
                <w:bCs w:val="0"/>
              </w:rPr>
            </w:pPr>
            <w:r w:rsidRPr="00E711B0">
              <w:rPr>
                <w:b/>
                <w:bCs w:val="0"/>
              </w:rPr>
              <w:t>0.14 (0.05, 0.22)</w:t>
            </w:r>
          </w:p>
        </w:tc>
        <w:tc>
          <w:tcPr>
            <w:tcW w:w="1547" w:type="dxa"/>
            <w:vAlign w:val="center"/>
          </w:tcPr>
          <w:p w14:paraId="25C13FD7" w14:textId="77777777" w:rsidR="00765141" w:rsidRPr="00E711B0" w:rsidRDefault="00765141">
            <w:pPr>
              <w:pStyle w:val="TableText0"/>
              <w:jc w:val="center"/>
              <w:rPr>
                <w:b/>
                <w:bCs w:val="0"/>
              </w:rPr>
            </w:pPr>
            <w:r w:rsidRPr="00E711B0">
              <w:rPr>
                <w:b/>
                <w:bCs w:val="0"/>
              </w:rPr>
              <w:t>2.31 (1.34, 3.98)</w:t>
            </w:r>
          </w:p>
        </w:tc>
      </w:tr>
      <w:tr w:rsidR="00765141" w:rsidRPr="00794872" w14:paraId="42133260" w14:textId="77777777">
        <w:tc>
          <w:tcPr>
            <w:tcW w:w="2830" w:type="dxa"/>
            <w:vAlign w:val="center"/>
          </w:tcPr>
          <w:p w14:paraId="7B2E86C6" w14:textId="77777777" w:rsidR="00765141" w:rsidRPr="0045436A" w:rsidRDefault="00765141">
            <w:pPr>
              <w:pStyle w:val="TableText0"/>
            </w:pPr>
            <w:r w:rsidRPr="0045436A">
              <w:t>TEAE leading to discontinuation of any study treatment, n (%)</w:t>
            </w:r>
          </w:p>
        </w:tc>
        <w:tc>
          <w:tcPr>
            <w:tcW w:w="1546" w:type="dxa"/>
            <w:vAlign w:val="center"/>
          </w:tcPr>
          <w:p w14:paraId="42F55809" w14:textId="77777777" w:rsidR="00765141" w:rsidRPr="0045436A" w:rsidRDefault="00765141">
            <w:pPr>
              <w:pStyle w:val="TableText0"/>
              <w:jc w:val="center"/>
            </w:pPr>
            <w:r w:rsidRPr="0045436A">
              <w:t>36 (23.8%)</w:t>
            </w:r>
          </w:p>
        </w:tc>
        <w:tc>
          <w:tcPr>
            <w:tcW w:w="1547" w:type="dxa"/>
            <w:vAlign w:val="center"/>
          </w:tcPr>
          <w:p w14:paraId="593F36A5" w14:textId="77777777" w:rsidR="00765141" w:rsidRPr="0045436A" w:rsidRDefault="00765141">
            <w:pPr>
              <w:pStyle w:val="TableText0"/>
              <w:jc w:val="center"/>
            </w:pPr>
            <w:r w:rsidRPr="0045436A">
              <w:t>16 (10.3%)</w:t>
            </w:r>
          </w:p>
        </w:tc>
        <w:tc>
          <w:tcPr>
            <w:tcW w:w="1547" w:type="dxa"/>
            <w:vAlign w:val="center"/>
          </w:tcPr>
          <w:p w14:paraId="69204EED" w14:textId="77777777" w:rsidR="00765141" w:rsidRPr="00E711B0" w:rsidRDefault="00765141">
            <w:pPr>
              <w:pStyle w:val="TableText0"/>
              <w:jc w:val="center"/>
              <w:rPr>
                <w:b/>
                <w:bCs w:val="0"/>
              </w:rPr>
            </w:pPr>
            <w:r w:rsidRPr="00E711B0">
              <w:rPr>
                <w:b/>
                <w:bCs w:val="0"/>
              </w:rPr>
              <w:t>0.14 (0.05, 0.22)</w:t>
            </w:r>
          </w:p>
        </w:tc>
        <w:tc>
          <w:tcPr>
            <w:tcW w:w="1547" w:type="dxa"/>
            <w:vAlign w:val="center"/>
          </w:tcPr>
          <w:p w14:paraId="1780C506" w14:textId="77777777" w:rsidR="00765141" w:rsidRPr="00E711B0" w:rsidRDefault="00765141">
            <w:pPr>
              <w:pStyle w:val="TableText0"/>
              <w:jc w:val="center"/>
              <w:rPr>
                <w:b/>
                <w:bCs w:val="0"/>
              </w:rPr>
            </w:pPr>
            <w:r w:rsidRPr="00E711B0">
              <w:rPr>
                <w:b/>
                <w:bCs w:val="0"/>
              </w:rPr>
              <w:t>2.31 (1.34, 3.98)</w:t>
            </w:r>
          </w:p>
        </w:tc>
      </w:tr>
      <w:tr w:rsidR="00765141" w:rsidRPr="00794872" w14:paraId="4101C24D" w14:textId="77777777">
        <w:tc>
          <w:tcPr>
            <w:tcW w:w="2830" w:type="dxa"/>
            <w:vAlign w:val="center"/>
          </w:tcPr>
          <w:p w14:paraId="75805361" w14:textId="56DDCA96" w:rsidR="00765141" w:rsidRPr="000C2369" w:rsidRDefault="00765141" w:rsidP="008F1F87">
            <w:pPr>
              <w:pStyle w:val="TableText0"/>
              <w:ind w:left="166"/>
              <w:rPr>
                <w:highlight w:val="yellow"/>
              </w:rPr>
            </w:pPr>
            <w:r w:rsidRPr="00AF3564">
              <w:t>AE leading to discontinuation of A</w:t>
            </w:r>
          </w:p>
        </w:tc>
        <w:tc>
          <w:tcPr>
            <w:tcW w:w="1546" w:type="dxa"/>
            <w:vAlign w:val="center"/>
          </w:tcPr>
          <w:p w14:paraId="570BAD84" w14:textId="77777777" w:rsidR="00765141" w:rsidRPr="0045436A" w:rsidRDefault="00765141">
            <w:pPr>
              <w:pStyle w:val="TableText0"/>
              <w:jc w:val="center"/>
            </w:pPr>
            <w:r w:rsidRPr="0045436A">
              <w:t>17 (11.3%)</w:t>
            </w:r>
          </w:p>
        </w:tc>
        <w:tc>
          <w:tcPr>
            <w:tcW w:w="1547" w:type="dxa"/>
            <w:vAlign w:val="center"/>
          </w:tcPr>
          <w:p w14:paraId="760C95C3" w14:textId="77777777" w:rsidR="00765141" w:rsidRPr="0045436A" w:rsidRDefault="00765141">
            <w:pPr>
              <w:pStyle w:val="TableText0"/>
              <w:jc w:val="center"/>
            </w:pPr>
            <w:r w:rsidRPr="0045436A">
              <w:t>N/A</w:t>
            </w:r>
          </w:p>
        </w:tc>
        <w:tc>
          <w:tcPr>
            <w:tcW w:w="1547" w:type="dxa"/>
            <w:vAlign w:val="center"/>
          </w:tcPr>
          <w:p w14:paraId="5BDA60DC" w14:textId="77777777" w:rsidR="00765141" w:rsidRPr="0045436A" w:rsidRDefault="00765141">
            <w:pPr>
              <w:pStyle w:val="TableText0"/>
              <w:jc w:val="center"/>
            </w:pPr>
            <w:r w:rsidRPr="0045436A">
              <w:t>N/A</w:t>
            </w:r>
          </w:p>
        </w:tc>
        <w:tc>
          <w:tcPr>
            <w:tcW w:w="1547" w:type="dxa"/>
            <w:vAlign w:val="center"/>
          </w:tcPr>
          <w:p w14:paraId="63C2BE0C" w14:textId="77777777" w:rsidR="00765141" w:rsidRPr="0045436A" w:rsidRDefault="00765141">
            <w:pPr>
              <w:pStyle w:val="TableText0"/>
              <w:jc w:val="center"/>
            </w:pPr>
            <w:r w:rsidRPr="0045436A">
              <w:t>N/A</w:t>
            </w:r>
          </w:p>
        </w:tc>
      </w:tr>
      <w:tr w:rsidR="00765141" w:rsidRPr="00794872" w14:paraId="504EB6CA" w14:textId="77777777">
        <w:tc>
          <w:tcPr>
            <w:tcW w:w="2830" w:type="dxa"/>
            <w:vAlign w:val="center"/>
          </w:tcPr>
          <w:p w14:paraId="7B87EC0B" w14:textId="4765D1A9" w:rsidR="00765141" w:rsidRPr="0045436A" w:rsidRDefault="00765141">
            <w:pPr>
              <w:pStyle w:val="TableText0"/>
              <w:rPr>
                <w:vertAlign w:val="superscript"/>
              </w:rPr>
            </w:pPr>
            <w:r w:rsidRPr="0045436A">
              <w:t>Related to A</w:t>
            </w:r>
            <w:r w:rsidR="00FF44C2">
              <w:t>CP</w:t>
            </w:r>
            <w:r w:rsidRPr="0045436A">
              <w:t xml:space="preserve"> </w:t>
            </w:r>
            <w:r w:rsidRPr="0045436A">
              <w:rPr>
                <w:vertAlign w:val="superscript"/>
              </w:rPr>
              <w:t>a</w:t>
            </w:r>
          </w:p>
        </w:tc>
        <w:tc>
          <w:tcPr>
            <w:tcW w:w="1546" w:type="dxa"/>
            <w:vAlign w:val="center"/>
          </w:tcPr>
          <w:p w14:paraId="28776DAA" w14:textId="77777777" w:rsidR="00765141" w:rsidRPr="0045436A" w:rsidRDefault="00765141">
            <w:pPr>
              <w:pStyle w:val="TableText0"/>
              <w:jc w:val="center"/>
            </w:pPr>
            <w:r w:rsidRPr="0045436A">
              <w:t>10 (6.6%)</w:t>
            </w:r>
          </w:p>
        </w:tc>
        <w:tc>
          <w:tcPr>
            <w:tcW w:w="1547" w:type="dxa"/>
            <w:vAlign w:val="center"/>
          </w:tcPr>
          <w:p w14:paraId="08B6DC6B" w14:textId="77777777" w:rsidR="00765141" w:rsidRPr="0045436A" w:rsidRDefault="00765141">
            <w:pPr>
              <w:pStyle w:val="TableText0"/>
              <w:jc w:val="center"/>
            </w:pPr>
            <w:r w:rsidRPr="0045436A">
              <w:t>N/A</w:t>
            </w:r>
          </w:p>
        </w:tc>
        <w:tc>
          <w:tcPr>
            <w:tcW w:w="1547" w:type="dxa"/>
            <w:vAlign w:val="center"/>
          </w:tcPr>
          <w:p w14:paraId="6A329730" w14:textId="77777777" w:rsidR="00765141" w:rsidRPr="0045436A" w:rsidRDefault="00765141">
            <w:pPr>
              <w:pStyle w:val="TableText0"/>
              <w:jc w:val="center"/>
            </w:pPr>
            <w:r w:rsidRPr="0045436A">
              <w:t>N/A</w:t>
            </w:r>
          </w:p>
        </w:tc>
        <w:tc>
          <w:tcPr>
            <w:tcW w:w="1547" w:type="dxa"/>
            <w:vAlign w:val="center"/>
          </w:tcPr>
          <w:p w14:paraId="31DEED9F" w14:textId="77777777" w:rsidR="00765141" w:rsidRPr="0045436A" w:rsidRDefault="00765141">
            <w:pPr>
              <w:pStyle w:val="TableText0"/>
              <w:jc w:val="center"/>
            </w:pPr>
            <w:r w:rsidRPr="0045436A">
              <w:t>N/A</w:t>
            </w:r>
          </w:p>
        </w:tc>
      </w:tr>
      <w:tr w:rsidR="00765141" w:rsidRPr="00794872" w14:paraId="7F61CD2C" w14:textId="77777777">
        <w:tc>
          <w:tcPr>
            <w:tcW w:w="2830" w:type="dxa"/>
            <w:vAlign w:val="center"/>
          </w:tcPr>
          <w:p w14:paraId="76C74EE7" w14:textId="77777777" w:rsidR="00765141" w:rsidRPr="0045436A" w:rsidRDefault="00765141">
            <w:pPr>
              <w:pStyle w:val="TableText0"/>
              <w:rPr>
                <w:vertAlign w:val="superscript"/>
              </w:rPr>
            </w:pPr>
            <w:r w:rsidRPr="0045436A">
              <w:t xml:space="preserve">TEAE leading to death, n (%) </w:t>
            </w:r>
            <w:r w:rsidRPr="0045436A">
              <w:rPr>
                <w:vertAlign w:val="superscript"/>
              </w:rPr>
              <w:t>b</w:t>
            </w:r>
          </w:p>
        </w:tc>
        <w:tc>
          <w:tcPr>
            <w:tcW w:w="1546" w:type="dxa"/>
            <w:vAlign w:val="center"/>
          </w:tcPr>
          <w:p w14:paraId="572AE6DB" w14:textId="77777777" w:rsidR="00765141" w:rsidRPr="0045436A" w:rsidRDefault="00765141">
            <w:pPr>
              <w:pStyle w:val="TableText0"/>
              <w:jc w:val="center"/>
            </w:pPr>
            <w:r w:rsidRPr="0045436A">
              <w:t>7 (4.6%)</w:t>
            </w:r>
          </w:p>
        </w:tc>
        <w:tc>
          <w:tcPr>
            <w:tcW w:w="1547" w:type="dxa"/>
            <w:vAlign w:val="center"/>
          </w:tcPr>
          <w:p w14:paraId="23E751FA" w14:textId="77777777" w:rsidR="00765141" w:rsidRPr="0045436A" w:rsidRDefault="00765141">
            <w:pPr>
              <w:pStyle w:val="TableText0"/>
              <w:jc w:val="center"/>
            </w:pPr>
            <w:r w:rsidRPr="0045436A">
              <w:t>4 (2.6%)</w:t>
            </w:r>
          </w:p>
        </w:tc>
        <w:tc>
          <w:tcPr>
            <w:tcW w:w="1547" w:type="dxa"/>
            <w:vAlign w:val="center"/>
          </w:tcPr>
          <w:p w14:paraId="7C40A54E" w14:textId="77777777" w:rsidR="00765141" w:rsidRPr="0045436A" w:rsidRDefault="00765141">
            <w:pPr>
              <w:pStyle w:val="TableText0"/>
              <w:jc w:val="center"/>
            </w:pPr>
            <w:r w:rsidRPr="0045436A">
              <w:t>0.02 (-0.02, 0.06)</w:t>
            </w:r>
          </w:p>
        </w:tc>
        <w:tc>
          <w:tcPr>
            <w:tcW w:w="1547" w:type="dxa"/>
            <w:vAlign w:val="center"/>
          </w:tcPr>
          <w:p w14:paraId="57129819" w14:textId="77777777" w:rsidR="00765141" w:rsidRPr="0045436A" w:rsidRDefault="00765141">
            <w:pPr>
              <w:pStyle w:val="TableText0"/>
              <w:jc w:val="center"/>
            </w:pPr>
            <w:r w:rsidRPr="0045436A">
              <w:t>1.8 (0.54, 6.01)</w:t>
            </w:r>
          </w:p>
        </w:tc>
      </w:tr>
      <w:tr w:rsidR="00765141" w:rsidRPr="00794872" w14:paraId="2A211FDE" w14:textId="77777777">
        <w:tc>
          <w:tcPr>
            <w:tcW w:w="2830" w:type="dxa"/>
            <w:vAlign w:val="center"/>
          </w:tcPr>
          <w:p w14:paraId="660905DF" w14:textId="77777777" w:rsidR="00765141" w:rsidRPr="0045436A" w:rsidRDefault="00765141">
            <w:pPr>
              <w:pStyle w:val="TableText0"/>
              <w:rPr>
                <w:vertAlign w:val="superscript"/>
              </w:rPr>
            </w:pPr>
            <w:r w:rsidRPr="0045436A">
              <w:t xml:space="preserve">   Drug-related </w:t>
            </w:r>
            <w:r w:rsidRPr="0045436A">
              <w:rPr>
                <w:vertAlign w:val="superscript"/>
              </w:rPr>
              <w:t>a</w:t>
            </w:r>
          </w:p>
        </w:tc>
        <w:tc>
          <w:tcPr>
            <w:tcW w:w="1546" w:type="dxa"/>
            <w:vAlign w:val="center"/>
          </w:tcPr>
          <w:p w14:paraId="033323A4" w14:textId="77777777" w:rsidR="00765141" w:rsidRPr="0045436A" w:rsidRDefault="00765141">
            <w:pPr>
              <w:pStyle w:val="TableText0"/>
              <w:jc w:val="center"/>
            </w:pPr>
            <w:r w:rsidRPr="0045436A">
              <w:t>3 (2.0%)</w:t>
            </w:r>
          </w:p>
        </w:tc>
        <w:tc>
          <w:tcPr>
            <w:tcW w:w="1547" w:type="dxa"/>
            <w:vAlign w:val="center"/>
          </w:tcPr>
          <w:p w14:paraId="5BEB0612" w14:textId="77777777" w:rsidR="00765141" w:rsidRPr="0045436A" w:rsidRDefault="00765141">
            <w:pPr>
              <w:pStyle w:val="TableText0"/>
              <w:jc w:val="center"/>
            </w:pPr>
            <w:r w:rsidRPr="0045436A">
              <w:t>2 (1.3%)</w:t>
            </w:r>
          </w:p>
        </w:tc>
        <w:tc>
          <w:tcPr>
            <w:tcW w:w="1547" w:type="dxa"/>
            <w:vAlign w:val="center"/>
          </w:tcPr>
          <w:p w14:paraId="6254C2EC" w14:textId="77777777" w:rsidR="00765141" w:rsidRPr="0045436A" w:rsidRDefault="00765141">
            <w:pPr>
              <w:pStyle w:val="TableText0"/>
              <w:jc w:val="center"/>
            </w:pPr>
            <w:r w:rsidRPr="0045436A">
              <w:t>0.01 (-0.02, 0.04)</w:t>
            </w:r>
          </w:p>
        </w:tc>
        <w:tc>
          <w:tcPr>
            <w:tcW w:w="1547" w:type="dxa"/>
            <w:vAlign w:val="center"/>
          </w:tcPr>
          <w:p w14:paraId="68C6B52B" w14:textId="77777777" w:rsidR="00765141" w:rsidRPr="0045436A" w:rsidRDefault="00765141">
            <w:pPr>
              <w:pStyle w:val="TableText0"/>
              <w:jc w:val="center"/>
            </w:pPr>
            <w:r w:rsidRPr="0045436A">
              <w:t>1.54 (0.26, 9.09)</w:t>
            </w:r>
          </w:p>
        </w:tc>
      </w:tr>
      <w:tr w:rsidR="00765141" w:rsidRPr="00794872" w14:paraId="18BFF1AB" w14:textId="77777777">
        <w:tc>
          <w:tcPr>
            <w:tcW w:w="2830" w:type="dxa"/>
            <w:vAlign w:val="center"/>
          </w:tcPr>
          <w:p w14:paraId="53D05B0B" w14:textId="77777777" w:rsidR="00765141" w:rsidRPr="0045436A" w:rsidRDefault="00765141">
            <w:pPr>
              <w:pStyle w:val="TableText0"/>
            </w:pPr>
            <w:r w:rsidRPr="0045436A">
              <w:t xml:space="preserve">Total no. of deaths within 30 days of last dose (excluding deaths during crossover phase), n (%) </w:t>
            </w:r>
            <w:r w:rsidRPr="0045436A">
              <w:rPr>
                <w:vertAlign w:val="superscript"/>
              </w:rPr>
              <w:t>c</w:t>
            </w:r>
          </w:p>
        </w:tc>
        <w:tc>
          <w:tcPr>
            <w:tcW w:w="1546" w:type="dxa"/>
            <w:vAlign w:val="center"/>
          </w:tcPr>
          <w:p w14:paraId="7B419533" w14:textId="77777777" w:rsidR="00765141" w:rsidRPr="0045436A" w:rsidRDefault="00765141">
            <w:pPr>
              <w:pStyle w:val="TableText0"/>
              <w:jc w:val="center"/>
            </w:pPr>
            <w:r w:rsidRPr="0045436A">
              <w:t>7 (4.6%)</w:t>
            </w:r>
          </w:p>
        </w:tc>
        <w:tc>
          <w:tcPr>
            <w:tcW w:w="1547" w:type="dxa"/>
            <w:vAlign w:val="center"/>
          </w:tcPr>
          <w:p w14:paraId="1E05CE6C" w14:textId="77777777" w:rsidR="00765141" w:rsidRPr="0045436A" w:rsidRDefault="00765141">
            <w:pPr>
              <w:pStyle w:val="TableText0"/>
              <w:jc w:val="center"/>
            </w:pPr>
            <w:r w:rsidRPr="0045436A">
              <w:t>4 (2.6%)</w:t>
            </w:r>
          </w:p>
        </w:tc>
        <w:tc>
          <w:tcPr>
            <w:tcW w:w="1547" w:type="dxa"/>
            <w:vAlign w:val="center"/>
          </w:tcPr>
          <w:p w14:paraId="5FCCD9AD" w14:textId="77777777" w:rsidR="00765141" w:rsidRPr="0045436A" w:rsidRDefault="00765141">
            <w:pPr>
              <w:pStyle w:val="TableText0"/>
              <w:jc w:val="center"/>
            </w:pPr>
            <w:r w:rsidRPr="0045436A">
              <w:t>0.02 (-0.02, 0.06)</w:t>
            </w:r>
          </w:p>
        </w:tc>
        <w:tc>
          <w:tcPr>
            <w:tcW w:w="1547" w:type="dxa"/>
            <w:vAlign w:val="center"/>
          </w:tcPr>
          <w:p w14:paraId="50C7B6E3" w14:textId="77777777" w:rsidR="00765141" w:rsidRPr="0045436A" w:rsidRDefault="00765141">
            <w:pPr>
              <w:pStyle w:val="TableText0"/>
              <w:jc w:val="center"/>
            </w:pPr>
            <w:r w:rsidRPr="0045436A">
              <w:t>1.8 (0.54, 6.01)</w:t>
            </w:r>
          </w:p>
        </w:tc>
      </w:tr>
      <w:tr w:rsidR="00765141" w:rsidRPr="00794872" w14:paraId="0A9575EF" w14:textId="77777777">
        <w:tc>
          <w:tcPr>
            <w:tcW w:w="2830" w:type="dxa"/>
            <w:vAlign w:val="center"/>
          </w:tcPr>
          <w:p w14:paraId="16A6E060" w14:textId="77777777" w:rsidR="00765141" w:rsidRPr="0045436A" w:rsidRDefault="00765141">
            <w:pPr>
              <w:pStyle w:val="TableText0"/>
            </w:pPr>
            <w:r w:rsidRPr="0045436A">
              <w:t xml:space="preserve">   AE</w:t>
            </w:r>
          </w:p>
        </w:tc>
        <w:tc>
          <w:tcPr>
            <w:tcW w:w="1546" w:type="dxa"/>
            <w:vAlign w:val="center"/>
          </w:tcPr>
          <w:p w14:paraId="1AFA7FA5" w14:textId="77777777" w:rsidR="00765141" w:rsidRPr="0045436A" w:rsidRDefault="00765141">
            <w:pPr>
              <w:pStyle w:val="TableText0"/>
              <w:jc w:val="center"/>
            </w:pPr>
            <w:r w:rsidRPr="0045436A">
              <w:t>3 (2.0%)</w:t>
            </w:r>
          </w:p>
        </w:tc>
        <w:tc>
          <w:tcPr>
            <w:tcW w:w="1547" w:type="dxa"/>
            <w:vAlign w:val="center"/>
          </w:tcPr>
          <w:p w14:paraId="16FF9C55" w14:textId="77777777" w:rsidR="00765141" w:rsidRPr="0045436A" w:rsidRDefault="00765141">
            <w:pPr>
              <w:pStyle w:val="TableText0"/>
              <w:jc w:val="center"/>
            </w:pPr>
            <w:r w:rsidRPr="0045436A">
              <w:t>2 (1.3%)</w:t>
            </w:r>
          </w:p>
        </w:tc>
        <w:tc>
          <w:tcPr>
            <w:tcW w:w="1547" w:type="dxa"/>
            <w:vAlign w:val="center"/>
          </w:tcPr>
          <w:p w14:paraId="671D35FA" w14:textId="77777777" w:rsidR="00765141" w:rsidRPr="0045436A" w:rsidRDefault="00765141">
            <w:pPr>
              <w:pStyle w:val="TableText0"/>
              <w:jc w:val="center"/>
            </w:pPr>
            <w:r w:rsidRPr="0045436A">
              <w:t>0.01 (-0.02, 0.04)</w:t>
            </w:r>
          </w:p>
        </w:tc>
        <w:tc>
          <w:tcPr>
            <w:tcW w:w="1547" w:type="dxa"/>
            <w:vAlign w:val="center"/>
          </w:tcPr>
          <w:p w14:paraId="66ACB480" w14:textId="77777777" w:rsidR="00765141" w:rsidRPr="0045436A" w:rsidRDefault="00765141">
            <w:pPr>
              <w:pStyle w:val="TableText0"/>
              <w:jc w:val="center"/>
            </w:pPr>
            <w:r w:rsidRPr="0045436A">
              <w:t>1.54 (0.26, 9.09)</w:t>
            </w:r>
          </w:p>
        </w:tc>
      </w:tr>
      <w:tr w:rsidR="00765141" w:rsidRPr="00794872" w14:paraId="44046083" w14:textId="77777777">
        <w:tc>
          <w:tcPr>
            <w:tcW w:w="2830" w:type="dxa"/>
            <w:vAlign w:val="center"/>
          </w:tcPr>
          <w:p w14:paraId="22DA06BA" w14:textId="77777777" w:rsidR="00765141" w:rsidRPr="0049573C" w:rsidRDefault="00765141">
            <w:pPr>
              <w:pStyle w:val="TableText0"/>
            </w:pPr>
            <w:r>
              <w:t xml:space="preserve">   Progressive disease</w:t>
            </w:r>
          </w:p>
        </w:tc>
        <w:tc>
          <w:tcPr>
            <w:tcW w:w="1546" w:type="dxa"/>
            <w:vAlign w:val="center"/>
          </w:tcPr>
          <w:p w14:paraId="2140CA31" w14:textId="77777777" w:rsidR="00765141" w:rsidRPr="00794872" w:rsidRDefault="00765141">
            <w:pPr>
              <w:pStyle w:val="TableText0"/>
              <w:jc w:val="center"/>
            </w:pPr>
            <w:r>
              <w:t>1 (0.7%)</w:t>
            </w:r>
          </w:p>
        </w:tc>
        <w:tc>
          <w:tcPr>
            <w:tcW w:w="1547" w:type="dxa"/>
            <w:vAlign w:val="center"/>
          </w:tcPr>
          <w:p w14:paraId="4D996B41" w14:textId="77777777" w:rsidR="00765141" w:rsidRPr="00794872" w:rsidRDefault="00765141">
            <w:pPr>
              <w:pStyle w:val="TableText0"/>
              <w:jc w:val="center"/>
            </w:pPr>
            <w:r>
              <w:t>1 (0.6%)</w:t>
            </w:r>
          </w:p>
        </w:tc>
        <w:tc>
          <w:tcPr>
            <w:tcW w:w="1547" w:type="dxa"/>
            <w:vAlign w:val="center"/>
          </w:tcPr>
          <w:p w14:paraId="11B471F6" w14:textId="77777777" w:rsidR="00765141" w:rsidRPr="0052602F" w:rsidRDefault="00765141">
            <w:pPr>
              <w:pStyle w:val="TableText0"/>
              <w:jc w:val="center"/>
              <w:rPr>
                <w:highlight w:val="yellow"/>
              </w:rPr>
            </w:pPr>
            <w:r w:rsidRPr="00E51C8E">
              <w:t>0 (-0.02, 0.02)</w:t>
            </w:r>
          </w:p>
        </w:tc>
        <w:tc>
          <w:tcPr>
            <w:tcW w:w="1547" w:type="dxa"/>
            <w:vAlign w:val="center"/>
          </w:tcPr>
          <w:p w14:paraId="52849992" w14:textId="77777777" w:rsidR="00765141" w:rsidRPr="00794872" w:rsidRDefault="00765141">
            <w:pPr>
              <w:pStyle w:val="TableText0"/>
              <w:jc w:val="center"/>
            </w:pPr>
            <w:r w:rsidRPr="00856F41">
              <w:t>1.03 (0.06, 16.26)</w:t>
            </w:r>
          </w:p>
        </w:tc>
      </w:tr>
      <w:tr w:rsidR="00765141" w:rsidRPr="00794872" w14:paraId="0B1F3544" w14:textId="77777777">
        <w:tc>
          <w:tcPr>
            <w:tcW w:w="9017" w:type="dxa"/>
            <w:gridSpan w:val="5"/>
            <w:vAlign w:val="center"/>
          </w:tcPr>
          <w:p w14:paraId="76F75FB2" w14:textId="77777777" w:rsidR="00765141" w:rsidRPr="00856F41" w:rsidRDefault="00765141">
            <w:pPr>
              <w:pStyle w:val="TableText0"/>
            </w:pPr>
            <w:proofErr w:type="gramStart"/>
            <w:r w:rsidRPr="00814607">
              <w:rPr>
                <w:rFonts w:cs="Calibri"/>
                <w:b/>
                <w:bCs w:val="0"/>
                <w:color w:val="000000"/>
                <w:szCs w:val="20"/>
              </w:rPr>
              <w:t>Most commonly reported</w:t>
            </w:r>
            <w:proofErr w:type="gramEnd"/>
            <w:r w:rsidRPr="00814607">
              <w:rPr>
                <w:rFonts w:cs="Calibri"/>
                <w:b/>
                <w:bCs w:val="0"/>
                <w:color w:val="000000"/>
                <w:szCs w:val="20"/>
              </w:rPr>
              <w:t xml:space="preserve"> (&gt;5%) toxicity Grade 3 or 4 TEAEs</w:t>
            </w:r>
          </w:p>
        </w:tc>
      </w:tr>
      <w:tr w:rsidR="00765141" w:rsidRPr="00794872" w14:paraId="455562F4" w14:textId="77777777">
        <w:tc>
          <w:tcPr>
            <w:tcW w:w="2830" w:type="dxa"/>
            <w:vAlign w:val="center"/>
          </w:tcPr>
          <w:p w14:paraId="474B2015" w14:textId="09E1B04C" w:rsidR="00765141" w:rsidRPr="00814607" w:rsidRDefault="00765141">
            <w:pPr>
              <w:pStyle w:val="TableText0"/>
              <w:rPr>
                <w:rFonts w:cs="Calibri"/>
                <w:b/>
                <w:bCs w:val="0"/>
                <w:color w:val="000000"/>
                <w:szCs w:val="20"/>
              </w:rPr>
            </w:pPr>
            <w:r w:rsidRPr="00327F79">
              <w:t>Neutropenia</w:t>
            </w:r>
          </w:p>
        </w:tc>
        <w:tc>
          <w:tcPr>
            <w:tcW w:w="1546" w:type="dxa"/>
            <w:vAlign w:val="center"/>
          </w:tcPr>
          <w:p w14:paraId="281AB02E" w14:textId="77777777" w:rsidR="00765141" w:rsidRDefault="00765141">
            <w:pPr>
              <w:pStyle w:val="TableText0"/>
              <w:jc w:val="center"/>
            </w:pPr>
            <w:r w:rsidRPr="001C1A2C">
              <w:t>50 (33.1%)</w:t>
            </w:r>
          </w:p>
        </w:tc>
        <w:tc>
          <w:tcPr>
            <w:tcW w:w="1547" w:type="dxa"/>
            <w:vAlign w:val="center"/>
          </w:tcPr>
          <w:p w14:paraId="22E5936E" w14:textId="77777777" w:rsidR="00765141" w:rsidRDefault="00765141">
            <w:pPr>
              <w:pStyle w:val="TableText0"/>
              <w:jc w:val="center"/>
            </w:pPr>
            <w:r w:rsidRPr="001C1A2C">
              <w:t>35 (22.6%)</w:t>
            </w:r>
          </w:p>
        </w:tc>
        <w:tc>
          <w:tcPr>
            <w:tcW w:w="1547" w:type="dxa"/>
            <w:vAlign w:val="center"/>
          </w:tcPr>
          <w:p w14:paraId="5C5597B6" w14:textId="77777777" w:rsidR="00765141" w:rsidRPr="000C7169" w:rsidRDefault="00765141">
            <w:pPr>
              <w:pStyle w:val="TableText0"/>
              <w:jc w:val="center"/>
              <w:rPr>
                <w:b/>
                <w:bCs w:val="0"/>
              </w:rPr>
            </w:pPr>
            <w:r w:rsidRPr="000C7169">
              <w:rPr>
                <w:b/>
                <w:bCs w:val="0"/>
              </w:rPr>
              <w:t>0.11 (0.01, 0.21)</w:t>
            </w:r>
          </w:p>
        </w:tc>
        <w:tc>
          <w:tcPr>
            <w:tcW w:w="1547" w:type="dxa"/>
            <w:vAlign w:val="center"/>
          </w:tcPr>
          <w:p w14:paraId="5AA9F629" w14:textId="77777777" w:rsidR="00765141" w:rsidRPr="000C7169" w:rsidRDefault="00765141">
            <w:pPr>
              <w:pStyle w:val="TableText0"/>
              <w:jc w:val="center"/>
              <w:rPr>
                <w:b/>
                <w:bCs w:val="0"/>
              </w:rPr>
            </w:pPr>
            <w:r w:rsidRPr="000C7169">
              <w:rPr>
                <w:b/>
                <w:bCs w:val="0"/>
              </w:rPr>
              <w:t>1.47 (1.01, 2.12)</w:t>
            </w:r>
          </w:p>
        </w:tc>
      </w:tr>
      <w:tr w:rsidR="00765141" w:rsidRPr="00794872" w14:paraId="31E8236D" w14:textId="77777777">
        <w:tc>
          <w:tcPr>
            <w:tcW w:w="2830" w:type="dxa"/>
            <w:vAlign w:val="center"/>
          </w:tcPr>
          <w:p w14:paraId="77C1FF3B" w14:textId="3234F7A7" w:rsidR="00765141" w:rsidRPr="00327F79" w:rsidRDefault="00765141">
            <w:pPr>
              <w:pStyle w:val="TableText0"/>
            </w:pPr>
            <w:r w:rsidRPr="00327F79">
              <w:t>Rash</w:t>
            </w:r>
          </w:p>
        </w:tc>
        <w:tc>
          <w:tcPr>
            <w:tcW w:w="1546" w:type="dxa"/>
            <w:vAlign w:val="center"/>
          </w:tcPr>
          <w:p w14:paraId="68697D68" w14:textId="77777777" w:rsidR="00765141" w:rsidRPr="001C1A2C" w:rsidRDefault="00765141">
            <w:pPr>
              <w:pStyle w:val="TableText0"/>
              <w:jc w:val="center"/>
            </w:pPr>
            <w:r w:rsidRPr="001C1A2C">
              <w:t>17 (11.3%)</w:t>
            </w:r>
          </w:p>
        </w:tc>
        <w:tc>
          <w:tcPr>
            <w:tcW w:w="1547" w:type="dxa"/>
            <w:vAlign w:val="center"/>
          </w:tcPr>
          <w:p w14:paraId="31FCEC1A" w14:textId="77777777" w:rsidR="00765141" w:rsidRPr="001C1A2C" w:rsidRDefault="00765141">
            <w:pPr>
              <w:pStyle w:val="TableText0"/>
              <w:jc w:val="center"/>
            </w:pPr>
            <w:r w:rsidRPr="001C1A2C">
              <w:t>0</w:t>
            </w:r>
          </w:p>
        </w:tc>
        <w:tc>
          <w:tcPr>
            <w:tcW w:w="1547" w:type="dxa"/>
            <w:vAlign w:val="center"/>
          </w:tcPr>
          <w:p w14:paraId="4EFA7BCF" w14:textId="77777777" w:rsidR="00765141" w:rsidRPr="001C1A2C" w:rsidRDefault="00765141">
            <w:pPr>
              <w:pStyle w:val="TableText0"/>
              <w:jc w:val="center"/>
            </w:pPr>
            <w:r w:rsidRPr="000C7169">
              <w:rPr>
                <w:b/>
                <w:bCs w:val="0"/>
              </w:rPr>
              <w:t>0.11 (0.06, 0.16)</w:t>
            </w:r>
          </w:p>
        </w:tc>
        <w:tc>
          <w:tcPr>
            <w:tcW w:w="1547" w:type="dxa"/>
            <w:vAlign w:val="center"/>
          </w:tcPr>
          <w:p w14:paraId="7A6C9048" w14:textId="77777777" w:rsidR="00765141" w:rsidRPr="001C1A2C" w:rsidRDefault="00765141">
            <w:pPr>
              <w:pStyle w:val="TableText0"/>
              <w:jc w:val="center"/>
            </w:pPr>
            <w:r w:rsidRPr="000C7169">
              <w:rPr>
                <w:b/>
                <w:bCs w:val="0"/>
              </w:rPr>
              <w:t>35.9 (2.1, 592.0)</w:t>
            </w:r>
          </w:p>
        </w:tc>
      </w:tr>
      <w:tr w:rsidR="00765141" w:rsidRPr="00794872" w14:paraId="3DC997CF" w14:textId="77777777">
        <w:tc>
          <w:tcPr>
            <w:tcW w:w="2830" w:type="dxa"/>
            <w:vAlign w:val="center"/>
          </w:tcPr>
          <w:p w14:paraId="31A3DD72" w14:textId="350D834E" w:rsidR="00765141" w:rsidRPr="00327F79" w:rsidRDefault="00765141">
            <w:pPr>
              <w:pStyle w:val="TableText0"/>
            </w:pPr>
            <w:r w:rsidRPr="00327F79">
              <w:t>Leukopenia</w:t>
            </w:r>
          </w:p>
        </w:tc>
        <w:tc>
          <w:tcPr>
            <w:tcW w:w="1546" w:type="dxa"/>
            <w:vAlign w:val="center"/>
          </w:tcPr>
          <w:p w14:paraId="767337E0" w14:textId="77777777" w:rsidR="00765141" w:rsidRPr="001C1A2C" w:rsidRDefault="00765141">
            <w:pPr>
              <w:pStyle w:val="TableText0"/>
              <w:jc w:val="center"/>
            </w:pPr>
            <w:r w:rsidRPr="001C1A2C">
              <w:t>17 (11.3%)</w:t>
            </w:r>
          </w:p>
        </w:tc>
        <w:tc>
          <w:tcPr>
            <w:tcW w:w="1547" w:type="dxa"/>
            <w:vAlign w:val="center"/>
          </w:tcPr>
          <w:p w14:paraId="3D3387EF" w14:textId="77777777" w:rsidR="00765141" w:rsidRPr="001C1A2C" w:rsidRDefault="00765141">
            <w:pPr>
              <w:pStyle w:val="TableText0"/>
              <w:jc w:val="center"/>
            </w:pPr>
            <w:r w:rsidRPr="001C1A2C">
              <w:t>5 (3.2%)</w:t>
            </w:r>
          </w:p>
        </w:tc>
        <w:tc>
          <w:tcPr>
            <w:tcW w:w="1547" w:type="dxa"/>
            <w:vAlign w:val="center"/>
          </w:tcPr>
          <w:p w14:paraId="7CF2A387" w14:textId="77777777" w:rsidR="00765141" w:rsidRPr="001C1A2C" w:rsidRDefault="00765141">
            <w:pPr>
              <w:pStyle w:val="TableText0"/>
              <w:jc w:val="center"/>
            </w:pPr>
            <w:r w:rsidRPr="000C7169">
              <w:rPr>
                <w:b/>
                <w:bCs w:val="0"/>
              </w:rPr>
              <w:t>0.08 (0.02, 0.14)</w:t>
            </w:r>
          </w:p>
        </w:tc>
        <w:tc>
          <w:tcPr>
            <w:tcW w:w="1547" w:type="dxa"/>
            <w:vAlign w:val="center"/>
          </w:tcPr>
          <w:p w14:paraId="03786BBB" w14:textId="77777777" w:rsidR="00765141" w:rsidRPr="001C1A2C" w:rsidRDefault="00765141">
            <w:pPr>
              <w:pStyle w:val="TableText0"/>
              <w:jc w:val="center"/>
            </w:pPr>
            <w:r w:rsidRPr="000C7169">
              <w:rPr>
                <w:b/>
                <w:bCs w:val="0"/>
              </w:rPr>
              <w:t>3.49 (1.32, 9.22)</w:t>
            </w:r>
          </w:p>
        </w:tc>
      </w:tr>
      <w:tr w:rsidR="00765141" w:rsidRPr="00794872" w14:paraId="73D4D33A" w14:textId="77777777">
        <w:tc>
          <w:tcPr>
            <w:tcW w:w="2830" w:type="dxa"/>
            <w:vAlign w:val="center"/>
          </w:tcPr>
          <w:p w14:paraId="79D1C6D9" w14:textId="627325AB" w:rsidR="00765141" w:rsidRPr="00327F79" w:rsidRDefault="00765141">
            <w:pPr>
              <w:pStyle w:val="TableText0"/>
            </w:pPr>
            <w:r w:rsidRPr="00327F79">
              <w:t>Anaemia</w:t>
            </w:r>
          </w:p>
        </w:tc>
        <w:tc>
          <w:tcPr>
            <w:tcW w:w="1546" w:type="dxa"/>
            <w:vAlign w:val="center"/>
          </w:tcPr>
          <w:p w14:paraId="7FC66D30" w14:textId="77777777" w:rsidR="00765141" w:rsidRPr="001C1A2C" w:rsidRDefault="00765141">
            <w:pPr>
              <w:pStyle w:val="TableText0"/>
              <w:jc w:val="center"/>
            </w:pPr>
            <w:r w:rsidRPr="001C1A2C">
              <w:t>16 (10.6%)</w:t>
            </w:r>
          </w:p>
        </w:tc>
        <w:tc>
          <w:tcPr>
            <w:tcW w:w="1547" w:type="dxa"/>
            <w:vAlign w:val="center"/>
          </w:tcPr>
          <w:p w14:paraId="7A57BC1A" w14:textId="77777777" w:rsidR="00765141" w:rsidRPr="001C1A2C" w:rsidRDefault="00765141">
            <w:pPr>
              <w:pStyle w:val="TableText0"/>
              <w:jc w:val="center"/>
            </w:pPr>
            <w:r w:rsidRPr="001C1A2C">
              <w:t>19 (12.3%)</w:t>
            </w:r>
          </w:p>
        </w:tc>
        <w:tc>
          <w:tcPr>
            <w:tcW w:w="1547" w:type="dxa"/>
            <w:vAlign w:val="center"/>
          </w:tcPr>
          <w:p w14:paraId="12D8206B" w14:textId="77777777" w:rsidR="00765141" w:rsidRPr="001C1A2C" w:rsidRDefault="00765141">
            <w:pPr>
              <w:pStyle w:val="TableText0"/>
              <w:jc w:val="center"/>
            </w:pPr>
            <w:r w:rsidRPr="001C1A2C">
              <w:t>-0.02 (-0.09, 0.05)</w:t>
            </w:r>
          </w:p>
        </w:tc>
        <w:tc>
          <w:tcPr>
            <w:tcW w:w="1547" w:type="dxa"/>
            <w:vAlign w:val="center"/>
          </w:tcPr>
          <w:p w14:paraId="08605CCD" w14:textId="77777777" w:rsidR="00765141" w:rsidRPr="001C1A2C" w:rsidRDefault="00765141">
            <w:pPr>
              <w:pStyle w:val="TableText0"/>
              <w:jc w:val="center"/>
            </w:pPr>
            <w:r w:rsidRPr="001C1A2C">
              <w:t>0.86 (0.46, 1.62)</w:t>
            </w:r>
          </w:p>
        </w:tc>
      </w:tr>
      <w:tr w:rsidR="00765141" w:rsidRPr="00794872" w14:paraId="7CD8FC7B" w14:textId="77777777">
        <w:tc>
          <w:tcPr>
            <w:tcW w:w="2830" w:type="dxa"/>
            <w:vAlign w:val="center"/>
          </w:tcPr>
          <w:p w14:paraId="46B83F19" w14:textId="76790542" w:rsidR="00765141" w:rsidRPr="00814607" w:rsidRDefault="00765141">
            <w:pPr>
              <w:pStyle w:val="TableText0"/>
              <w:rPr>
                <w:rFonts w:cs="Calibri"/>
                <w:b/>
                <w:bCs w:val="0"/>
                <w:color w:val="000000"/>
                <w:szCs w:val="20"/>
              </w:rPr>
            </w:pPr>
            <w:r w:rsidRPr="00327F79">
              <w:t>Thrombocytopenia</w:t>
            </w:r>
          </w:p>
        </w:tc>
        <w:tc>
          <w:tcPr>
            <w:tcW w:w="1546" w:type="dxa"/>
            <w:vAlign w:val="center"/>
          </w:tcPr>
          <w:p w14:paraId="255972A2" w14:textId="77777777" w:rsidR="00765141" w:rsidRDefault="00765141">
            <w:pPr>
              <w:pStyle w:val="TableText0"/>
              <w:jc w:val="center"/>
            </w:pPr>
            <w:r w:rsidRPr="001C1A2C">
              <w:t>15 (9.9%)</w:t>
            </w:r>
          </w:p>
        </w:tc>
        <w:tc>
          <w:tcPr>
            <w:tcW w:w="1547" w:type="dxa"/>
            <w:vAlign w:val="center"/>
          </w:tcPr>
          <w:p w14:paraId="738F6E71" w14:textId="77777777" w:rsidR="00765141" w:rsidRDefault="00765141">
            <w:pPr>
              <w:pStyle w:val="TableText0"/>
              <w:jc w:val="center"/>
            </w:pPr>
            <w:r w:rsidRPr="001C1A2C">
              <w:t>16 (10.3%)</w:t>
            </w:r>
          </w:p>
        </w:tc>
        <w:tc>
          <w:tcPr>
            <w:tcW w:w="1547" w:type="dxa"/>
            <w:vAlign w:val="center"/>
          </w:tcPr>
          <w:p w14:paraId="608CCABA" w14:textId="77777777" w:rsidR="00765141" w:rsidRPr="00E51C8E" w:rsidRDefault="00765141">
            <w:pPr>
              <w:pStyle w:val="TableText0"/>
              <w:jc w:val="center"/>
            </w:pPr>
            <w:r w:rsidRPr="001C1A2C">
              <w:t>0 (-0.07, 0.06)</w:t>
            </w:r>
          </w:p>
        </w:tc>
        <w:tc>
          <w:tcPr>
            <w:tcW w:w="1547" w:type="dxa"/>
            <w:vAlign w:val="center"/>
          </w:tcPr>
          <w:p w14:paraId="144A2E25" w14:textId="77777777" w:rsidR="00765141" w:rsidRPr="00856F41" w:rsidRDefault="00765141">
            <w:pPr>
              <w:pStyle w:val="TableText0"/>
              <w:jc w:val="center"/>
            </w:pPr>
            <w:r w:rsidRPr="001C1A2C">
              <w:t>0.96 (0.49, 1.88)</w:t>
            </w:r>
          </w:p>
        </w:tc>
      </w:tr>
      <w:tr w:rsidR="00765141" w:rsidRPr="00794872" w14:paraId="3BEC6A1C" w14:textId="77777777">
        <w:tc>
          <w:tcPr>
            <w:tcW w:w="2830" w:type="dxa"/>
            <w:vAlign w:val="center"/>
          </w:tcPr>
          <w:p w14:paraId="2B5AFFFC" w14:textId="1BCBA3A6" w:rsidR="00765141" w:rsidRPr="00814607" w:rsidRDefault="00765141">
            <w:pPr>
              <w:pStyle w:val="TableText0"/>
              <w:rPr>
                <w:rFonts w:cs="Calibri"/>
                <w:b/>
                <w:bCs w:val="0"/>
                <w:color w:val="000000"/>
                <w:szCs w:val="20"/>
              </w:rPr>
            </w:pPr>
            <w:r w:rsidRPr="00327F79">
              <w:t>Hypokalaemia</w:t>
            </w:r>
          </w:p>
        </w:tc>
        <w:tc>
          <w:tcPr>
            <w:tcW w:w="1546" w:type="dxa"/>
            <w:vAlign w:val="center"/>
          </w:tcPr>
          <w:p w14:paraId="5D1B1F6A" w14:textId="77777777" w:rsidR="00765141" w:rsidRDefault="00765141">
            <w:pPr>
              <w:pStyle w:val="TableText0"/>
              <w:jc w:val="center"/>
            </w:pPr>
            <w:r w:rsidRPr="001C1A2C">
              <w:t>13 (8.6%)</w:t>
            </w:r>
          </w:p>
        </w:tc>
        <w:tc>
          <w:tcPr>
            <w:tcW w:w="1547" w:type="dxa"/>
            <w:vAlign w:val="center"/>
          </w:tcPr>
          <w:p w14:paraId="7491208A" w14:textId="77777777" w:rsidR="00765141" w:rsidRDefault="00765141">
            <w:pPr>
              <w:pStyle w:val="TableText0"/>
              <w:jc w:val="center"/>
            </w:pPr>
            <w:r w:rsidRPr="001C1A2C">
              <w:t>2 (1.3%)</w:t>
            </w:r>
          </w:p>
        </w:tc>
        <w:tc>
          <w:tcPr>
            <w:tcW w:w="1547" w:type="dxa"/>
            <w:vAlign w:val="center"/>
          </w:tcPr>
          <w:p w14:paraId="7E9A31B6" w14:textId="77777777" w:rsidR="00765141" w:rsidRPr="000C7169" w:rsidRDefault="00765141">
            <w:pPr>
              <w:pStyle w:val="TableText0"/>
              <w:jc w:val="center"/>
              <w:rPr>
                <w:b/>
                <w:bCs w:val="0"/>
              </w:rPr>
            </w:pPr>
            <w:r w:rsidRPr="000C7169">
              <w:rPr>
                <w:b/>
                <w:bCs w:val="0"/>
              </w:rPr>
              <w:t>0.07 (0.03, 0.12)</w:t>
            </w:r>
          </w:p>
        </w:tc>
        <w:tc>
          <w:tcPr>
            <w:tcW w:w="1547" w:type="dxa"/>
            <w:vAlign w:val="center"/>
          </w:tcPr>
          <w:p w14:paraId="7C71FC63" w14:textId="77777777" w:rsidR="00765141" w:rsidRPr="000C7169" w:rsidRDefault="00765141">
            <w:pPr>
              <w:pStyle w:val="TableText0"/>
              <w:jc w:val="center"/>
              <w:rPr>
                <w:b/>
                <w:bCs w:val="0"/>
              </w:rPr>
            </w:pPr>
            <w:r w:rsidRPr="000C7169">
              <w:rPr>
                <w:b/>
                <w:bCs w:val="0"/>
              </w:rPr>
              <w:t>6.67 (1.53, 29.07)</w:t>
            </w:r>
          </w:p>
        </w:tc>
      </w:tr>
      <w:tr w:rsidR="00765141" w:rsidRPr="00794872" w14:paraId="190061BA" w14:textId="77777777">
        <w:tc>
          <w:tcPr>
            <w:tcW w:w="2830" w:type="dxa"/>
            <w:vAlign w:val="center"/>
          </w:tcPr>
          <w:p w14:paraId="77AF8FA8" w14:textId="6E51D5B8" w:rsidR="00765141" w:rsidRPr="00814607" w:rsidRDefault="00765141">
            <w:pPr>
              <w:pStyle w:val="TableText0"/>
              <w:rPr>
                <w:rFonts w:cs="Calibri"/>
                <w:b/>
                <w:bCs w:val="0"/>
                <w:color w:val="000000"/>
                <w:szCs w:val="20"/>
              </w:rPr>
            </w:pPr>
            <w:r w:rsidRPr="00327F79">
              <w:t>Paronychia</w:t>
            </w:r>
          </w:p>
        </w:tc>
        <w:tc>
          <w:tcPr>
            <w:tcW w:w="1546" w:type="dxa"/>
            <w:vAlign w:val="center"/>
          </w:tcPr>
          <w:p w14:paraId="252717EB" w14:textId="77777777" w:rsidR="00765141" w:rsidRDefault="00765141">
            <w:pPr>
              <w:pStyle w:val="TableText0"/>
              <w:jc w:val="center"/>
            </w:pPr>
            <w:r w:rsidRPr="001C1A2C">
              <w:t>10 (6.6%)</w:t>
            </w:r>
          </w:p>
        </w:tc>
        <w:tc>
          <w:tcPr>
            <w:tcW w:w="1547" w:type="dxa"/>
            <w:vAlign w:val="center"/>
          </w:tcPr>
          <w:p w14:paraId="67CD5DD2" w14:textId="77777777" w:rsidR="00765141" w:rsidRDefault="00765141">
            <w:pPr>
              <w:pStyle w:val="TableText0"/>
              <w:jc w:val="center"/>
            </w:pPr>
            <w:r w:rsidRPr="001C1A2C">
              <w:t>0</w:t>
            </w:r>
          </w:p>
        </w:tc>
        <w:tc>
          <w:tcPr>
            <w:tcW w:w="1547" w:type="dxa"/>
            <w:vAlign w:val="center"/>
          </w:tcPr>
          <w:p w14:paraId="4C953E1F" w14:textId="77777777" w:rsidR="00765141" w:rsidRPr="000C7169" w:rsidRDefault="00765141">
            <w:pPr>
              <w:pStyle w:val="TableText0"/>
              <w:jc w:val="center"/>
              <w:rPr>
                <w:b/>
                <w:bCs w:val="0"/>
              </w:rPr>
            </w:pPr>
            <w:r w:rsidRPr="000C7169">
              <w:rPr>
                <w:b/>
                <w:bCs w:val="0"/>
              </w:rPr>
              <w:t>0.07 (0.02, 0.11)</w:t>
            </w:r>
          </w:p>
        </w:tc>
        <w:tc>
          <w:tcPr>
            <w:tcW w:w="1547" w:type="dxa"/>
            <w:vAlign w:val="center"/>
          </w:tcPr>
          <w:p w14:paraId="147CF645" w14:textId="77777777" w:rsidR="00765141" w:rsidRPr="000C7169" w:rsidRDefault="00765141">
            <w:pPr>
              <w:pStyle w:val="TableText0"/>
              <w:jc w:val="center"/>
              <w:rPr>
                <w:b/>
                <w:bCs w:val="0"/>
              </w:rPr>
            </w:pPr>
            <w:r w:rsidRPr="000C7169">
              <w:rPr>
                <w:b/>
                <w:bCs w:val="0"/>
              </w:rPr>
              <w:t>21.6 (1.3, 364.6)</w:t>
            </w:r>
          </w:p>
        </w:tc>
      </w:tr>
      <w:tr w:rsidR="00765141" w:rsidRPr="00794872" w14:paraId="45A4DFC4" w14:textId="77777777">
        <w:tc>
          <w:tcPr>
            <w:tcW w:w="2830" w:type="dxa"/>
            <w:vAlign w:val="center"/>
          </w:tcPr>
          <w:p w14:paraId="3EB1D9F0" w14:textId="5480D972" w:rsidR="00765141" w:rsidRPr="00814607" w:rsidRDefault="00765141">
            <w:pPr>
              <w:pStyle w:val="TableText0"/>
              <w:rPr>
                <w:rFonts w:cs="Calibri"/>
                <w:b/>
                <w:bCs w:val="0"/>
                <w:color w:val="000000"/>
                <w:szCs w:val="20"/>
              </w:rPr>
            </w:pPr>
            <w:r w:rsidRPr="00327F79">
              <w:t>Asthenia</w:t>
            </w:r>
          </w:p>
        </w:tc>
        <w:tc>
          <w:tcPr>
            <w:tcW w:w="1546" w:type="dxa"/>
            <w:vAlign w:val="center"/>
          </w:tcPr>
          <w:p w14:paraId="48029CF6" w14:textId="77777777" w:rsidR="00765141" w:rsidRDefault="00765141">
            <w:pPr>
              <w:pStyle w:val="TableText0"/>
              <w:jc w:val="center"/>
            </w:pPr>
            <w:r w:rsidRPr="001C1A2C">
              <w:t>8 (5.3%)</w:t>
            </w:r>
          </w:p>
        </w:tc>
        <w:tc>
          <w:tcPr>
            <w:tcW w:w="1547" w:type="dxa"/>
            <w:vAlign w:val="center"/>
          </w:tcPr>
          <w:p w14:paraId="274C5BDD" w14:textId="77777777" w:rsidR="00765141" w:rsidRDefault="00765141">
            <w:pPr>
              <w:pStyle w:val="TableText0"/>
              <w:jc w:val="center"/>
            </w:pPr>
            <w:r w:rsidRPr="001C1A2C">
              <w:t>4 (2.6%)</w:t>
            </w:r>
          </w:p>
        </w:tc>
        <w:tc>
          <w:tcPr>
            <w:tcW w:w="1547" w:type="dxa"/>
            <w:vAlign w:val="center"/>
          </w:tcPr>
          <w:p w14:paraId="376D069A" w14:textId="77777777" w:rsidR="00765141" w:rsidRPr="00E51C8E" w:rsidRDefault="00765141">
            <w:pPr>
              <w:pStyle w:val="TableText0"/>
              <w:jc w:val="center"/>
            </w:pPr>
            <w:r w:rsidRPr="001C1A2C">
              <w:t>0.03 (-0.02, 0.07)</w:t>
            </w:r>
          </w:p>
        </w:tc>
        <w:tc>
          <w:tcPr>
            <w:tcW w:w="1547" w:type="dxa"/>
            <w:vAlign w:val="center"/>
          </w:tcPr>
          <w:p w14:paraId="6CA30933" w14:textId="77777777" w:rsidR="00765141" w:rsidRPr="00856F41" w:rsidRDefault="00765141">
            <w:pPr>
              <w:pStyle w:val="TableText0"/>
              <w:jc w:val="center"/>
            </w:pPr>
            <w:r w:rsidRPr="001C1A2C">
              <w:t>2.05 (0.63, 6.68)</w:t>
            </w:r>
          </w:p>
        </w:tc>
      </w:tr>
    </w:tbl>
    <w:p w14:paraId="61292DF4" w14:textId="77777777" w:rsidR="00765141" w:rsidRDefault="00765141" w:rsidP="00AD07E3">
      <w:pPr>
        <w:pStyle w:val="TableFigureFooter"/>
      </w:pPr>
      <w:r>
        <w:t>Source: Table 2.41, p114 of the submission</w:t>
      </w:r>
    </w:p>
    <w:p w14:paraId="03D4DBFC" w14:textId="7C5BA94B" w:rsidR="00765141" w:rsidRDefault="00765141" w:rsidP="00AD07E3">
      <w:pPr>
        <w:pStyle w:val="TableFigureFooter"/>
      </w:pPr>
      <w:r>
        <w:t xml:space="preserve">Abbreviations: </w:t>
      </w:r>
      <w:r w:rsidR="00725FB6">
        <w:t>ACP, amivantamab plus carboplatin / pemetrexed;</w:t>
      </w:r>
      <w:r w:rsidR="00725FB6" w:rsidRPr="002F38DC">
        <w:t xml:space="preserve"> </w:t>
      </w:r>
      <w:r w:rsidR="00725FB6">
        <w:t xml:space="preserve">AE, adverse events; CI, confidence interval; CP, carboplatin / pemetrexed; </w:t>
      </w:r>
      <w:r>
        <w:t>SAE, serious adverse event; TEAE, treatment-emergent adverse event.</w:t>
      </w:r>
    </w:p>
    <w:p w14:paraId="18080D12" w14:textId="637AA572" w:rsidR="00765141" w:rsidRDefault="00765141" w:rsidP="00AD07E3">
      <w:pPr>
        <w:pStyle w:val="TableFigureFooter"/>
      </w:pPr>
      <w:r w:rsidRPr="00291E9B">
        <w:rPr>
          <w:vertAlign w:val="superscript"/>
        </w:rPr>
        <w:t>a</w:t>
      </w:r>
      <w:r>
        <w:t xml:space="preserve"> </w:t>
      </w:r>
      <w:r w:rsidRPr="0052602F">
        <w:t>AE is assessed by the investigator as related to study treatment</w:t>
      </w:r>
    </w:p>
    <w:p w14:paraId="07EA19B3" w14:textId="7329E259" w:rsidR="00765141" w:rsidRDefault="00765141" w:rsidP="00AD07E3">
      <w:pPr>
        <w:pStyle w:val="TableFigureFooter"/>
      </w:pPr>
      <w:r w:rsidRPr="00291E9B">
        <w:rPr>
          <w:vertAlign w:val="superscript"/>
        </w:rPr>
        <w:t>b</w:t>
      </w:r>
      <w:r>
        <w:t xml:space="preserve"> </w:t>
      </w:r>
      <w:r w:rsidRPr="0049573C">
        <w:t>AEs leading to death are based on AE outcome of Fatal. Per protocol, all deaths within 30 days of last dose were required to have an associated AE reported, even if due to progressive disease</w:t>
      </w:r>
    </w:p>
    <w:p w14:paraId="3AE8974F" w14:textId="28DD6BAA" w:rsidR="00765141" w:rsidRDefault="00765141" w:rsidP="00AD07E3">
      <w:pPr>
        <w:pStyle w:val="TableFigureFooter"/>
      </w:pPr>
      <w:r w:rsidRPr="00291E9B">
        <w:rPr>
          <w:vertAlign w:val="superscript"/>
        </w:rPr>
        <w:t>c</w:t>
      </w:r>
      <w:r>
        <w:t xml:space="preserve"> In full analysis set population</w:t>
      </w:r>
    </w:p>
    <w:p w14:paraId="08017CC8" w14:textId="0B22EA4B" w:rsidR="00765141" w:rsidRDefault="00765141" w:rsidP="00AD07E3">
      <w:pPr>
        <w:pStyle w:val="TableFigureFooter"/>
      </w:pPr>
      <w:r w:rsidRPr="00866A0D">
        <w:rPr>
          <w:vertAlign w:val="superscript"/>
        </w:rPr>
        <w:t>d</w:t>
      </w:r>
      <w:r>
        <w:t xml:space="preserve"> </w:t>
      </w:r>
      <w:r w:rsidR="00866A0D">
        <w:t>V</w:t>
      </w:r>
      <w:r>
        <w:t>alues &gt;0 favour the CP arm</w:t>
      </w:r>
    </w:p>
    <w:p w14:paraId="3C1CB848" w14:textId="1AC63EF8" w:rsidR="00765141" w:rsidRDefault="00765141" w:rsidP="00AD07E3">
      <w:pPr>
        <w:pStyle w:val="TableFigureFooter"/>
      </w:pPr>
      <w:r w:rsidRPr="00866A0D">
        <w:rPr>
          <w:vertAlign w:val="superscript"/>
        </w:rPr>
        <w:t>e</w:t>
      </w:r>
      <w:r>
        <w:t xml:space="preserve"> </w:t>
      </w:r>
      <w:r w:rsidR="00866A0D">
        <w:t>V</w:t>
      </w:r>
      <w:r>
        <w:t>alues &gt;1 favour the CP arm</w:t>
      </w:r>
    </w:p>
    <w:p w14:paraId="2359701E" w14:textId="6A0CCFE6" w:rsidR="00E5503B" w:rsidRDefault="00765141" w:rsidP="00AD07E3">
      <w:pPr>
        <w:pStyle w:val="TableFigureFooter"/>
      </w:pPr>
      <w:r>
        <w:rPr>
          <w:b/>
          <w:bCs/>
        </w:rPr>
        <w:t>Bold</w:t>
      </w:r>
      <w:r>
        <w:t xml:space="preserve"> text indicates significant results.</w:t>
      </w:r>
    </w:p>
    <w:p w14:paraId="34D681C4" w14:textId="5ED8DAA2" w:rsidR="00765141" w:rsidRPr="00AF3564" w:rsidRDefault="00E5503B" w:rsidP="00AD07E3">
      <w:pPr>
        <w:pStyle w:val="TableFigureFooter"/>
      </w:pPr>
      <w:r w:rsidRPr="00AF3564">
        <w:t xml:space="preserve">Note: </w:t>
      </w:r>
      <w:r w:rsidR="00EA2168" w:rsidRPr="00AF3564">
        <w:t>The</w:t>
      </w:r>
      <w:r w:rsidR="001945BF" w:rsidRPr="00AF3564">
        <w:t xml:space="preserve"> risk difference and relative risk were </w:t>
      </w:r>
      <w:r w:rsidR="009B4987" w:rsidRPr="00AF3564">
        <w:t xml:space="preserve">calculated by the submission and were not </w:t>
      </w:r>
      <w:r w:rsidR="00F361D0" w:rsidRPr="00AF3564">
        <w:t xml:space="preserve">pre-specified. </w:t>
      </w:r>
    </w:p>
    <w:p w14:paraId="5B45BF35" w14:textId="77777777" w:rsidR="00696E66" w:rsidRPr="00AF3564" w:rsidRDefault="00696E66" w:rsidP="00EF4C49">
      <w:pPr>
        <w:pStyle w:val="3-BodyText"/>
      </w:pPr>
      <w:r w:rsidRPr="00AF3564">
        <w:t>Rash, infusion-related reactions (IRRs) and pneumonitis / interstitial lung disease (ILD) were pre-identified AEs of special interest. Rash was the most common (89.4%</w:t>
      </w:r>
      <w:r w:rsidRPr="00AF3564" w:rsidDel="00BF2C35">
        <w:t xml:space="preserve"> </w:t>
      </w:r>
      <w:r w:rsidRPr="00AF3564">
        <w:t>in ACP vs 18.1% in CP). Among these, 19.2% were classified as Grade 3 and four patients (2.6%) discontinued treatment.</w:t>
      </w:r>
    </w:p>
    <w:p w14:paraId="668ECF1C" w14:textId="77777777" w:rsidR="004652DA" w:rsidRDefault="00765141" w:rsidP="00EF4C49">
      <w:pPr>
        <w:pStyle w:val="3-BodyText"/>
      </w:pPr>
      <w:r>
        <w:t xml:space="preserve">There were substantially more patients in the ACP treatment group experiencing Grade </w:t>
      </w:r>
      <w:r>
        <w:rPr>
          <w:rFonts w:cs="Calibri"/>
        </w:rPr>
        <w:t>≥</w:t>
      </w:r>
      <w:r>
        <w:t xml:space="preserve">3 TEAEs compared to CP (75.5% vs 53.5% respectively). The most common Grade </w:t>
      </w:r>
      <w:r>
        <w:rPr>
          <w:rFonts w:cs="Calibri"/>
        </w:rPr>
        <w:t>≥</w:t>
      </w:r>
      <w:r>
        <w:t xml:space="preserve">3 TEAEs were rash, paronychia, hypokalaemia, neutropenia and leukopenia. </w:t>
      </w:r>
    </w:p>
    <w:p w14:paraId="1373C4C3" w14:textId="15B1CA91" w:rsidR="001B670F" w:rsidRDefault="00765141" w:rsidP="00EF4C49">
      <w:pPr>
        <w:pStyle w:val="3-BodyText"/>
      </w:pPr>
      <w:r>
        <w:t>The incidence of TEAEs leading to discontinuation was substantially higher in the ACP arm than the CP arm (23.8% vs 10.3%)</w:t>
      </w:r>
      <w:r w:rsidRPr="00D87CD7">
        <w:t xml:space="preserve">. </w:t>
      </w:r>
      <w:r>
        <w:t xml:space="preserve">Similarly, the incidence of </w:t>
      </w:r>
      <w:r w:rsidRPr="00D87CD7">
        <w:t xml:space="preserve">TEAEs resulting in </w:t>
      </w:r>
      <w:r w:rsidRPr="00AF3564">
        <w:lastRenderedPageBreak/>
        <w:t xml:space="preserve">treatment dose reductions (48.3% vs 22.6%) or treatment dose interruptions (68.9% vs </w:t>
      </w:r>
      <w:r w:rsidR="005D4BFF" w:rsidRPr="00AF3564">
        <w:t>36.1</w:t>
      </w:r>
      <w:r w:rsidRPr="00AF3564">
        <w:t>%) was</w:t>
      </w:r>
      <w:r>
        <w:t xml:space="preserve"> substantially higher with ACP.</w:t>
      </w:r>
      <w:bookmarkStart w:id="74" w:name="_Toc22897643"/>
      <w:bookmarkStart w:id="75" w:name="_Toc174628138"/>
      <w:bookmarkStart w:id="76" w:name="_Toc177532583"/>
      <w:bookmarkStart w:id="77" w:name="_Toc177548281"/>
    </w:p>
    <w:p w14:paraId="181023E1" w14:textId="708AAF4B" w:rsidR="00765141" w:rsidRPr="0098262F" w:rsidRDefault="00765141" w:rsidP="00765141">
      <w:pPr>
        <w:pStyle w:val="4-SubsectionHeading"/>
      </w:pPr>
      <w:r w:rsidRPr="0098262F">
        <w:t>Benefits/harms</w:t>
      </w:r>
      <w:bookmarkEnd w:id="74"/>
      <w:bookmarkEnd w:id="75"/>
      <w:bookmarkEnd w:id="76"/>
      <w:bookmarkEnd w:id="77"/>
    </w:p>
    <w:p w14:paraId="3E3D201E" w14:textId="248A9AB9" w:rsidR="00765141" w:rsidRDefault="00765141" w:rsidP="00EF4C49">
      <w:pPr>
        <w:pStyle w:val="3-BodyText"/>
      </w:pPr>
      <w:r>
        <w:t xml:space="preserve">A summary of the comparative benefits and harms for ACP vs CP based on data from the PAPILLON trial is presented in </w:t>
      </w:r>
      <w:r>
        <w:fldChar w:fldCharType="begin"/>
      </w:r>
      <w:r>
        <w:instrText xml:space="preserve"> REF _Ref104805037 \h </w:instrText>
      </w:r>
      <w:r>
        <w:fldChar w:fldCharType="separate"/>
      </w:r>
      <w:r w:rsidR="00372107" w:rsidRPr="0098262F">
        <w:t xml:space="preserve">Table </w:t>
      </w:r>
      <w:r w:rsidR="00372107">
        <w:rPr>
          <w:noProof/>
        </w:rPr>
        <w:t>8</w:t>
      </w:r>
      <w:r>
        <w:fldChar w:fldCharType="end"/>
      </w:r>
      <w:r>
        <w:t>.</w:t>
      </w:r>
    </w:p>
    <w:p w14:paraId="4A05ED46" w14:textId="12B9E86B" w:rsidR="00765141" w:rsidRPr="0098262F" w:rsidRDefault="00765141" w:rsidP="00AB1F72">
      <w:pPr>
        <w:pStyle w:val="Caption"/>
        <w:rPr>
          <w:rStyle w:val="CommentReference"/>
          <w:b/>
          <w:szCs w:val="24"/>
        </w:rPr>
      </w:pPr>
      <w:bookmarkStart w:id="78" w:name="_Ref104805037"/>
      <w:r w:rsidRPr="0098262F">
        <w:t xml:space="preserve">Table </w:t>
      </w:r>
      <w:r w:rsidR="002C794C">
        <w:fldChar w:fldCharType="begin"/>
      </w:r>
      <w:r w:rsidR="002C794C">
        <w:instrText xml:space="preserve"> SEQ Table \* ARABIC </w:instrText>
      </w:r>
      <w:r w:rsidR="002C794C">
        <w:fldChar w:fldCharType="separate"/>
      </w:r>
      <w:r w:rsidR="00372107">
        <w:rPr>
          <w:noProof/>
        </w:rPr>
        <w:t>8</w:t>
      </w:r>
      <w:r w:rsidR="002C794C">
        <w:rPr>
          <w:noProof/>
        </w:rPr>
        <w:fldChar w:fldCharType="end"/>
      </w:r>
      <w:bookmarkEnd w:id="78"/>
      <w:r w:rsidRPr="0098262F">
        <w:t xml:space="preserve">: </w:t>
      </w:r>
      <w:r w:rsidRPr="0098262F">
        <w:rPr>
          <w:rStyle w:val="CommentReference"/>
          <w:b/>
          <w:szCs w:val="24"/>
        </w:rPr>
        <w:t xml:space="preserve">Summary of comparative benefits and harms for </w:t>
      </w:r>
      <w:r>
        <w:rPr>
          <w:rStyle w:val="CommentReference"/>
          <w:b/>
          <w:szCs w:val="24"/>
        </w:rPr>
        <w:t>ACP and CP</w:t>
      </w:r>
    </w:p>
    <w:tbl>
      <w:tblPr>
        <w:tblW w:w="5000" w:type="pct"/>
        <w:tblBorders>
          <w:top w:val="single" w:sz="4" w:space="0" w:color="auto"/>
          <w:left w:val="single" w:sz="4" w:space="0" w:color="auto"/>
          <w:bottom w:val="double" w:sz="4" w:space="0" w:color="auto"/>
        </w:tblBorders>
        <w:tblLayout w:type="fixed"/>
        <w:tblCellMar>
          <w:left w:w="28" w:type="dxa"/>
          <w:right w:w="28" w:type="dxa"/>
        </w:tblCellMar>
        <w:tblLook w:val="04A0" w:firstRow="1" w:lastRow="0" w:firstColumn="1" w:lastColumn="0" w:noHBand="0" w:noVBand="1"/>
      </w:tblPr>
      <w:tblGrid>
        <w:gridCol w:w="9017"/>
      </w:tblGrid>
      <w:tr w:rsidR="00765141" w:rsidRPr="0098262F" w14:paraId="3B1618FF" w14:textId="77777777" w:rsidTr="00164DBC">
        <w:trPr>
          <w:cantSplit/>
        </w:trPr>
        <w:tc>
          <w:tcPr>
            <w:tcW w:w="5000" w:type="pct"/>
            <w:tcBorders>
              <w:top w:val="single" w:sz="4" w:space="0" w:color="auto"/>
              <w:bottom w:val="single" w:sz="4" w:space="0" w:color="auto"/>
              <w:right w:val="single" w:sz="4" w:space="0" w:color="auto"/>
            </w:tcBorders>
            <w:shd w:val="clear" w:color="auto" w:fill="auto"/>
            <w:vAlign w:val="center"/>
          </w:tcPr>
          <w:p w14:paraId="606C701E" w14:textId="77777777" w:rsidR="00765141" w:rsidRPr="0098262F" w:rsidRDefault="00765141" w:rsidP="00AB1F72">
            <w:pPr>
              <w:pStyle w:val="In-tableHeading"/>
            </w:pPr>
            <w:r w:rsidRPr="0098262F">
              <w:t>Benefits</w:t>
            </w:r>
          </w:p>
        </w:tc>
      </w:tr>
    </w:tbl>
    <w:tbl>
      <w:tblPr>
        <w:tblStyle w:val="TableGrid"/>
        <w:tblW w:w="5000" w:type="pct"/>
        <w:tblLayout w:type="fixed"/>
        <w:tblCellMar>
          <w:left w:w="28" w:type="dxa"/>
          <w:right w:w="28" w:type="dxa"/>
        </w:tblCellMar>
        <w:tblLook w:val="04A0" w:firstRow="1" w:lastRow="0" w:firstColumn="1" w:lastColumn="0" w:noHBand="0" w:noVBand="1"/>
      </w:tblPr>
      <w:tblGrid>
        <w:gridCol w:w="2464"/>
        <w:gridCol w:w="1446"/>
        <w:gridCol w:w="1472"/>
        <w:gridCol w:w="2126"/>
        <w:gridCol w:w="1509"/>
      </w:tblGrid>
      <w:tr w:rsidR="00765141" w:rsidRPr="0098262F" w14:paraId="2E47B48B" w14:textId="77777777" w:rsidTr="00164DBC">
        <w:trPr>
          <w:trHeight w:val="20"/>
        </w:trPr>
        <w:tc>
          <w:tcPr>
            <w:tcW w:w="5000" w:type="pct"/>
            <w:gridSpan w:val="5"/>
            <w:tcBorders>
              <w:top w:val="single" w:sz="4" w:space="0" w:color="auto"/>
            </w:tcBorders>
            <w:shd w:val="clear" w:color="auto" w:fill="auto"/>
          </w:tcPr>
          <w:p w14:paraId="59C9D044" w14:textId="77777777" w:rsidR="00765141" w:rsidRPr="0098262F" w:rsidRDefault="00765141" w:rsidP="00AB1F72">
            <w:pPr>
              <w:pStyle w:val="In-tableHeading"/>
            </w:pPr>
            <w:r>
              <w:t>PFS</w:t>
            </w:r>
            <w:r w:rsidRPr="0098262F">
              <w:t xml:space="preserve"> (median duration of follow up </w:t>
            </w:r>
            <w:r>
              <w:t>14.9</w:t>
            </w:r>
            <w:r w:rsidRPr="0098262F">
              <w:t xml:space="preserve"> months)</w:t>
            </w:r>
          </w:p>
        </w:tc>
      </w:tr>
      <w:tr w:rsidR="00765141" w:rsidRPr="0098262F" w14:paraId="41B9856B" w14:textId="77777777" w:rsidTr="00164DBC">
        <w:trPr>
          <w:trHeight w:val="20"/>
        </w:trPr>
        <w:tc>
          <w:tcPr>
            <w:tcW w:w="1366" w:type="pct"/>
            <w:tcBorders>
              <w:bottom w:val="single" w:sz="4" w:space="0" w:color="auto"/>
            </w:tcBorders>
            <w:shd w:val="clear" w:color="auto" w:fill="auto"/>
          </w:tcPr>
          <w:p w14:paraId="0FE60B4C" w14:textId="77777777" w:rsidR="00765141" w:rsidRPr="0098262F" w:rsidRDefault="00765141" w:rsidP="00AB1F72">
            <w:pPr>
              <w:pStyle w:val="In-tableHeading"/>
            </w:pPr>
            <w:r w:rsidRPr="0098262F">
              <w:t>Event</w:t>
            </w:r>
          </w:p>
        </w:tc>
        <w:tc>
          <w:tcPr>
            <w:tcW w:w="802" w:type="pct"/>
            <w:tcBorders>
              <w:bottom w:val="single" w:sz="4" w:space="0" w:color="auto"/>
            </w:tcBorders>
            <w:shd w:val="clear" w:color="auto" w:fill="auto"/>
          </w:tcPr>
          <w:p w14:paraId="074C0B13" w14:textId="77777777" w:rsidR="00765141" w:rsidRPr="0098262F" w:rsidRDefault="00765141" w:rsidP="00AB1F72">
            <w:pPr>
              <w:pStyle w:val="In-tableHeading"/>
            </w:pPr>
            <w:r>
              <w:t>ACP</w:t>
            </w:r>
          </w:p>
        </w:tc>
        <w:tc>
          <w:tcPr>
            <w:tcW w:w="816" w:type="pct"/>
            <w:tcBorders>
              <w:bottom w:val="single" w:sz="4" w:space="0" w:color="auto"/>
            </w:tcBorders>
            <w:shd w:val="clear" w:color="auto" w:fill="auto"/>
          </w:tcPr>
          <w:p w14:paraId="0B518EAE" w14:textId="77777777" w:rsidR="00765141" w:rsidRPr="0098262F" w:rsidRDefault="00765141" w:rsidP="00AB1F72">
            <w:pPr>
              <w:pStyle w:val="In-tableHeading"/>
            </w:pPr>
            <w:r>
              <w:t>CP</w:t>
            </w:r>
          </w:p>
        </w:tc>
        <w:tc>
          <w:tcPr>
            <w:tcW w:w="1179" w:type="pct"/>
            <w:tcBorders>
              <w:bottom w:val="single" w:sz="4" w:space="0" w:color="auto"/>
            </w:tcBorders>
            <w:shd w:val="clear" w:color="auto" w:fill="auto"/>
          </w:tcPr>
          <w:p w14:paraId="52DB5438" w14:textId="77777777" w:rsidR="00765141" w:rsidRPr="0098262F" w:rsidRDefault="00765141" w:rsidP="00AB1F72">
            <w:pPr>
              <w:pStyle w:val="In-tableHeading"/>
              <w:rPr>
                <w:rFonts w:asciiTheme="minorHAnsi" w:hAnsiTheme="minorHAnsi"/>
              </w:rPr>
            </w:pPr>
            <w:r w:rsidRPr="0098262F">
              <w:t>Absolute Difference</w:t>
            </w:r>
          </w:p>
        </w:tc>
        <w:tc>
          <w:tcPr>
            <w:tcW w:w="837" w:type="pct"/>
            <w:tcBorders>
              <w:bottom w:val="single" w:sz="4" w:space="0" w:color="auto"/>
            </w:tcBorders>
            <w:shd w:val="clear" w:color="auto" w:fill="auto"/>
          </w:tcPr>
          <w:p w14:paraId="433ACC39" w14:textId="77777777" w:rsidR="00765141" w:rsidRPr="0098262F" w:rsidRDefault="00765141" w:rsidP="00AB1F72">
            <w:pPr>
              <w:pStyle w:val="In-tableHeading"/>
            </w:pPr>
            <w:r w:rsidRPr="0098262F">
              <w:t>HR (95% CI)</w:t>
            </w:r>
          </w:p>
        </w:tc>
      </w:tr>
      <w:tr w:rsidR="00765141" w:rsidRPr="0098262F" w14:paraId="68631FF4" w14:textId="77777777">
        <w:trPr>
          <w:trHeight w:val="20"/>
        </w:trPr>
        <w:tc>
          <w:tcPr>
            <w:tcW w:w="1366" w:type="pct"/>
            <w:tcBorders>
              <w:bottom w:val="single" w:sz="4" w:space="0" w:color="auto"/>
              <w:right w:val="single" w:sz="4" w:space="0" w:color="auto"/>
            </w:tcBorders>
            <w:shd w:val="clear" w:color="auto" w:fill="auto"/>
          </w:tcPr>
          <w:p w14:paraId="05402421" w14:textId="77777777" w:rsidR="00765141" w:rsidRPr="0098262F" w:rsidRDefault="00765141" w:rsidP="00AB1F72">
            <w:pPr>
              <w:pStyle w:val="TableText0"/>
              <w:widowControl w:val="0"/>
            </w:pPr>
            <w:r w:rsidRPr="0098262F">
              <w:t>Progressed, n (%)</w:t>
            </w:r>
          </w:p>
        </w:tc>
        <w:tc>
          <w:tcPr>
            <w:tcW w:w="802" w:type="pct"/>
            <w:tcBorders>
              <w:left w:val="single" w:sz="4" w:space="0" w:color="auto"/>
              <w:bottom w:val="single" w:sz="4" w:space="0" w:color="auto"/>
              <w:right w:val="single" w:sz="4" w:space="0" w:color="auto"/>
            </w:tcBorders>
            <w:shd w:val="clear" w:color="auto" w:fill="auto"/>
          </w:tcPr>
          <w:p w14:paraId="08B6B9B1" w14:textId="77777777" w:rsidR="00765141" w:rsidRPr="0098262F" w:rsidRDefault="00765141" w:rsidP="00AB1F72">
            <w:pPr>
              <w:pStyle w:val="TableText0"/>
              <w:widowControl w:val="0"/>
              <w:jc w:val="center"/>
            </w:pPr>
            <w:r>
              <w:rPr>
                <w:rFonts w:cs="Times New Roman"/>
                <w:szCs w:val="20"/>
              </w:rPr>
              <w:t>84/153</w:t>
            </w:r>
            <w:r w:rsidRPr="0098262F">
              <w:rPr>
                <w:rFonts w:cs="Times New Roman"/>
                <w:szCs w:val="20"/>
              </w:rPr>
              <w:t xml:space="preserve"> (</w:t>
            </w:r>
            <w:r>
              <w:rPr>
                <w:rFonts w:cs="Times New Roman"/>
                <w:szCs w:val="20"/>
              </w:rPr>
              <w:t>55</w:t>
            </w:r>
            <w:r w:rsidRPr="0098262F">
              <w:rPr>
                <w:rFonts w:cs="Times New Roman"/>
                <w:szCs w:val="20"/>
              </w:rPr>
              <w:t>%)</w:t>
            </w:r>
          </w:p>
        </w:tc>
        <w:tc>
          <w:tcPr>
            <w:tcW w:w="816" w:type="pct"/>
            <w:tcBorders>
              <w:left w:val="single" w:sz="4" w:space="0" w:color="auto"/>
              <w:bottom w:val="single" w:sz="4" w:space="0" w:color="auto"/>
              <w:right w:val="single" w:sz="4" w:space="0" w:color="auto"/>
            </w:tcBorders>
            <w:shd w:val="clear" w:color="auto" w:fill="auto"/>
          </w:tcPr>
          <w:p w14:paraId="64FE7B83" w14:textId="77777777" w:rsidR="00765141" w:rsidRPr="0098262F" w:rsidRDefault="00765141" w:rsidP="00AB1F72">
            <w:pPr>
              <w:pStyle w:val="TableText0"/>
              <w:widowControl w:val="0"/>
              <w:jc w:val="center"/>
            </w:pPr>
            <w:r>
              <w:rPr>
                <w:rFonts w:cs="Times New Roman"/>
                <w:szCs w:val="20"/>
              </w:rPr>
              <w:t xml:space="preserve">132/155 </w:t>
            </w:r>
            <w:r w:rsidRPr="0098262F">
              <w:rPr>
                <w:rFonts w:cs="Times New Roman"/>
                <w:szCs w:val="20"/>
              </w:rPr>
              <w:t>(</w:t>
            </w:r>
            <w:r>
              <w:rPr>
                <w:rFonts w:cs="Times New Roman"/>
                <w:szCs w:val="20"/>
              </w:rPr>
              <w:t>85</w:t>
            </w:r>
            <w:r w:rsidRPr="0098262F">
              <w:rPr>
                <w:rFonts w:cs="Times New Roman"/>
                <w:szCs w:val="20"/>
              </w:rPr>
              <w:t>%)</w:t>
            </w:r>
          </w:p>
        </w:tc>
        <w:tc>
          <w:tcPr>
            <w:tcW w:w="1179" w:type="pct"/>
            <w:tcBorders>
              <w:left w:val="single" w:sz="4" w:space="0" w:color="auto"/>
              <w:bottom w:val="single" w:sz="4" w:space="0" w:color="auto"/>
              <w:right w:val="single" w:sz="4" w:space="0" w:color="auto"/>
            </w:tcBorders>
            <w:shd w:val="clear" w:color="auto" w:fill="auto"/>
          </w:tcPr>
          <w:p w14:paraId="11D543FC" w14:textId="77777777" w:rsidR="00765141" w:rsidRPr="0098262F" w:rsidRDefault="00765141" w:rsidP="00AB1F72">
            <w:pPr>
              <w:pStyle w:val="TableText0"/>
              <w:widowControl w:val="0"/>
              <w:jc w:val="center"/>
              <w:rPr>
                <w:color w:val="0070C0"/>
              </w:rPr>
            </w:pPr>
            <w:r>
              <w:t>-</w:t>
            </w:r>
          </w:p>
        </w:tc>
        <w:tc>
          <w:tcPr>
            <w:tcW w:w="837" w:type="pct"/>
            <w:vMerge w:val="restart"/>
            <w:tcBorders>
              <w:left w:val="single" w:sz="4" w:space="0" w:color="auto"/>
            </w:tcBorders>
            <w:shd w:val="clear" w:color="auto" w:fill="auto"/>
          </w:tcPr>
          <w:p w14:paraId="7780A5C8" w14:textId="77777777" w:rsidR="002C2138" w:rsidRDefault="002C2138" w:rsidP="00AB1F72">
            <w:pPr>
              <w:pStyle w:val="TableText0"/>
              <w:widowControl w:val="0"/>
              <w:jc w:val="center"/>
              <w:rPr>
                <w:b/>
                <w:bCs w:val="0"/>
              </w:rPr>
            </w:pPr>
            <w:r w:rsidRPr="00920587">
              <w:rPr>
                <w:b/>
                <w:bCs w:val="0"/>
              </w:rPr>
              <w:t xml:space="preserve">0.395 </w:t>
            </w:r>
          </w:p>
          <w:p w14:paraId="1D64E6DD" w14:textId="77777777" w:rsidR="002C2138" w:rsidRPr="0098262F" w:rsidRDefault="002C2138" w:rsidP="00AB1F72">
            <w:pPr>
              <w:pStyle w:val="TableText0"/>
              <w:widowControl w:val="0"/>
              <w:jc w:val="center"/>
              <w:rPr>
                <w:szCs w:val="20"/>
              </w:rPr>
            </w:pPr>
            <w:r w:rsidRPr="00920587">
              <w:rPr>
                <w:b/>
                <w:bCs w:val="0"/>
              </w:rPr>
              <w:t>(0.296, 0.528)</w:t>
            </w:r>
          </w:p>
          <w:p w14:paraId="3D9DC388" w14:textId="42F973D8" w:rsidR="00765141" w:rsidRPr="0098262F" w:rsidRDefault="002C2138" w:rsidP="00AB1F72">
            <w:pPr>
              <w:pStyle w:val="TableText0"/>
              <w:widowControl w:val="0"/>
              <w:jc w:val="center"/>
            </w:pPr>
            <w:r w:rsidRPr="007F0F9E">
              <w:rPr>
                <w:b/>
                <w:bCs w:val="0"/>
              </w:rPr>
              <w:t>P&lt;0.0001</w:t>
            </w:r>
          </w:p>
        </w:tc>
      </w:tr>
      <w:tr w:rsidR="00765141" w:rsidRPr="0098262F" w14:paraId="06E35CAB" w14:textId="77777777">
        <w:trPr>
          <w:trHeight w:val="20"/>
        </w:trPr>
        <w:tc>
          <w:tcPr>
            <w:tcW w:w="1366" w:type="pct"/>
            <w:tcBorders>
              <w:bottom w:val="single" w:sz="4" w:space="0" w:color="auto"/>
              <w:right w:val="single" w:sz="4" w:space="0" w:color="auto"/>
            </w:tcBorders>
            <w:shd w:val="clear" w:color="auto" w:fill="auto"/>
          </w:tcPr>
          <w:p w14:paraId="3DCDD4E4" w14:textId="77777777" w:rsidR="00765141" w:rsidRPr="0098262F" w:rsidRDefault="00765141" w:rsidP="00AB1F72">
            <w:pPr>
              <w:pStyle w:val="TableText0"/>
              <w:widowControl w:val="0"/>
            </w:pPr>
            <w:r w:rsidRPr="0098262F">
              <w:t>Median PFS, months (95% CI)</w:t>
            </w:r>
          </w:p>
        </w:tc>
        <w:tc>
          <w:tcPr>
            <w:tcW w:w="802" w:type="pct"/>
            <w:tcBorders>
              <w:left w:val="single" w:sz="4" w:space="0" w:color="auto"/>
              <w:bottom w:val="single" w:sz="4" w:space="0" w:color="auto"/>
              <w:right w:val="single" w:sz="4" w:space="0" w:color="auto"/>
            </w:tcBorders>
            <w:shd w:val="clear" w:color="auto" w:fill="auto"/>
          </w:tcPr>
          <w:p w14:paraId="1C6D1555" w14:textId="77777777" w:rsidR="00765141" w:rsidRPr="0098262F" w:rsidRDefault="00765141" w:rsidP="00AB1F72">
            <w:pPr>
              <w:pStyle w:val="TableText0"/>
              <w:widowControl w:val="0"/>
              <w:jc w:val="center"/>
              <w:rPr>
                <w:rFonts w:cs="Times New Roman"/>
                <w:szCs w:val="20"/>
              </w:rPr>
            </w:pPr>
            <w:r w:rsidRPr="009A1BE9">
              <w:t>11.37 (9.79, 13.70)</w:t>
            </w:r>
          </w:p>
        </w:tc>
        <w:tc>
          <w:tcPr>
            <w:tcW w:w="816" w:type="pct"/>
            <w:tcBorders>
              <w:left w:val="single" w:sz="4" w:space="0" w:color="auto"/>
              <w:bottom w:val="single" w:sz="4" w:space="0" w:color="auto"/>
              <w:right w:val="single" w:sz="4" w:space="0" w:color="auto"/>
            </w:tcBorders>
            <w:shd w:val="clear" w:color="auto" w:fill="auto"/>
          </w:tcPr>
          <w:p w14:paraId="1FD823F0" w14:textId="77777777" w:rsidR="00765141" w:rsidRPr="0098262F" w:rsidRDefault="00765141" w:rsidP="00AB1F72">
            <w:pPr>
              <w:pStyle w:val="TableText0"/>
              <w:widowControl w:val="0"/>
              <w:jc w:val="center"/>
              <w:rPr>
                <w:rFonts w:cs="Times New Roman"/>
                <w:szCs w:val="20"/>
              </w:rPr>
            </w:pPr>
            <w:r w:rsidRPr="009A1BE9">
              <w:t>6.70 (5.59, 7.33)</w:t>
            </w:r>
          </w:p>
        </w:tc>
        <w:tc>
          <w:tcPr>
            <w:tcW w:w="1179" w:type="pct"/>
            <w:tcBorders>
              <w:left w:val="single" w:sz="4" w:space="0" w:color="auto"/>
              <w:bottom w:val="single" w:sz="4" w:space="0" w:color="auto"/>
              <w:right w:val="single" w:sz="4" w:space="0" w:color="auto"/>
            </w:tcBorders>
            <w:shd w:val="clear" w:color="auto" w:fill="auto"/>
          </w:tcPr>
          <w:p w14:paraId="41E781A8" w14:textId="77777777" w:rsidR="00765141" w:rsidRPr="0098262F" w:rsidRDefault="00765141" w:rsidP="00AB1F72">
            <w:pPr>
              <w:pStyle w:val="TableText0"/>
              <w:widowControl w:val="0"/>
              <w:jc w:val="center"/>
            </w:pPr>
            <w:r>
              <w:t>4.67</w:t>
            </w:r>
          </w:p>
        </w:tc>
        <w:tc>
          <w:tcPr>
            <w:tcW w:w="837" w:type="pct"/>
            <w:vMerge/>
            <w:tcBorders>
              <w:left w:val="single" w:sz="4" w:space="0" w:color="auto"/>
            </w:tcBorders>
            <w:shd w:val="clear" w:color="auto" w:fill="auto"/>
          </w:tcPr>
          <w:p w14:paraId="6965F135" w14:textId="1E60582E" w:rsidR="00765141" w:rsidRPr="0098262F" w:rsidRDefault="00765141" w:rsidP="00AB1F72">
            <w:pPr>
              <w:pStyle w:val="TableText0"/>
              <w:widowControl w:val="0"/>
              <w:jc w:val="center"/>
              <w:rPr>
                <w:szCs w:val="20"/>
              </w:rPr>
            </w:pPr>
          </w:p>
        </w:tc>
      </w:tr>
      <w:tr w:rsidR="00765141" w:rsidRPr="0098262F" w14:paraId="4803EC03" w14:textId="77777777">
        <w:trPr>
          <w:trHeight w:val="20"/>
        </w:trPr>
        <w:tc>
          <w:tcPr>
            <w:tcW w:w="1366" w:type="pct"/>
            <w:tcBorders>
              <w:top w:val="single" w:sz="4" w:space="0" w:color="auto"/>
              <w:bottom w:val="single" w:sz="4" w:space="0" w:color="auto"/>
              <w:right w:val="single" w:sz="4" w:space="0" w:color="auto"/>
            </w:tcBorders>
            <w:shd w:val="clear" w:color="auto" w:fill="auto"/>
          </w:tcPr>
          <w:p w14:paraId="5B66BA80" w14:textId="77777777" w:rsidR="00765141" w:rsidRPr="0098262F" w:rsidRDefault="00765141" w:rsidP="00AB1F72">
            <w:pPr>
              <w:pStyle w:val="TableText0"/>
              <w:widowControl w:val="0"/>
            </w:pPr>
            <w:r w:rsidRPr="0098262F">
              <w:t xml:space="preserve">% not progressed at </w:t>
            </w:r>
            <w:r>
              <w:t>6</w:t>
            </w:r>
            <w:r w:rsidRPr="0098262F">
              <w:t xml:space="preserve">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0F0DAB0D" w14:textId="77777777" w:rsidR="00765141" w:rsidRPr="0098262F" w:rsidRDefault="00765141" w:rsidP="00AB1F72">
            <w:pPr>
              <w:pStyle w:val="TableText0"/>
              <w:widowControl w:val="0"/>
              <w:jc w:val="center"/>
            </w:pPr>
            <w:r w:rsidRPr="009A1BE9">
              <w:t xml:space="preserve">77 (69, </w:t>
            </w:r>
            <w:r>
              <w:t>8</w:t>
            </w:r>
            <w:r w:rsidRPr="009A1BE9">
              <w:t>3)</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1A67D071" w14:textId="77777777" w:rsidR="00765141" w:rsidRPr="0098262F" w:rsidRDefault="00765141" w:rsidP="00AB1F72">
            <w:pPr>
              <w:pStyle w:val="TableText0"/>
              <w:widowControl w:val="0"/>
              <w:jc w:val="center"/>
              <w:rPr>
                <w:szCs w:val="20"/>
              </w:rPr>
            </w:pPr>
            <w:r w:rsidRPr="009A1BE9">
              <w:t>51 (43, 59)</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1BB433CE" w14:textId="77777777" w:rsidR="00765141" w:rsidRPr="0098262F" w:rsidRDefault="00765141" w:rsidP="00AB1F72">
            <w:pPr>
              <w:pStyle w:val="TableText0"/>
              <w:widowControl w:val="0"/>
              <w:jc w:val="center"/>
            </w:pPr>
            <w:r>
              <w:t>26</w:t>
            </w:r>
          </w:p>
        </w:tc>
        <w:tc>
          <w:tcPr>
            <w:tcW w:w="837" w:type="pct"/>
            <w:vMerge/>
            <w:tcBorders>
              <w:left w:val="single" w:sz="4" w:space="0" w:color="auto"/>
            </w:tcBorders>
            <w:shd w:val="clear" w:color="auto" w:fill="auto"/>
          </w:tcPr>
          <w:p w14:paraId="6B341484" w14:textId="25BB584C" w:rsidR="00765141" w:rsidRPr="007F0F9E" w:rsidRDefault="00765141" w:rsidP="00AB1F72">
            <w:pPr>
              <w:pStyle w:val="TableText0"/>
              <w:widowControl w:val="0"/>
              <w:jc w:val="center"/>
              <w:rPr>
                <w:b/>
                <w:bCs w:val="0"/>
              </w:rPr>
            </w:pPr>
          </w:p>
        </w:tc>
      </w:tr>
      <w:tr w:rsidR="00765141" w:rsidRPr="0098262F" w14:paraId="6C2DA597" w14:textId="77777777">
        <w:trPr>
          <w:trHeight w:val="20"/>
        </w:trPr>
        <w:tc>
          <w:tcPr>
            <w:tcW w:w="1366" w:type="pct"/>
            <w:tcBorders>
              <w:top w:val="single" w:sz="4" w:space="0" w:color="auto"/>
              <w:bottom w:val="single" w:sz="4" w:space="0" w:color="auto"/>
              <w:right w:val="single" w:sz="4" w:space="0" w:color="auto"/>
            </w:tcBorders>
            <w:shd w:val="clear" w:color="auto" w:fill="auto"/>
          </w:tcPr>
          <w:p w14:paraId="598203D5" w14:textId="77777777" w:rsidR="00765141" w:rsidRPr="0098262F" w:rsidRDefault="00765141" w:rsidP="00AB1F72">
            <w:pPr>
              <w:pStyle w:val="TableText0"/>
              <w:widowControl w:val="0"/>
            </w:pPr>
            <w:r w:rsidRPr="0098262F">
              <w:t xml:space="preserve">% not progressed at </w:t>
            </w:r>
            <w:r>
              <w:t>12</w:t>
            </w:r>
            <w:r w:rsidRPr="0098262F">
              <w:t xml:space="preserve">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BD9ECED" w14:textId="77777777" w:rsidR="00765141" w:rsidRPr="0098262F" w:rsidRDefault="00765141" w:rsidP="00AB1F72">
            <w:pPr>
              <w:pStyle w:val="TableText0"/>
              <w:widowControl w:val="0"/>
              <w:jc w:val="center"/>
              <w:rPr>
                <w:szCs w:val="20"/>
              </w:rPr>
            </w:pPr>
            <w:r>
              <w:t>4</w:t>
            </w:r>
            <w:r w:rsidRPr="009A1BE9">
              <w:t>8 (39, 56)</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2263252E" w14:textId="77777777" w:rsidR="00765141" w:rsidRPr="0098262F" w:rsidRDefault="00765141" w:rsidP="00AB1F72">
            <w:pPr>
              <w:pStyle w:val="TableText0"/>
              <w:widowControl w:val="0"/>
              <w:jc w:val="center"/>
              <w:rPr>
                <w:szCs w:val="20"/>
              </w:rPr>
            </w:pPr>
            <w:r w:rsidRPr="009A1BE9">
              <w:t>13 (8, 19)</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50960A89" w14:textId="77777777" w:rsidR="00765141" w:rsidRPr="0098262F" w:rsidRDefault="00765141" w:rsidP="00AB1F72">
            <w:pPr>
              <w:pStyle w:val="TableText0"/>
              <w:widowControl w:val="0"/>
              <w:jc w:val="center"/>
              <w:rPr>
                <w:rFonts w:cs="Times New Roman"/>
                <w:szCs w:val="20"/>
              </w:rPr>
            </w:pPr>
            <w:r>
              <w:rPr>
                <w:rFonts w:cs="Times New Roman"/>
                <w:szCs w:val="20"/>
              </w:rPr>
              <w:t>35</w:t>
            </w:r>
          </w:p>
        </w:tc>
        <w:tc>
          <w:tcPr>
            <w:tcW w:w="837" w:type="pct"/>
            <w:vMerge/>
            <w:tcBorders>
              <w:left w:val="single" w:sz="4" w:space="0" w:color="auto"/>
            </w:tcBorders>
            <w:shd w:val="clear" w:color="auto" w:fill="auto"/>
          </w:tcPr>
          <w:p w14:paraId="271F05C9" w14:textId="77777777" w:rsidR="00765141" w:rsidRPr="0098262F" w:rsidRDefault="00765141" w:rsidP="00AB1F72">
            <w:pPr>
              <w:pStyle w:val="TableText0"/>
              <w:widowControl w:val="0"/>
              <w:jc w:val="center"/>
            </w:pPr>
          </w:p>
        </w:tc>
      </w:tr>
      <w:tr w:rsidR="00765141" w:rsidRPr="0098262F" w14:paraId="562DB6A4" w14:textId="77777777">
        <w:trPr>
          <w:trHeight w:val="20"/>
        </w:trPr>
        <w:tc>
          <w:tcPr>
            <w:tcW w:w="1366" w:type="pct"/>
            <w:tcBorders>
              <w:top w:val="single" w:sz="4" w:space="0" w:color="auto"/>
              <w:bottom w:val="single" w:sz="4" w:space="0" w:color="auto"/>
              <w:right w:val="single" w:sz="4" w:space="0" w:color="auto"/>
            </w:tcBorders>
            <w:shd w:val="clear" w:color="auto" w:fill="auto"/>
          </w:tcPr>
          <w:p w14:paraId="2E368D30" w14:textId="77777777" w:rsidR="00765141" w:rsidRPr="0098262F" w:rsidRDefault="00765141" w:rsidP="00AB1F72">
            <w:pPr>
              <w:pStyle w:val="TableText0"/>
              <w:widowControl w:val="0"/>
            </w:pPr>
            <w:r w:rsidRPr="0098262F">
              <w:t xml:space="preserve">% not progressed at </w:t>
            </w:r>
            <w:r>
              <w:t>18</w:t>
            </w:r>
            <w:r w:rsidRPr="0098262F">
              <w:t xml:space="preserve">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DD343AC" w14:textId="77777777" w:rsidR="00765141" w:rsidRPr="0098262F" w:rsidRDefault="00765141" w:rsidP="00AB1F72">
            <w:pPr>
              <w:pStyle w:val="TableText0"/>
              <w:widowControl w:val="0"/>
              <w:jc w:val="center"/>
              <w:rPr>
                <w:szCs w:val="20"/>
              </w:rPr>
            </w:pPr>
            <w:r w:rsidRPr="009A1BE9">
              <w:t>31 (22, 40)</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2CD82A80" w14:textId="77777777" w:rsidR="00765141" w:rsidRPr="0098262F" w:rsidRDefault="00765141" w:rsidP="00AB1F72">
            <w:pPr>
              <w:pStyle w:val="TableText0"/>
              <w:widowControl w:val="0"/>
              <w:jc w:val="center"/>
              <w:rPr>
                <w:szCs w:val="20"/>
              </w:rPr>
            </w:pPr>
            <w:r w:rsidRPr="009A1BE9">
              <w:t>3 (1, 9)</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7BE344A4" w14:textId="77777777" w:rsidR="00765141" w:rsidRPr="0098262F" w:rsidRDefault="00765141" w:rsidP="00AB1F72">
            <w:pPr>
              <w:pStyle w:val="TableText0"/>
              <w:widowControl w:val="0"/>
              <w:jc w:val="center"/>
              <w:rPr>
                <w:rFonts w:cs="Times New Roman"/>
                <w:szCs w:val="20"/>
              </w:rPr>
            </w:pPr>
            <w:r>
              <w:rPr>
                <w:rFonts w:cs="Times New Roman"/>
                <w:szCs w:val="20"/>
              </w:rPr>
              <w:t>28</w:t>
            </w:r>
          </w:p>
        </w:tc>
        <w:tc>
          <w:tcPr>
            <w:tcW w:w="837" w:type="pct"/>
            <w:vMerge/>
            <w:tcBorders>
              <w:left w:val="single" w:sz="4" w:space="0" w:color="auto"/>
              <w:bottom w:val="single" w:sz="4" w:space="0" w:color="auto"/>
            </w:tcBorders>
            <w:shd w:val="clear" w:color="auto" w:fill="auto"/>
          </w:tcPr>
          <w:p w14:paraId="58CD471B" w14:textId="77777777" w:rsidR="00765141" w:rsidRPr="0098262F" w:rsidRDefault="00765141" w:rsidP="00AB1F72">
            <w:pPr>
              <w:pStyle w:val="TableText0"/>
              <w:widowControl w:val="0"/>
              <w:jc w:val="center"/>
            </w:pPr>
          </w:p>
        </w:tc>
      </w:tr>
      <w:tr w:rsidR="00765141" w:rsidRPr="0098262F" w14:paraId="3AF9E477" w14:textId="77777777">
        <w:trPr>
          <w:trHeight w:val="2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2C497A2" w14:textId="77777777" w:rsidR="00765141" w:rsidRPr="0098262F" w:rsidRDefault="00765141" w:rsidP="00AB1F72">
            <w:pPr>
              <w:pStyle w:val="In-tableHeading"/>
            </w:pPr>
            <w:r>
              <w:t>OS</w:t>
            </w:r>
            <w:r w:rsidRPr="0098262F">
              <w:t xml:space="preserve"> survival (median duration of follow up </w:t>
            </w:r>
            <w:r>
              <w:t>14.9</w:t>
            </w:r>
            <w:r w:rsidRPr="0098262F">
              <w:t xml:space="preserve"> months)</w:t>
            </w:r>
          </w:p>
        </w:tc>
      </w:tr>
      <w:tr w:rsidR="00765141" w:rsidRPr="0098262F" w14:paraId="21A20BC4" w14:textId="77777777">
        <w:trPr>
          <w:trHeight w:val="8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1FBE6F11" w14:textId="77777777" w:rsidR="00765141" w:rsidRPr="0098262F" w:rsidRDefault="00765141" w:rsidP="00AB1F72">
            <w:pPr>
              <w:pStyle w:val="TableText0"/>
              <w:widowControl w:val="0"/>
            </w:pPr>
            <w:r w:rsidRPr="0098262F">
              <w:t xml:space="preserve">Deaths, n/N (%)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7B79DBD" w14:textId="77777777" w:rsidR="00765141" w:rsidRPr="0098262F" w:rsidRDefault="00765141" w:rsidP="00AB1F72">
            <w:pPr>
              <w:pStyle w:val="TableText0"/>
              <w:widowControl w:val="0"/>
              <w:jc w:val="center"/>
            </w:pPr>
            <w:r>
              <w:rPr>
                <w:rFonts w:cs="Times New Roman"/>
                <w:szCs w:val="20"/>
              </w:rPr>
              <w:t>28/153</w:t>
            </w:r>
            <w:r w:rsidRPr="0098262F">
              <w:rPr>
                <w:rFonts w:cs="Times New Roman"/>
                <w:szCs w:val="20"/>
              </w:rPr>
              <w:t xml:space="preserve"> (</w:t>
            </w:r>
            <w:r>
              <w:rPr>
                <w:rFonts w:cs="Times New Roman"/>
                <w:szCs w:val="20"/>
              </w:rPr>
              <w:t>18</w:t>
            </w:r>
            <w:r w:rsidRPr="0098262F">
              <w:rPr>
                <w:rFonts w:cs="Times New Roman"/>
                <w:szCs w:val="20"/>
              </w:rPr>
              <w:t>%)</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0A2B4F34" w14:textId="77777777" w:rsidR="00765141" w:rsidRPr="0098262F" w:rsidRDefault="00765141" w:rsidP="00AB1F72">
            <w:pPr>
              <w:pStyle w:val="TableText0"/>
              <w:widowControl w:val="0"/>
              <w:jc w:val="center"/>
            </w:pPr>
            <w:r>
              <w:rPr>
                <w:rFonts w:cs="Times New Roman"/>
                <w:szCs w:val="20"/>
              </w:rPr>
              <w:t>42/155 (27%)</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A8A34D0" w14:textId="77777777" w:rsidR="00765141" w:rsidRPr="0098262F" w:rsidRDefault="00765141" w:rsidP="00AB1F72">
            <w:pPr>
              <w:pStyle w:val="TableText0"/>
              <w:widowControl w:val="0"/>
              <w:jc w:val="center"/>
            </w:pPr>
            <w:r>
              <w:t>-</w:t>
            </w:r>
          </w:p>
        </w:tc>
        <w:tc>
          <w:tcPr>
            <w:tcW w:w="837" w:type="pct"/>
            <w:vMerge w:val="restart"/>
            <w:tcBorders>
              <w:top w:val="single" w:sz="4" w:space="0" w:color="auto"/>
              <w:left w:val="single" w:sz="4" w:space="0" w:color="auto"/>
              <w:right w:val="single" w:sz="4" w:space="0" w:color="auto"/>
            </w:tcBorders>
            <w:shd w:val="clear" w:color="auto" w:fill="auto"/>
          </w:tcPr>
          <w:p w14:paraId="7C1F6E94" w14:textId="573507C0" w:rsidR="002C2138" w:rsidRDefault="00765141" w:rsidP="00AB1F72">
            <w:pPr>
              <w:pStyle w:val="TableText0"/>
              <w:widowControl w:val="0"/>
              <w:jc w:val="center"/>
            </w:pPr>
            <w:r w:rsidRPr="00CF6B14">
              <w:t xml:space="preserve">0.675 </w:t>
            </w:r>
          </w:p>
          <w:p w14:paraId="6318EEDF" w14:textId="4A6E14C4" w:rsidR="00765141" w:rsidRDefault="00765141" w:rsidP="00AB1F72">
            <w:pPr>
              <w:pStyle w:val="TableText0"/>
              <w:widowControl w:val="0"/>
              <w:jc w:val="center"/>
            </w:pPr>
            <w:r w:rsidRPr="00CF6B14">
              <w:t>(0.418, 1.090)</w:t>
            </w:r>
          </w:p>
          <w:p w14:paraId="4E90BCA6" w14:textId="77777777" w:rsidR="00765141" w:rsidRPr="0098262F" w:rsidRDefault="00765141" w:rsidP="00AB1F72">
            <w:pPr>
              <w:pStyle w:val="TableText0"/>
              <w:widowControl w:val="0"/>
              <w:jc w:val="center"/>
            </w:pPr>
            <w:r w:rsidRPr="0098262F">
              <w:rPr>
                <w:szCs w:val="20"/>
              </w:rPr>
              <w:t>P=</w:t>
            </w:r>
            <w:r w:rsidRPr="00CE45B8">
              <w:t>0.1056</w:t>
            </w:r>
          </w:p>
        </w:tc>
      </w:tr>
      <w:tr w:rsidR="00765141" w:rsidRPr="0098262F" w14:paraId="44376755"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60AA216A" w14:textId="77777777" w:rsidR="00765141" w:rsidRPr="0098262F" w:rsidRDefault="00765141" w:rsidP="00AB1F72">
            <w:pPr>
              <w:pStyle w:val="TableText0"/>
              <w:widowControl w:val="0"/>
            </w:pPr>
            <w:r w:rsidRPr="0098262F">
              <w:t>Median OS,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79D0B6B9" w14:textId="77777777" w:rsidR="00765141" w:rsidRPr="0098262F" w:rsidRDefault="00765141" w:rsidP="00AB1F72">
            <w:pPr>
              <w:pStyle w:val="TableText0"/>
              <w:widowControl w:val="0"/>
              <w:jc w:val="center"/>
              <w:rPr>
                <w:rFonts w:cs="Times New Roman"/>
                <w:szCs w:val="20"/>
              </w:rPr>
            </w:pPr>
            <w:r w:rsidRPr="00CE45B8">
              <w:t>NE (NE, NE)</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56FEC187" w14:textId="77777777" w:rsidR="00765141" w:rsidRPr="0098262F" w:rsidRDefault="00765141" w:rsidP="00AB1F72">
            <w:pPr>
              <w:pStyle w:val="TableText0"/>
              <w:widowControl w:val="0"/>
              <w:jc w:val="center"/>
              <w:rPr>
                <w:rFonts w:cs="Times New Roman"/>
                <w:szCs w:val="20"/>
              </w:rPr>
            </w:pPr>
            <w:r w:rsidRPr="00CE45B8">
              <w:t>24.38 (22.08, NE)</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6534EA9" w14:textId="77777777" w:rsidR="00765141" w:rsidRPr="0098262F" w:rsidRDefault="00765141" w:rsidP="00AB1F72">
            <w:pPr>
              <w:pStyle w:val="TableText0"/>
              <w:widowControl w:val="0"/>
              <w:jc w:val="center"/>
            </w:pPr>
            <w:r>
              <w:t>-</w:t>
            </w:r>
          </w:p>
        </w:tc>
        <w:tc>
          <w:tcPr>
            <w:tcW w:w="837" w:type="pct"/>
            <w:vMerge/>
            <w:tcBorders>
              <w:left w:val="single" w:sz="4" w:space="0" w:color="auto"/>
              <w:right w:val="single" w:sz="4" w:space="0" w:color="auto"/>
            </w:tcBorders>
            <w:shd w:val="clear" w:color="auto" w:fill="auto"/>
          </w:tcPr>
          <w:p w14:paraId="44FD4B1D" w14:textId="77777777" w:rsidR="00765141" w:rsidRPr="0098262F" w:rsidRDefault="00765141" w:rsidP="00AB1F72">
            <w:pPr>
              <w:pStyle w:val="TableText0"/>
              <w:widowControl w:val="0"/>
              <w:jc w:val="center"/>
              <w:rPr>
                <w:szCs w:val="20"/>
              </w:rPr>
            </w:pPr>
          </w:p>
        </w:tc>
      </w:tr>
      <w:tr w:rsidR="00765141" w:rsidRPr="0098262F" w14:paraId="5B5E85EC"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1C8412E1" w14:textId="77777777" w:rsidR="00765141" w:rsidRPr="0098262F" w:rsidRDefault="00765141" w:rsidP="00AB1F72">
            <w:pPr>
              <w:pStyle w:val="TableText0"/>
              <w:widowControl w:val="0"/>
            </w:pPr>
            <w:r w:rsidRPr="0098262F">
              <w:t xml:space="preserve">% Alive at </w:t>
            </w:r>
            <w:r>
              <w:t>6</w:t>
            </w:r>
            <w:r w:rsidRPr="0098262F">
              <w:t xml:space="preserve"> months (95% CI)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11D503E7" w14:textId="77777777" w:rsidR="00765141" w:rsidRPr="0098262F" w:rsidRDefault="00765141" w:rsidP="00AB1F72">
            <w:pPr>
              <w:pStyle w:val="TableText0"/>
              <w:widowControl w:val="0"/>
              <w:jc w:val="center"/>
            </w:pPr>
            <w:r w:rsidRPr="00CE45B8">
              <w:t>94 (89, 97)</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3403774E" w14:textId="77777777" w:rsidR="00765141" w:rsidRPr="0098262F" w:rsidRDefault="00765141" w:rsidP="00AB1F72">
            <w:pPr>
              <w:pStyle w:val="TableText0"/>
              <w:widowControl w:val="0"/>
              <w:jc w:val="center"/>
              <w:rPr>
                <w:szCs w:val="20"/>
              </w:rPr>
            </w:pPr>
            <w:r w:rsidRPr="00CE45B8">
              <w:t>97 (92, 99)</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04C2A2" w14:textId="77777777" w:rsidR="00765141" w:rsidRPr="0098262F" w:rsidRDefault="00765141" w:rsidP="00AB1F72">
            <w:pPr>
              <w:pStyle w:val="TableText0"/>
              <w:widowControl w:val="0"/>
              <w:jc w:val="center"/>
            </w:pPr>
            <w:r>
              <w:t>-3</w:t>
            </w:r>
          </w:p>
        </w:tc>
        <w:tc>
          <w:tcPr>
            <w:tcW w:w="837" w:type="pct"/>
            <w:vMerge/>
            <w:tcBorders>
              <w:left w:val="single" w:sz="4" w:space="0" w:color="auto"/>
              <w:right w:val="single" w:sz="4" w:space="0" w:color="auto"/>
            </w:tcBorders>
            <w:shd w:val="clear" w:color="auto" w:fill="auto"/>
          </w:tcPr>
          <w:p w14:paraId="45AB656B" w14:textId="77777777" w:rsidR="00765141" w:rsidRPr="0098262F" w:rsidRDefault="00765141" w:rsidP="00AB1F72">
            <w:pPr>
              <w:pStyle w:val="TableText0"/>
              <w:widowControl w:val="0"/>
            </w:pPr>
          </w:p>
        </w:tc>
      </w:tr>
      <w:tr w:rsidR="00765141" w:rsidRPr="0098262F" w14:paraId="3EB73899"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54449696" w14:textId="77777777" w:rsidR="00765141" w:rsidRPr="0098262F" w:rsidRDefault="00765141" w:rsidP="00AB1F72">
            <w:pPr>
              <w:pStyle w:val="TableText0"/>
              <w:widowControl w:val="0"/>
            </w:pPr>
            <w:r w:rsidRPr="0098262F">
              <w:t xml:space="preserve">% Alive at </w:t>
            </w:r>
            <w:r>
              <w:t>12</w:t>
            </w:r>
            <w:r w:rsidRPr="0098262F">
              <w:t xml:space="preserve"> months (95% CI)</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6651C8E3" w14:textId="77777777" w:rsidR="00765141" w:rsidRPr="0098262F" w:rsidRDefault="00765141" w:rsidP="00AB1F72">
            <w:pPr>
              <w:pStyle w:val="TableText0"/>
              <w:widowControl w:val="0"/>
              <w:jc w:val="center"/>
              <w:rPr>
                <w:szCs w:val="20"/>
              </w:rPr>
            </w:pPr>
            <w:r w:rsidRPr="00CE45B8">
              <w:t>86 (79, 91)</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6A94A8D8" w14:textId="77777777" w:rsidR="00765141" w:rsidRPr="0098262F" w:rsidRDefault="00765141" w:rsidP="00AB1F72">
            <w:pPr>
              <w:pStyle w:val="TableText0"/>
              <w:widowControl w:val="0"/>
              <w:jc w:val="center"/>
              <w:rPr>
                <w:szCs w:val="20"/>
              </w:rPr>
            </w:pPr>
            <w:r w:rsidRPr="00CE45B8">
              <w:t>82 (74, 87)</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41E5463" w14:textId="77777777" w:rsidR="00765141" w:rsidRPr="0098262F" w:rsidRDefault="00765141" w:rsidP="00AB1F72">
            <w:pPr>
              <w:pStyle w:val="TableText0"/>
              <w:widowControl w:val="0"/>
              <w:jc w:val="center"/>
            </w:pPr>
            <w:r>
              <w:t>4</w:t>
            </w:r>
          </w:p>
        </w:tc>
        <w:tc>
          <w:tcPr>
            <w:tcW w:w="837" w:type="pct"/>
            <w:vMerge/>
            <w:tcBorders>
              <w:left w:val="single" w:sz="4" w:space="0" w:color="auto"/>
              <w:right w:val="single" w:sz="4" w:space="0" w:color="auto"/>
            </w:tcBorders>
            <w:shd w:val="clear" w:color="auto" w:fill="auto"/>
          </w:tcPr>
          <w:p w14:paraId="7A9845B5" w14:textId="77777777" w:rsidR="00765141" w:rsidRPr="0098262F" w:rsidRDefault="00765141" w:rsidP="00AB1F72">
            <w:pPr>
              <w:pStyle w:val="TableText0"/>
              <w:widowControl w:val="0"/>
              <w:jc w:val="center"/>
            </w:pPr>
          </w:p>
        </w:tc>
      </w:tr>
      <w:tr w:rsidR="00765141" w:rsidRPr="0098262F" w14:paraId="2171B2D6" w14:textId="77777777">
        <w:trPr>
          <w:trHeight w:val="20"/>
        </w:trPr>
        <w:tc>
          <w:tcPr>
            <w:tcW w:w="1366" w:type="pct"/>
            <w:tcBorders>
              <w:top w:val="single" w:sz="4" w:space="0" w:color="auto"/>
              <w:left w:val="single" w:sz="4" w:space="0" w:color="auto"/>
              <w:bottom w:val="single" w:sz="4" w:space="0" w:color="auto"/>
              <w:right w:val="single" w:sz="4" w:space="0" w:color="auto"/>
            </w:tcBorders>
            <w:shd w:val="clear" w:color="auto" w:fill="auto"/>
          </w:tcPr>
          <w:p w14:paraId="16032B90" w14:textId="77777777" w:rsidR="00765141" w:rsidRPr="0098262F" w:rsidRDefault="00765141" w:rsidP="00AB1F72">
            <w:pPr>
              <w:pStyle w:val="TableText0"/>
              <w:widowControl w:val="0"/>
            </w:pPr>
            <w:r w:rsidRPr="0098262F">
              <w:t xml:space="preserve">% Alive at </w:t>
            </w:r>
            <w:r>
              <w:t>18</w:t>
            </w:r>
            <w:r w:rsidRPr="0098262F">
              <w:t xml:space="preserve"> months (95% CI) </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12AAEEF5" w14:textId="77777777" w:rsidR="00765141" w:rsidRPr="0098262F" w:rsidRDefault="00765141" w:rsidP="00AB1F72">
            <w:pPr>
              <w:pStyle w:val="TableText0"/>
              <w:widowControl w:val="0"/>
              <w:jc w:val="center"/>
              <w:rPr>
                <w:szCs w:val="20"/>
              </w:rPr>
            </w:pPr>
            <w:r w:rsidRPr="00CE45B8">
              <w:t>74 (64, 82)</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429DF6F5" w14:textId="77777777" w:rsidR="00765141" w:rsidRPr="0098262F" w:rsidRDefault="00765141" w:rsidP="00AB1F72">
            <w:pPr>
              <w:pStyle w:val="TableText0"/>
              <w:widowControl w:val="0"/>
              <w:jc w:val="center"/>
              <w:rPr>
                <w:szCs w:val="20"/>
              </w:rPr>
            </w:pPr>
            <w:r w:rsidRPr="00CE45B8">
              <w:t>68 (58, 76)</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117F98F" w14:textId="77777777" w:rsidR="00765141" w:rsidRPr="0098262F" w:rsidRDefault="00765141" w:rsidP="00AB1F72">
            <w:pPr>
              <w:pStyle w:val="TableText0"/>
              <w:widowControl w:val="0"/>
              <w:jc w:val="center"/>
            </w:pPr>
            <w:r>
              <w:t>6</w:t>
            </w:r>
          </w:p>
        </w:tc>
        <w:tc>
          <w:tcPr>
            <w:tcW w:w="837" w:type="pct"/>
            <w:vMerge/>
            <w:tcBorders>
              <w:left w:val="single" w:sz="4" w:space="0" w:color="auto"/>
              <w:right w:val="single" w:sz="4" w:space="0" w:color="auto"/>
            </w:tcBorders>
            <w:shd w:val="clear" w:color="auto" w:fill="auto"/>
          </w:tcPr>
          <w:p w14:paraId="4FCDB3A5" w14:textId="77777777" w:rsidR="00765141" w:rsidRPr="0098262F" w:rsidRDefault="00765141" w:rsidP="00AB1F72">
            <w:pPr>
              <w:pStyle w:val="TableText0"/>
              <w:widowControl w:val="0"/>
              <w:jc w:val="center"/>
            </w:pPr>
          </w:p>
        </w:tc>
      </w:tr>
      <w:tr w:rsidR="00765141" w:rsidRPr="0098262F" w14:paraId="5C9A976E" w14:textId="77777777" w:rsidTr="00164DBC">
        <w:trPr>
          <w:trHeight w:val="20"/>
        </w:trPr>
        <w:tc>
          <w:tcPr>
            <w:tcW w:w="1366" w:type="pct"/>
            <w:tcBorders>
              <w:top w:val="single" w:sz="4" w:space="0" w:color="auto"/>
              <w:left w:val="single" w:sz="4" w:space="0" w:color="auto"/>
              <w:bottom w:val="nil"/>
              <w:right w:val="single" w:sz="4" w:space="0" w:color="auto"/>
            </w:tcBorders>
            <w:shd w:val="clear" w:color="auto" w:fill="auto"/>
          </w:tcPr>
          <w:p w14:paraId="21E672D1" w14:textId="77777777" w:rsidR="00765141" w:rsidRPr="0098262F" w:rsidRDefault="00765141" w:rsidP="00AB1F72">
            <w:pPr>
              <w:pStyle w:val="TableText0"/>
              <w:widowControl w:val="0"/>
            </w:pPr>
            <w:r w:rsidRPr="0098262F">
              <w:t xml:space="preserve">% Alive at </w:t>
            </w:r>
            <w:r>
              <w:t>24</w:t>
            </w:r>
            <w:r w:rsidRPr="0098262F">
              <w:t xml:space="preserve"> months (95% CI)</w:t>
            </w:r>
          </w:p>
        </w:tc>
        <w:tc>
          <w:tcPr>
            <w:tcW w:w="802" w:type="pct"/>
            <w:tcBorders>
              <w:top w:val="single" w:sz="4" w:space="0" w:color="auto"/>
              <w:left w:val="single" w:sz="4" w:space="0" w:color="auto"/>
              <w:bottom w:val="nil"/>
              <w:right w:val="single" w:sz="4" w:space="0" w:color="auto"/>
            </w:tcBorders>
            <w:shd w:val="clear" w:color="auto" w:fill="auto"/>
          </w:tcPr>
          <w:p w14:paraId="20CF82CF" w14:textId="77777777" w:rsidR="00765141" w:rsidRPr="0098262F" w:rsidRDefault="00765141" w:rsidP="00AB1F72">
            <w:pPr>
              <w:pStyle w:val="TableText0"/>
              <w:widowControl w:val="0"/>
              <w:jc w:val="center"/>
              <w:rPr>
                <w:szCs w:val="20"/>
              </w:rPr>
            </w:pPr>
            <w:r w:rsidRPr="00CE45B8">
              <w:t>72 (61, 81)</w:t>
            </w:r>
          </w:p>
        </w:tc>
        <w:tc>
          <w:tcPr>
            <w:tcW w:w="816" w:type="pct"/>
            <w:tcBorders>
              <w:top w:val="single" w:sz="4" w:space="0" w:color="auto"/>
              <w:left w:val="single" w:sz="4" w:space="0" w:color="auto"/>
              <w:bottom w:val="nil"/>
              <w:right w:val="single" w:sz="4" w:space="0" w:color="auto"/>
            </w:tcBorders>
            <w:shd w:val="clear" w:color="auto" w:fill="auto"/>
          </w:tcPr>
          <w:p w14:paraId="53DA1298" w14:textId="77777777" w:rsidR="00765141" w:rsidRPr="0098262F" w:rsidRDefault="00765141" w:rsidP="00AB1F72">
            <w:pPr>
              <w:pStyle w:val="TableText0"/>
              <w:widowControl w:val="0"/>
              <w:jc w:val="center"/>
              <w:rPr>
                <w:szCs w:val="20"/>
              </w:rPr>
            </w:pPr>
            <w:r w:rsidRPr="00CE45B8">
              <w:t>54 (37, 68)</w:t>
            </w:r>
          </w:p>
        </w:tc>
        <w:tc>
          <w:tcPr>
            <w:tcW w:w="1179" w:type="pct"/>
            <w:tcBorders>
              <w:top w:val="single" w:sz="4" w:space="0" w:color="auto"/>
              <w:left w:val="single" w:sz="4" w:space="0" w:color="auto"/>
              <w:bottom w:val="nil"/>
              <w:right w:val="single" w:sz="4" w:space="0" w:color="auto"/>
            </w:tcBorders>
            <w:shd w:val="clear" w:color="auto" w:fill="auto"/>
          </w:tcPr>
          <w:p w14:paraId="7008316D" w14:textId="77777777" w:rsidR="00765141" w:rsidRPr="0098262F" w:rsidRDefault="00765141" w:rsidP="00AB1F72">
            <w:pPr>
              <w:pStyle w:val="TableText0"/>
              <w:widowControl w:val="0"/>
              <w:jc w:val="center"/>
            </w:pPr>
            <w:r>
              <w:t>18</w:t>
            </w:r>
          </w:p>
        </w:tc>
        <w:tc>
          <w:tcPr>
            <w:tcW w:w="837" w:type="pct"/>
            <w:vMerge/>
            <w:tcBorders>
              <w:left w:val="single" w:sz="4" w:space="0" w:color="auto"/>
              <w:bottom w:val="nil"/>
              <w:right w:val="single" w:sz="4" w:space="0" w:color="auto"/>
            </w:tcBorders>
            <w:shd w:val="clear" w:color="auto" w:fill="auto"/>
          </w:tcPr>
          <w:p w14:paraId="055D0522" w14:textId="77777777" w:rsidR="00765141" w:rsidRPr="0098262F" w:rsidRDefault="00765141" w:rsidP="00AB1F72">
            <w:pPr>
              <w:pStyle w:val="TableText0"/>
              <w:widowControl w:val="0"/>
              <w:jc w:val="center"/>
            </w:pPr>
          </w:p>
        </w:tc>
      </w:tr>
    </w:tbl>
    <w:tbl>
      <w:tblPr>
        <w:tblW w:w="5000" w:type="pct"/>
        <w:tblLayout w:type="fixed"/>
        <w:tblCellMar>
          <w:left w:w="28" w:type="dxa"/>
          <w:right w:w="28" w:type="dxa"/>
        </w:tblCellMar>
        <w:tblLook w:val="04A0" w:firstRow="1" w:lastRow="0" w:firstColumn="1" w:lastColumn="0" w:noHBand="0" w:noVBand="1"/>
      </w:tblPr>
      <w:tblGrid>
        <w:gridCol w:w="1839"/>
        <w:gridCol w:w="1134"/>
        <w:gridCol w:w="992"/>
        <w:gridCol w:w="1417"/>
        <w:gridCol w:w="1277"/>
        <w:gridCol w:w="849"/>
        <w:gridCol w:w="1509"/>
      </w:tblGrid>
      <w:tr w:rsidR="00765141" w:rsidRPr="0098262F" w14:paraId="53606B33" w14:textId="77777777" w:rsidTr="00164DBC">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1B04C00" w14:textId="77777777" w:rsidR="00765141" w:rsidRPr="0098262F" w:rsidRDefault="00765141" w:rsidP="00AB1F72">
            <w:pPr>
              <w:pStyle w:val="In-tableHeading"/>
            </w:pPr>
            <w:r w:rsidRPr="0098262F">
              <w:t xml:space="preserve">Harms </w:t>
            </w:r>
          </w:p>
        </w:tc>
      </w:tr>
      <w:tr w:rsidR="00765141" w:rsidRPr="0098262F" w14:paraId="5A841F38" w14:textId="77777777" w:rsidTr="00164DBC">
        <w:trPr>
          <w:trHeight w:val="70"/>
        </w:trPr>
        <w:tc>
          <w:tcPr>
            <w:tcW w:w="10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FD5D25" w14:textId="77777777" w:rsidR="00765141" w:rsidRPr="0098262F" w:rsidRDefault="00765141" w:rsidP="00AB1F72">
            <w:pPr>
              <w:pStyle w:val="In-tableHeading"/>
            </w:pPr>
          </w:p>
        </w:tc>
        <w:tc>
          <w:tcPr>
            <w:tcW w:w="629" w:type="pct"/>
            <w:vMerge w:val="restart"/>
            <w:tcBorders>
              <w:top w:val="single" w:sz="4" w:space="0" w:color="auto"/>
              <w:left w:val="single" w:sz="4" w:space="0" w:color="auto"/>
              <w:bottom w:val="single" w:sz="4" w:space="0" w:color="auto"/>
              <w:right w:val="single" w:sz="4" w:space="0" w:color="auto"/>
            </w:tcBorders>
            <w:vAlign w:val="center"/>
          </w:tcPr>
          <w:p w14:paraId="76EB1135" w14:textId="77777777" w:rsidR="00765141" w:rsidRPr="0098262F" w:rsidRDefault="00765141" w:rsidP="00AB1F72">
            <w:pPr>
              <w:pStyle w:val="In-tableHeading"/>
            </w:pPr>
            <w:r>
              <w:t>ACP</w:t>
            </w:r>
          </w:p>
          <w:p w14:paraId="33000402" w14:textId="77777777" w:rsidR="00765141" w:rsidRPr="0098262F" w:rsidRDefault="00765141" w:rsidP="00AB1F72">
            <w:pPr>
              <w:pStyle w:val="In-tableHeading"/>
            </w:pPr>
            <w:r w:rsidRPr="0098262F">
              <w:t>n/N</w:t>
            </w:r>
          </w:p>
        </w:tc>
        <w:tc>
          <w:tcPr>
            <w:tcW w:w="550" w:type="pct"/>
            <w:vMerge w:val="restart"/>
            <w:tcBorders>
              <w:top w:val="single" w:sz="4" w:space="0" w:color="auto"/>
              <w:left w:val="single" w:sz="4" w:space="0" w:color="auto"/>
              <w:bottom w:val="single" w:sz="4" w:space="0" w:color="auto"/>
              <w:right w:val="single" w:sz="4" w:space="0" w:color="auto"/>
            </w:tcBorders>
            <w:vAlign w:val="center"/>
          </w:tcPr>
          <w:p w14:paraId="22A68DFB" w14:textId="77777777" w:rsidR="00765141" w:rsidRPr="0098262F" w:rsidRDefault="00765141" w:rsidP="00AB1F72">
            <w:pPr>
              <w:pStyle w:val="In-tableHeading"/>
            </w:pPr>
            <w:r>
              <w:t>CP</w:t>
            </w:r>
          </w:p>
          <w:p w14:paraId="6AA19412" w14:textId="77777777" w:rsidR="00765141" w:rsidRPr="0098262F" w:rsidRDefault="00765141" w:rsidP="00AB1F72">
            <w:pPr>
              <w:pStyle w:val="In-tableHeading"/>
            </w:pPr>
            <w:r w:rsidRPr="0098262F">
              <w:t>n/N</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14:paraId="53BA7817" w14:textId="77777777" w:rsidR="00765141" w:rsidRPr="0098262F" w:rsidRDefault="00765141" w:rsidP="00AB1F72">
            <w:pPr>
              <w:pStyle w:val="In-tableHeading"/>
            </w:pPr>
            <w:r w:rsidRPr="0098262F">
              <w:t>RR</w:t>
            </w:r>
          </w:p>
          <w:p w14:paraId="339DE65E" w14:textId="77777777" w:rsidR="00765141" w:rsidRPr="0098262F" w:rsidRDefault="00765141" w:rsidP="00AB1F72">
            <w:pPr>
              <w:pStyle w:val="In-tableHeading"/>
            </w:pPr>
            <w:r w:rsidRPr="0098262F">
              <w:t>(95% CI)</w:t>
            </w:r>
          </w:p>
        </w:tc>
        <w:tc>
          <w:tcPr>
            <w:tcW w:w="1179" w:type="pct"/>
            <w:gridSpan w:val="2"/>
            <w:tcBorders>
              <w:top w:val="single" w:sz="4" w:space="0" w:color="auto"/>
              <w:left w:val="single" w:sz="4" w:space="0" w:color="auto"/>
              <w:bottom w:val="single" w:sz="4" w:space="0" w:color="auto"/>
              <w:right w:val="single" w:sz="4" w:space="0" w:color="auto"/>
            </w:tcBorders>
            <w:vAlign w:val="center"/>
          </w:tcPr>
          <w:p w14:paraId="4B9B8016" w14:textId="77777777" w:rsidR="00765141" w:rsidRPr="0098262F" w:rsidRDefault="00765141" w:rsidP="00AB1F72">
            <w:pPr>
              <w:pStyle w:val="In-tableHeading"/>
            </w:pPr>
            <w:r w:rsidRPr="0098262F">
              <w:t>Event rate/100 patients*</w:t>
            </w:r>
          </w:p>
        </w:tc>
        <w:tc>
          <w:tcPr>
            <w:tcW w:w="837" w:type="pct"/>
            <w:vMerge w:val="restart"/>
            <w:tcBorders>
              <w:top w:val="single" w:sz="4" w:space="0" w:color="auto"/>
              <w:left w:val="single" w:sz="4" w:space="0" w:color="auto"/>
              <w:bottom w:val="single" w:sz="4" w:space="0" w:color="auto"/>
              <w:right w:val="single" w:sz="4" w:space="0" w:color="auto"/>
            </w:tcBorders>
            <w:vAlign w:val="center"/>
          </w:tcPr>
          <w:p w14:paraId="278DA0F6" w14:textId="77777777" w:rsidR="00765141" w:rsidRPr="0098262F" w:rsidRDefault="00765141" w:rsidP="00AB1F72">
            <w:pPr>
              <w:pStyle w:val="In-tableHeading"/>
            </w:pPr>
            <w:r w:rsidRPr="0098262F">
              <w:t>RD</w:t>
            </w:r>
          </w:p>
          <w:p w14:paraId="7F64D674" w14:textId="77777777" w:rsidR="00765141" w:rsidRPr="0098262F" w:rsidRDefault="00765141" w:rsidP="00AB1F72">
            <w:pPr>
              <w:pStyle w:val="In-tableHeading"/>
            </w:pPr>
            <w:r w:rsidRPr="0098262F">
              <w:t>(95% CI)</w:t>
            </w:r>
          </w:p>
        </w:tc>
      </w:tr>
      <w:tr w:rsidR="00765141" w:rsidRPr="0098262F" w14:paraId="4F93E4CD" w14:textId="77777777" w:rsidTr="00164DBC">
        <w:trPr>
          <w:trHeight w:val="390"/>
        </w:trPr>
        <w:tc>
          <w:tcPr>
            <w:tcW w:w="10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9AE8395" w14:textId="77777777" w:rsidR="00765141" w:rsidRPr="0098262F" w:rsidRDefault="00765141" w:rsidP="00AB1F72">
            <w:pPr>
              <w:pStyle w:val="In-tableHeading"/>
            </w:pPr>
          </w:p>
        </w:tc>
        <w:tc>
          <w:tcPr>
            <w:tcW w:w="629" w:type="pct"/>
            <w:vMerge/>
            <w:tcBorders>
              <w:top w:val="single" w:sz="4" w:space="0" w:color="auto"/>
              <w:left w:val="single" w:sz="4" w:space="0" w:color="auto"/>
              <w:bottom w:val="single" w:sz="4" w:space="0" w:color="auto"/>
              <w:right w:val="single" w:sz="4" w:space="0" w:color="auto"/>
            </w:tcBorders>
            <w:vAlign w:val="center"/>
          </w:tcPr>
          <w:p w14:paraId="56FAB59B" w14:textId="77777777" w:rsidR="00765141" w:rsidRPr="0098262F" w:rsidRDefault="00765141" w:rsidP="00AB1F72">
            <w:pPr>
              <w:pStyle w:val="In-tableHeading"/>
            </w:pPr>
          </w:p>
        </w:tc>
        <w:tc>
          <w:tcPr>
            <w:tcW w:w="550" w:type="pct"/>
            <w:vMerge/>
            <w:tcBorders>
              <w:top w:val="single" w:sz="4" w:space="0" w:color="auto"/>
              <w:left w:val="single" w:sz="4" w:space="0" w:color="auto"/>
              <w:bottom w:val="single" w:sz="4" w:space="0" w:color="auto"/>
              <w:right w:val="single" w:sz="4" w:space="0" w:color="auto"/>
            </w:tcBorders>
            <w:vAlign w:val="center"/>
          </w:tcPr>
          <w:p w14:paraId="6B15EA46" w14:textId="77777777" w:rsidR="00765141" w:rsidRPr="0098262F" w:rsidRDefault="00765141" w:rsidP="00AB1F72">
            <w:pPr>
              <w:pStyle w:val="In-tableHeading"/>
            </w:pPr>
          </w:p>
        </w:tc>
        <w:tc>
          <w:tcPr>
            <w:tcW w:w="786" w:type="pct"/>
            <w:vMerge/>
            <w:tcBorders>
              <w:top w:val="single" w:sz="4" w:space="0" w:color="auto"/>
              <w:left w:val="single" w:sz="4" w:space="0" w:color="auto"/>
              <w:bottom w:val="single" w:sz="4" w:space="0" w:color="auto"/>
              <w:right w:val="single" w:sz="4" w:space="0" w:color="auto"/>
            </w:tcBorders>
            <w:vAlign w:val="center"/>
          </w:tcPr>
          <w:p w14:paraId="42C98002" w14:textId="77777777" w:rsidR="00765141" w:rsidRPr="0098262F" w:rsidRDefault="00765141" w:rsidP="00AB1F72">
            <w:pPr>
              <w:pStyle w:val="In-tableHeading"/>
            </w:pPr>
          </w:p>
        </w:tc>
        <w:tc>
          <w:tcPr>
            <w:tcW w:w="708" w:type="pct"/>
            <w:tcBorders>
              <w:top w:val="single" w:sz="4" w:space="0" w:color="auto"/>
              <w:left w:val="single" w:sz="4" w:space="0" w:color="auto"/>
              <w:bottom w:val="single" w:sz="4" w:space="0" w:color="auto"/>
              <w:right w:val="single" w:sz="4" w:space="0" w:color="auto"/>
            </w:tcBorders>
            <w:vAlign w:val="center"/>
          </w:tcPr>
          <w:p w14:paraId="47409AE0" w14:textId="77777777" w:rsidR="00765141" w:rsidRPr="0098262F" w:rsidRDefault="00765141" w:rsidP="00AB1F72">
            <w:pPr>
              <w:pStyle w:val="In-tableHeading"/>
            </w:pPr>
            <w:r>
              <w:t>ACP</w:t>
            </w:r>
          </w:p>
        </w:tc>
        <w:tc>
          <w:tcPr>
            <w:tcW w:w="471" w:type="pct"/>
            <w:tcBorders>
              <w:top w:val="single" w:sz="4" w:space="0" w:color="auto"/>
              <w:left w:val="single" w:sz="4" w:space="0" w:color="auto"/>
              <w:bottom w:val="single" w:sz="4" w:space="0" w:color="auto"/>
              <w:right w:val="single" w:sz="4" w:space="0" w:color="auto"/>
            </w:tcBorders>
            <w:vAlign w:val="center"/>
          </w:tcPr>
          <w:p w14:paraId="14826E87" w14:textId="77777777" w:rsidR="00765141" w:rsidRPr="0098262F" w:rsidRDefault="00765141" w:rsidP="00AB1F72">
            <w:pPr>
              <w:pStyle w:val="In-tableHeading"/>
            </w:pPr>
            <w:r>
              <w:t>CP</w:t>
            </w:r>
          </w:p>
        </w:tc>
        <w:tc>
          <w:tcPr>
            <w:tcW w:w="837" w:type="pct"/>
            <w:vMerge/>
            <w:tcBorders>
              <w:top w:val="single" w:sz="4" w:space="0" w:color="auto"/>
              <w:left w:val="single" w:sz="4" w:space="0" w:color="auto"/>
              <w:bottom w:val="single" w:sz="4" w:space="0" w:color="auto"/>
              <w:right w:val="single" w:sz="4" w:space="0" w:color="auto"/>
            </w:tcBorders>
            <w:vAlign w:val="center"/>
          </w:tcPr>
          <w:p w14:paraId="6AD6DAC7" w14:textId="77777777" w:rsidR="00765141" w:rsidRPr="0098262F" w:rsidRDefault="00765141" w:rsidP="00AB1F72">
            <w:pPr>
              <w:pStyle w:val="In-tableHeading"/>
            </w:pPr>
          </w:p>
        </w:tc>
      </w:tr>
      <w:tr w:rsidR="00765141" w:rsidRPr="0098262F" w14:paraId="1E6091A1" w14:textId="77777777" w:rsidTr="00164DB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77BD6483" w14:textId="77777777" w:rsidR="00765141" w:rsidRPr="0098262F" w:rsidRDefault="00765141" w:rsidP="00AB1F72">
            <w:pPr>
              <w:pStyle w:val="TableText0"/>
            </w:pPr>
            <w:r>
              <w:t>Any drug-related TEAE</w:t>
            </w:r>
          </w:p>
        </w:tc>
        <w:tc>
          <w:tcPr>
            <w:tcW w:w="629" w:type="pct"/>
            <w:tcBorders>
              <w:top w:val="single" w:sz="4" w:space="0" w:color="auto"/>
              <w:left w:val="single" w:sz="4" w:space="0" w:color="auto"/>
              <w:bottom w:val="single" w:sz="4" w:space="0" w:color="auto"/>
              <w:right w:val="single" w:sz="4" w:space="0" w:color="auto"/>
            </w:tcBorders>
            <w:vAlign w:val="center"/>
          </w:tcPr>
          <w:p w14:paraId="37C5DFD7" w14:textId="77777777" w:rsidR="00765141" w:rsidRPr="0098262F" w:rsidRDefault="00765141" w:rsidP="00AB1F72">
            <w:pPr>
              <w:pStyle w:val="TableText0"/>
              <w:jc w:val="center"/>
            </w:pPr>
            <w:r w:rsidRPr="0045436A">
              <w:t>151</w:t>
            </w:r>
            <w:r>
              <w:t>/151</w:t>
            </w:r>
          </w:p>
        </w:tc>
        <w:tc>
          <w:tcPr>
            <w:tcW w:w="550" w:type="pct"/>
            <w:tcBorders>
              <w:top w:val="single" w:sz="4" w:space="0" w:color="auto"/>
              <w:left w:val="single" w:sz="4" w:space="0" w:color="auto"/>
              <w:bottom w:val="single" w:sz="4" w:space="0" w:color="auto"/>
              <w:right w:val="single" w:sz="4" w:space="0" w:color="auto"/>
            </w:tcBorders>
            <w:vAlign w:val="center"/>
          </w:tcPr>
          <w:p w14:paraId="3D290476" w14:textId="77777777" w:rsidR="00765141" w:rsidRPr="0098262F" w:rsidRDefault="00765141" w:rsidP="00AB1F72">
            <w:pPr>
              <w:pStyle w:val="TableText0"/>
              <w:jc w:val="center"/>
            </w:pPr>
            <w:r w:rsidRPr="0045436A">
              <w:t>146</w:t>
            </w:r>
            <w:r>
              <w:t>/155</w:t>
            </w:r>
          </w:p>
        </w:tc>
        <w:tc>
          <w:tcPr>
            <w:tcW w:w="786" w:type="pct"/>
            <w:tcBorders>
              <w:top w:val="single" w:sz="4" w:space="0" w:color="auto"/>
              <w:left w:val="single" w:sz="4" w:space="0" w:color="auto"/>
              <w:bottom w:val="single" w:sz="4" w:space="0" w:color="auto"/>
              <w:right w:val="single" w:sz="4" w:space="0" w:color="auto"/>
            </w:tcBorders>
            <w:vAlign w:val="center"/>
          </w:tcPr>
          <w:p w14:paraId="699CF609" w14:textId="77777777" w:rsidR="00765141" w:rsidRPr="00950F61" w:rsidRDefault="00765141" w:rsidP="00AB1F72">
            <w:pPr>
              <w:pStyle w:val="TableText0"/>
              <w:jc w:val="center"/>
              <w:rPr>
                <w:b/>
                <w:bCs w:val="0"/>
              </w:rPr>
            </w:pPr>
            <w:r w:rsidRPr="00950F61">
              <w:rPr>
                <w:b/>
                <w:bCs w:val="0"/>
              </w:rPr>
              <w:t>1.06 (1.02, 1.11)</w:t>
            </w:r>
          </w:p>
        </w:tc>
        <w:tc>
          <w:tcPr>
            <w:tcW w:w="708" w:type="pct"/>
            <w:tcBorders>
              <w:top w:val="single" w:sz="4" w:space="0" w:color="auto"/>
              <w:left w:val="single" w:sz="4" w:space="0" w:color="auto"/>
              <w:bottom w:val="single" w:sz="4" w:space="0" w:color="auto"/>
              <w:right w:val="single" w:sz="4" w:space="0" w:color="auto"/>
            </w:tcBorders>
            <w:vAlign w:val="center"/>
          </w:tcPr>
          <w:p w14:paraId="4597A8F0" w14:textId="77777777" w:rsidR="00765141" w:rsidRPr="0098262F" w:rsidRDefault="00765141" w:rsidP="00AB1F72">
            <w:pPr>
              <w:pStyle w:val="TableText0"/>
              <w:jc w:val="center"/>
            </w:pPr>
            <w:r>
              <w:t>100</w:t>
            </w:r>
          </w:p>
        </w:tc>
        <w:tc>
          <w:tcPr>
            <w:tcW w:w="471" w:type="pct"/>
            <w:tcBorders>
              <w:top w:val="single" w:sz="4" w:space="0" w:color="auto"/>
              <w:left w:val="single" w:sz="4" w:space="0" w:color="auto"/>
              <w:bottom w:val="single" w:sz="4" w:space="0" w:color="auto"/>
              <w:right w:val="single" w:sz="4" w:space="0" w:color="auto"/>
            </w:tcBorders>
            <w:vAlign w:val="center"/>
          </w:tcPr>
          <w:p w14:paraId="6638C7B7" w14:textId="77777777" w:rsidR="00765141" w:rsidRPr="0098262F" w:rsidRDefault="00765141" w:rsidP="00AB1F72">
            <w:pPr>
              <w:pStyle w:val="TableText0"/>
              <w:jc w:val="center"/>
            </w:pPr>
            <w:r>
              <w:t>94</w:t>
            </w:r>
          </w:p>
        </w:tc>
        <w:tc>
          <w:tcPr>
            <w:tcW w:w="837" w:type="pct"/>
            <w:tcBorders>
              <w:top w:val="single" w:sz="4" w:space="0" w:color="auto"/>
              <w:left w:val="single" w:sz="4" w:space="0" w:color="auto"/>
              <w:bottom w:val="single" w:sz="4" w:space="0" w:color="auto"/>
              <w:right w:val="single" w:sz="4" w:space="0" w:color="auto"/>
            </w:tcBorders>
            <w:vAlign w:val="center"/>
          </w:tcPr>
          <w:p w14:paraId="2B52B117" w14:textId="77777777" w:rsidR="00765141" w:rsidRPr="0098262F" w:rsidRDefault="00765141" w:rsidP="00AB1F72">
            <w:pPr>
              <w:pStyle w:val="TableText0"/>
              <w:jc w:val="center"/>
            </w:pPr>
            <w:r w:rsidRPr="008341CD">
              <w:rPr>
                <w:rFonts w:eastAsiaTheme="minorHAnsi" w:cstheme="minorBidi"/>
                <w:b/>
                <w:szCs w:val="22"/>
              </w:rPr>
              <w:t>0.06 (0.02, 0.09)</w:t>
            </w:r>
          </w:p>
        </w:tc>
      </w:tr>
      <w:tr w:rsidR="00765141" w:rsidRPr="0098262F" w14:paraId="3DC8A35D" w14:textId="77777777" w:rsidTr="00164DB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79BF91E5" w14:textId="77777777" w:rsidR="00765141" w:rsidRPr="0098262F" w:rsidRDefault="00765141" w:rsidP="00AB1F72">
            <w:pPr>
              <w:pStyle w:val="TableText0"/>
            </w:pPr>
            <w:r>
              <w:t xml:space="preserve">Drug-related </w:t>
            </w:r>
            <w:r w:rsidRPr="00FE6CB5">
              <w:t xml:space="preserve">AEs grade </w:t>
            </w:r>
            <w:r w:rsidRPr="00FE6CB5">
              <w:rPr>
                <w:rFonts w:ascii="Symbol" w:eastAsia="Symbol" w:hAnsi="Symbol" w:cs="Symbol"/>
              </w:rPr>
              <w:t></w:t>
            </w:r>
            <w:r w:rsidRPr="00FE6CB5">
              <w:t>3</w:t>
            </w:r>
          </w:p>
        </w:tc>
        <w:tc>
          <w:tcPr>
            <w:tcW w:w="629" w:type="pct"/>
            <w:tcBorders>
              <w:top w:val="single" w:sz="4" w:space="0" w:color="auto"/>
              <w:left w:val="single" w:sz="4" w:space="0" w:color="auto"/>
              <w:bottom w:val="single" w:sz="4" w:space="0" w:color="auto"/>
              <w:right w:val="single" w:sz="4" w:space="0" w:color="auto"/>
            </w:tcBorders>
            <w:vAlign w:val="center"/>
          </w:tcPr>
          <w:p w14:paraId="454CF82D" w14:textId="77777777" w:rsidR="00765141" w:rsidRPr="0098262F" w:rsidRDefault="00765141" w:rsidP="00AB1F72">
            <w:pPr>
              <w:pStyle w:val="TableText0"/>
              <w:jc w:val="center"/>
            </w:pPr>
            <w:r>
              <w:t>100/151</w:t>
            </w:r>
          </w:p>
        </w:tc>
        <w:tc>
          <w:tcPr>
            <w:tcW w:w="550" w:type="pct"/>
            <w:tcBorders>
              <w:top w:val="single" w:sz="4" w:space="0" w:color="auto"/>
              <w:left w:val="single" w:sz="4" w:space="0" w:color="auto"/>
              <w:bottom w:val="single" w:sz="4" w:space="0" w:color="auto"/>
              <w:right w:val="single" w:sz="4" w:space="0" w:color="auto"/>
            </w:tcBorders>
            <w:vAlign w:val="center"/>
          </w:tcPr>
          <w:p w14:paraId="34D9A519" w14:textId="77777777" w:rsidR="00765141" w:rsidRPr="0098262F" w:rsidRDefault="00765141" w:rsidP="00AB1F72">
            <w:pPr>
              <w:pStyle w:val="TableText0"/>
              <w:jc w:val="center"/>
            </w:pPr>
            <w:r>
              <w:t>57/155</w:t>
            </w:r>
          </w:p>
        </w:tc>
        <w:tc>
          <w:tcPr>
            <w:tcW w:w="786" w:type="pct"/>
            <w:tcBorders>
              <w:top w:val="single" w:sz="4" w:space="0" w:color="auto"/>
              <w:left w:val="single" w:sz="4" w:space="0" w:color="auto"/>
              <w:bottom w:val="single" w:sz="4" w:space="0" w:color="auto"/>
              <w:right w:val="single" w:sz="4" w:space="0" w:color="auto"/>
            </w:tcBorders>
            <w:vAlign w:val="center"/>
          </w:tcPr>
          <w:p w14:paraId="1C9F8641" w14:textId="77777777" w:rsidR="00765141" w:rsidRPr="0098262F" w:rsidRDefault="00765141" w:rsidP="00AB1F72">
            <w:pPr>
              <w:pStyle w:val="TableText0"/>
              <w:jc w:val="center"/>
            </w:pPr>
            <w:r w:rsidRPr="008341CD">
              <w:rPr>
                <w:rFonts w:eastAsiaTheme="minorHAnsi" w:cstheme="minorBidi"/>
                <w:b/>
                <w:szCs w:val="22"/>
              </w:rPr>
              <w:t>1.8 (1.42, 2.28)</w:t>
            </w:r>
          </w:p>
        </w:tc>
        <w:tc>
          <w:tcPr>
            <w:tcW w:w="708" w:type="pct"/>
            <w:tcBorders>
              <w:top w:val="single" w:sz="4" w:space="0" w:color="auto"/>
              <w:left w:val="single" w:sz="4" w:space="0" w:color="auto"/>
              <w:bottom w:val="single" w:sz="4" w:space="0" w:color="auto"/>
              <w:right w:val="single" w:sz="4" w:space="0" w:color="auto"/>
            </w:tcBorders>
            <w:vAlign w:val="center"/>
          </w:tcPr>
          <w:p w14:paraId="2EEE1ABF" w14:textId="77777777" w:rsidR="00765141" w:rsidRPr="0098262F" w:rsidRDefault="00765141" w:rsidP="00AB1F72">
            <w:pPr>
              <w:pStyle w:val="TableText0"/>
              <w:jc w:val="center"/>
            </w:pPr>
            <w:r>
              <w:t>66</w:t>
            </w:r>
          </w:p>
        </w:tc>
        <w:tc>
          <w:tcPr>
            <w:tcW w:w="471" w:type="pct"/>
            <w:tcBorders>
              <w:top w:val="single" w:sz="4" w:space="0" w:color="auto"/>
              <w:left w:val="single" w:sz="4" w:space="0" w:color="auto"/>
              <w:bottom w:val="single" w:sz="4" w:space="0" w:color="auto"/>
              <w:right w:val="single" w:sz="4" w:space="0" w:color="auto"/>
            </w:tcBorders>
            <w:vAlign w:val="center"/>
          </w:tcPr>
          <w:p w14:paraId="7F84CE86" w14:textId="77777777" w:rsidR="00765141" w:rsidRPr="0098262F" w:rsidRDefault="00765141" w:rsidP="00AB1F72">
            <w:pPr>
              <w:pStyle w:val="TableText0"/>
              <w:jc w:val="center"/>
            </w:pPr>
            <w:r>
              <w:t>37</w:t>
            </w:r>
          </w:p>
        </w:tc>
        <w:tc>
          <w:tcPr>
            <w:tcW w:w="837" w:type="pct"/>
            <w:tcBorders>
              <w:top w:val="single" w:sz="4" w:space="0" w:color="auto"/>
              <w:left w:val="single" w:sz="4" w:space="0" w:color="auto"/>
              <w:bottom w:val="single" w:sz="4" w:space="0" w:color="auto"/>
              <w:right w:val="single" w:sz="4" w:space="0" w:color="auto"/>
            </w:tcBorders>
            <w:vAlign w:val="center"/>
          </w:tcPr>
          <w:p w14:paraId="24F3F347" w14:textId="77777777" w:rsidR="00765141" w:rsidRPr="0098262F" w:rsidRDefault="00765141" w:rsidP="00AB1F72">
            <w:pPr>
              <w:pStyle w:val="TableText0"/>
              <w:jc w:val="center"/>
            </w:pPr>
            <w:r w:rsidRPr="008341CD">
              <w:rPr>
                <w:rFonts w:eastAsiaTheme="minorHAnsi" w:cstheme="minorBidi"/>
                <w:b/>
                <w:szCs w:val="22"/>
              </w:rPr>
              <w:t>0.29 (0.19, 0.4)</w:t>
            </w:r>
          </w:p>
        </w:tc>
      </w:tr>
      <w:tr w:rsidR="00765141" w:rsidRPr="0098262F" w14:paraId="44F763DA" w14:textId="77777777" w:rsidTr="00164DB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553005F1" w14:textId="77777777" w:rsidR="00765141" w:rsidRPr="0098262F" w:rsidRDefault="00765141" w:rsidP="00AB1F72">
            <w:pPr>
              <w:pStyle w:val="TableText0"/>
            </w:pPr>
            <w:r w:rsidRPr="00FE6CB5">
              <w:t xml:space="preserve">Grade </w:t>
            </w:r>
            <w:r w:rsidRPr="00FE6CB5">
              <w:rPr>
                <w:rFonts w:ascii="Symbol" w:eastAsia="Symbol" w:hAnsi="Symbol" w:cs="Symbol"/>
              </w:rPr>
              <w:t></w:t>
            </w:r>
            <w:r w:rsidRPr="00FE6CB5">
              <w:t xml:space="preserve">3 </w:t>
            </w:r>
            <w:r>
              <w:t>Neutropenia</w:t>
            </w:r>
          </w:p>
        </w:tc>
        <w:tc>
          <w:tcPr>
            <w:tcW w:w="629" w:type="pct"/>
            <w:tcBorders>
              <w:top w:val="single" w:sz="4" w:space="0" w:color="auto"/>
              <w:left w:val="single" w:sz="4" w:space="0" w:color="auto"/>
              <w:bottom w:val="single" w:sz="4" w:space="0" w:color="auto"/>
              <w:right w:val="single" w:sz="4" w:space="0" w:color="auto"/>
            </w:tcBorders>
            <w:vAlign w:val="center"/>
          </w:tcPr>
          <w:p w14:paraId="2E60E29E" w14:textId="77777777" w:rsidR="00765141" w:rsidRPr="0098262F" w:rsidRDefault="00765141" w:rsidP="00AB1F72">
            <w:pPr>
              <w:pStyle w:val="TableText0"/>
              <w:jc w:val="center"/>
            </w:pPr>
            <w:r w:rsidRPr="001C1A2C">
              <w:t>50</w:t>
            </w:r>
            <w:r>
              <w:t>/151</w:t>
            </w:r>
            <w:r w:rsidRPr="001C1A2C">
              <w:t xml:space="preserve"> </w:t>
            </w:r>
          </w:p>
        </w:tc>
        <w:tc>
          <w:tcPr>
            <w:tcW w:w="550" w:type="pct"/>
            <w:tcBorders>
              <w:top w:val="single" w:sz="4" w:space="0" w:color="auto"/>
              <w:left w:val="single" w:sz="4" w:space="0" w:color="auto"/>
              <w:bottom w:val="single" w:sz="4" w:space="0" w:color="auto"/>
              <w:right w:val="single" w:sz="4" w:space="0" w:color="auto"/>
            </w:tcBorders>
            <w:vAlign w:val="center"/>
          </w:tcPr>
          <w:p w14:paraId="55E288BC" w14:textId="77777777" w:rsidR="00765141" w:rsidRPr="0098262F" w:rsidRDefault="00765141" w:rsidP="00AB1F72">
            <w:pPr>
              <w:pStyle w:val="TableText0"/>
              <w:jc w:val="center"/>
            </w:pPr>
            <w:r w:rsidRPr="001C1A2C">
              <w:t>35</w:t>
            </w:r>
            <w:r>
              <w:t>/153</w:t>
            </w:r>
          </w:p>
        </w:tc>
        <w:tc>
          <w:tcPr>
            <w:tcW w:w="786" w:type="pct"/>
            <w:tcBorders>
              <w:top w:val="single" w:sz="4" w:space="0" w:color="auto"/>
              <w:left w:val="single" w:sz="4" w:space="0" w:color="auto"/>
              <w:bottom w:val="single" w:sz="4" w:space="0" w:color="auto"/>
              <w:right w:val="single" w:sz="4" w:space="0" w:color="auto"/>
            </w:tcBorders>
            <w:vAlign w:val="center"/>
          </w:tcPr>
          <w:p w14:paraId="6EA47D1E" w14:textId="77777777" w:rsidR="00765141" w:rsidRPr="0098262F" w:rsidRDefault="00765141" w:rsidP="00AB1F72">
            <w:pPr>
              <w:pStyle w:val="TableText0"/>
              <w:jc w:val="center"/>
            </w:pPr>
            <w:r w:rsidRPr="000C7169">
              <w:rPr>
                <w:b/>
                <w:bCs w:val="0"/>
              </w:rPr>
              <w:t>1.47 (1.01, 2.12)</w:t>
            </w:r>
          </w:p>
        </w:tc>
        <w:tc>
          <w:tcPr>
            <w:tcW w:w="708" w:type="pct"/>
            <w:tcBorders>
              <w:top w:val="single" w:sz="4" w:space="0" w:color="auto"/>
              <w:left w:val="single" w:sz="4" w:space="0" w:color="auto"/>
              <w:bottom w:val="single" w:sz="4" w:space="0" w:color="auto"/>
              <w:right w:val="single" w:sz="4" w:space="0" w:color="auto"/>
            </w:tcBorders>
            <w:vAlign w:val="center"/>
          </w:tcPr>
          <w:p w14:paraId="3760EC86" w14:textId="77777777" w:rsidR="00765141" w:rsidRPr="0098262F" w:rsidRDefault="00765141" w:rsidP="00AB1F72">
            <w:pPr>
              <w:pStyle w:val="TableText0"/>
              <w:jc w:val="center"/>
            </w:pPr>
            <w:r>
              <w:t>33</w:t>
            </w:r>
          </w:p>
        </w:tc>
        <w:tc>
          <w:tcPr>
            <w:tcW w:w="471" w:type="pct"/>
            <w:tcBorders>
              <w:top w:val="single" w:sz="4" w:space="0" w:color="auto"/>
              <w:left w:val="single" w:sz="4" w:space="0" w:color="auto"/>
              <w:bottom w:val="single" w:sz="4" w:space="0" w:color="auto"/>
              <w:right w:val="single" w:sz="4" w:space="0" w:color="auto"/>
            </w:tcBorders>
            <w:vAlign w:val="center"/>
          </w:tcPr>
          <w:p w14:paraId="1C5E97A4" w14:textId="77777777" w:rsidR="00765141" w:rsidRPr="0098262F" w:rsidRDefault="00765141" w:rsidP="00AB1F72">
            <w:pPr>
              <w:pStyle w:val="TableText0"/>
              <w:jc w:val="center"/>
            </w:pPr>
            <w:r>
              <w:t>23</w:t>
            </w:r>
          </w:p>
        </w:tc>
        <w:tc>
          <w:tcPr>
            <w:tcW w:w="837" w:type="pct"/>
            <w:tcBorders>
              <w:top w:val="single" w:sz="4" w:space="0" w:color="auto"/>
              <w:left w:val="single" w:sz="4" w:space="0" w:color="auto"/>
              <w:bottom w:val="single" w:sz="4" w:space="0" w:color="auto"/>
              <w:right w:val="single" w:sz="4" w:space="0" w:color="auto"/>
            </w:tcBorders>
            <w:vAlign w:val="center"/>
          </w:tcPr>
          <w:p w14:paraId="73EC2293" w14:textId="77777777" w:rsidR="00765141" w:rsidRPr="0098262F" w:rsidRDefault="00765141" w:rsidP="00AB1F72">
            <w:pPr>
              <w:pStyle w:val="TableText0"/>
              <w:jc w:val="center"/>
            </w:pPr>
            <w:r w:rsidRPr="000C7169">
              <w:rPr>
                <w:b/>
                <w:bCs w:val="0"/>
              </w:rPr>
              <w:t>0.11 (0.01, 0.21)</w:t>
            </w:r>
          </w:p>
        </w:tc>
      </w:tr>
      <w:tr w:rsidR="00765141" w:rsidRPr="0098262F" w14:paraId="68682A2B" w14:textId="77777777" w:rsidTr="00164DB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61BE852D" w14:textId="77777777" w:rsidR="00765141" w:rsidRPr="00FE6CB5" w:rsidRDefault="00765141" w:rsidP="00AB1F72">
            <w:pPr>
              <w:pStyle w:val="TableText0"/>
            </w:pPr>
            <w:r w:rsidRPr="00FE6CB5">
              <w:t xml:space="preserve">Grade </w:t>
            </w:r>
            <w:r w:rsidRPr="00FE6CB5">
              <w:rPr>
                <w:rFonts w:ascii="Symbol" w:eastAsia="Symbol" w:hAnsi="Symbol" w:cs="Symbol"/>
              </w:rPr>
              <w:t></w:t>
            </w:r>
            <w:r w:rsidRPr="00FE6CB5">
              <w:t xml:space="preserve">3 </w:t>
            </w:r>
            <w:r>
              <w:t>Rash</w:t>
            </w:r>
          </w:p>
        </w:tc>
        <w:tc>
          <w:tcPr>
            <w:tcW w:w="629" w:type="pct"/>
            <w:tcBorders>
              <w:top w:val="single" w:sz="4" w:space="0" w:color="auto"/>
              <w:left w:val="single" w:sz="4" w:space="0" w:color="auto"/>
              <w:bottom w:val="single" w:sz="4" w:space="0" w:color="auto"/>
              <w:right w:val="single" w:sz="4" w:space="0" w:color="auto"/>
            </w:tcBorders>
            <w:vAlign w:val="center"/>
          </w:tcPr>
          <w:p w14:paraId="6507E729" w14:textId="77777777" w:rsidR="00765141" w:rsidRPr="0098262F" w:rsidRDefault="00765141" w:rsidP="00AB1F72">
            <w:pPr>
              <w:pStyle w:val="TableText0"/>
              <w:jc w:val="center"/>
            </w:pPr>
            <w:r w:rsidRPr="001C1A2C">
              <w:t>17</w:t>
            </w:r>
            <w:r>
              <w:t>/151</w:t>
            </w:r>
          </w:p>
        </w:tc>
        <w:tc>
          <w:tcPr>
            <w:tcW w:w="550" w:type="pct"/>
            <w:tcBorders>
              <w:top w:val="single" w:sz="4" w:space="0" w:color="auto"/>
              <w:left w:val="single" w:sz="4" w:space="0" w:color="auto"/>
              <w:bottom w:val="single" w:sz="4" w:space="0" w:color="auto"/>
              <w:right w:val="single" w:sz="4" w:space="0" w:color="auto"/>
            </w:tcBorders>
            <w:vAlign w:val="center"/>
          </w:tcPr>
          <w:p w14:paraId="7B3C0B99" w14:textId="77777777" w:rsidR="00765141" w:rsidRPr="0098262F" w:rsidRDefault="00765141" w:rsidP="00AB1F72">
            <w:pPr>
              <w:pStyle w:val="TableText0"/>
              <w:jc w:val="center"/>
            </w:pPr>
            <w:r w:rsidRPr="001C1A2C">
              <w:t>0</w:t>
            </w:r>
            <w:r>
              <w:t>/155</w:t>
            </w:r>
          </w:p>
        </w:tc>
        <w:tc>
          <w:tcPr>
            <w:tcW w:w="786" w:type="pct"/>
            <w:tcBorders>
              <w:top w:val="single" w:sz="4" w:space="0" w:color="auto"/>
              <w:left w:val="single" w:sz="4" w:space="0" w:color="auto"/>
              <w:bottom w:val="single" w:sz="4" w:space="0" w:color="auto"/>
              <w:right w:val="single" w:sz="4" w:space="0" w:color="auto"/>
            </w:tcBorders>
            <w:vAlign w:val="center"/>
          </w:tcPr>
          <w:p w14:paraId="4995E883" w14:textId="77777777" w:rsidR="00765141" w:rsidRPr="0098262F" w:rsidRDefault="00765141" w:rsidP="00AB1F72">
            <w:pPr>
              <w:pStyle w:val="TableText0"/>
              <w:jc w:val="center"/>
            </w:pPr>
            <w:r w:rsidRPr="000C7169">
              <w:rPr>
                <w:b/>
                <w:bCs w:val="0"/>
              </w:rPr>
              <w:t>35.9 (2.1, 592.0)</w:t>
            </w:r>
          </w:p>
        </w:tc>
        <w:tc>
          <w:tcPr>
            <w:tcW w:w="708" w:type="pct"/>
            <w:tcBorders>
              <w:top w:val="single" w:sz="4" w:space="0" w:color="auto"/>
              <w:left w:val="single" w:sz="4" w:space="0" w:color="auto"/>
              <w:bottom w:val="single" w:sz="4" w:space="0" w:color="auto"/>
              <w:right w:val="single" w:sz="4" w:space="0" w:color="auto"/>
            </w:tcBorders>
            <w:vAlign w:val="center"/>
          </w:tcPr>
          <w:p w14:paraId="1705D437" w14:textId="77777777" w:rsidR="00765141" w:rsidRPr="0098262F" w:rsidRDefault="00765141" w:rsidP="00AB1F72">
            <w:pPr>
              <w:pStyle w:val="TableText0"/>
              <w:jc w:val="center"/>
            </w:pPr>
            <w:r>
              <w:t>11</w:t>
            </w:r>
          </w:p>
        </w:tc>
        <w:tc>
          <w:tcPr>
            <w:tcW w:w="471" w:type="pct"/>
            <w:tcBorders>
              <w:top w:val="single" w:sz="4" w:space="0" w:color="auto"/>
              <w:left w:val="single" w:sz="4" w:space="0" w:color="auto"/>
              <w:bottom w:val="single" w:sz="4" w:space="0" w:color="auto"/>
              <w:right w:val="single" w:sz="4" w:space="0" w:color="auto"/>
            </w:tcBorders>
            <w:vAlign w:val="center"/>
          </w:tcPr>
          <w:p w14:paraId="55AB07AA" w14:textId="77777777" w:rsidR="00765141" w:rsidRPr="0098262F" w:rsidRDefault="00765141" w:rsidP="00AB1F72">
            <w:pPr>
              <w:pStyle w:val="TableText0"/>
              <w:jc w:val="center"/>
            </w:pPr>
            <w:r>
              <w:t>0</w:t>
            </w:r>
          </w:p>
        </w:tc>
        <w:tc>
          <w:tcPr>
            <w:tcW w:w="837" w:type="pct"/>
            <w:tcBorders>
              <w:top w:val="single" w:sz="4" w:space="0" w:color="auto"/>
              <w:left w:val="single" w:sz="4" w:space="0" w:color="auto"/>
              <w:bottom w:val="single" w:sz="4" w:space="0" w:color="auto"/>
              <w:right w:val="single" w:sz="4" w:space="0" w:color="auto"/>
            </w:tcBorders>
            <w:vAlign w:val="center"/>
          </w:tcPr>
          <w:p w14:paraId="1D51DBC1" w14:textId="77777777" w:rsidR="00765141" w:rsidRPr="0098262F" w:rsidRDefault="00765141" w:rsidP="00AB1F72">
            <w:pPr>
              <w:pStyle w:val="TableText0"/>
              <w:jc w:val="center"/>
            </w:pPr>
            <w:r w:rsidRPr="000C7169">
              <w:rPr>
                <w:b/>
                <w:bCs w:val="0"/>
              </w:rPr>
              <w:t>0.11 (0.06, 0.16)</w:t>
            </w:r>
          </w:p>
        </w:tc>
      </w:tr>
      <w:tr w:rsidR="00765141" w:rsidRPr="0098262F" w14:paraId="745AA988" w14:textId="77777777" w:rsidTr="00164DB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7F269027" w14:textId="77777777" w:rsidR="00765141" w:rsidRPr="00FE6CB5" w:rsidRDefault="00765141" w:rsidP="00AB1F72">
            <w:pPr>
              <w:pStyle w:val="TableText0"/>
            </w:pPr>
            <w:r w:rsidRPr="00FE6CB5">
              <w:t xml:space="preserve">Grade </w:t>
            </w:r>
            <w:r w:rsidRPr="00FE6CB5">
              <w:rPr>
                <w:rFonts w:ascii="Symbol" w:eastAsia="Symbol" w:hAnsi="Symbol" w:cs="Symbol"/>
              </w:rPr>
              <w:t></w:t>
            </w:r>
            <w:r w:rsidRPr="00FE6CB5">
              <w:t>3</w:t>
            </w:r>
            <w:r>
              <w:t xml:space="preserve"> Leukopenia</w:t>
            </w:r>
          </w:p>
        </w:tc>
        <w:tc>
          <w:tcPr>
            <w:tcW w:w="629" w:type="pct"/>
            <w:tcBorders>
              <w:top w:val="single" w:sz="4" w:space="0" w:color="auto"/>
              <w:left w:val="single" w:sz="4" w:space="0" w:color="auto"/>
              <w:bottom w:val="single" w:sz="4" w:space="0" w:color="auto"/>
              <w:right w:val="single" w:sz="4" w:space="0" w:color="auto"/>
            </w:tcBorders>
            <w:vAlign w:val="center"/>
          </w:tcPr>
          <w:p w14:paraId="057534E3" w14:textId="77777777" w:rsidR="00765141" w:rsidRPr="0098262F" w:rsidRDefault="00765141" w:rsidP="00AB1F72">
            <w:pPr>
              <w:pStyle w:val="TableText0"/>
              <w:jc w:val="center"/>
            </w:pPr>
            <w:r w:rsidRPr="001C1A2C">
              <w:t>17</w:t>
            </w:r>
            <w:r>
              <w:t>/151</w:t>
            </w:r>
          </w:p>
        </w:tc>
        <w:tc>
          <w:tcPr>
            <w:tcW w:w="550" w:type="pct"/>
            <w:tcBorders>
              <w:top w:val="single" w:sz="4" w:space="0" w:color="auto"/>
              <w:left w:val="single" w:sz="4" w:space="0" w:color="auto"/>
              <w:bottom w:val="single" w:sz="4" w:space="0" w:color="auto"/>
              <w:right w:val="single" w:sz="4" w:space="0" w:color="auto"/>
            </w:tcBorders>
            <w:vAlign w:val="center"/>
          </w:tcPr>
          <w:p w14:paraId="7C7AA0BC" w14:textId="77777777" w:rsidR="00765141" w:rsidRPr="0098262F" w:rsidRDefault="00765141" w:rsidP="00AB1F72">
            <w:pPr>
              <w:pStyle w:val="TableText0"/>
              <w:jc w:val="center"/>
            </w:pPr>
            <w:r w:rsidRPr="001C1A2C">
              <w:t>5</w:t>
            </w:r>
            <w:r>
              <w:t>/155</w:t>
            </w:r>
          </w:p>
        </w:tc>
        <w:tc>
          <w:tcPr>
            <w:tcW w:w="786" w:type="pct"/>
            <w:tcBorders>
              <w:top w:val="single" w:sz="4" w:space="0" w:color="auto"/>
              <w:left w:val="single" w:sz="4" w:space="0" w:color="auto"/>
              <w:bottom w:val="single" w:sz="4" w:space="0" w:color="auto"/>
              <w:right w:val="single" w:sz="4" w:space="0" w:color="auto"/>
            </w:tcBorders>
            <w:vAlign w:val="center"/>
          </w:tcPr>
          <w:p w14:paraId="077535F3" w14:textId="77777777" w:rsidR="00765141" w:rsidRPr="0098262F" w:rsidRDefault="00765141" w:rsidP="00AB1F72">
            <w:pPr>
              <w:pStyle w:val="TableText0"/>
              <w:jc w:val="center"/>
            </w:pPr>
            <w:r w:rsidRPr="000C7169">
              <w:rPr>
                <w:b/>
                <w:bCs w:val="0"/>
              </w:rPr>
              <w:t>3.49 (1.32, 9.22)</w:t>
            </w:r>
          </w:p>
        </w:tc>
        <w:tc>
          <w:tcPr>
            <w:tcW w:w="708" w:type="pct"/>
            <w:tcBorders>
              <w:top w:val="single" w:sz="4" w:space="0" w:color="auto"/>
              <w:left w:val="single" w:sz="4" w:space="0" w:color="auto"/>
              <w:bottom w:val="single" w:sz="4" w:space="0" w:color="auto"/>
              <w:right w:val="single" w:sz="4" w:space="0" w:color="auto"/>
            </w:tcBorders>
            <w:vAlign w:val="center"/>
          </w:tcPr>
          <w:p w14:paraId="36A36340" w14:textId="77777777" w:rsidR="00765141" w:rsidRPr="0098262F" w:rsidRDefault="00765141" w:rsidP="00AB1F72">
            <w:pPr>
              <w:pStyle w:val="TableText0"/>
              <w:jc w:val="center"/>
            </w:pPr>
            <w:r>
              <w:t>11</w:t>
            </w:r>
          </w:p>
        </w:tc>
        <w:tc>
          <w:tcPr>
            <w:tcW w:w="471" w:type="pct"/>
            <w:tcBorders>
              <w:top w:val="single" w:sz="4" w:space="0" w:color="auto"/>
              <w:left w:val="single" w:sz="4" w:space="0" w:color="auto"/>
              <w:bottom w:val="single" w:sz="4" w:space="0" w:color="auto"/>
              <w:right w:val="single" w:sz="4" w:space="0" w:color="auto"/>
            </w:tcBorders>
            <w:vAlign w:val="center"/>
          </w:tcPr>
          <w:p w14:paraId="35235C07" w14:textId="77777777" w:rsidR="00765141" w:rsidRPr="0098262F" w:rsidRDefault="00765141" w:rsidP="00AB1F72">
            <w:pPr>
              <w:pStyle w:val="TableText0"/>
              <w:jc w:val="center"/>
            </w:pPr>
            <w:r>
              <w:t>3</w:t>
            </w:r>
          </w:p>
        </w:tc>
        <w:tc>
          <w:tcPr>
            <w:tcW w:w="837" w:type="pct"/>
            <w:tcBorders>
              <w:top w:val="single" w:sz="4" w:space="0" w:color="auto"/>
              <w:left w:val="single" w:sz="4" w:space="0" w:color="auto"/>
              <w:bottom w:val="single" w:sz="4" w:space="0" w:color="auto"/>
              <w:right w:val="single" w:sz="4" w:space="0" w:color="auto"/>
            </w:tcBorders>
            <w:vAlign w:val="center"/>
          </w:tcPr>
          <w:p w14:paraId="288E40DA" w14:textId="77777777" w:rsidR="00765141" w:rsidRPr="0098262F" w:rsidRDefault="00765141" w:rsidP="00AB1F72">
            <w:pPr>
              <w:pStyle w:val="TableText0"/>
              <w:jc w:val="center"/>
            </w:pPr>
            <w:r w:rsidRPr="000C7169">
              <w:rPr>
                <w:b/>
                <w:bCs w:val="0"/>
              </w:rPr>
              <w:t>0.08 (0.02, 0.14)</w:t>
            </w:r>
          </w:p>
        </w:tc>
      </w:tr>
      <w:tr w:rsidR="00765141" w:rsidRPr="0098262F" w14:paraId="5668976F" w14:textId="77777777" w:rsidTr="00164DB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5526CB67" w14:textId="77777777" w:rsidR="00765141" w:rsidRPr="0098262F" w:rsidRDefault="00765141" w:rsidP="00AB1F72">
            <w:pPr>
              <w:pStyle w:val="TableText0"/>
            </w:pPr>
            <w:r>
              <w:t>TE</w:t>
            </w:r>
            <w:r w:rsidRPr="00FE6CB5">
              <w:t>AEs leading to drug discontinuation</w:t>
            </w:r>
          </w:p>
        </w:tc>
        <w:tc>
          <w:tcPr>
            <w:tcW w:w="629" w:type="pct"/>
            <w:tcBorders>
              <w:top w:val="single" w:sz="4" w:space="0" w:color="auto"/>
              <w:left w:val="single" w:sz="4" w:space="0" w:color="auto"/>
              <w:bottom w:val="single" w:sz="4" w:space="0" w:color="auto"/>
              <w:right w:val="single" w:sz="4" w:space="0" w:color="auto"/>
            </w:tcBorders>
            <w:vAlign w:val="center"/>
          </w:tcPr>
          <w:p w14:paraId="4C561824" w14:textId="77777777" w:rsidR="00765141" w:rsidRPr="0098262F" w:rsidRDefault="00765141" w:rsidP="00AB1F72">
            <w:pPr>
              <w:pStyle w:val="TableText0"/>
              <w:jc w:val="center"/>
            </w:pPr>
            <w:r w:rsidRPr="00F003E7">
              <w:rPr>
                <w:rFonts w:eastAsiaTheme="minorHAnsi" w:cstheme="minorBidi"/>
                <w:szCs w:val="22"/>
              </w:rPr>
              <w:t>36</w:t>
            </w:r>
            <w:r>
              <w:rPr>
                <w:rFonts w:eastAsiaTheme="minorHAnsi" w:cstheme="minorBidi"/>
                <w:szCs w:val="22"/>
              </w:rPr>
              <w:t>/151</w:t>
            </w:r>
          </w:p>
        </w:tc>
        <w:tc>
          <w:tcPr>
            <w:tcW w:w="550" w:type="pct"/>
            <w:tcBorders>
              <w:top w:val="single" w:sz="4" w:space="0" w:color="auto"/>
              <w:left w:val="single" w:sz="4" w:space="0" w:color="auto"/>
              <w:bottom w:val="single" w:sz="4" w:space="0" w:color="auto"/>
              <w:right w:val="single" w:sz="4" w:space="0" w:color="auto"/>
            </w:tcBorders>
            <w:vAlign w:val="center"/>
          </w:tcPr>
          <w:p w14:paraId="1DE9023C" w14:textId="77777777" w:rsidR="00765141" w:rsidRPr="0098262F" w:rsidRDefault="00765141" w:rsidP="00AB1F72">
            <w:pPr>
              <w:pStyle w:val="TableText0"/>
              <w:jc w:val="center"/>
            </w:pPr>
            <w:r w:rsidRPr="00F003E7">
              <w:rPr>
                <w:rFonts w:eastAsiaTheme="minorHAnsi" w:cstheme="minorBidi"/>
                <w:szCs w:val="22"/>
              </w:rPr>
              <w:t>16</w:t>
            </w:r>
            <w:r>
              <w:t>/155</w:t>
            </w:r>
          </w:p>
        </w:tc>
        <w:tc>
          <w:tcPr>
            <w:tcW w:w="786" w:type="pct"/>
            <w:tcBorders>
              <w:top w:val="single" w:sz="4" w:space="0" w:color="auto"/>
              <w:left w:val="single" w:sz="4" w:space="0" w:color="auto"/>
              <w:bottom w:val="single" w:sz="4" w:space="0" w:color="auto"/>
              <w:right w:val="single" w:sz="4" w:space="0" w:color="auto"/>
            </w:tcBorders>
            <w:vAlign w:val="center"/>
          </w:tcPr>
          <w:p w14:paraId="0F077385" w14:textId="77777777" w:rsidR="00765141" w:rsidRPr="0098262F" w:rsidRDefault="00765141" w:rsidP="00AB1F72">
            <w:pPr>
              <w:pStyle w:val="TableText0"/>
              <w:jc w:val="center"/>
            </w:pPr>
            <w:r w:rsidRPr="005D0E7C">
              <w:rPr>
                <w:rFonts w:eastAsiaTheme="minorHAnsi" w:cstheme="minorBidi"/>
                <w:b/>
                <w:szCs w:val="22"/>
              </w:rPr>
              <w:t>2.31 (1.34, 3.98)</w:t>
            </w:r>
          </w:p>
        </w:tc>
        <w:tc>
          <w:tcPr>
            <w:tcW w:w="708" w:type="pct"/>
            <w:tcBorders>
              <w:top w:val="single" w:sz="4" w:space="0" w:color="auto"/>
              <w:left w:val="single" w:sz="4" w:space="0" w:color="auto"/>
              <w:bottom w:val="single" w:sz="4" w:space="0" w:color="auto"/>
              <w:right w:val="single" w:sz="4" w:space="0" w:color="auto"/>
            </w:tcBorders>
            <w:vAlign w:val="center"/>
          </w:tcPr>
          <w:p w14:paraId="2BE75FE1" w14:textId="77777777" w:rsidR="00765141" w:rsidRPr="0098262F" w:rsidRDefault="00765141" w:rsidP="00AB1F72">
            <w:pPr>
              <w:pStyle w:val="TableText0"/>
              <w:jc w:val="center"/>
            </w:pPr>
            <w:r>
              <w:t>24</w:t>
            </w:r>
          </w:p>
        </w:tc>
        <w:tc>
          <w:tcPr>
            <w:tcW w:w="471" w:type="pct"/>
            <w:tcBorders>
              <w:top w:val="single" w:sz="4" w:space="0" w:color="auto"/>
              <w:left w:val="single" w:sz="4" w:space="0" w:color="auto"/>
              <w:bottom w:val="single" w:sz="4" w:space="0" w:color="auto"/>
              <w:right w:val="single" w:sz="4" w:space="0" w:color="auto"/>
            </w:tcBorders>
            <w:vAlign w:val="center"/>
          </w:tcPr>
          <w:p w14:paraId="6655F4CE" w14:textId="77777777" w:rsidR="00765141" w:rsidRPr="0098262F" w:rsidRDefault="00765141" w:rsidP="00AB1F72">
            <w:pPr>
              <w:pStyle w:val="TableText0"/>
              <w:jc w:val="center"/>
            </w:pPr>
            <w:r>
              <w:t>10</w:t>
            </w:r>
          </w:p>
        </w:tc>
        <w:tc>
          <w:tcPr>
            <w:tcW w:w="837" w:type="pct"/>
            <w:tcBorders>
              <w:top w:val="single" w:sz="4" w:space="0" w:color="auto"/>
              <w:left w:val="single" w:sz="4" w:space="0" w:color="auto"/>
              <w:bottom w:val="single" w:sz="4" w:space="0" w:color="auto"/>
              <w:right w:val="single" w:sz="4" w:space="0" w:color="auto"/>
            </w:tcBorders>
            <w:vAlign w:val="center"/>
          </w:tcPr>
          <w:p w14:paraId="0A9D7A46" w14:textId="77777777" w:rsidR="00765141" w:rsidRPr="0098262F" w:rsidRDefault="00765141" w:rsidP="00AB1F72">
            <w:pPr>
              <w:pStyle w:val="TableText0"/>
              <w:jc w:val="center"/>
            </w:pPr>
            <w:r w:rsidRPr="0062405A">
              <w:rPr>
                <w:rFonts w:eastAsiaTheme="minorHAnsi" w:cstheme="minorBidi"/>
                <w:b/>
                <w:szCs w:val="22"/>
              </w:rPr>
              <w:t>0.14 (0.05, 0.22)</w:t>
            </w:r>
          </w:p>
        </w:tc>
      </w:tr>
      <w:tr w:rsidR="00765141" w:rsidRPr="0098262F" w14:paraId="259B1D24" w14:textId="77777777" w:rsidTr="00164DB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05866C86" w14:textId="77777777" w:rsidR="00765141" w:rsidRPr="0098262F" w:rsidRDefault="00765141" w:rsidP="00AB1F72">
            <w:pPr>
              <w:pStyle w:val="TableText0"/>
            </w:pPr>
            <w:r>
              <w:t>TE</w:t>
            </w:r>
            <w:r w:rsidRPr="00FE6CB5">
              <w:t xml:space="preserve">AEs leading to </w:t>
            </w:r>
            <w:r>
              <w:t>dose reduction</w:t>
            </w:r>
          </w:p>
        </w:tc>
        <w:tc>
          <w:tcPr>
            <w:tcW w:w="629" w:type="pct"/>
            <w:tcBorders>
              <w:top w:val="single" w:sz="4" w:space="0" w:color="auto"/>
              <w:left w:val="single" w:sz="4" w:space="0" w:color="auto"/>
              <w:bottom w:val="single" w:sz="4" w:space="0" w:color="auto"/>
              <w:right w:val="single" w:sz="4" w:space="0" w:color="auto"/>
            </w:tcBorders>
            <w:vAlign w:val="center"/>
          </w:tcPr>
          <w:p w14:paraId="10FDF313" w14:textId="77777777" w:rsidR="00765141" w:rsidRPr="0098262F" w:rsidRDefault="00765141" w:rsidP="00AB1F72">
            <w:pPr>
              <w:pStyle w:val="TableText0"/>
              <w:jc w:val="center"/>
            </w:pPr>
            <w:r w:rsidRPr="008B450F">
              <w:rPr>
                <w:rFonts w:eastAsiaTheme="minorHAnsi" w:cstheme="minorBidi"/>
                <w:szCs w:val="22"/>
              </w:rPr>
              <w:t>73</w:t>
            </w:r>
            <w:r>
              <w:rPr>
                <w:rFonts w:eastAsiaTheme="minorHAnsi" w:cstheme="minorBidi"/>
                <w:szCs w:val="22"/>
              </w:rPr>
              <w:t>/151</w:t>
            </w:r>
          </w:p>
        </w:tc>
        <w:tc>
          <w:tcPr>
            <w:tcW w:w="550" w:type="pct"/>
            <w:tcBorders>
              <w:top w:val="single" w:sz="4" w:space="0" w:color="auto"/>
              <w:left w:val="single" w:sz="4" w:space="0" w:color="auto"/>
              <w:bottom w:val="single" w:sz="4" w:space="0" w:color="auto"/>
              <w:right w:val="single" w:sz="4" w:space="0" w:color="auto"/>
            </w:tcBorders>
            <w:vAlign w:val="center"/>
          </w:tcPr>
          <w:p w14:paraId="7962E1B0" w14:textId="77777777" w:rsidR="00765141" w:rsidRPr="0098262F" w:rsidRDefault="00765141" w:rsidP="00AB1F72">
            <w:pPr>
              <w:pStyle w:val="TableText0"/>
              <w:jc w:val="center"/>
            </w:pPr>
            <w:r w:rsidRPr="008B450F">
              <w:rPr>
                <w:rFonts w:eastAsiaTheme="minorHAnsi" w:cstheme="minorBidi"/>
                <w:szCs w:val="22"/>
              </w:rPr>
              <w:t>35</w:t>
            </w:r>
            <w:r>
              <w:t>/155</w:t>
            </w:r>
          </w:p>
        </w:tc>
        <w:tc>
          <w:tcPr>
            <w:tcW w:w="786" w:type="pct"/>
            <w:tcBorders>
              <w:top w:val="single" w:sz="4" w:space="0" w:color="auto"/>
              <w:left w:val="single" w:sz="4" w:space="0" w:color="auto"/>
              <w:bottom w:val="single" w:sz="4" w:space="0" w:color="auto"/>
              <w:right w:val="single" w:sz="4" w:space="0" w:color="auto"/>
            </w:tcBorders>
            <w:vAlign w:val="center"/>
          </w:tcPr>
          <w:p w14:paraId="61790935" w14:textId="77777777" w:rsidR="00765141" w:rsidRPr="0098262F" w:rsidRDefault="00765141" w:rsidP="00AB1F72">
            <w:pPr>
              <w:pStyle w:val="TableText0"/>
              <w:jc w:val="center"/>
            </w:pPr>
            <w:r w:rsidRPr="00112AA8">
              <w:rPr>
                <w:rFonts w:eastAsiaTheme="minorHAnsi" w:cstheme="minorBidi"/>
                <w:b/>
                <w:szCs w:val="22"/>
              </w:rPr>
              <w:t>2.14 (1.53, 2.99)</w:t>
            </w:r>
          </w:p>
        </w:tc>
        <w:tc>
          <w:tcPr>
            <w:tcW w:w="708" w:type="pct"/>
            <w:tcBorders>
              <w:top w:val="single" w:sz="4" w:space="0" w:color="auto"/>
              <w:left w:val="single" w:sz="4" w:space="0" w:color="auto"/>
              <w:bottom w:val="single" w:sz="4" w:space="0" w:color="auto"/>
              <w:right w:val="single" w:sz="4" w:space="0" w:color="auto"/>
            </w:tcBorders>
            <w:vAlign w:val="center"/>
          </w:tcPr>
          <w:p w14:paraId="7B632239" w14:textId="77777777" w:rsidR="00765141" w:rsidRPr="0098262F" w:rsidRDefault="00765141" w:rsidP="00AB1F72">
            <w:pPr>
              <w:pStyle w:val="TableText0"/>
              <w:jc w:val="center"/>
            </w:pPr>
            <w:r>
              <w:t>48</w:t>
            </w:r>
          </w:p>
        </w:tc>
        <w:tc>
          <w:tcPr>
            <w:tcW w:w="471" w:type="pct"/>
            <w:tcBorders>
              <w:top w:val="single" w:sz="4" w:space="0" w:color="auto"/>
              <w:left w:val="single" w:sz="4" w:space="0" w:color="auto"/>
              <w:bottom w:val="single" w:sz="4" w:space="0" w:color="auto"/>
              <w:right w:val="single" w:sz="4" w:space="0" w:color="auto"/>
            </w:tcBorders>
            <w:vAlign w:val="center"/>
          </w:tcPr>
          <w:p w14:paraId="2524DB18" w14:textId="77777777" w:rsidR="00765141" w:rsidRPr="0098262F" w:rsidRDefault="00765141" w:rsidP="00AB1F72">
            <w:pPr>
              <w:pStyle w:val="TableText0"/>
              <w:jc w:val="center"/>
            </w:pPr>
            <w:r>
              <w:t>23</w:t>
            </w:r>
          </w:p>
        </w:tc>
        <w:tc>
          <w:tcPr>
            <w:tcW w:w="837" w:type="pct"/>
            <w:tcBorders>
              <w:top w:val="single" w:sz="4" w:space="0" w:color="auto"/>
              <w:left w:val="single" w:sz="4" w:space="0" w:color="auto"/>
              <w:bottom w:val="single" w:sz="4" w:space="0" w:color="auto"/>
              <w:right w:val="single" w:sz="4" w:space="0" w:color="auto"/>
            </w:tcBorders>
            <w:vAlign w:val="center"/>
          </w:tcPr>
          <w:p w14:paraId="11F60143" w14:textId="77777777" w:rsidR="00765141" w:rsidRPr="0098262F" w:rsidRDefault="00765141" w:rsidP="00AB1F72">
            <w:pPr>
              <w:pStyle w:val="TableText0"/>
              <w:jc w:val="center"/>
            </w:pPr>
            <w:r w:rsidRPr="00AB7973">
              <w:rPr>
                <w:rFonts w:eastAsiaTheme="minorHAnsi" w:cstheme="minorBidi"/>
                <w:b/>
                <w:szCs w:val="22"/>
              </w:rPr>
              <w:t>0.26 (0.15, 0.36)</w:t>
            </w:r>
          </w:p>
        </w:tc>
      </w:tr>
      <w:tr w:rsidR="00765141" w:rsidRPr="0098262F" w14:paraId="081FCD9A" w14:textId="77777777" w:rsidTr="00164DB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14:paraId="4AB9B197" w14:textId="77777777" w:rsidR="00765141" w:rsidRPr="0098262F" w:rsidRDefault="00765141" w:rsidP="00AB1F72">
            <w:pPr>
              <w:pStyle w:val="TableText0"/>
            </w:pPr>
            <w:r>
              <w:t>TEAEs leading to treatment interruption</w:t>
            </w:r>
          </w:p>
        </w:tc>
        <w:tc>
          <w:tcPr>
            <w:tcW w:w="629" w:type="pct"/>
            <w:tcBorders>
              <w:top w:val="single" w:sz="4" w:space="0" w:color="auto"/>
              <w:left w:val="single" w:sz="4" w:space="0" w:color="auto"/>
              <w:bottom w:val="single" w:sz="4" w:space="0" w:color="auto"/>
              <w:right w:val="single" w:sz="4" w:space="0" w:color="auto"/>
            </w:tcBorders>
            <w:vAlign w:val="center"/>
          </w:tcPr>
          <w:p w14:paraId="50DEBA95" w14:textId="77777777" w:rsidR="00765141" w:rsidRPr="0098262F" w:rsidRDefault="00765141" w:rsidP="00AB1F72">
            <w:pPr>
              <w:pStyle w:val="TableText0"/>
              <w:jc w:val="center"/>
            </w:pPr>
            <w:r w:rsidRPr="00540FAB">
              <w:rPr>
                <w:rFonts w:eastAsiaTheme="minorHAnsi" w:cstheme="minorBidi"/>
                <w:szCs w:val="22"/>
              </w:rPr>
              <w:t>104</w:t>
            </w:r>
            <w:r>
              <w:rPr>
                <w:rFonts w:eastAsiaTheme="minorHAnsi" w:cstheme="minorBidi"/>
                <w:szCs w:val="22"/>
              </w:rPr>
              <w:t>/151</w:t>
            </w:r>
          </w:p>
        </w:tc>
        <w:tc>
          <w:tcPr>
            <w:tcW w:w="550" w:type="pct"/>
            <w:tcBorders>
              <w:top w:val="single" w:sz="4" w:space="0" w:color="auto"/>
              <w:left w:val="single" w:sz="4" w:space="0" w:color="auto"/>
              <w:bottom w:val="single" w:sz="4" w:space="0" w:color="auto"/>
              <w:right w:val="single" w:sz="4" w:space="0" w:color="auto"/>
            </w:tcBorders>
            <w:vAlign w:val="center"/>
          </w:tcPr>
          <w:p w14:paraId="0BA8BFF9" w14:textId="77777777" w:rsidR="00765141" w:rsidRPr="0098262F" w:rsidRDefault="00765141" w:rsidP="00AB1F72">
            <w:pPr>
              <w:pStyle w:val="TableText0"/>
              <w:jc w:val="center"/>
            </w:pPr>
            <w:r w:rsidRPr="00540FAB">
              <w:rPr>
                <w:rFonts w:eastAsiaTheme="minorHAnsi" w:cstheme="minorBidi"/>
                <w:szCs w:val="22"/>
              </w:rPr>
              <w:t>56</w:t>
            </w:r>
            <w:r>
              <w:t>/155</w:t>
            </w:r>
          </w:p>
        </w:tc>
        <w:tc>
          <w:tcPr>
            <w:tcW w:w="786" w:type="pct"/>
            <w:tcBorders>
              <w:top w:val="single" w:sz="4" w:space="0" w:color="auto"/>
              <w:left w:val="single" w:sz="4" w:space="0" w:color="auto"/>
              <w:bottom w:val="single" w:sz="4" w:space="0" w:color="auto"/>
              <w:right w:val="single" w:sz="4" w:space="0" w:color="auto"/>
            </w:tcBorders>
            <w:vAlign w:val="center"/>
          </w:tcPr>
          <w:p w14:paraId="63D95EC4" w14:textId="77777777" w:rsidR="00765141" w:rsidRPr="0098262F" w:rsidRDefault="00765141" w:rsidP="00AB1F72">
            <w:pPr>
              <w:pStyle w:val="TableText0"/>
              <w:jc w:val="center"/>
            </w:pPr>
            <w:r w:rsidRPr="00112AA8">
              <w:rPr>
                <w:rFonts w:eastAsiaTheme="minorHAnsi" w:cstheme="minorBidi"/>
                <w:b/>
                <w:szCs w:val="22"/>
              </w:rPr>
              <w:t>1.91 (1.51, 2.41)</w:t>
            </w:r>
          </w:p>
        </w:tc>
        <w:tc>
          <w:tcPr>
            <w:tcW w:w="708" w:type="pct"/>
            <w:tcBorders>
              <w:top w:val="single" w:sz="4" w:space="0" w:color="auto"/>
              <w:left w:val="single" w:sz="4" w:space="0" w:color="auto"/>
              <w:bottom w:val="single" w:sz="4" w:space="0" w:color="auto"/>
              <w:right w:val="single" w:sz="4" w:space="0" w:color="auto"/>
            </w:tcBorders>
            <w:vAlign w:val="center"/>
          </w:tcPr>
          <w:p w14:paraId="25155E98" w14:textId="77777777" w:rsidR="00765141" w:rsidRPr="0098262F" w:rsidRDefault="00765141" w:rsidP="00AB1F72">
            <w:pPr>
              <w:pStyle w:val="TableText0"/>
              <w:jc w:val="center"/>
            </w:pPr>
            <w:r>
              <w:t>69</w:t>
            </w:r>
          </w:p>
        </w:tc>
        <w:tc>
          <w:tcPr>
            <w:tcW w:w="471" w:type="pct"/>
            <w:tcBorders>
              <w:top w:val="single" w:sz="4" w:space="0" w:color="auto"/>
              <w:left w:val="single" w:sz="4" w:space="0" w:color="auto"/>
              <w:bottom w:val="single" w:sz="4" w:space="0" w:color="auto"/>
              <w:right w:val="single" w:sz="4" w:space="0" w:color="auto"/>
            </w:tcBorders>
            <w:vAlign w:val="center"/>
          </w:tcPr>
          <w:p w14:paraId="3FDABB72" w14:textId="77777777" w:rsidR="00765141" w:rsidRPr="0098262F" w:rsidRDefault="00765141" w:rsidP="00AB1F72">
            <w:pPr>
              <w:pStyle w:val="TableText0"/>
              <w:jc w:val="center"/>
            </w:pPr>
            <w:r>
              <w:t>36</w:t>
            </w:r>
          </w:p>
        </w:tc>
        <w:tc>
          <w:tcPr>
            <w:tcW w:w="837" w:type="pct"/>
            <w:tcBorders>
              <w:top w:val="single" w:sz="4" w:space="0" w:color="auto"/>
              <w:left w:val="single" w:sz="4" w:space="0" w:color="auto"/>
              <w:bottom w:val="single" w:sz="4" w:space="0" w:color="auto"/>
              <w:right w:val="single" w:sz="4" w:space="0" w:color="auto"/>
            </w:tcBorders>
            <w:vAlign w:val="center"/>
          </w:tcPr>
          <w:p w14:paraId="4555D02B" w14:textId="77777777" w:rsidR="00765141" w:rsidRPr="0098262F" w:rsidRDefault="00765141" w:rsidP="00AB1F72">
            <w:pPr>
              <w:pStyle w:val="TableText0"/>
              <w:jc w:val="center"/>
            </w:pPr>
            <w:r w:rsidRPr="00735CC6">
              <w:rPr>
                <w:rFonts w:eastAsiaTheme="minorHAnsi" w:cstheme="minorBidi"/>
                <w:b/>
                <w:szCs w:val="22"/>
              </w:rPr>
              <w:t>0.33 (0.22, 0.43)</w:t>
            </w:r>
          </w:p>
        </w:tc>
      </w:tr>
    </w:tbl>
    <w:p w14:paraId="312C8585" w14:textId="77777777" w:rsidR="00765141" w:rsidRDefault="00765141" w:rsidP="00AB1F72">
      <w:pPr>
        <w:pStyle w:val="TableFooter"/>
        <w:keepNext/>
      </w:pPr>
      <w:r w:rsidRPr="0098262F">
        <w:t xml:space="preserve">Source: </w:t>
      </w:r>
      <w:r>
        <w:t>Tables 2.24, 2.26, 2.45, 2.46, 2.47, 2.48 p90, 94, 120, 122-124 of the submission</w:t>
      </w:r>
    </w:p>
    <w:p w14:paraId="140B0022" w14:textId="761E7AA8" w:rsidR="00765141" w:rsidRDefault="00765141" w:rsidP="00AB1F72">
      <w:pPr>
        <w:pStyle w:val="TableFooter"/>
        <w:keepNext/>
        <w:rPr>
          <w:vertAlign w:val="superscript"/>
        </w:rPr>
      </w:pPr>
      <w:r>
        <w:t xml:space="preserve">Abbreviations: ACP, amivantamab plus </w:t>
      </w:r>
      <w:r w:rsidRPr="006F356D">
        <w:t>carboplatin/ pemetrexed</w:t>
      </w:r>
      <w:r>
        <w:t xml:space="preserve">; </w:t>
      </w:r>
      <w:r w:rsidRPr="00FF359A">
        <w:t>AE</w:t>
      </w:r>
      <w:r w:rsidR="00A638F0">
        <w:t xml:space="preserve">, </w:t>
      </w:r>
      <w:r w:rsidRPr="00FF359A">
        <w:t xml:space="preserve">adverse events; </w:t>
      </w:r>
      <w:r w:rsidR="00EE3625">
        <w:t xml:space="preserve">BICR, blinded independent central review; </w:t>
      </w:r>
      <w:r>
        <w:t xml:space="preserve">CI, confidence interval; CP, </w:t>
      </w:r>
      <w:r w:rsidRPr="006F356D">
        <w:t>carboplatin/ pemetrexed</w:t>
      </w:r>
      <w:r>
        <w:t xml:space="preserve">; ECOG, Eastern Cooperative Oncology Group; </w:t>
      </w:r>
      <w:r w:rsidR="001A05D2">
        <w:t xml:space="preserve">HR, Hazard </w:t>
      </w:r>
      <w:r w:rsidR="00E2299F">
        <w:t>R</w:t>
      </w:r>
      <w:r w:rsidR="001A05D2">
        <w:t>atio;</w:t>
      </w:r>
      <w:r>
        <w:t xml:space="preserve"> NE, not estimable; PFS, progression free survival; PS, performance status; </w:t>
      </w:r>
      <w:r w:rsidR="00625CED">
        <w:t xml:space="preserve">RD, risk difference; </w:t>
      </w:r>
      <w:r w:rsidR="001A05D2">
        <w:t xml:space="preserve">RR, relative risk; </w:t>
      </w:r>
      <w:r>
        <w:rPr>
          <w:szCs w:val="20"/>
        </w:rPr>
        <w:t>TEAE = treatment-emergent adverse event</w:t>
      </w:r>
      <w:r w:rsidRPr="0BC7CCE3">
        <w:rPr>
          <w:vertAlign w:val="superscript"/>
        </w:rPr>
        <w:t xml:space="preserve"> </w:t>
      </w:r>
    </w:p>
    <w:p w14:paraId="0510D067" w14:textId="77777777" w:rsidR="00765141" w:rsidRPr="009A1BE9" w:rsidRDefault="00765141" w:rsidP="00AB1F72">
      <w:pPr>
        <w:pStyle w:val="TableFooter"/>
        <w:keepNext/>
      </w:pPr>
      <w:r w:rsidRPr="0BC7CCE3">
        <w:rPr>
          <w:vertAlign w:val="superscript"/>
        </w:rPr>
        <w:t>a</w:t>
      </w:r>
      <w:r>
        <w:t xml:space="preserve"> p-value is from a log-rank test stratified by ECOG PS (0 or 1) and history of brain metastases (yes or no).</w:t>
      </w:r>
    </w:p>
    <w:p w14:paraId="7117ADCC" w14:textId="77777777" w:rsidR="00765141" w:rsidRPr="009A1BE9" w:rsidRDefault="00765141" w:rsidP="00AB1F72">
      <w:pPr>
        <w:pStyle w:val="TableFooter"/>
        <w:keepNext/>
      </w:pPr>
      <w:r w:rsidRPr="0BC7CCE3">
        <w:rPr>
          <w:vertAlign w:val="superscript"/>
        </w:rPr>
        <w:t>b</w:t>
      </w:r>
      <w:r>
        <w:t xml:space="preserve"> Hazard ratio is from stratified proportional hazards model. Hazard ratio &lt;1 favours ACP.</w:t>
      </w:r>
    </w:p>
    <w:p w14:paraId="347355A9" w14:textId="77777777" w:rsidR="00765141" w:rsidRDefault="00765141" w:rsidP="00AB1F72">
      <w:pPr>
        <w:pStyle w:val="TableFooter"/>
        <w:keepNext/>
      </w:pPr>
      <w:r>
        <w:t>Note: + = censored observation, NE = not estimable</w:t>
      </w:r>
    </w:p>
    <w:p w14:paraId="47A9F342" w14:textId="77777777" w:rsidR="00765141" w:rsidRPr="00814607" w:rsidRDefault="00765141" w:rsidP="00CB5300">
      <w:pPr>
        <w:pStyle w:val="TableFooter"/>
        <w:spacing w:after="120"/>
      </w:pPr>
      <w:r w:rsidRPr="00162167">
        <w:rPr>
          <w:b/>
          <w:bCs/>
        </w:rPr>
        <w:t>Bold</w:t>
      </w:r>
      <w:r w:rsidRPr="00814607">
        <w:t xml:space="preserve"> text indicates significant results.</w:t>
      </w:r>
    </w:p>
    <w:p w14:paraId="5DE61406" w14:textId="34301B19" w:rsidR="00765141" w:rsidRPr="001F4919" w:rsidRDefault="003907B1" w:rsidP="00EF4C49">
      <w:pPr>
        <w:pStyle w:val="3-BodyText"/>
      </w:pPr>
      <w:r w:rsidRPr="001F4919">
        <w:lastRenderedPageBreak/>
        <w:t>B</w:t>
      </w:r>
      <w:r w:rsidR="00765141" w:rsidRPr="001F4919">
        <w:t>as</w:t>
      </w:r>
      <w:r w:rsidRPr="001F4919">
        <w:t xml:space="preserve">ed on </w:t>
      </w:r>
      <w:r w:rsidR="00765141" w:rsidRPr="001F4919" w:rsidDel="003907B1">
        <w:t xml:space="preserve">the </w:t>
      </w:r>
      <w:r w:rsidR="00765141" w:rsidRPr="001F4919">
        <w:t>direct</w:t>
      </w:r>
      <w:r w:rsidR="00765141" w:rsidRPr="001F4919" w:rsidDel="003907B1">
        <w:t xml:space="preserve"> </w:t>
      </w:r>
      <w:r w:rsidR="00765141" w:rsidRPr="001F4919">
        <w:t>evidence presented by the submission, for every 100 patients</w:t>
      </w:r>
      <w:r w:rsidR="00620736" w:rsidRPr="001F4919">
        <w:t xml:space="preserve"> with </w:t>
      </w:r>
      <w:r w:rsidR="008272D0" w:rsidRPr="008272D0">
        <w:rPr>
          <w:i/>
        </w:rPr>
        <w:t>EGFR</w:t>
      </w:r>
      <w:r w:rsidR="00620736" w:rsidRPr="001F4919">
        <w:t xml:space="preserve"> ex20ins mutation positive treatment naïve (first-line) NSCLC</w:t>
      </w:r>
      <w:r w:rsidR="00765141" w:rsidRPr="001F4919">
        <w:t xml:space="preserve"> treated with ACP </w:t>
      </w:r>
      <w:r w:rsidR="00A74C32" w:rsidRPr="001F4919">
        <w:t>instead of</w:t>
      </w:r>
      <w:r w:rsidR="00765141" w:rsidRPr="001F4919">
        <w:t xml:space="preserve"> CP:</w:t>
      </w:r>
    </w:p>
    <w:p w14:paraId="5E9B1D58" w14:textId="3128F8E7" w:rsidR="00765141" w:rsidRDefault="00765141" w:rsidP="00AF4A63">
      <w:pPr>
        <w:pStyle w:val="ListParagraph"/>
      </w:pPr>
      <w:r w:rsidRPr="0098262F">
        <w:t xml:space="preserve">Approximately </w:t>
      </w:r>
      <w:r w:rsidR="00B90193">
        <w:t>26</w:t>
      </w:r>
      <w:r w:rsidR="0010798E">
        <w:t xml:space="preserve"> additional patients </w:t>
      </w:r>
      <w:r w:rsidR="006F6D46">
        <w:t>would</w:t>
      </w:r>
      <w:r w:rsidR="0010798E">
        <w:t xml:space="preserve"> remain progression</w:t>
      </w:r>
      <w:r w:rsidR="00736C39">
        <w:t>-</w:t>
      </w:r>
      <w:r w:rsidR="0010798E">
        <w:t>free at six months</w:t>
      </w:r>
      <w:r w:rsidR="003A28E9">
        <w:t>.</w:t>
      </w:r>
    </w:p>
    <w:p w14:paraId="48619887" w14:textId="0634402C" w:rsidR="00A74C32" w:rsidRDefault="003907B1" w:rsidP="00EF4C49">
      <w:pPr>
        <w:pStyle w:val="3-BodyText"/>
      </w:pPr>
      <w:r>
        <w:t xml:space="preserve">Based on the direct evidence presented by the submission, for every 100 patients with </w:t>
      </w:r>
      <w:r w:rsidR="008272D0" w:rsidRPr="008272D0">
        <w:rPr>
          <w:i/>
        </w:rPr>
        <w:t>EGFR</w:t>
      </w:r>
      <w:r w:rsidRPr="00370EA1">
        <w:t xml:space="preserve"> ex20ins mutation positive treatment </w:t>
      </w:r>
      <w:r>
        <w:t>naïve (</w:t>
      </w:r>
      <w:r w:rsidRPr="00370EA1">
        <w:t>first-line)</w:t>
      </w:r>
      <w:r>
        <w:t xml:space="preserve"> NSCLC</w:t>
      </w:r>
      <w:r w:rsidR="001F4919">
        <w:t xml:space="preserve"> treated with ACP instead of CP for a median follow-up of 14.9 months:</w:t>
      </w:r>
    </w:p>
    <w:p w14:paraId="7E07839E" w14:textId="77777777" w:rsidR="00C52329" w:rsidRDefault="00C52329" w:rsidP="00AF4A63">
      <w:pPr>
        <w:pStyle w:val="ListParagraph"/>
      </w:pPr>
      <w:r>
        <w:t>Approximately 6 additional patients would have a TEAE.</w:t>
      </w:r>
    </w:p>
    <w:p w14:paraId="31391C4F" w14:textId="77777777" w:rsidR="00765141" w:rsidRDefault="00765141" w:rsidP="00AF4A63">
      <w:pPr>
        <w:pStyle w:val="ListParagraph"/>
      </w:pPr>
      <w:r>
        <w:t>Approximately 29 additional patients would have a</w:t>
      </w:r>
      <w:r w:rsidRPr="00814607">
        <w:t xml:space="preserve"> grade 3 or 4 toxicity</w:t>
      </w:r>
      <w:r>
        <w:t xml:space="preserve"> drug-related AE.</w:t>
      </w:r>
    </w:p>
    <w:p w14:paraId="76FFD45E" w14:textId="204CE2D3" w:rsidR="00765141" w:rsidRDefault="00765141" w:rsidP="00AF4A63">
      <w:pPr>
        <w:pStyle w:val="ListParagraph"/>
      </w:pPr>
      <w:r w:rsidRPr="00814607">
        <w:t xml:space="preserve">Approximately </w:t>
      </w:r>
      <w:r w:rsidR="00E03DBD">
        <w:t>11</w:t>
      </w:r>
      <w:r w:rsidRPr="00814607">
        <w:t xml:space="preserve"> additional patients would be diagnosed with </w:t>
      </w:r>
      <w:r>
        <w:t>neutropenia</w:t>
      </w:r>
      <w:r w:rsidRPr="00814607">
        <w:t xml:space="preserve"> grade 3 or 4</w:t>
      </w:r>
      <w:r>
        <w:t>.</w:t>
      </w:r>
    </w:p>
    <w:p w14:paraId="4F8319E7" w14:textId="77777777" w:rsidR="00765141" w:rsidRDefault="00765141" w:rsidP="00AF4A63">
      <w:pPr>
        <w:pStyle w:val="ListParagraph"/>
      </w:pPr>
      <w:r w:rsidRPr="00814607">
        <w:t xml:space="preserve">Approximately </w:t>
      </w:r>
      <w:r>
        <w:t>11</w:t>
      </w:r>
      <w:r w:rsidRPr="00814607">
        <w:t xml:space="preserve"> additional patients would be diagnosed with </w:t>
      </w:r>
      <w:r>
        <w:t xml:space="preserve">a rash </w:t>
      </w:r>
      <w:r w:rsidRPr="00814607">
        <w:t>grade 3 or 4</w:t>
      </w:r>
      <w:r>
        <w:t>.</w:t>
      </w:r>
    </w:p>
    <w:p w14:paraId="73858137" w14:textId="77777777" w:rsidR="00765141" w:rsidRDefault="00765141" w:rsidP="00AF4A63">
      <w:pPr>
        <w:pStyle w:val="ListParagraph"/>
      </w:pPr>
      <w:r w:rsidRPr="00814607">
        <w:t xml:space="preserve">Approximately </w:t>
      </w:r>
      <w:r>
        <w:t>8</w:t>
      </w:r>
      <w:r w:rsidRPr="00814607">
        <w:t xml:space="preserve"> additional patients would be diagnosed with leukopenia (a decrease in the white blood cell count) grade 3 or 4</w:t>
      </w:r>
      <w:r>
        <w:t>.</w:t>
      </w:r>
    </w:p>
    <w:p w14:paraId="63BB1410" w14:textId="77777777" w:rsidR="00765141" w:rsidRPr="00206122" w:rsidRDefault="00765141" w:rsidP="00AF4A63">
      <w:pPr>
        <w:pStyle w:val="ListParagraph"/>
      </w:pPr>
      <w:r w:rsidRPr="00206122">
        <w:t xml:space="preserve">Approximately </w:t>
      </w:r>
      <w:r>
        <w:t>14 additional</w:t>
      </w:r>
      <w:r w:rsidRPr="00206122">
        <w:t xml:space="preserve"> patients would discontinue all study treatment due t</w:t>
      </w:r>
      <w:r>
        <w:t>o TEAE</w:t>
      </w:r>
      <w:r w:rsidRPr="00206122">
        <w:t>.</w:t>
      </w:r>
    </w:p>
    <w:p w14:paraId="1AFD9809" w14:textId="77777777" w:rsidR="00765141" w:rsidRPr="0098262F" w:rsidRDefault="00765141" w:rsidP="00765141">
      <w:pPr>
        <w:pStyle w:val="4-SubsectionHeading"/>
      </w:pPr>
      <w:bookmarkStart w:id="79" w:name="_Toc22897644"/>
      <w:bookmarkStart w:id="80" w:name="_Toc174628139"/>
      <w:bookmarkStart w:id="81" w:name="_Toc177532584"/>
      <w:bookmarkStart w:id="82" w:name="_Toc177548282"/>
      <w:r w:rsidRPr="0098262F">
        <w:t>Clinical claim</w:t>
      </w:r>
      <w:bookmarkEnd w:id="79"/>
      <w:bookmarkEnd w:id="80"/>
      <w:bookmarkEnd w:id="81"/>
      <w:bookmarkEnd w:id="82"/>
    </w:p>
    <w:p w14:paraId="1E12B068" w14:textId="02942801" w:rsidR="00355D8C" w:rsidRDefault="00765141" w:rsidP="00EF4C49">
      <w:pPr>
        <w:pStyle w:val="3-BodyText"/>
      </w:pPr>
      <w:r w:rsidRPr="0098262F">
        <w:t xml:space="preserve">The submission </w:t>
      </w:r>
      <w:r w:rsidR="00D01F0B">
        <w:t>claimed that in p</w:t>
      </w:r>
      <w:r w:rsidR="00D01F0B" w:rsidRPr="00D01F0B">
        <w:t>atients with treatment</w:t>
      </w:r>
      <w:r w:rsidR="00D01F0B">
        <w:t>-</w:t>
      </w:r>
      <w:r w:rsidR="00D01F0B" w:rsidRPr="00D01F0B">
        <w:t xml:space="preserve">naive, locally advanced or metastatic NSCLC with evidence of </w:t>
      </w:r>
      <w:r w:rsidR="008272D0" w:rsidRPr="008272D0">
        <w:rPr>
          <w:i/>
        </w:rPr>
        <w:t>EGFR</w:t>
      </w:r>
      <w:r w:rsidR="00D01F0B" w:rsidRPr="00D01F0B">
        <w:t xml:space="preserve"> ex20ins mutation</w:t>
      </w:r>
      <w:r w:rsidR="00D01F0B">
        <w:t>,</w:t>
      </w:r>
      <w:r w:rsidRPr="0098262F">
        <w:t xml:space="preserve"> </w:t>
      </w:r>
      <w:r>
        <w:t xml:space="preserve">ACP </w:t>
      </w:r>
      <w:r w:rsidR="00D01F0B">
        <w:t>w</w:t>
      </w:r>
      <w:r w:rsidRPr="0098262F">
        <w:t xml:space="preserve">as superior in effectiveness </w:t>
      </w:r>
      <w:r w:rsidR="002C1C41">
        <w:t xml:space="preserve">and </w:t>
      </w:r>
      <w:r w:rsidR="002C1C41" w:rsidRPr="002C1C41">
        <w:t xml:space="preserve">inferior but manageable in safety </w:t>
      </w:r>
      <w:r w:rsidRPr="0098262F">
        <w:t xml:space="preserve">compared to </w:t>
      </w:r>
      <w:r>
        <w:t>CP</w:t>
      </w:r>
      <w:r w:rsidRPr="0098262F">
        <w:t xml:space="preserve">. </w:t>
      </w:r>
    </w:p>
    <w:p w14:paraId="473B2078" w14:textId="6653C0C7" w:rsidR="00643282" w:rsidRPr="00643282" w:rsidRDefault="00765141" w:rsidP="00EF4C49">
      <w:pPr>
        <w:pStyle w:val="3-BodyText"/>
      </w:pPr>
      <w:bookmarkStart w:id="83" w:name="_Ref177038887"/>
      <w:r w:rsidRPr="008272D0">
        <w:t>Th</w:t>
      </w:r>
      <w:r w:rsidR="00E85F69" w:rsidRPr="008272D0">
        <w:t>e</w:t>
      </w:r>
      <w:r w:rsidR="00B26407">
        <w:t xml:space="preserve"> </w:t>
      </w:r>
      <w:r w:rsidR="001440A6">
        <w:t>PBAC agreed with</w:t>
      </w:r>
      <w:r w:rsidR="006D2DA9">
        <w:t xml:space="preserve"> the</w:t>
      </w:r>
      <w:r w:rsidR="001440A6">
        <w:t xml:space="preserve"> </w:t>
      </w:r>
      <w:r w:rsidR="00B26407" w:rsidRPr="00620E0B">
        <w:t xml:space="preserve">ESC </w:t>
      </w:r>
      <w:r w:rsidR="001440A6">
        <w:t>that</w:t>
      </w:r>
      <w:r w:rsidR="001440A6" w:rsidRPr="00620E0B">
        <w:t xml:space="preserve"> </w:t>
      </w:r>
      <w:r w:rsidR="00B26407" w:rsidRPr="00620E0B">
        <w:t>the</w:t>
      </w:r>
      <w:r w:rsidRPr="00620E0B" w:rsidDel="00E85F69">
        <w:t xml:space="preserve"> </w:t>
      </w:r>
      <w:r w:rsidRPr="00620E0B">
        <w:t>claim</w:t>
      </w:r>
      <w:r w:rsidRPr="008272D0">
        <w:t xml:space="preserve"> </w:t>
      </w:r>
      <w:r w:rsidR="00E85F69" w:rsidRPr="008272D0">
        <w:t xml:space="preserve">of </w:t>
      </w:r>
      <w:r w:rsidR="00BB6CE4">
        <w:t>superior effectiveness</w:t>
      </w:r>
      <w:r w:rsidR="00E85F69" w:rsidRPr="008272D0">
        <w:t xml:space="preserve"> </w:t>
      </w:r>
      <w:r w:rsidR="00D565C7" w:rsidRPr="008272D0">
        <w:t xml:space="preserve">in patients with metastatic </w:t>
      </w:r>
      <w:r w:rsidR="007766D7" w:rsidRPr="008272D0">
        <w:t>(Stage IV)</w:t>
      </w:r>
      <w:r w:rsidR="00D565C7" w:rsidRPr="008272D0">
        <w:t xml:space="preserve"> NSCLC </w:t>
      </w:r>
      <w:r w:rsidRPr="008272D0">
        <w:t>was adequately supported based on the primary outcome, PFS</w:t>
      </w:r>
      <w:r w:rsidR="00537F35" w:rsidRPr="008272D0">
        <w:t xml:space="preserve">, in the </w:t>
      </w:r>
      <w:r w:rsidR="00136599" w:rsidRPr="008272D0">
        <w:t>PAPILLON trial</w:t>
      </w:r>
      <w:r w:rsidR="00A66ECE">
        <w:t>.</w:t>
      </w:r>
    </w:p>
    <w:p w14:paraId="0DBE4C2B" w14:textId="4DD4E770" w:rsidR="00765141" w:rsidRPr="005376CF" w:rsidRDefault="007C3451" w:rsidP="00EF4C49">
      <w:pPr>
        <w:pStyle w:val="3-BodyText"/>
      </w:pPr>
      <w:r>
        <w:t>The PBA</w:t>
      </w:r>
      <w:r w:rsidR="001957A5">
        <w:t xml:space="preserve">C </w:t>
      </w:r>
      <w:r w:rsidR="0046509D">
        <w:t xml:space="preserve">considered </w:t>
      </w:r>
      <w:r w:rsidR="003C2993">
        <w:t xml:space="preserve">that the clinical evidence </w:t>
      </w:r>
      <w:r w:rsidR="00942573">
        <w:t>supported</w:t>
      </w:r>
      <w:r w:rsidR="00A13A26">
        <w:t xml:space="preserve"> an</w:t>
      </w:r>
      <w:r w:rsidR="004A2A40">
        <w:t xml:space="preserve"> </w:t>
      </w:r>
      <w:r w:rsidR="001A151B">
        <w:t xml:space="preserve">OS </w:t>
      </w:r>
      <w:r w:rsidR="004E7A39">
        <w:t>advantage</w:t>
      </w:r>
      <w:r w:rsidR="00240552">
        <w:t xml:space="preserve"> for ACP vs CP</w:t>
      </w:r>
      <w:r w:rsidR="00A84FDF">
        <w:t xml:space="preserve">, </w:t>
      </w:r>
      <w:r w:rsidR="007149AC">
        <w:t xml:space="preserve">though the </w:t>
      </w:r>
      <w:r w:rsidR="005935F8">
        <w:t>magnitude of this ben</w:t>
      </w:r>
      <w:r w:rsidR="00443248">
        <w:t>efit remain</w:t>
      </w:r>
      <w:r w:rsidR="00253A14">
        <w:t>ed</w:t>
      </w:r>
      <w:r w:rsidR="00443248">
        <w:t xml:space="preserve"> uncertain</w:t>
      </w:r>
      <w:r w:rsidR="003E6AAF">
        <w:t xml:space="preserve"> due to </w:t>
      </w:r>
      <w:r w:rsidR="005B5943">
        <w:t>immature data</w:t>
      </w:r>
      <w:r w:rsidR="0071061A">
        <w:t xml:space="preserve">, </w:t>
      </w:r>
      <w:r w:rsidR="00CA5937">
        <w:t>bias caused from cross-over</w:t>
      </w:r>
      <w:r w:rsidR="0097508B">
        <w:t xml:space="preserve"> and</w:t>
      </w:r>
      <w:r w:rsidR="00CA5937">
        <w:t xml:space="preserve"> </w:t>
      </w:r>
      <w:r w:rsidR="00B93B83">
        <w:t>high</w:t>
      </w:r>
      <w:r w:rsidR="00317A6C">
        <w:t xml:space="preserve"> levels of censored data</w:t>
      </w:r>
      <w:r w:rsidR="0097508B">
        <w:t>.</w:t>
      </w:r>
      <w:r w:rsidR="003E07A8">
        <w:t xml:space="preserve"> </w:t>
      </w:r>
      <w:bookmarkEnd w:id="83"/>
    </w:p>
    <w:p w14:paraId="69B72B50" w14:textId="147482EC" w:rsidR="005A156E" w:rsidRPr="00F62C1D" w:rsidRDefault="00765141" w:rsidP="00EF4C49">
      <w:pPr>
        <w:pStyle w:val="3-BodyText"/>
      </w:pPr>
      <w:r w:rsidRPr="00E03691">
        <w:t xml:space="preserve">The submission described ACP as inferior but manageable in terms of safety compared to CP. </w:t>
      </w:r>
      <w:r w:rsidRPr="008272D0">
        <w:t>Th</w:t>
      </w:r>
      <w:r w:rsidR="008102FF" w:rsidRPr="008272D0">
        <w:t xml:space="preserve">e </w:t>
      </w:r>
      <w:r w:rsidR="002E0528">
        <w:t xml:space="preserve">PBAC agreed with </w:t>
      </w:r>
      <w:r w:rsidR="00B26407" w:rsidRPr="00620E0B">
        <w:t xml:space="preserve">ESC </w:t>
      </w:r>
      <w:r w:rsidR="00EC6FF0">
        <w:t xml:space="preserve">that </w:t>
      </w:r>
      <w:r w:rsidR="00B26407" w:rsidRPr="00620E0B">
        <w:t>the</w:t>
      </w:r>
      <w:r w:rsidR="00B26407">
        <w:t xml:space="preserve"> </w:t>
      </w:r>
      <w:r w:rsidRPr="008272D0">
        <w:t xml:space="preserve">claim </w:t>
      </w:r>
      <w:r w:rsidR="008102FF" w:rsidRPr="008272D0">
        <w:t>o</w:t>
      </w:r>
      <w:r w:rsidR="00A56B27" w:rsidRPr="008272D0">
        <w:t>f</w:t>
      </w:r>
      <w:r w:rsidR="008102FF" w:rsidRPr="008272D0">
        <w:t xml:space="preserve"> inferior safety </w:t>
      </w:r>
      <w:r w:rsidRPr="008272D0">
        <w:t xml:space="preserve">was adequately supported. </w:t>
      </w:r>
      <w:r w:rsidR="00E72B9B">
        <w:t xml:space="preserve">However, the PBAC </w:t>
      </w:r>
      <w:r w:rsidR="00BA35C2">
        <w:t xml:space="preserve">considered the </w:t>
      </w:r>
      <w:r w:rsidR="00BC1D56">
        <w:t>term ‘manageable safety’</w:t>
      </w:r>
      <w:r w:rsidR="00E90C93">
        <w:t xml:space="preserve"> </w:t>
      </w:r>
      <w:r w:rsidR="00747399">
        <w:t xml:space="preserve">to be </w:t>
      </w:r>
      <w:r w:rsidR="0007792E">
        <w:t>misleading</w:t>
      </w:r>
      <w:r w:rsidR="00E93A6A">
        <w:t xml:space="preserve"> </w:t>
      </w:r>
      <w:r w:rsidR="002A1DD6">
        <w:t xml:space="preserve">and </w:t>
      </w:r>
      <w:r w:rsidR="00124520">
        <w:t>min</w:t>
      </w:r>
      <w:r w:rsidR="005A156E">
        <w:t>imi</w:t>
      </w:r>
      <w:r w:rsidR="00124520">
        <w:t>se</w:t>
      </w:r>
      <w:r w:rsidR="00747399">
        <w:t>d</w:t>
      </w:r>
      <w:r w:rsidR="00124520">
        <w:t xml:space="preserve"> the severity of</w:t>
      </w:r>
      <w:r w:rsidR="00B237FC">
        <w:t xml:space="preserve"> </w:t>
      </w:r>
      <w:r w:rsidR="00124520">
        <w:t>drug-related toxicity</w:t>
      </w:r>
      <w:r w:rsidR="00AD7811">
        <w:t>, as it</w:t>
      </w:r>
      <w:r w:rsidR="005C46F3">
        <w:t xml:space="preserve"> </w:t>
      </w:r>
      <w:r w:rsidR="006D5A33">
        <w:t>does</w:t>
      </w:r>
      <w:r w:rsidR="000F46AD">
        <w:t xml:space="preserve"> not </w:t>
      </w:r>
      <w:r w:rsidR="006A435F">
        <w:t>appropriately capture</w:t>
      </w:r>
      <w:r w:rsidR="000F46AD">
        <w:t xml:space="preserve"> the full extent of the patient experience. </w:t>
      </w:r>
    </w:p>
    <w:p w14:paraId="55E69129" w14:textId="77777777" w:rsidR="00765141" w:rsidRPr="0098262F" w:rsidRDefault="00765141" w:rsidP="00765141">
      <w:pPr>
        <w:pStyle w:val="4-SubsectionHeading"/>
      </w:pPr>
      <w:bookmarkStart w:id="84" w:name="_Toc22897645"/>
      <w:bookmarkStart w:id="85" w:name="_Toc174628140"/>
      <w:bookmarkStart w:id="86" w:name="_Toc177532585"/>
      <w:bookmarkStart w:id="87" w:name="_Toc177548283"/>
      <w:r w:rsidRPr="0098262F">
        <w:lastRenderedPageBreak/>
        <w:t>Economic analysis</w:t>
      </w:r>
      <w:bookmarkEnd w:id="84"/>
      <w:bookmarkEnd w:id="85"/>
      <w:bookmarkEnd w:id="86"/>
      <w:bookmarkEnd w:id="87"/>
      <w:r w:rsidRPr="0098262F">
        <w:t xml:space="preserve"> </w:t>
      </w:r>
    </w:p>
    <w:p w14:paraId="095BBD92" w14:textId="11263BB7" w:rsidR="00765141" w:rsidRPr="00005491" w:rsidRDefault="00765141" w:rsidP="00EF4C49">
      <w:pPr>
        <w:pStyle w:val="3-BodyText"/>
        <w:rPr>
          <w:color w:val="0066FF"/>
        </w:rPr>
      </w:pPr>
      <w:r w:rsidRPr="00522F87">
        <w:t xml:space="preserve">The submission presented a stepped economic </w:t>
      </w:r>
      <w:r>
        <w:t xml:space="preserve">cost-effectiveness and cost-utility </w:t>
      </w:r>
      <w:r w:rsidRPr="00522F87">
        <w:t xml:space="preserve">analysis based on the direct randomised </w:t>
      </w:r>
      <w:r>
        <w:t xml:space="preserve">trial, </w:t>
      </w:r>
      <w:r w:rsidRPr="00522F87">
        <w:t>PAPILLON</w:t>
      </w:r>
      <w:r>
        <w:t>.</w:t>
      </w:r>
      <w:r w:rsidRPr="00522F87">
        <w:t xml:space="preserve"> A summary of the key components of the economic evaluation is presented in</w:t>
      </w:r>
      <w:r>
        <w:t xml:space="preserve"> </w:t>
      </w:r>
      <w:r>
        <w:fldChar w:fldCharType="begin"/>
      </w:r>
      <w:r>
        <w:instrText xml:space="preserve"> REF _Ref174796301 \h </w:instrText>
      </w:r>
      <w:r>
        <w:fldChar w:fldCharType="separate"/>
      </w:r>
      <w:r w:rsidR="00372107" w:rsidRPr="0098262F">
        <w:t xml:space="preserve">Table </w:t>
      </w:r>
      <w:r w:rsidR="00372107">
        <w:rPr>
          <w:noProof/>
        </w:rPr>
        <w:t>9</w:t>
      </w:r>
      <w:r>
        <w:fldChar w:fldCharType="end"/>
      </w:r>
      <w:r w:rsidRPr="00522F87">
        <w:t>.</w:t>
      </w:r>
      <w:r w:rsidRPr="00005491">
        <w:rPr>
          <w:color w:val="0066FF"/>
        </w:rPr>
        <w:t xml:space="preserve"> </w:t>
      </w:r>
    </w:p>
    <w:p w14:paraId="1F843E31" w14:textId="5CEE0670" w:rsidR="00765141" w:rsidRPr="0098262F" w:rsidRDefault="00765141" w:rsidP="00765141">
      <w:pPr>
        <w:pStyle w:val="Caption"/>
        <w:keepNext w:val="0"/>
        <w:keepLines w:val="0"/>
        <w:widowControl w:val="0"/>
        <w:jc w:val="left"/>
        <w:rPr>
          <w:rStyle w:val="CommentReference"/>
          <w:b/>
          <w:szCs w:val="24"/>
        </w:rPr>
      </w:pPr>
      <w:bookmarkStart w:id="88" w:name="_Ref174796301"/>
      <w:r w:rsidRPr="0098262F">
        <w:t xml:space="preserve">Table </w:t>
      </w:r>
      <w:r w:rsidR="002C794C">
        <w:fldChar w:fldCharType="begin"/>
      </w:r>
      <w:r w:rsidR="002C794C">
        <w:instrText xml:space="preserve"> SEQ Table \* ARABIC </w:instrText>
      </w:r>
      <w:r w:rsidR="002C794C">
        <w:fldChar w:fldCharType="separate"/>
      </w:r>
      <w:r w:rsidR="00372107">
        <w:rPr>
          <w:noProof/>
        </w:rPr>
        <w:t>9</w:t>
      </w:r>
      <w:r w:rsidR="002C794C">
        <w:rPr>
          <w:noProof/>
        </w:rPr>
        <w:fldChar w:fldCharType="end"/>
      </w:r>
      <w:bookmarkEnd w:id="88"/>
      <w:r w:rsidRPr="0098262F">
        <w:t>:</w:t>
      </w:r>
      <w:r w:rsidRPr="0098262F">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46"/>
        <w:gridCol w:w="6471"/>
      </w:tblGrid>
      <w:tr w:rsidR="00765141" w:rsidRPr="0098262F" w14:paraId="454C6101" w14:textId="77777777" w:rsidTr="001B2F2E">
        <w:trPr>
          <w:tblHeader/>
        </w:trPr>
        <w:tc>
          <w:tcPr>
            <w:tcW w:w="1412" w:type="pct"/>
            <w:shd w:val="clear" w:color="auto" w:fill="auto"/>
            <w:vAlign w:val="center"/>
          </w:tcPr>
          <w:p w14:paraId="2F52A176" w14:textId="77777777" w:rsidR="00765141" w:rsidRPr="0098262F" w:rsidRDefault="00765141" w:rsidP="00265DDC">
            <w:pPr>
              <w:pStyle w:val="In-tableHeading"/>
            </w:pPr>
            <w:r w:rsidRPr="2D6D4E34">
              <w:t>Component</w:t>
            </w:r>
          </w:p>
        </w:tc>
        <w:tc>
          <w:tcPr>
            <w:tcW w:w="3588" w:type="pct"/>
            <w:shd w:val="clear" w:color="auto" w:fill="auto"/>
            <w:vAlign w:val="center"/>
          </w:tcPr>
          <w:p w14:paraId="10090689" w14:textId="77777777" w:rsidR="00765141" w:rsidRPr="0098262F" w:rsidRDefault="00765141" w:rsidP="00265DDC">
            <w:pPr>
              <w:pStyle w:val="In-tableHeading"/>
            </w:pPr>
            <w:r w:rsidRPr="0098262F">
              <w:t>Summary</w:t>
            </w:r>
          </w:p>
        </w:tc>
      </w:tr>
      <w:tr w:rsidR="00765141" w:rsidRPr="0098262F" w14:paraId="2B070B87" w14:textId="77777777" w:rsidTr="001B2F2E">
        <w:tc>
          <w:tcPr>
            <w:tcW w:w="1412" w:type="pct"/>
            <w:shd w:val="clear" w:color="auto" w:fill="auto"/>
            <w:vAlign w:val="center"/>
          </w:tcPr>
          <w:p w14:paraId="1E3235C9" w14:textId="77777777" w:rsidR="00765141" w:rsidRPr="0098262F" w:rsidRDefault="00765141">
            <w:pPr>
              <w:pStyle w:val="TableText0"/>
              <w:keepNext w:val="0"/>
              <w:keepLines w:val="0"/>
              <w:widowControl w:val="0"/>
            </w:pPr>
            <w:r w:rsidRPr="0098262F">
              <w:t>Treatments</w:t>
            </w:r>
          </w:p>
        </w:tc>
        <w:tc>
          <w:tcPr>
            <w:tcW w:w="3588" w:type="pct"/>
            <w:shd w:val="clear" w:color="auto" w:fill="auto"/>
            <w:vAlign w:val="center"/>
          </w:tcPr>
          <w:p w14:paraId="0746325F" w14:textId="01552D24" w:rsidR="00765141" w:rsidRPr="0098262F" w:rsidRDefault="00765141">
            <w:pPr>
              <w:pStyle w:val="TableText0"/>
              <w:keepNext w:val="0"/>
              <w:keepLines w:val="0"/>
              <w:widowControl w:val="0"/>
            </w:pPr>
            <w:r>
              <w:t>ACP vs CP</w:t>
            </w:r>
          </w:p>
        </w:tc>
      </w:tr>
      <w:tr w:rsidR="00765141" w:rsidRPr="0098262F" w14:paraId="049CEE69" w14:textId="77777777" w:rsidTr="001B2F2E">
        <w:tc>
          <w:tcPr>
            <w:tcW w:w="1412" w:type="pct"/>
            <w:shd w:val="clear" w:color="auto" w:fill="auto"/>
            <w:vAlign w:val="center"/>
          </w:tcPr>
          <w:p w14:paraId="4852098B" w14:textId="77777777" w:rsidR="00765141" w:rsidRPr="0098262F" w:rsidRDefault="00765141">
            <w:pPr>
              <w:pStyle w:val="TableText0"/>
              <w:keepNext w:val="0"/>
              <w:keepLines w:val="0"/>
              <w:widowControl w:val="0"/>
            </w:pPr>
            <w:r>
              <w:t>Type of analysis</w:t>
            </w:r>
          </w:p>
        </w:tc>
        <w:tc>
          <w:tcPr>
            <w:tcW w:w="3588" w:type="pct"/>
            <w:shd w:val="clear" w:color="auto" w:fill="auto"/>
            <w:vAlign w:val="center"/>
          </w:tcPr>
          <w:p w14:paraId="0E44E8A0" w14:textId="77777777" w:rsidR="00765141" w:rsidRDefault="00765141">
            <w:pPr>
              <w:pStyle w:val="TableText0"/>
              <w:keepNext w:val="0"/>
              <w:keepLines w:val="0"/>
              <w:widowControl w:val="0"/>
            </w:pPr>
            <w:r>
              <w:t>Cost-effectiveness analysis and cost-utility analysis</w:t>
            </w:r>
          </w:p>
        </w:tc>
      </w:tr>
      <w:tr w:rsidR="00765141" w:rsidRPr="0098262F" w14:paraId="766E4424" w14:textId="77777777" w:rsidTr="001B2F2E">
        <w:tc>
          <w:tcPr>
            <w:tcW w:w="1412" w:type="pct"/>
            <w:shd w:val="clear" w:color="auto" w:fill="auto"/>
            <w:vAlign w:val="center"/>
          </w:tcPr>
          <w:p w14:paraId="1372F309" w14:textId="77777777" w:rsidR="00765141" w:rsidRPr="0098262F" w:rsidRDefault="00765141">
            <w:pPr>
              <w:pStyle w:val="TableText0"/>
              <w:keepNext w:val="0"/>
              <w:keepLines w:val="0"/>
              <w:widowControl w:val="0"/>
            </w:pPr>
            <w:r w:rsidRPr="0098262F">
              <w:t>Time horizon</w:t>
            </w:r>
          </w:p>
        </w:tc>
        <w:tc>
          <w:tcPr>
            <w:tcW w:w="3588" w:type="pct"/>
            <w:shd w:val="clear" w:color="auto" w:fill="auto"/>
            <w:vAlign w:val="center"/>
          </w:tcPr>
          <w:p w14:paraId="3BE25F49" w14:textId="77777777" w:rsidR="00765141" w:rsidRPr="0098262F" w:rsidRDefault="00765141">
            <w:pPr>
              <w:pStyle w:val="TableText0"/>
              <w:keepNext w:val="0"/>
              <w:keepLines w:val="0"/>
              <w:widowControl w:val="0"/>
            </w:pPr>
            <w:r>
              <w:t>7.5 years in the economic model vs 14.9 months (median follow up) in the PAPILLON trial</w:t>
            </w:r>
          </w:p>
        </w:tc>
      </w:tr>
      <w:tr w:rsidR="00765141" w:rsidRPr="0098262F" w14:paraId="6A034A2E" w14:textId="77777777" w:rsidTr="001B2F2E">
        <w:tc>
          <w:tcPr>
            <w:tcW w:w="1412" w:type="pct"/>
            <w:shd w:val="clear" w:color="auto" w:fill="auto"/>
            <w:vAlign w:val="center"/>
          </w:tcPr>
          <w:p w14:paraId="7F3903FF" w14:textId="77777777" w:rsidR="00765141" w:rsidRPr="0098262F" w:rsidRDefault="00765141">
            <w:pPr>
              <w:pStyle w:val="TableText0"/>
              <w:keepNext w:val="0"/>
              <w:keepLines w:val="0"/>
              <w:widowControl w:val="0"/>
            </w:pPr>
            <w:r w:rsidRPr="0098262F">
              <w:t>Outcomes</w:t>
            </w:r>
          </w:p>
        </w:tc>
        <w:tc>
          <w:tcPr>
            <w:tcW w:w="3588" w:type="pct"/>
            <w:shd w:val="clear" w:color="auto" w:fill="auto"/>
            <w:vAlign w:val="center"/>
          </w:tcPr>
          <w:p w14:paraId="4FF0F567" w14:textId="4FB9E206" w:rsidR="00765141" w:rsidRPr="0098262F" w:rsidRDefault="00765141">
            <w:pPr>
              <w:pStyle w:val="TableText0"/>
              <w:keepNext w:val="0"/>
              <w:keepLines w:val="0"/>
              <w:widowControl w:val="0"/>
            </w:pPr>
            <w:r>
              <w:t>Quality</w:t>
            </w:r>
            <w:r w:rsidR="008A29E5">
              <w:t>-</w:t>
            </w:r>
            <w:r>
              <w:t>adjusted life years gained</w:t>
            </w:r>
            <w:r w:rsidR="001B2F2E">
              <w:t xml:space="preserve">; </w:t>
            </w:r>
            <w:r>
              <w:t>Life years gained</w:t>
            </w:r>
          </w:p>
        </w:tc>
      </w:tr>
      <w:tr w:rsidR="00765141" w:rsidRPr="0098262F" w14:paraId="435AEEB0" w14:textId="77777777" w:rsidTr="001B2F2E">
        <w:tc>
          <w:tcPr>
            <w:tcW w:w="1412" w:type="pct"/>
            <w:shd w:val="clear" w:color="auto" w:fill="auto"/>
            <w:vAlign w:val="center"/>
          </w:tcPr>
          <w:p w14:paraId="1B41B7C8" w14:textId="77777777" w:rsidR="00765141" w:rsidRPr="0098262F" w:rsidRDefault="00765141">
            <w:pPr>
              <w:pStyle w:val="TableText0"/>
              <w:keepNext w:val="0"/>
              <w:keepLines w:val="0"/>
              <w:widowControl w:val="0"/>
            </w:pPr>
            <w:r w:rsidRPr="0098262F">
              <w:t>Methods used to generate results</w:t>
            </w:r>
          </w:p>
        </w:tc>
        <w:tc>
          <w:tcPr>
            <w:tcW w:w="3588" w:type="pct"/>
            <w:shd w:val="clear" w:color="auto" w:fill="auto"/>
            <w:vAlign w:val="center"/>
          </w:tcPr>
          <w:p w14:paraId="43342ACE" w14:textId="77777777" w:rsidR="00765141" w:rsidRPr="0098262F" w:rsidRDefault="00765141">
            <w:pPr>
              <w:pStyle w:val="TableText0"/>
              <w:keepNext w:val="0"/>
              <w:keepLines w:val="0"/>
              <w:widowControl w:val="0"/>
            </w:pPr>
            <w:r>
              <w:t xml:space="preserve">Partitioned survival model. </w:t>
            </w:r>
          </w:p>
        </w:tc>
      </w:tr>
      <w:tr w:rsidR="00765141" w:rsidRPr="0098262F" w14:paraId="564AFA93" w14:textId="77777777" w:rsidTr="001B2F2E">
        <w:tc>
          <w:tcPr>
            <w:tcW w:w="1412" w:type="pct"/>
            <w:shd w:val="clear" w:color="auto" w:fill="auto"/>
            <w:vAlign w:val="center"/>
          </w:tcPr>
          <w:p w14:paraId="1283A537" w14:textId="77777777" w:rsidR="00765141" w:rsidRPr="0098262F" w:rsidRDefault="00765141">
            <w:pPr>
              <w:pStyle w:val="TableText0"/>
              <w:keepNext w:val="0"/>
              <w:keepLines w:val="0"/>
              <w:widowControl w:val="0"/>
            </w:pPr>
            <w:r w:rsidRPr="0098262F">
              <w:t>Health states</w:t>
            </w:r>
          </w:p>
        </w:tc>
        <w:tc>
          <w:tcPr>
            <w:tcW w:w="3588" w:type="pct"/>
            <w:shd w:val="clear" w:color="auto" w:fill="auto"/>
            <w:vAlign w:val="center"/>
          </w:tcPr>
          <w:p w14:paraId="17594223" w14:textId="6ECE1AC7" w:rsidR="00765141" w:rsidRPr="0098262F" w:rsidRDefault="00765141">
            <w:pPr>
              <w:pStyle w:val="TableText0"/>
              <w:keepNext w:val="0"/>
              <w:keepLines w:val="0"/>
              <w:widowControl w:val="0"/>
            </w:pPr>
            <w:r>
              <w:t>The model included three health states:</w:t>
            </w:r>
            <w:r w:rsidR="00E547B0">
              <w:t xml:space="preserve"> </w:t>
            </w:r>
            <w:r>
              <w:t>Pre-progression</w:t>
            </w:r>
            <w:r w:rsidR="001B2F2E">
              <w:t xml:space="preserve">; </w:t>
            </w:r>
            <w:r>
              <w:t>Post-progression</w:t>
            </w:r>
            <w:r w:rsidR="001B2F2E">
              <w:t xml:space="preserve">; </w:t>
            </w:r>
            <w:r>
              <w:t>Dead</w:t>
            </w:r>
          </w:p>
        </w:tc>
      </w:tr>
      <w:tr w:rsidR="00765141" w:rsidRPr="0098262F" w14:paraId="7FC9477C" w14:textId="77777777" w:rsidTr="001B2F2E">
        <w:tc>
          <w:tcPr>
            <w:tcW w:w="1412" w:type="pct"/>
            <w:shd w:val="clear" w:color="auto" w:fill="auto"/>
            <w:vAlign w:val="center"/>
          </w:tcPr>
          <w:p w14:paraId="157BCCA5" w14:textId="77777777" w:rsidR="00765141" w:rsidRPr="0098262F" w:rsidRDefault="00765141">
            <w:pPr>
              <w:pStyle w:val="TableText0"/>
              <w:keepNext w:val="0"/>
              <w:keepLines w:val="0"/>
              <w:widowControl w:val="0"/>
            </w:pPr>
            <w:r w:rsidRPr="0098262F">
              <w:t>Cycle length</w:t>
            </w:r>
          </w:p>
        </w:tc>
        <w:tc>
          <w:tcPr>
            <w:tcW w:w="3588" w:type="pct"/>
            <w:shd w:val="clear" w:color="auto" w:fill="auto"/>
            <w:vAlign w:val="center"/>
          </w:tcPr>
          <w:p w14:paraId="4966975B" w14:textId="3F077086" w:rsidR="00765141" w:rsidRPr="0098262F" w:rsidRDefault="00765141">
            <w:pPr>
              <w:pStyle w:val="TableText0"/>
              <w:keepNext w:val="0"/>
              <w:keepLines w:val="0"/>
              <w:widowControl w:val="0"/>
            </w:pPr>
            <w:r>
              <w:t>3 weeks</w:t>
            </w:r>
            <w:r w:rsidR="00196F0A">
              <w:t xml:space="preserve"> </w:t>
            </w:r>
          </w:p>
        </w:tc>
      </w:tr>
      <w:tr w:rsidR="00765141" w:rsidRPr="0098262F" w14:paraId="6B343F67" w14:textId="77777777" w:rsidTr="001B2F2E">
        <w:tc>
          <w:tcPr>
            <w:tcW w:w="1412" w:type="pct"/>
            <w:shd w:val="clear" w:color="auto" w:fill="auto"/>
            <w:vAlign w:val="center"/>
          </w:tcPr>
          <w:p w14:paraId="67C8608C" w14:textId="77777777" w:rsidR="00765141" w:rsidRPr="0098262F" w:rsidRDefault="00765141">
            <w:pPr>
              <w:pStyle w:val="TableText0"/>
              <w:keepNext w:val="0"/>
              <w:keepLines w:val="0"/>
              <w:widowControl w:val="0"/>
            </w:pPr>
            <w:r w:rsidRPr="0098262F">
              <w:t>Transition probabilities or</w:t>
            </w:r>
          </w:p>
          <w:p w14:paraId="0D2CC87C" w14:textId="77777777" w:rsidR="00765141" w:rsidRPr="0098262F" w:rsidRDefault="00765141">
            <w:pPr>
              <w:pStyle w:val="TableText0"/>
              <w:keepNext w:val="0"/>
              <w:keepLines w:val="0"/>
              <w:widowControl w:val="0"/>
            </w:pPr>
            <w:r w:rsidRPr="0098262F">
              <w:t>Allocation to health states (if partitioned survival model)</w:t>
            </w:r>
          </w:p>
        </w:tc>
        <w:tc>
          <w:tcPr>
            <w:tcW w:w="3588" w:type="pct"/>
            <w:shd w:val="clear" w:color="auto" w:fill="auto"/>
            <w:vAlign w:val="center"/>
          </w:tcPr>
          <w:p w14:paraId="0A13E690" w14:textId="77777777" w:rsidR="00765141" w:rsidRDefault="00765141">
            <w:pPr>
              <w:pStyle w:val="TableText0"/>
              <w:keepNext w:val="0"/>
              <w:keepLines w:val="0"/>
              <w:widowControl w:val="0"/>
            </w:pPr>
            <w:r>
              <w:t xml:space="preserve">Health state allocations in the model were informed by PFS and OS time to event data from the PAPILLON trial. </w:t>
            </w:r>
          </w:p>
          <w:p w14:paraId="3880C78D" w14:textId="77777777" w:rsidR="00765141" w:rsidRDefault="00765141">
            <w:pPr>
              <w:pStyle w:val="TableText0"/>
              <w:keepNext w:val="0"/>
              <w:keepLines w:val="0"/>
              <w:widowControl w:val="0"/>
            </w:pPr>
          </w:p>
          <w:p w14:paraId="3F7450A0" w14:textId="77777777" w:rsidR="00765141" w:rsidRPr="0043600B" w:rsidRDefault="00765141">
            <w:pPr>
              <w:pStyle w:val="TableText0"/>
              <w:keepNext w:val="0"/>
              <w:keepLines w:val="0"/>
              <w:widowControl w:val="0"/>
              <w:rPr>
                <w:b/>
                <w:bCs w:val="0"/>
              </w:rPr>
            </w:pPr>
            <w:r w:rsidRPr="0043600B">
              <w:rPr>
                <w:b/>
                <w:bCs w:val="0"/>
              </w:rPr>
              <w:t>Pre-Progression</w:t>
            </w:r>
          </w:p>
          <w:p w14:paraId="6C45F33F" w14:textId="37B83963" w:rsidR="00765141" w:rsidRDefault="00765141">
            <w:pPr>
              <w:pStyle w:val="TableText0"/>
              <w:keepNext w:val="0"/>
              <w:keepLines w:val="0"/>
              <w:widowControl w:val="0"/>
            </w:pPr>
            <w:r>
              <w:t xml:space="preserve">PFS KM curves from the PAPILLON trial were used to establish the proportion of patients that remained in the Pre-progression health state over time. Parametric extrapolation began when 10% of patients remained at </w:t>
            </w:r>
            <w:r w:rsidDel="009B602B">
              <w:t>risk</w:t>
            </w:r>
            <w:r>
              <w:t>, i.e.</w:t>
            </w:r>
            <w:r w:rsidDel="009B602B">
              <w:t xml:space="preserve"> </w:t>
            </w:r>
            <w:r>
              <w:t xml:space="preserve">extrapolation began at 18 months in the ACP arm and 11.5 months in the CP arm. </w:t>
            </w:r>
          </w:p>
          <w:p w14:paraId="5291B205" w14:textId="77777777" w:rsidR="00765141" w:rsidRDefault="00765141">
            <w:pPr>
              <w:pStyle w:val="TableText0"/>
              <w:keepNext w:val="0"/>
              <w:keepLines w:val="0"/>
              <w:widowControl w:val="0"/>
            </w:pPr>
          </w:p>
          <w:p w14:paraId="3A6746A7" w14:textId="77777777" w:rsidR="00765141" w:rsidRDefault="00765141">
            <w:pPr>
              <w:pStyle w:val="TableText0"/>
              <w:keepNext w:val="0"/>
              <w:keepLines w:val="0"/>
              <w:widowControl w:val="0"/>
              <w:rPr>
                <w:b/>
                <w:bCs w:val="0"/>
              </w:rPr>
            </w:pPr>
            <w:r w:rsidRPr="00D96023">
              <w:rPr>
                <w:b/>
                <w:bCs w:val="0"/>
              </w:rPr>
              <w:t>Post-progression</w:t>
            </w:r>
          </w:p>
          <w:p w14:paraId="270E5088" w14:textId="39FB8DD8" w:rsidR="00765141" w:rsidRPr="0098262F" w:rsidRDefault="00765141">
            <w:pPr>
              <w:pStyle w:val="TableText0"/>
              <w:keepNext w:val="0"/>
              <w:keepLines w:val="0"/>
              <w:widowControl w:val="0"/>
            </w:pPr>
            <w:r>
              <w:t xml:space="preserve">OS KM curves from the PAPILLON trial were used to establish the proportion of patients remaining in the Post-progression health state, until 10% of the population remained at risk, at which point parametric extrapolation was applied. Extrapolation began at 21 months in the ACP arm and 18.3 months in the CP arm. The PAPILLON trial allowed for crossover of patients in the CP arm after progression, so OS estimates were based on a two-stage estimation </w:t>
            </w:r>
            <w:r w:rsidR="007B5B06">
              <w:t xml:space="preserve">(TSE) </w:t>
            </w:r>
            <w:r>
              <w:t xml:space="preserve">adjustment. </w:t>
            </w:r>
          </w:p>
        </w:tc>
      </w:tr>
      <w:tr w:rsidR="00765141" w:rsidRPr="0098262F" w14:paraId="31DEB135" w14:textId="77777777" w:rsidTr="001B2F2E">
        <w:tc>
          <w:tcPr>
            <w:tcW w:w="1412" w:type="pct"/>
            <w:shd w:val="clear" w:color="auto" w:fill="auto"/>
            <w:vAlign w:val="center"/>
          </w:tcPr>
          <w:p w14:paraId="4E7155FE" w14:textId="77777777" w:rsidR="00765141" w:rsidRPr="0098262F" w:rsidRDefault="00765141">
            <w:pPr>
              <w:pStyle w:val="TableText0"/>
              <w:keepNext w:val="0"/>
              <w:keepLines w:val="0"/>
              <w:widowControl w:val="0"/>
            </w:pPr>
            <w:r w:rsidRPr="0098262F">
              <w:t>Extrapolation method</w:t>
            </w:r>
          </w:p>
        </w:tc>
        <w:tc>
          <w:tcPr>
            <w:tcW w:w="3588" w:type="pct"/>
            <w:shd w:val="clear" w:color="auto" w:fill="auto"/>
            <w:vAlign w:val="center"/>
          </w:tcPr>
          <w:p w14:paraId="6CFCC99D" w14:textId="77777777" w:rsidR="00765141" w:rsidRDefault="00765141">
            <w:pPr>
              <w:pStyle w:val="TableText0"/>
              <w:keepNext w:val="0"/>
              <w:keepLines w:val="0"/>
              <w:widowControl w:val="0"/>
            </w:pPr>
            <w:r>
              <w:t xml:space="preserve">PFS and OS KM data from the PAPILLON trial were truncated at the point where 10% of patients remained at-risk. Parametric extrapolations were fit to each of the individual KM curves for the time horizon of 7.5 years. Parametric distributions applied to each curve were based on goodness of fit, as judged by AIC and BIC, and clinical plausibility. </w:t>
            </w:r>
          </w:p>
          <w:p w14:paraId="38CF6BCB" w14:textId="77777777" w:rsidR="00765141" w:rsidRDefault="00765141">
            <w:pPr>
              <w:pStyle w:val="TableText0"/>
              <w:keepNext w:val="0"/>
              <w:keepLines w:val="0"/>
              <w:widowControl w:val="0"/>
            </w:pPr>
          </w:p>
          <w:p w14:paraId="6F842FA2" w14:textId="74671D1B" w:rsidR="00EA3123" w:rsidRDefault="00765141">
            <w:pPr>
              <w:pStyle w:val="TableText0"/>
              <w:keepNext w:val="0"/>
              <w:keepLines w:val="0"/>
              <w:widowControl w:val="0"/>
            </w:pPr>
            <w:r>
              <w:t xml:space="preserve">The submission assumed a continued treatment effect </w:t>
            </w:r>
            <w:r w:rsidR="00736C3D">
              <w:t xml:space="preserve">of PFS and OS </w:t>
            </w:r>
            <w:r>
              <w:t xml:space="preserve">throughout the time horizon and no treatment waning was applied. </w:t>
            </w:r>
          </w:p>
          <w:p w14:paraId="53D791AE" w14:textId="77777777" w:rsidR="00EA3123" w:rsidRDefault="00EA3123">
            <w:pPr>
              <w:pStyle w:val="TableText0"/>
              <w:keepNext w:val="0"/>
              <w:keepLines w:val="0"/>
              <w:widowControl w:val="0"/>
            </w:pPr>
          </w:p>
          <w:p w14:paraId="086729FC" w14:textId="3E61C597" w:rsidR="00765141" w:rsidRDefault="002D5726">
            <w:pPr>
              <w:pStyle w:val="TableText0"/>
              <w:keepNext w:val="0"/>
              <w:keepLines w:val="0"/>
              <w:widowControl w:val="0"/>
            </w:pPr>
            <w:r>
              <w:t xml:space="preserve">The submission assumed </w:t>
            </w:r>
            <w:r w:rsidR="008D419B">
              <w:t>treatment until progression which aligned with the trial</w:t>
            </w:r>
            <w:r w:rsidR="00BD4994">
              <w:t xml:space="preserve"> protocol</w:t>
            </w:r>
            <w:r w:rsidR="005C2AAB">
              <w:t>.</w:t>
            </w:r>
          </w:p>
          <w:p w14:paraId="78C256D9" w14:textId="77777777" w:rsidR="00765141" w:rsidRDefault="00765141">
            <w:pPr>
              <w:pStyle w:val="TableText0"/>
              <w:keepNext w:val="0"/>
              <w:keepLines w:val="0"/>
              <w:widowControl w:val="0"/>
            </w:pPr>
          </w:p>
          <w:p w14:paraId="528ACCC6" w14:textId="4E17CE88" w:rsidR="00765141" w:rsidRPr="0098262F" w:rsidRDefault="00714A68">
            <w:pPr>
              <w:pStyle w:val="TableText0"/>
              <w:keepNext w:val="0"/>
              <w:keepLines w:val="0"/>
              <w:widowControl w:val="0"/>
            </w:pPr>
            <w:r>
              <w:t>The</w:t>
            </w:r>
            <w:r w:rsidR="00765141">
              <w:t xml:space="preserve"> </w:t>
            </w:r>
            <w:r>
              <w:t xml:space="preserve">percentage </w:t>
            </w:r>
            <w:r w:rsidR="00765141">
              <w:t>of costs th</w:t>
            </w:r>
            <w:r w:rsidR="005D6F11">
              <w:t>at</w:t>
            </w:r>
            <w:r w:rsidR="00765141">
              <w:t xml:space="preserve"> occurred in the extrapolated period were 38% and 49% in the ACP and CP arms</w:t>
            </w:r>
            <w:r w:rsidR="00157B14">
              <w:t>,</w:t>
            </w:r>
            <w:r w:rsidR="00765141">
              <w:t xml:space="preserve"> respectively. The </w:t>
            </w:r>
            <w:r w:rsidR="00FE1869">
              <w:t xml:space="preserve">percentage </w:t>
            </w:r>
            <w:r w:rsidR="00765141">
              <w:t>of QALYs that were gained in the extrapolated period were 55% and 37% for the ACP and CP arms</w:t>
            </w:r>
            <w:r w:rsidR="00157B14">
              <w:t>,</w:t>
            </w:r>
            <w:r w:rsidR="00765141">
              <w:t xml:space="preserve"> respectively, and the </w:t>
            </w:r>
            <w:r w:rsidR="00FE1869">
              <w:t xml:space="preserve">percentage </w:t>
            </w:r>
            <w:r w:rsidR="00765141">
              <w:t>of LYs gained were 56% and 38% in the ACP and CP arms</w:t>
            </w:r>
            <w:r w:rsidR="00157B14">
              <w:t>,</w:t>
            </w:r>
            <w:r w:rsidR="00765141">
              <w:t xml:space="preserve"> respectively. </w:t>
            </w:r>
          </w:p>
        </w:tc>
      </w:tr>
      <w:tr w:rsidR="00765141" w:rsidRPr="0098262F" w14:paraId="42743B2F" w14:textId="77777777" w:rsidTr="001B2F2E">
        <w:tc>
          <w:tcPr>
            <w:tcW w:w="1412" w:type="pct"/>
            <w:shd w:val="clear" w:color="auto" w:fill="auto"/>
            <w:vAlign w:val="center"/>
          </w:tcPr>
          <w:p w14:paraId="4740F999" w14:textId="77777777" w:rsidR="00765141" w:rsidRPr="0098262F" w:rsidRDefault="00765141">
            <w:pPr>
              <w:pStyle w:val="TableText0"/>
              <w:keepNext w:val="0"/>
              <w:keepLines w:val="0"/>
              <w:widowControl w:val="0"/>
            </w:pPr>
            <w:r w:rsidRPr="0098262F">
              <w:t>Health related quality of life</w:t>
            </w:r>
          </w:p>
        </w:tc>
        <w:tc>
          <w:tcPr>
            <w:tcW w:w="3588" w:type="pct"/>
            <w:shd w:val="clear" w:color="auto" w:fill="auto"/>
            <w:vAlign w:val="center"/>
          </w:tcPr>
          <w:p w14:paraId="22B43707" w14:textId="60B4C9A2" w:rsidR="00765141" w:rsidRDefault="00765141">
            <w:pPr>
              <w:pStyle w:val="TableText0"/>
              <w:keepNext w:val="0"/>
              <w:keepLines w:val="0"/>
              <w:widowControl w:val="0"/>
            </w:pPr>
            <w:r>
              <w:t>EQ-5D-5L data collected in the PAPILLON trial were used to inform the utility estimates in the Pre-progression and Post-progression health states. Scores were valued using the Australian tariff from Norman (2023). In the Post</w:t>
            </w:r>
            <w:r w:rsidR="00E6073B">
              <w:t>-</w:t>
            </w:r>
            <w:r>
              <w:t>progression health state, a pooled utility estimate of 0.839 was applied.</w:t>
            </w:r>
          </w:p>
          <w:p w14:paraId="76AFD637" w14:textId="77777777" w:rsidR="00765141" w:rsidRDefault="00765141">
            <w:pPr>
              <w:pStyle w:val="TableText0"/>
              <w:keepNext w:val="0"/>
              <w:keepLines w:val="0"/>
              <w:widowControl w:val="0"/>
            </w:pPr>
          </w:p>
          <w:p w14:paraId="52B9F18B" w14:textId="278D4237" w:rsidR="00765141" w:rsidRPr="0098262F" w:rsidRDefault="00F60DE4">
            <w:pPr>
              <w:pStyle w:val="TableText0"/>
              <w:keepNext w:val="0"/>
              <w:keepLines w:val="0"/>
              <w:widowControl w:val="0"/>
            </w:pPr>
            <w:r>
              <w:t xml:space="preserve">With the intention of </w:t>
            </w:r>
            <w:r w:rsidR="00765141">
              <w:t>captur</w:t>
            </w:r>
            <w:r>
              <w:t>ing</w:t>
            </w:r>
            <w:r w:rsidR="00765141">
              <w:t xml:space="preserve"> differences in the safety profiles of the medications, </w:t>
            </w:r>
            <w:r>
              <w:t xml:space="preserve">the submission applied </w:t>
            </w:r>
            <w:r w:rsidR="00765141">
              <w:t xml:space="preserve">treatment specific </w:t>
            </w:r>
            <w:r w:rsidR="00FE74B0">
              <w:t>P</w:t>
            </w:r>
            <w:r w:rsidR="00D15AB7">
              <w:t xml:space="preserve">re-progression </w:t>
            </w:r>
            <w:r w:rsidR="00765141">
              <w:t>utility estimates</w:t>
            </w:r>
            <w:r w:rsidR="00335E67">
              <w:t xml:space="preserve">: </w:t>
            </w:r>
            <w:r w:rsidR="00765141">
              <w:t xml:space="preserve">0.913 in the </w:t>
            </w:r>
            <w:r w:rsidR="00765141">
              <w:lastRenderedPageBreak/>
              <w:t xml:space="preserve">ACP arm and 0.916 in the CP arm. </w:t>
            </w:r>
          </w:p>
        </w:tc>
      </w:tr>
      <w:tr w:rsidR="00765141" w:rsidRPr="0098262F" w14:paraId="5A16F3E0" w14:textId="77777777" w:rsidTr="001B2F2E">
        <w:tc>
          <w:tcPr>
            <w:tcW w:w="1412" w:type="pct"/>
            <w:shd w:val="clear" w:color="auto" w:fill="auto"/>
            <w:vAlign w:val="center"/>
          </w:tcPr>
          <w:p w14:paraId="000F642D" w14:textId="57A3CA02" w:rsidR="00765141" w:rsidRPr="0098262F" w:rsidRDefault="00765141">
            <w:pPr>
              <w:pStyle w:val="TableText0"/>
              <w:keepNext w:val="0"/>
              <w:keepLines w:val="0"/>
              <w:widowControl w:val="0"/>
            </w:pPr>
            <w:r>
              <w:lastRenderedPageBreak/>
              <w:t>Costs related to AEs</w:t>
            </w:r>
          </w:p>
        </w:tc>
        <w:tc>
          <w:tcPr>
            <w:tcW w:w="3588" w:type="pct"/>
            <w:shd w:val="clear" w:color="auto" w:fill="auto"/>
            <w:vAlign w:val="center"/>
          </w:tcPr>
          <w:p w14:paraId="6982CD9D" w14:textId="77777777" w:rsidR="00765141" w:rsidRPr="0098262F" w:rsidRDefault="00765141">
            <w:pPr>
              <w:pStyle w:val="TableText0"/>
              <w:keepNext w:val="0"/>
              <w:keepLines w:val="0"/>
              <w:widowControl w:val="0"/>
            </w:pPr>
            <w:r>
              <w:t xml:space="preserve">Adverse events from the PAPILLON trial were included as costs in the economic model if they were Grade 3 or 4 in severity, had occurred in at least 5% of patients in either treatment arm, </w:t>
            </w:r>
            <w:proofErr w:type="gramStart"/>
            <w:r>
              <w:t>and</w:t>
            </w:r>
            <w:proofErr w:type="gramEnd"/>
            <w:r>
              <w:t xml:space="preserve"> were significantly different. The difference in adverse event profiles of the two treatment arms was captured by applying a one-off cost of $64.63 in the ACP arm and $23.38 in the CP arm. </w:t>
            </w:r>
          </w:p>
        </w:tc>
      </w:tr>
    </w:tbl>
    <w:p w14:paraId="3D96B8CF" w14:textId="77777777" w:rsidR="00765141" w:rsidRDefault="00765141" w:rsidP="00765141">
      <w:pPr>
        <w:pStyle w:val="FooterTableFigure"/>
        <w:widowControl w:val="0"/>
      </w:pPr>
      <w:r w:rsidRPr="0098262F">
        <w:t xml:space="preserve">Source: </w:t>
      </w:r>
      <w:r>
        <w:t xml:space="preserve">Table 3.1, p154 of the submission and </w:t>
      </w:r>
      <w:r w:rsidRPr="008272D0">
        <w:t xml:space="preserve">compiled during </w:t>
      </w:r>
      <w:r w:rsidRPr="008272D0">
        <w:rPr>
          <w:iCs/>
        </w:rPr>
        <w:t>the evaluation</w:t>
      </w:r>
    </w:p>
    <w:p w14:paraId="5A3CAE45" w14:textId="60128335" w:rsidR="00765141" w:rsidRPr="0098262F" w:rsidRDefault="00765141" w:rsidP="00765141">
      <w:pPr>
        <w:pStyle w:val="FooterTableFigure"/>
        <w:widowControl w:val="0"/>
      </w:pPr>
      <w:r>
        <w:t xml:space="preserve">Abbreviations: ACP, amivantamab </w:t>
      </w:r>
      <w:r w:rsidR="00AF4E6E">
        <w:t>p</w:t>
      </w:r>
      <w:r>
        <w:t xml:space="preserve">lus carboplatin and pemetrexed, AE, adverse event; </w:t>
      </w:r>
      <w:r w:rsidR="00EB42D0">
        <w:t xml:space="preserve">AIC, </w:t>
      </w:r>
      <w:r w:rsidR="0025069A" w:rsidRPr="0025069A">
        <w:t>Akaike Information Criterion</w:t>
      </w:r>
      <w:r w:rsidR="00EB42D0">
        <w:t xml:space="preserve">; BIC, </w:t>
      </w:r>
      <w:r w:rsidR="0025069A" w:rsidRPr="0025069A">
        <w:t>Bayesian Information Criterion</w:t>
      </w:r>
      <w:r w:rsidR="00EB42D0">
        <w:t xml:space="preserve">; </w:t>
      </w:r>
      <w:r>
        <w:t xml:space="preserve">CP, carboplatin and pemetrexed; </w:t>
      </w:r>
      <w:r w:rsidR="0045026D">
        <w:t>EQ-5D-5L</w:t>
      </w:r>
      <w:r w:rsidR="00596C21">
        <w:t>,</w:t>
      </w:r>
      <w:r w:rsidR="0045026D">
        <w:t xml:space="preserve"> </w:t>
      </w:r>
      <w:r w:rsidR="00596C21" w:rsidRPr="00596C21">
        <w:t>EuroQol 5 Dimension 5 Level</w:t>
      </w:r>
      <w:r w:rsidR="0045026D">
        <w:t xml:space="preserve">; </w:t>
      </w:r>
      <w:r>
        <w:t xml:space="preserve">KM, Kaplan-Meier; </w:t>
      </w:r>
      <w:r w:rsidR="007B7832">
        <w:t xml:space="preserve">LY, life year; </w:t>
      </w:r>
      <w:r>
        <w:t>OS, overall survival</w:t>
      </w:r>
      <w:r w:rsidR="003E543B">
        <w:t xml:space="preserve">, </w:t>
      </w:r>
      <w:r w:rsidR="00EE76DC">
        <w:t xml:space="preserve">PFS, progression free survival; </w:t>
      </w:r>
      <w:r w:rsidR="003E543B">
        <w:t>QALY, quality-adjusted life year</w:t>
      </w:r>
    </w:p>
    <w:p w14:paraId="5EEA4084" w14:textId="0BE5022B" w:rsidR="00765141" w:rsidRPr="009B19E0" w:rsidRDefault="00765141" w:rsidP="00EF4C49">
      <w:pPr>
        <w:pStyle w:val="3-BodyText"/>
        <w:rPr>
          <w:color w:val="0066FF"/>
        </w:rPr>
      </w:pPr>
      <w:r>
        <w:t xml:space="preserve">The allocation of patients to Pre-progression, Post-progression, and Dead health states in the model was based on time-to-event data for PFS and OS from the PAPILLON trial. </w:t>
      </w:r>
      <w:r w:rsidRPr="008272D0">
        <w:t>The PAPILLON trial is ongoing, and the OS data remain immature</w:t>
      </w:r>
      <w:r w:rsidR="007205CB" w:rsidRPr="008272D0">
        <w:t xml:space="preserve"> (para</w:t>
      </w:r>
      <w:r w:rsidR="002E4992">
        <w:t xml:space="preserve"> </w:t>
      </w:r>
      <w:r w:rsidR="003B1328">
        <w:fldChar w:fldCharType="begin"/>
      </w:r>
      <w:r w:rsidR="003B1328">
        <w:instrText xml:space="preserve"> REF _Ref182642791 \r \h </w:instrText>
      </w:r>
      <w:r w:rsidR="003B1328">
        <w:fldChar w:fldCharType="separate"/>
      </w:r>
      <w:r w:rsidR="00372107">
        <w:t>2.3</w:t>
      </w:r>
      <w:r w:rsidR="003B1328">
        <w:fldChar w:fldCharType="end"/>
      </w:r>
      <w:r w:rsidR="007205CB" w:rsidRPr="008272D0">
        <w:t>)</w:t>
      </w:r>
      <w:r w:rsidRPr="008272D0">
        <w:t xml:space="preserve">. </w:t>
      </w:r>
    </w:p>
    <w:p w14:paraId="5BB9F712" w14:textId="7879D59E" w:rsidR="00765141" w:rsidRPr="006F1E71" w:rsidRDefault="00765141" w:rsidP="00EF4C49">
      <w:pPr>
        <w:pStyle w:val="3-BodyText"/>
        <w:rPr>
          <w:color w:val="0066FF"/>
        </w:rPr>
      </w:pPr>
      <w:bookmarkStart w:id="89" w:name="_Ref180004119"/>
      <w:bookmarkStart w:id="90" w:name="_Ref183434203"/>
      <w:r>
        <w:t>A time horizon of 7.5 years was applied in the model. The submission stated that this was sufficient to capture all</w:t>
      </w:r>
      <w:r w:rsidR="00120C36">
        <w:t xml:space="preserve"> the</w:t>
      </w:r>
      <w:r>
        <w:t xml:space="preserve"> important differences in costs and outcomes. </w:t>
      </w:r>
      <w:r w:rsidRPr="008272D0">
        <w:t xml:space="preserve">The </w:t>
      </w:r>
      <w:r w:rsidR="00E30489">
        <w:t xml:space="preserve">evaluation considered that the </w:t>
      </w:r>
      <w:r w:rsidRPr="008272D0">
        <w:t xml:space="preserve">time horizon </w:t>
      </w:r>
      <w:r w:rsidR="00264EDA" w:rsidRPr="008272D0">
        <w:t>wa</w:t>
      </w:r>
      <w:r w:rsidRPr="008272D0">
        <w:t>s long relative to the PAPILLON trial duration of 14.9 months</w:t>
      </w:r>
      <w:r w:rsidR="00EB5283" w:rsidRPr="008272D0">
        <w:t xml:space="preserve"> (median follow-up</w:t>
      </w:r>
      <w:r w:rsidR="001F2D3D" w:rsidRPr="008272D0">
        <w:t xml:space="preserve"> period </w:t>
      </w:r>
      <w:r w:rsidR="002F0183" w:rsidRPr="008272D0">
        <w:t>at primary analysis)</w:t>
      </w:r>
      <w:r w:rsidRPr="008272D0">
        <w:t xml:space="preserve">. The submission referenced </w:t>
      </w:r>
      <w:r w:rsidR="00367528">
        <w:t>2</w:t>
      </w:r>
      <w:r w:rsidR="00367528" w:rsidRPr="008272D0">
        <w:t xml:space="preserve"> </w:t>
      </w:r>
      <w:r w:rsidRPr="008272D0">
        <w:t>previous PBAC considerations to support the time horizon applied, however the period of extrapolation exceeds those of previous PBAC consideration</w:t>
      </w:r>
      <w:r w:rsidR="005B2C76">
        <w:t>s</w:t>
      </w:r>
      <w:r w:rsidRPr="008272D0">
        <w:t xml:space="preserve"> and is more uncertain.</w:t>
      </w:r>
      <w:bookmarkEnd w:id="89"/>
      <w:r w:rsidRPr="008272D0">
        <w:t xml:space="preserve"> </w:t>
      </w:r>
      <w:r w:rsidR="005C6C2E">
        <w:t>The</w:t>
      </w:r>
      <w:r w:rsidR="00F10B03">
        <w:t xml:space="preserve"> previous PBAC considerations were as follows:</w:t>
      </w:r>
      <w:bookmarkEnd w:id="90"/>
    </w:p>
    <w:p w14:paraId="084855B1" w14:textId="418982B9" w:rsidR="00765141" w:rsidRPr="00AF4A63" w:rsidRDefault="00765141" w:rsidP="00AF4A63">
      <w:pPr>
        <w:pStyle w:val="ListParagraph"/>
      </w:pPr>
      <w:r w:rsidRPr="00AF4A63">
        <w:t xml:space="preserve">The PBAC previously </w:t>
      </w:r>
      <w:r w:rsidR="00484225" w:rsidRPr="00AF4A63">
        <w:t>accepted</w:t>
      </w:r>
      <w:r w:rsidRPr="00AF4A63">
        <w:t xml:space="preserve"> </w:t>
      </w:r>
      <w:r w:rsidR="00383045" w:rsidRPr="00AF4A63">
        <w:t xml:space="preserve">that </w:t>
      </w:r>
      <w:r w:rsidR="001712CE" w:rsidRPr="00AF4A63">
        <w:t>the use of</w:t>
      </w:r>
      <w:r w:rsidRPr="00AF4A63">
        <w:t xml:space="preserve"> a 7.5-year time horizon was clinically appropriate </w:t>
      </w:r>
      <w:r w:rsidR="00397E8E" w:rsidRPr="00AF4A63">
        <w:t xml:space="preserve">in its </w:t>
      </w:r>
      <w:r w:rsidR="00767738" w:rsidRPr="00AF4A63">
        <w:t>consideration of</w:t>
      </w:r>
      <w:r w:rsidRPr="00AF4A63">
        <w:t xml:space="preserve"> osimertinib </w:t>
      </w:r>
      <w:r w:rsidR="009842CB" w:rsidRPr="00AF4A63">
        <w:t xml:space="preserve">in </w:t>
      </w:r>
      <w:r w:rsidRPr="00AF4A63">
        <w:t>treatment</w:t>
      </w:r>
      <w:r w:rsidR="001B0105" w:rsidRPr="00AF4A63">
        <w:t>-</w:t>
      </w:r>
      <w:r w:rsidRPr="00AF4A63">
        <w:t xml:space="preserve">naive </w:t>
      </w:r>
      <w:r w:rsidR="001B0105" w:rsidRPr="00AF4A63">
        <w:t xml:space="preserve">patients with </w:t>
      </w:r>
      <w:r w:rsidRPr="00AF4A63">
        <w:t xml:space="preserve">locally advanced or metastatic common </w:t>
      </w:r>
      <w:r w:rsidR="008272D0" w:rsidRPr="00AF4A63">
        <w:t>EGFR</w:t>
      </w:r>
      <w:r w:rsidRPr="00AF4A63">
        <w:t xml:space="preserve"> NSCLC (para 7.11, osimertinib PSD, July 2019 PBAC meeting)</w:t>
      </w:r>
      <w:r w:rsidR="00B07E33" w:rsidRPr="00AF4A63">
        <w:t>. Osimertinib</w:t>
      </w:r>
      <w:r w:rsidRPr="00AF4A63">
        <w:t xml:space="preserve"> was subsequently recommended at the </w:t>
      </w:r>
      <w:r w:rsidR="008C13C8" w:rsidRPr="00AF4A63">
        <w:t>July</w:t>
      </w:r>
      <w:r w:rsidR="008C13C8">
        <w:t> </w:t>
      </w:r>
      <w:r w:rsidRPr="00AF4A63">
        <w:t xml:space="preserve">2020 meeting. The key trial for the osimertinib submission was the FLAURA trial </w:t>
      </w:r>
      <w:r w:rsidR="00A11BF1" w:rsidRPr="00AF4A63">
        <w:t>with</w:t>
      </w:r>
      <w:r w:rsidRPr="00AF4A63">
        <w:t xml:space="preserve"> </w:t>
      </w:r>
      <w:r w:rsidR="00A307E4" w:rsidRPr="00AF4A63">
        <w:t xml:space="preserve">a </w:t>
      </w:r>
      <w:r w:rsidRPr="00AF4A63">
        <w:t xml:space="preserve">median follow up of 36 months for osimertinib, which </w:t>
      </w:r>
      <w:r w:rsidR="00A11BF1" w:rsidRPr="00AF4A63">
        <w:t>wa</w:t>
      </w:r>
      <w:r w:rsidRPr="00AF4A63">
        <w:t>s longer than the median follow</w:t>
      </w:r>
      <w:r w:rsidR="008C1C76" w:rsidRPr="00AF4A63">
        <w:t>-</w:t>
      </w:r>
      <w:r w:rsidRPr="00AF4A63">
        <w:t>up of the PAPILLON trial.</w:t>
      </w:r>
      <w:r w:rsidRPr="00AF4A63" w:rsidDel="00A33DEC">
        <w:t xml:space="preserve"> </w:t>
      </w:r>
      <w:r w:rsidRPr="00AF4A63">
        <w:t xml:space="preserve">Furthermore, patients with </w:t>
      </w:r>
      <w:r w:rsidR="008272D0" w:rsidRPr="00AF4A63">
        <w:t>EGFR</w:t>
      </w:r>
      <w:r w:rsidRPr="00AF4A63">
        <w:t xml:space="preserve"> ex20ins NSCLC had shorter median OS and PFS compared to patients with common </w:t>
      </w:r>
      <w:r w:rsidR="008272D0" w:rsidRPr="00AF4A63">
        <w:t>EGFR</w:t>
      </w:r>
      <w:r w:rsidRPr="00AF4A63">
        <w:t xml:space="preserve"> NSCLC, thus the time frame was able to capture a larger proportion of clinical end points in that trial (Bazhenova et al., 2021). </w:t>
      </w:r>
    </w:p>
    <w:p w14:paraId="779C41F0" w14:textId="5F5E4C7C" w:rsidR="006123F5" w:rsidRPr="006123F5" w:rsidRDefault="00765141" w:rsidP="00AF4A63">
      <w:pPr>
        <w:pStyle w:val="ListParagraph"/>
      </w:pPr>
      <w:r w:rsidRPr="001E17FB">
        <w:t xml:space="preserve">The PBAC previously recommended mobocertinib for the treatment of </w:t>
      </w:r>
      <w:r w:rsidR="008272D0" w:rsidRPr="008272D0">
        <w:rPr>
          <w:i/>
        </w:rPr>
        <w:t>EGFR</w:t>
      </w:r>
      <w:r w:rsidRPr="001E17FB">
        <w:t xml:space="preserve"> exon20ins NSCLC in patients who had progressed on PBC based on a time</w:t>
      </w:r>
      <w:r w:rsidR="008B374F">
        <w:t xml:space="preserve"> </w:t>
      </w:r>
      <w:r w:rsidRPr="001E17FB">
        <w:t>horizon of 5 years. The submission claimed that as mobocertinib was a second-line therapy for patients post progression on PBC, expanding the time horizon for first line therapy was appropriate</w:t>
      </w:r>
      <w:r w:rsidRPr="008272D0">
        <w:rPr>
          <w:iCs/>
        </w:rPr>
        <w:t>. The median follow-up from the key trial for mobocertinib was 25.8</w:t>
      </w:r>
      <w:r w:rsidR="00231ED5" w:rsidRPr="008272D0">
        <w:rPr>
          <w:iCs/>
        </w:rPr>
        <w:t xml:space="preserve"> </w:t>
      </w:r>
      <w:r w:rsidRPr="008272D0">
        <w:rPr>
          <w:iCs/>
        </w:rPr>
        <w:t>months.</w:t>
      </w:r>
    </w:p>
    <w:p w14:paraId="43BADC98" w14:textId="6AD0BE9D" w:rsidR="00215F5D" w:rsidRPr="006123F5" w:rsidRDefault="00BE2412" w:rsidP="001E0DB9">
      <w:pPr>
        <w:spacing w:after="120"/>
        <w:ind w:left="720"/>
      </w:pPr>
      <w:r w:rsidRPr="001C07F0">
        <w:rPr>
          <w:iCs/>
        </w:rPr>
        <w:t xml:space="preserve">The PSCR noted that the time horizon was further supported by observational long-term survival data of treatment-naïve metastatic ex20ins NSCLC patients where the 5-year real world OS with currently available therapies (i.e. platinum-based </w:t>
      </w:r>
      <w:r w:rsidRPr="001C07F0">
        <w:rPr>
          <w:iCs/>
        </w:rPr>
        <w:lastRenderedPageBreak/>
        <w:t>chemotherapy) is 8% (Bazhenova et al., 2021</w:t>
      </w:r>
      <w:r w:rsidRPr="00620E0B">
        <w:rPr>
          <w:rStyle w:val="FootnoteReference"/>
          <w:iCs/>
        </w:rPr>
        <w:footnoteReference w:id="20"/>
      </w:r>
      <w:r w:rsidRPr="001C07F0">
        <w:rPr>
          <w:iCs/>
        </w:rPr>
        <w:t xml:space="preserve">). As ACP is shown to be superior in efficacy to CP, the PSCR considered an extrapolation to 7.5 years was reasonable. </w:t>
      </w:r>
      <w:r w:rsidR="00215F5D" w:rsidRPr="00620E0B">
        <w:rPr>
          <w:iCs/>
        </w:rPr>
        <w:t xml:space="preserve">The ESC </w:t>
      </w:r>
      <w:r w:rsidR="00604528" w:rsidRPr="00620E0B">
        <w:rPr>
          <w:iCs/>
        </w:rPr>
        <w:t>noted the median follow</w:t>
      </w:r>
      <w:r w:rsidR="00FB2358" w:rsidRPr="00620E0B">
        <w:rPr>
          <w:iCs/>
        </w:rPr>
        <w:t>-</w:t>
      </w:r>
      <w:r w:rsidR="00604528" w:rsidRPr="00620E0B">
        <w:rPr>
          <w:iCs/>
        </w:rPr>
        <w:t>up of the PAPILLION trial was 14.9 months and that the OS data informing the model remained immature. The ESC therefore considered the base case time horizon (7.5 years) introduced uncertainty</w:t>
      </w:r>
      <w:r w:rsidR="00B00EF7" w:rsidRPr="00620E0B">
        <w:rPr>
          <w:iCs/>
        </w:rPr>
        <w:t xml:space="preserve"> </w:t>
      </w:r>
      <w:r w:rsidR="00FF6219" w:rsidRPr="00620E0B">
        <w:rPr>
          <w:iCs/>
        </w:rPr>
        <w:t>and considered a 5</w:t>
      </w:r>
      <w:r w:rsidR="005320E7">
        <w:rPr>
          <w:iCs/>
        </w:rPr>
        <w:t>-</w:t>
      </w:r>
      <w:r w:rsidR="00FF6219" w:rsidRPr="00620E0B">
        <w:rPr>
          <w:iCs/>
        </w:rPr>
        <w:t>year time horizon may have been more conservative, given the short duration of follow</w:t>
      </w:r>
      <w:r w:rsidR="00B00EF7" w:rsidRPr="00620E0B">
        <w:rPr>
          <w:iCs/>
        </w:rPr>
        <w:t>-</w:t>
      </w:r>
      <w:r w:rsidR="00FF6219" w:rsidRPr="00620E0B">
        <w:rPr>
          <w:iCs/>
        </w:rPr>
        <w:t>up</w:t>
      </w:r>
      <w:r w:rsidR="00604528" w:rsidRPr="00620E0B">
        <w:rPr>
          <w:iCs/>
        </w:rPr>
        <w:t xml:space="preserve">. </w:t>
      </w:r>
      <w:r w:rsidR="0035073E">
        <w:rPr>
          <w:iCs/>
        </w:rPr>
        <w:t xml:space="preserve">The pre-PBAC response maintained </w:t>
      </w:r>
      <w:r w:rsidR="007B4B1F" w:rsidRPr="007B4B1F">
        <w:rPr>
          <w:iCs/>
        </w:rPr>
        <w:t>that a 7.5-year time</w:t>
      </w:r>
      <w:r w:rsidR="00CB569D">
        <w:rPr>
          <w:iCs/>
        </w:rPr>
        <w:t xml:space="preserve"> </w:t>
      </w:r>
      <w:r w:rsidR="007B4B1F" w:rsidRPr="007B4B1F">
        <w:rPr>
          <w:iCs/>
        </w:rPr>
        <w:t xml:space="preserve">horizon </w:t>
      </w:r>
      <w:r w:rsidR="00D033A0">
        <w:rPr>
          <w:iCs/>
        </w:rPr>
        <w:t xml:space="preserve">was </w:t>
      </w:r>
      <w:r w:rsidR="007B4B1F" w:rsidRPr="007B4B1F">
        <w:rPr>
          <w:iCs/>
        </w:rPr>
        <w:t>appropriate</w:t>
      </w:r>
      <w:r w:rsidR="00DE1DE6">
        <w:rPr>
          <w:iCs/>
        </w:rPr>
        <w:t xml:space="preserve"> reiterating the points above</w:t>
      </w:r>
      <w:r w:rsidR="00CB569D">
        <w:rPr>
          <w:iCs/>
        </w:rPr>
        <w:t xml:space="preserve"> and</w:t>
      </w:r>
      <w:r w:rsidR="007B4B1F" w:rsidRPr="007B4B1F">
        <w:rPr>
          <w:iCs/>
        </w:rPr>
        <w:t xml:space="preserve"> </w:t>
      </w:r>
      <w:r w:rsidR="00CB569D">
        <w:rPr>
          <w:iCs/>
        </w:rPr>
        <w:t xml:space="preserve">noted the </w:t>
      </w:r>
      <w:r w:rsidR="007B4B1F" w:rsidRPr="007B4B1F">
        <w:rPr>
          <w:iCs/>
        </w:rPr>
        <w:t xml:space="preserve">data informing the extrapolation of OS in the economic model </w:t>
      </w:r>
      <w:r w:rsidR="00DE1DE6">
        <w:rPr>
          <w:iCs/>
        </w:rPr>
        <w:t>was</w:t>
      </w:r>
      <w:r w:rsidR="007B4B1F" w:rsidRPr="007B4B1F">
        <w:rPr>
          <w:iCs/>
        </w:rPr>
        <w:t xml:space="preserve"> </w:t>
      </w:r>
      <w:r w:rsidR="009E5744">
        <w:rPr>
          <w:iCs/>
        </w:rPr>
        <w:t>based on</w:t>
      </w:r>
      <w:r w:rsidR="00DE1DE6">
        <w:rPr>
          <w:iCs/>
        </w:rPr>
        <w:t xml:space="preserve"> a</w:t>
      </w:r>
      <w:r w:rsidR="007B4B1F" w:rsidRPr="007B4B1F">
        <w:rPr>
          <w:iCs/>
        </w:rPr>
        <w:t xml:space="preserve"> </w:t>
      </w:r>
      <w:r w:rsidR="0085523B">
        <w:rPr>
          <w:iCs/>
        </w:rPr>
        <w:t>robust</w:t>
      </w:r>
      <w:r w:rsidR="007B4B1F" w:rsidRPr="007B4B1F">
        <w:rPr>
          <w:iCs/>
        </w:rPr>
        <w:t xml:space="preserve"> Ph</w:t>
      </w:r>
      <w:r w:rsidR="00DE1DE6">
        <w:rPr>
          <w:iCs/>
        </w:rPr>
        <w:t>ase 3</w:t>
      </w:r>
      <w:r w:rsidR="007B4B1F" w:rsidRPr="007B4B1F">
        <w:rPr>
          <w:iCs/>
        </w:rPr>
        <w:t xml:space="preserve"> </w:t>
      </w:r>
      <w:r w:rsidR="00E1462B">
        <w:rPr>
          <w:iCs/>
        </w:rPr>
        <w:t>randomised control trial</w:t>
      </w:r>
      <w:r w:rsidR="00DE1DE6">
        <w:rPr>
          <w:iCs/>
        </w:rPr>
        <w:t xml:space="preserve">. </w:t>
      </w:r>
    </w:p>
    <w:p w14:paraId="202F3627" w14:textId="76C1AECA" w:rsidR="00765141" w:rsidRPr="008272D0" w:rsidRDefault="00765141" w:rsidP="00EF4C49">
      <w:pPr>
        <w:pStyle w:val="3-BodyText"/>
      </w:pPr>
      <w:bookmarkStart w:id="91" w:name="_Ref180004202"/>
      <w:r w:rsidRPr="008010C0">
        <w:t xml:space="preserve">The submission assumed </w:t>
      </w:r>
      <w:r w:rsidR="009A4BB8">
        <w:t>a continued treatment effect of PFS and OS</w:t>
      </w:r>
      <w:r w:rsidR="002E4442">
        <w:t xml:space="preserve"> throughout the time horizon</w:t>
      </w:r>
      <w:r w:rsidR="00924B90">
        <w:t>,</w:t>
      </w:r>
      <w:r w:rsidR="002E4442">
        <w:t xml:space="preserve"> i.e., </w:t>
      </w:r>
      <w:r w:rsidR="00BA2D58">
        <w:t>n</w:t>
      </w:r>
      <w:r w:rsidR="002601EB" w:rsidRPr="008272D0">
        <w:t>o forced convergence was applied in the economic model</w:t>
      </w:r>
      <w:r w:rsidR="00B26E5A" w:rsidRPr="008272D0">
        <w:t xml:space="preserve">. </w:t>
      </w:r>
      <w:r w:rsidR="00476C06" w:rsidRPr="008272D0">
        <w:t>Although t</w:t>
      </w:r>
      <w:r w:rsidR="00B26E5A" w:rsidRPr="008272D0">
        <w:t xml:space="preserve">he difference in treatment effect reduced as time progressed, </w:t>
      </w:r>
      <w:r w:rsidR="007A2407" w:rsidRPr="008272D0">
        <w:t>the PFS functions did not converge until 8.77 years and the OS functions did not converge until 8.11 year</w:t>
      </w:r>
      <w:r w:rsidR="00476C06" w:rsidRPr="008272D0">
        <w:t>s</w:t>
      </w:r>
      <w:r w:rsidR="008E219E" w:rsidRPr="008272D0">
        <w:t xml:space="preserve">, which was beyond the </w:t>
      </w:r>
      <w:r w:rsidR="00916E15" w:rsidRPr="008272D0">
        <w:t>7.5-year</w:t>
      </w:r>
      <w:r w:rsidR="008E219E" w:rsidRPr="008272D0">
        <w:t xml:space="preserve"> time horizon.</w:t>
      </w:r>
      <w:r w:rsidR="00476C06" w:rsidRPr="008272D0">
        <w:t xml:space="preserve"> </w:t>
      </w:r>
      <w:r w:rsidRPr="008272D0">
        <w:t>Th</w:t>
      </w:r>
      <w:r w:rsidR="00476C06" w:rsidRPr="008272D0">
        <w:t>e</w:t>
      </w:r>
      <w:r w:rsidRPr="008272D0">
        <w:t xml:space="preserve"> </w:t>
      </w:r>
      <w:r w:rsidR="00671B04" w:rsidRPr="00620E0B">
        <w:t>evaluation considered that the</w:t>
      </w:r>
      <w:r w:rsidR="00671B04">
        <w:t xml:space="preserve"> </w:t>
      </w:r>
      <w:r w:rsidRPr="008272D0">
        <w:t>assumption</w:t>
      </w:r>
      <w:r w:rsidR="00476C06" w:rsidRPr="008272D0">
        <w:t xml:space="preserve"> of continued treatment effect</w:t>
      </w:r>
      <w:r w:rsidRPr="008272D0">
        <w:t xml:space="preserve"> </w:t>
      </w:r>
      <w:r w:rsidR="001536A2">
        <w:t xml:space="preserve">was </w:t>
      </w:r>
      <w:r w:rsidRPr="008272D0">
        <w:t xml:space="preserve">not well supported. The PAPILLON trial is ongoing and 46% and 15% of patients in the ACP and CP arms respectively were still receiving treatment at the data cutoff date. Although the OS KM curves appear to slightly separate (favouring ACP) after 12 months, the OS data remains </w:t>
      </w:r>
      <w:r w:rsidR="007A67E9">
        <w:t xml:space="preserve">too </w:t>
      </w:r>
      <w:r w:rsidRPr="008272D0">
        <w:t>immature for definitive conclusions to be drawn.</w:t>
      </w:r>
      <w:bookmarkEnd w:id="91"/>
      <w:r w:rsidR="00A50EAD">
        <w:t xml:space="preserve"> </w:t>
      </w:r>
    </w:p>
    <w:p w14:paraId="4E3D3F39" w14:textId="4AC8450B" w:rsidR="00765141" w:rsidRPr="00501DB7" w:rsidRDefault="00765141" w:rsidP="00EF4C49">
      <w:pPr>
        <w:pStyle w:val="3-BodyText"/>
      </w:pPr>
      <w:r>
        <w:t>The OS KM applied in the economic model was adjusted using the TSE approach (HR=</w:t>
      </w:r>
      <w:r w:rsidRPr="0041737E">
        <w:t>0.55</w:t>
      </w:r>
      <w:r>
        <w:t xml:space="preserve">; 95% CI </w:t>
      </w:r>
      <w:r w:rsidRPr="0041737E">
        <w:rPr>
          <w:lang w:val="en-US"/>
        </w:rPr>
        <w:t>0.34, 0.89)</w:t>
      </w:r>
      <w:r>
        <w:t xml:space="preserve"> to account for treatment switching to amivantamab monotherapy in the CP arm. </w:t>
      </w:r>
      <w:r w:rsidR="000B164B" w:rsidRPr="00620E0B">
        <w:t>The ESC considered a</w:t>
      </w:r>
      <w:r w:rsidRPr="00620E0B">
        <w:t>djusting</w:t>
      </w:r>
      <w:r w:rsidRPr="008272D0">
        <w:t xml:space="preserve"> for treatment switching in the PAPILLON trial </w:t>
      </w:r>
      <w:r w:rsidR="00DF4F18" w:rsidRPr="008272D0">
        <w:t>wa</w:t>
      </w:r>
      <w:r w:rsidRPr="008272D0">
        <w:t xml:space="preserve">s reasonable. Of the three adjustment methods proposed, TSE was </w:t>
      </w:r>
      <w:r w:rsidR="000B164B" w:rsidRPr="00620E0B">
        <w:t>applied to the base case</w:t>
      </w:r>
      <w:r w:rsidRPr="00620E0B">
        <w:t>.</w:t>
      </w:r>
      <w:r w:rsidRPr="008272D0">
        <w:t xml:space="preserve"> The </w:t>
      </w:r>
      <w:r w:rsidR="000B164B" w:rsidRPr="00620E0B">
        <w:t>ESC considered this was likely reasonable</w:t>
      </w:r>
      <w:r w:rsidR="008A3E88" w:rsidRPr="00620E0B">
        <w:t>,</w:t>
      </w:r>
      <w:r w:rsidR="000B164B" w:rsidRPr="00620E0B">
        <w:t xml:space="preserve"> however noted that the</w:t>
      </w:r>
      <w:r w:rsidR="000B164B">
        <w:t xml:space="preserve"> </w:t>
      </w:r>
      <w:r w:rsidR="00260EC8" w:rsidRPr="008272D0">
        <w:t>incremental cost-effectiveness ratio (</w:t>
      </w:r>
      <w:r w:rsidRPr="008272D0">
        <w:t>ICER</w:t>
      </w:r>
      <w:r w:rsidR="00260EC8" w:rsidRPr="008272D0">
        <w:t>)</w:t>
      </w:r>
      <w:r w:rsidRPr="008272D0">
        <w:t xml:space="preserve"> </w:t>
      </w:r>
      <w:r w:rsidR="006A5361" w:rsidRPr="008272D0">
        <w:t>wa</w:t>
      </w:r>
      <w:r w:rsidRPr="008272D0">
        <w:t>s sensitiv</w:t>
      </w:r>
      <w:r w:rsidR="0062189B" w:rsidRPr="008272D0">
        <w:t>e</w:t>
      </w:r>
      <w:r w:rsidRPr="008272D0">
        <w:t xml:space="preserve"> to the adjustment method used</w:t>
      </w:r>
      <w:r w:rsidR="00924B90">
        <w:t xml:space="preserve"> (</w:t>
      </w:r>
      <w:r w:rsidR="00924B90">
        <w:fldChar w:fldCharType="begin"/>
      </w:r>
      <w:r w:rsidR="00924B90">
        <w:instrText xml:space="preserve"> REF _Ref104804865 \h </w:instrText>
      </w:r>
      <w:r w:rsidR="00924B90">
        <w:fldChar w:fldCharType="separate"/>
      </w:r>
      <w:r w:rsidR="00372107" w:rsidRPr="0098262F">
        <w:t xml:space="preserve">Table </w:t>
      </w:r>
      <w:r w:rsidR="00372107">
        <w:rPr>
          <w:noProof/>
        </w:rPr>
        <w:t>13</w:t>
      </w:r>
      <w:r w:rsidR="00924B90">
        <w:fldChar w:fldCharType="end"/>
      </w:r>
      <w:r w:rsidR="00924B90">
        <w:t>)</w:t>
      </w:r>
      <w:r w:rsidRPr="008272D0">
        <w:t xml:space="preserve">. </w:t>
      </w:r>
    </w:p>
    <w:p w14:paraId="17B355D8" w14:textId="7B57CBC5" w:rsidR="00765141" w:rsidRPr="00D73659" w:rsidRDefault="00765141" w:rsidP="00BC7B73">
      <w:pPr>
        <w:pStyle w:val="5-SubsectionSubheading"/>
        <w:spacing w:after="120"/>
      </w:pPr>
      <w:r>
        <w:t>Extrapolation time points</w:t>
      </w:r>
    </w:p>
    <w:p w14:paraId="55F10CCB" w14:textId="652D8571" w:rsidR="00765141" w:rsidRPr="000B6F6C" w:rsidRDefault="00765141" w:rsidP="00EF4C49">
      <w:pPr>
        <w:pStyle w:val="3-BodyText"/>
        <w:rPr>
          <w:color w:val="0066FF"/>
        </w:rPr>
      </w:pPr>
      <w:r w:rsidRPr="00C26F11">
        <w:t>The submission applied the KM data from</w:t>
      </w:r>
      <w:r w:rsidRPr="00101822">
        <w:t xml:space="preserve"> the </w:t>
      </w:r>
      <w:r>
        <w:t xml:space="preserve">PAPILLON trial for </w:t>
      </w:r>
      <w:r w:rsidRPr="00101822">
        <w:t>both PFS and OS up until the point where 10% of patients remained at ris</w:t>
      </w:r>
      <w:r>
        <w:t>k</w:t>
      </w:r>
      <w:r w:rsidR="00F8093D" w:rsidRPr="00F8093D">
        <w:t>. The sub</w:t>
      </w:r>
      <w:r w:rsidR="00F8093D">
        <w:t xml:space="preserve">mission reported that </w:t>
      </w:r>
      <w:r w:rsidR="00B8478A" w:rsidRPr="000B6F6C">
        <w:t>b</w:t>
      </w:r>
      <w:r w:rsidRPr="000B6F6C">
        <w:t>ased on this, the extrapolation of PFS began at 18 months in the ACP arm and at 11.5</w:t>
      </w:r>
      <w:r w:rsidR="00CF3FAD">
        <w:t> </w:t>
      </w:r>
      <w:r w:rsidRPr="000B6F6C">
        <w:t>months in the CP arm. The extrapolation of OS began at 21 months in the ACP arm and 18.3 months in the CP arm.</w:t>
      </w:r>
    </w:p>
    <w:p w14:paraId="48FD2048" w14:textId="77777777" w:rsidR="00765141" w:rsidRPr="00C603D4" w:rsidRDefault="00765141" w:rsidP="00865031">
      <w:pPr>
        <w:pStyle w:val="5-SubsectionSubheading"/>
        <w:spacing w:after="120"/>
      </w:pPr>
      <w:r w:rsidRPr="00C603D4">
        <w:t>Extrapolation of PFS</w:t>
      </w:r>
    </w:p>
    <w:p w14:paraId="561C7219" w14:textId="0D1AEBBE" w:rsidR="000B6F6C" w:rsidRDefault="00765141" w:rsidP="00EF4C49">
      <w:pPr>
        <w:pStyle w:val="3-BodyText"/>
      </w:pPr>
      <w:r w:rsidRPr="00647353">
        <w:rPr>
          <w:i/>
        </w:rPr>
        <w:fldChar w:fldCharType="begin"/>
      </w:r>
      <w:r>
        <w:instrText xml:space="preserve"> REF _Ref174606424 \h </w:instrText>
      </w:r>
      <w:r w:rsidRPr="00647353">
        <w:rPr>
          <w:i/>
        </w:rPr>
      </w:r>
      <w:r w:rsidRPr="00647353">
        <w:rPr>
          <w:i/>
        </w:rPr>
        <w:fldChar w:fldCharType="separate"/>
      </w:r>
      <w:r w:rsidR="00372107">
        <w:t xml:space="preserve">Figure </w:t>
      </w:r>
      <w:r w:rsidR="00372107">
        <w:rPr>
          <w:noProof/>
        </w:rPr>
        <w:t>4</w:t>
      </w:r>
      <w:r w:rsidRPr="00647353">
        <w:rPr>
          <w:i/>
        </w:rPr>
        <w:fldChar w:fldCharType="end"/>
      </w:r>
      <w:r w:rsidRPr="004C244A">
        <w:t xml:space="preserve"> shows the extrapolation curves </w:t>
      </w:r>
      <w:r>
        <w:t>using different</w:t>
      </w:r>
      <w:r w:rsidR="006F64F1">
        <w:t xml:space="preserve"> parametric</w:t>
      </w:r>
      <w:r>
        <w:t xml:space="preserve"> distributions</w:t>
      </w:r>
      <w:r w:rsidR="0050405D">
        <w:t xml:space="preserve"> </w:t>
      </w:r>
      <w:r w:rsidRPr="004C244A">
        <w:t>and the PFS KM curve from the PAPILLON trial.</w:t>
      </w:r>
      <w:r w:rsidRPr="008272D0">
        <w:t xml:space="preserve"> </w:t>
      </w:r>
      <w:r w:rsidRPr="006300F4">
        <w:t xml:space="preserve">The gamma distribution (solid purple and dashed purple) was selected to extrapolate PFS for both the ACP and CP arms as it </w:t>
      </w:r>
      <w:r w:rsidR="00075A82">
        <w:t xml:space="preserve">was </w:t>
      </w:r>
      <w:r w:rsidR="00075A82">
        <w:lastRenderedPageBreak/>
        <w:t>the</w:t>
      </w:r>
      <w:r w:rsidRPr="006300F4">
        <w:t xml:space="preserve"> best fitting for CP according to the </w:t>
      </w:r>
      <w:r w:rsidR="009032D8">
        <w:t>Ak</w:t>
      </w:r>
      <w:r w:rsidR="002B556D">
        <w:t>aike</w:t>
      </w:r>
      <w:r w:rsidR="000E137C">
        <w:t xml:space="preserve"> Information Criterion (</w:t>
      </w:r>
      <w:r w:rsidRPr="006300F4">
        <w:t>AIC</w:t>
      </w:r>
      <w:r w:rsidR="000E137C">
        <w:t xml:space="preserve">) and </w:t>
      </w:r>
      <w:r w:rsidR="007326FE">
        <w:t>the Bayesian Information Criterion (</w:t>
      </w:r>
      <w:r w:rsidRPr="006300F4">
        <w:t>BIC</w:t>
      </w:r>
      <w:r w:rsidR="007326FE">
        <w:t>)</w:t>
      </w:r>
      <w:r w:rsidRPr="006300F4">
        <w:t xml:space="preserve"> and second-best fitting for ACP. </w:t>
      </w:r>
    </w:p>
    <w:p w14:paraId="31CC4293" w14:textId="54B0960B" w:rsidR="00765141" w:rsidRPr="005E01A4" w:rsidRDefault="00765141" w:rsidP="00EF4C49">
      <w:pPr>
        <w:pStyle w:val="3-BodyText"/>
      </w:pPr>
      <w:r w:rsidRPr="00B12F0C">
        <w:t>The submission noted that the other distributions either did not provide the best statistical fit (exponential and Gompertz) or resulted in clinically implausible scenarios (e.g. log</w:t>
      </w:r>
      <w:r w:rsidR="00E122B0">
        <w:t>-</w:t>
      </w:r>
      <w:r w:rsidRPr="00B12F0C">
        <w:t>logistic where 5.17% of patients would remain at-risk at 5 years).</w:t>
      </w:r>
      <w:r w:rsidRPr="008272D0">
        <w:t xml:space="preserve"> </w:t>
      </w:r>
      <w:r w:rsidR="0001581E" w:rsidRPr="008A3E88">
        <w:t>T</w:t>
      </w:r>
      <w:r w:rsidRPr="008A3E88">
        <w:t>he</w:t>
      </w:r>
      <w:r w:rsidRPr="008A3E88">
        <w:rPr>
          <w:i/>
        </w:rPr>
        <w:t xml:space="preserve"> </w:t>
      </w:r>
      <w:r w:rsidRPr="008272D0">
        <w:t>selection of the gamma distribution appear</w:t>
      </w:r>
      <w:r w:rsidR="00BF1AB8" w:rsidRPr="008272D0">
        <w:t>ed</w:t>
      </w:r>
      <w:r w:rsidRPr="008272D0">
        <w:t xml:space="preserve"> to be the best fitting curve among those tested</w:t>
      </w:r>
      <w:r w:rsidR="0001581E" w:rsidRPr="008272D0">
        <w:t>.</w:t>
      </w:r>
      <w:r w:rsidRPr="008272D0">
        <w:t xml:space="preserve"> The </w:t>
      </w:r>
      <w:r w:rsidR="00572E9D" w:rsidRPr="008272D0">
        <w:t xml:space="preserve">choice </w:t>
      </w:r>
      <w:r w:rsidRPr="008272D0">
        <w:t xml:space="preserve">of distribution for PFS for the ACP arm of the model had a moderate impact on the ICER which ranged between </w:t>
      </w:r>
      <w:r w:rsidR="00C204DE" w:rsidRPr="00C204DE">
        <w:t>$75,000 to &lt; $95,000</w:t>
      </w:r>
      <w:r w:rsidRPr="008A6213">
        <w:t>/QALY</w:t>
      </w:r>
      <w:r w:rsidRPr="008272D0">
        <w:t xml:space="preserve"> gained (-6%</w:t>
      </w:r>
      <w:r w:rsidR="00572E9D" w:rsidRPr="008272D0">
        <w:t xml:space="preserve"> change from base case of </w:t>
      </w:r>
      <w:r w:rsidR="00C204DE" w:rsidRPr="00C204DE">
        <w:t>$75,000 to &lt; $95,000</w:t>
      </w:r>
      <w:r w:rsidR="00572E9D" w:rsidRPr="008272D0">
        <w:t>/QALY gained</w:t>
      </w:r>
      <w:r w:rsidRPr="008272D0">
        <w:t xml:space="preserve">) when the Gompertz distribution was applied and </w:t>
      </w:r>
      <w:r w:rsidR="00C204DE" w:rsidRPr="00C204DE">
        <w:t>$75,000 to &lt; $95,000</w:t>
      </w:r>
      <w:r w:rsidRPr="008272D0">
        <w:t xml:space="preserve">/QALY gained (+16%) when the lognormal distribution was applied. </w:t>
      </w:r>
    </w:p>
    <w:p w14:paraId="0422C1C5" w14:textId="58C5BDFD" w:rsidR="00765141" w:rsidRDefault="00765141" w:rsidP="00765141">
      <w:pPr>
        <w:pStyle w:val="Caption"/>
      </w:pPr>
      <w:bookmarkStart w:id="92" w:name="_Ref174606424"/>
      <w:r>
        <w:t xml:space="preserve">Figure </w:t>
      </w:r>
      <w:r w:rsidR="002C794C">
        <w:fldChar w:fldCharType="begin"/>
      </w:r>
      <w:r w:rsidR="002C794C">
        <w:instrText xml:space="preserve"> SEQ Figure \* ARABIC </w:instrText>
      </w:r>
      <w:r w:rsidR="002C794C">
        <w:fldChar w:fldCharType="separate"/>
      </w:r>
      <w:r w:rsidR="00372107">
        <w:rPr>
          <w:noProof/>
        </w:rPr>
        <w:t>4</w:t>
      </w:r>
      <w:r w:rsidR="002C794C">
        <w:rPr>
          <w:noProof/>
        </w:rPr>
        <w:fldChar w:fldCharType="end"/>
      </w:r>
      <w:bookmarkEnd w:id="92"/>
      <w:r>
        <w:t xml:space="preserve"> : Extrapolation of PFS using several standard parametric distributions</w:t>
      </w:r>
    </w:p>
    <w:p w14:paraId="4470572B" w14:textId="77777777" w:rsidR="00765141" w:rsidRDefault="00765141" w:rsidP="00865031">
      <w:pPr>
        <w:pStyle w:val="3-BodyText"/>
        <w:numPr>
          <w:ilvl w:val="0"/>
          <w:numId w:val="0"/>
        </w:numPr>
        <w:spacing w:after="0"/>
      </w:pPr>
      <w:r>
        <w:rPr>
          <w:noProof/>
        </w:rPr>
        <w:drawing>
          <wp:inline distT="0" distB="0" distL="0" distR="0" wp14:anchorId="637EE175" wp14:editId="159C3380">
            <wp:extent cx="5732145" cy="3262630"/>
            <wp:effectExtent l="0" t="0" r="0" b="1270"/>
            <wp:docPr id="299069176" name="Graphic 299069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bwMode="auto">
                    <a:xfrm>
                      <a:off x="0" y="0"/>
                      <a:ext cx="5732145" cy="3262630"/>
                    </a:xfrm>
                    <a:prstGeom prst="rect">
                      <a:avLst/>
                    </a:prstGeom>
                  </pic:spPr>
                </pic:pic>
              </a:graphicData>
            </a:graphic>
          </wp:inline>
        </w:drawing>
      </w:r>
    </w:p>
    <w:p w14:paraId="24CCD3BB" w14:textId="77777777" w:rsidR="00765141" w:rsidRPr="00C06BAC" w:rsidRDefault="00765141" w:rsidP="00AD07E3">
      <w:pPr>
        <w:pStyle w:val="TableFigureFooter"/>
      </w:pPr>
      <w:r w:rsidRPr="00501DB7">
        <w:t>Source: Figure 3.7, p171 of the submission</w:t>
      </w:r>
    </w:p>
    <w:p w14:paraId="60E36EDE" w14:textId="34BE63C9" w:rsidR="00765141" w:rsidRPr="00C06BAC" w:rsidRDefault="00765141" w:rsidP="00AD07E3">
      <w:pPr>
        <w:pStyle w:val="TableFigureFooter"/>
      </w:pPr>
      <w:r w:rsidRPr="00501DB7">
        <w:t xml:space="preserve">Abbreviations: ACP, amivantamab plus carboplatin/ pemetrexed; </w:t>
      </w:r>
      <w:r w:rsidR="004A1270">
        <w:t xml:space="preserve">BICR, </w:t>
      </w:r>
      <w:r w:rsidR="004A1270" w:rsidRPr="004A1270">
        <w:t>after blinded independent central review</w:t>
      </w:r>
      <w:r w:rsidR="004A1270">
        <w:t>;</w:t>
      </w:r>
      <w:r w:rsidRPr="00501DB7">
        <w:t xml:space="preserve"> CP, carboplatin/ pemetrexed; KM, Kaplan-Meier; PFS</w:t>
      </w:r>
      <w:r w:rsidR="004A1270">
        <w:t>,</w:t>
      </w:r>
      <w:r w:rsidRPr="00501DB7">
        <w:t xml:space="preserve"> progression free survival</w:t>
      </w:r>
    </w:p>
    <w:p w14:paraId="30C0E878" w14:textId="5DEB76B4" w:rsidR="00A640A7" w:rsidRPr="00A640A7" w:rsidRDefault="00765141" w:rsidP="00EF4C49">
      <w:pPr>
        <w:pStyle w:val="3-BodyText"/>
        <w:rPr>
          <w:b/>
          <w:bCs/>
        </w:rPr>
      </w:pPr>
      <w:r>
        <w:t xml:space="preserve">The submission assumed </w:t>
      </w:r>
      <w:r w:rsidR="009B5412">
        <w:t>a continued treatment effect of PFS throughout the time horizon; i.e., no treatment waning was applied</w:t>
      </w:r>
      <w:r w:rsidRPr="00442B2F">
        <w:t>.</w:t>
      </w:r>
      <w:r w:rsidRPr="008272D0">
        <w:t xml:space="preserve"> The extrapolation in the ACP arm begins at 18 months, and visually it can be seen that the gamma ACP curve begins to flatten out at approximately this point while the CP gamma trace is 0% by 24 months. Due to the tails in the extrapolation curve</w:t>
      </w:r>
      <w:r w:rsidR="005C353E" w:rsidRPr="008272D0">
        <w:t>,</w:t>
      </w:r>
      <w:r w:rsidRPr="008272D0">
        <w:t xml:space="preserve"> a difference in PFS is maintained at 5 years where 0.5% of patients in the ACP arm and 0% in the CP arm remain in PFS.</w:t>
      </w:r>
      <w:r w:rsidR="00E804D2">
        <w:t xml:space="preserve"> </w:t>
      </w:r>
      <w:r w:rsidR="00E804D2" w:rsidRPr="00620E0B">
        <w:t>The ESC considered the base case extrapolation of PFS was likely reasonable, however noted that the ICER was sensitive to the PFS extrapolation function applied to the ACP arm.</w:t>
      </w:r>
    </w:p>
    <w:p w14:paraId="64F59936" w14:textId="245D7792" w:rsidR="00765141" w:rsidRDefault="00765141" w:rsidP="00865031">
      <w:pPr>
        <w:pStyle w:val="5-SubsectionSubheading"/>
        <w:spacing w:after="120"/>
      </w:pPr>
      <w:r>
        <w:lastRenderedPageBreak/>
        <w:t xml:space="preserve">Extrapolation of OS </w:t>
      </w:r>
    </w:p>
    <w:p w14:paraId="1272EA7D" w14:textId="1C58CC79" w:rsidR="00AA6850" w:rsidRPr="008272D0" w:rsidRDefault="00765141" w:rsidP="00EF4C49">
      <w:pPr>
        <w:pStyle w:val="3-BodyText"/>
        <w:rPr>
          <w:lang w:val="en-GB"/>
        </w:rPr>
      </w:pPr>
      <w:r>
        <w:t>For the ACP arm, a generalised gamma distribution was applied, and in the CP arm a log</w:t>
      </w:r>
      <w:r w:rsidR="00360637">
        <w:t>-</w:t>
      </w:r>
      <w:r>
        <w:t xml:space="preserve">logistic distribution was applied to extrapolate OS. The submission stated that due to violation of the proportional hazards assumption independent </w:t>
      </w:r>
      <w:r w:rsidR="00B87E5D">
        <w:t xml:space="preserve">curve </w:t>
      </w:r>
      <w:r>
        <w:t xml:space="preserve">fitting for each arm of the PAPILLON trial data was </w:t>
      </w:r>
      <w:r w:rsidR="00AA6850">
        <w:t>performed</w:t>
      </w:r>
      <w:r w:rsidR="00AA6850" w:rsidRPr="00620E0B">
        <w:t>. Th</w:t>
      </w:r>
      <w:r w:rsidR="00B87E5D" w:rsidRPr="00620E0B">
        <w:t>e evaluation considered that this</w:t>
      </w:r>
      <w:r w:rsidR="00AA6850" w:rsidRPr="008272D0">
        <w:t xml:space="preserve"> </w:t>
      </w:r>
      <w:r w:rsidR="00B71475" w:rsidRPr="008272D0">
        <w:t>was</w:t>
      </w:r>
      <w:r w:rsidR="00AA6850" w:rsidRPr="008272D0">
        <w:t xml:space="preserve"> reasonable.</w:t>
      </w:r>
    </w:p>
    <w:p w14:paraId="7C2843C8" w14:textId="530A4FA8" w:rsidR="00CC647F" w:rsidRPr="00BB7B2C" w:rsidRDefault="00995EEE" w:rsidP="00EF4C49">
      <w:pPr>
        <w:pStyle w:val="3-BodyText"/>
        <w:rPr>
          <w:lang w:val="en-GB"/>
        </w:rPr>
      </w:pPr>
      <w:r>
        <w:t>In the ACP arm of the model the best fit according to the BIC and AIC was the exponential curve, however the generalised gamma curve was selected</w:t>
      </w:r>
      <w:r w:rsidR="00181F11">
        <w:t xml:space="preserve"> for the base case</w:t>
      </w:r>
      <w:r w:rsidR="00BA4AB0">
        <w:t>. The submission considered that</w:t>
      </w:r>
      <w:r w:rsidR="00181F11">
        <w:t xml:space="preserve"> the generalised gamma </w:t>
      </w:r>
      <w:r w:rsidR="00CD7572">
        <w:t xml:space="preserve">curve </w:t>
      </w:r>
      <w:r w:rsidR="00181F11">
        <w:t>better match</w:t>
      </w:r>
      <w:r w:rsidR="003B07EC">
        <w:t>ed</w:t>
      </w:r>
      <w:r w:rsidR="00181F11">
        <w:t xml:space="preserve"> the </w:t>
      </w:r>
      <w:r w:rsidR="00536DDE" w:rsidRPr="589D1AEF">
        <w:rPr>
          <w:lang w:val="en-GB"/>
        </w:rPr>
        <w:t xml:space="preserve">empiric </w:t>
      </w:r>
      <w:r w:rsidR="00181F11">
        <w:t xml:space="preserve">hazard data from </w:t>
      </w:r>
      <w:r w:rsidR="00536DDE">
        <w:t xml:space="preserve">the </w:t>
      </w:r>
      <w:r w:rsidR="00181F11">
        <w:t>PAPILLON</w:t>
      </w:r>
      <w:r w:rsidR="00536DDE">
        <w:t xml:space="preserve"> trial</w:t>
      </w:r>
      <w:r w:rsidR="00181F11">
        <w:t xml:space="preserve"> </w:t>
      </w:r>
      <w:proofErr w:type="gramStart"/>
      <w:r w:rsidR="00181F11">
        <w:t xml:space="preserve">and </w:t>
      </w:r>
      <w:r w:rsidR="0037103B">
        <w:t>also</w:t>
      </w:r>
      <w:proofErr w:type="gramEnd"/>
      <w:r w:rsidR="0037103B">
        <w:t xml:space="preserve"> considered</w:t>
      </w:r>
      <w:r w:rsidR="00536DDE">
        <w:t xml:space="preserve"> it </w:t>
      </w:r>
      <w:r w:rsidR="0037103B">
        <w:t>provided</w:t>
      </w:r>
      <w:r w:rsidR="00181F11">
        <w:t xml:space="preserve"> conservative 5-year and median sur</w:t>
      </w:r>
      <w:r w:rsidR="00515D06">
        <w:t xml:space="preserve">vival estimates </w:t>
      </w:r>
      <w:r w:rsidR="00940985">
        <w:t>(</w:t>
      </w:r>
      <w:r w:rsidR="00515D06">
        <w:t>22.65% and 36 months, respectively</w:t>
      </w:r>
      <w:r w:rsidR="00940985">
        <w:t>)</w:t>
      </w:r>
      <w:r>
        <w:t xml:space="preserve">. </w:t>
      </w:r>
      <w:r w:rsidR="007D2189">
        <w:t xml:space="preserve">For CP, the </w:t>
      </w:r>
      <w:r>
        <w:t>submission reported that the log</w:t>
      </w:r>
      <w:r w:rsidR="000D0986">
        <w:t>-</w:t>
      </w:r>
      <w:r>
        <w:t xml:space="preserve">logistic curve was most appropriate compared to the other TSE-adjusted extrapolations which estimated </w:t>
      </w:r>
      <w:r w:rsidRPr="008521E6">
        <w:rPr>
          <w:rFonts w:cs="Arial"/>
        </w:rPr>
        <w:t>≤</w:t>
      </w:r>
      <w:r w:rsidR="00C624C0">
        <w:t>3</w:t>
      </w:r>
      <w:r>
        <w:t xml:space="preserve">% (Weibull, Gompertz, Gamma, and generalised gamma) or </w:t>
      </w:r>
      <w:r w:rsidRPr="008521E6">
        <w:rPr>
          <w:rFonts w:cs="Arial"/>
        </w:rPr>
        <w:t>≥</w:t>
      </w:r>
      <w:r w:rsidR="002815E6">
        <w:t>10</w:t>
      </w:r>
      <w:r>
        <w:t>% (</w:t>
      </w:r>
      <w:r w:rsidR="0098073B">
        <w:t>e</w:t>
      </w:r>
      <w:r>
        <w:t xml:space="preserve">xponential and </w:t>
      </w:r>
      <w:r w:rsidR="0098073B">
        <w:t>l</w:t>
      </w:r>
      <w:r>
        <w:t>og</w:t>
      </w:r>
      <w:r w:rsidR="0098073B">
        <w:t>-</w:t>
      </w:r>
      <w:r>
        <w:t xml:space="preserve">normal) survival at 5 years. </w:t>
      </w:r>
      <w:r w:rsidR="00D25FAD">
        <w:t>Surv</w:t>
      </w:r>
      <w:r w:rsidR="00095AD9">
        <w:t xml:space="preserve">ival at 5 years with the log-logistic curve was 7.6%, </w:t>
      </w:r>
      <w:r w:rsidR="00D0505D">
        <w:t>which the submission argued was consistent with the 8% reported by Bazhenova et al (2021).</w:t>
      </w:r>
      <w:r w:rsidR="00BB7B2C">
        <w:rPr>
          <w:lang w:val="en-GB"/>
        </w:rPr>
        <w:t xml:space="preserve"> </w:t>
      </w:r>
      <w:r w:rsidRPr="00620E0B">
        <w:t xml:space="preserve">The </w:t>
      </w:r>
      <w:r w:rsidR="00B87E5D" w:rsidRPr="00620E0B">
        <w:t xml:space="preserve">evaluation considered the selected </w:t>
      </w:r>
      <w:r w:rsidRPr="00BB7B2C">
        <w:t>parametric distributions appear</w:t>
      </w:r>
      <w:r w:rsidR="00B87E5D" w:rsidRPr="00BB7B2C">
        <w:t>ed</w:t>
      </w:r>
      <w:r w:rsidRPr="00BB7B2C">
        <w:t xml:space="preserve"> reasonable. </w:t>
      </w:r>
    </w:p>
    <w:p w14:paraId="3990796C" w14:textId="15791690" w:rsidR="00CC647F" w:rsidRDefault="00765141" w:rsidP="00EF4C49">
      <w:pPr>
        <w:pStyle w:val="3-BodyText"/>
        <w:rPr>
          <w:lang w:val="en-GB"/>
        </w:rPr>
      </w:pPr>
      <w:r w:rsidRPr="00CC647F">
        <w:rPr>
          <w:lang w:val="en-GB"/>
        </w:rPr>
        <w:t>In the ACP arm, applying a log</w:t>
      </w:r>
      <w:r w:rsidR="00A933C1" w:rsidRPr="00CC647F">
        <w:rPr>
          <w:lang w:val="en-GB"/>
        </w:rPr>
        <w:t>-</w:t>
      </w:r>
      <w:r w:rsidRPr="00CC647F">
        <w:rPr>
          <w:lang w:val="en-GB"/>
        </w:rPr>
        <w:t xml:space="preserve">logistic function would have resulted in an estimated </w:t>
      </w:r>
      <w:proofErr w:type="gramStart"/>
      <w:r w:rsidRPr="00CC647F">
        <w:rPr>
          <w:lang w:val="en-GB"/>
        </w:rPr>
        <w:t>5</w:t>
      </w:r>
      <w:r w:rsidR="00D3464A">
        <w:rPr>
          <w:lang w:val="en-GB"/>
        </w:rPr>
        <w:softHyphen/>
      </w:r>
      <w:r w:rsidRPr="00CC647F">
        <w:rPr>
          <w:lang w:val="en-GB"/>
        </w:rPr>
        <w:t>year</w:t>
      </w:r>
      <w:proofErr w:type="gramEnd"/>
      <w:r w:rsidRPr="00CC647F">
        <w:rPr>
          <w:lang w:val="en-GB"/>
        </w:rPr>
        <w:t xml:space="preserve"> OS of 42%</w:t>
      </w:r>
      <w:r w:rsidR="0059215D" w:rsidRPr="00CC647F">
        <w:rPr>
          <w:lang w:val="en-GB"/>
        </w:rPr>
        <w:t xml:space="preserve"> (</w:t>
      </w:r>
      <w:r w:rsidR="00C878A3" w:rsidRPr="00CC647F">
        <w:rPr>
          <w:lang w:val="en-GB"/>
        </w:rPr>
        <w:t>likely</w:t>
      </w:r>
      <w:r w:rsidR="00070D0B" w:rsidRPr="00CC647F">
        <w:rPr>
          <w:lang w:val="en-GB"/>
        </w:rPr>
        <w:t xml:space="preserve"> clinically implausible)</w:t>
      </w:r>
      <w:r w:rsidRPr="00CC647F">
        <w:rPr>
          <w:lang w:val="en-GB"/>
        </w:rPr>
        <w:t xml:space="preserve">, compared to 23% OS estimated with the </w:t>
      </w:r>
      <w:r w:rsidR="00F65EB3">
        <w:rPr>
          <w:lang w:val="en-GB"/>
        </w:rPr>
        <w:t xml:space="preserve">applied </w:t>
      </w:r>
      <w:r w:rsidRPr="00CC647F">
        <w:rPr>
          <w:lang w:val="en-GB"/>
        </w:rPr>
        <w:t>generalised gamma distribution for this arm. For the CP arm, the log</w:t>
      </w:r>
      <w:r w:rsidR="00A933C1" w:rsidRPr="00CC647F">
        <w:rPr>
          <w:lang w:val="en-GB"/>
        </w:rPr>
        <w:t>-</w:t>
      </w:r>
      <w:r w:rsidRPr="00CC647F">
        <w:rPr>
          <w:lang w:val="en-GB"/>
        </w:rPr>
        <w:t>logistic distribution resulted in a 5-year OS of 7%, compared to 1</w:t>
      </w:r>
      <w:r w:rsidR="00070D0B" w:rsidRPr="00CC647F">
        <w:rPr>
          <w:lang w:val="en-GB"/>
        </w:rPr>
        <w:t>1</w:t>
      </w:r>
      <w:r w:rsidRPr="00CC647F">
        <w:rPr>
          <w:lang w:val="en-GB"/>
        </w:rPr>
        <w:t>% if the generalised gamma function had been applied.</w:t>
      </w:r>
      <w:bookmarkStart w:id="93" w:name="_Ref180004408"/>
    </w:p>
    <w:p w14:paraId="12F5361A" w14:textId="0884E7E9" w:rsidR="00B57236" w:rsidRPr="0087022E" w:rsidRDefault="00A976D0" w:rsidP="00EF4C49">
      <w:pPr>
        <w:pStyle w:val="3-BodyText"/>
        <w:rPr>
          <w:lang w:val="en-GB"/>
        </w:rPr>
      </w:pPr>
      <w:bookmarkStart w:id="94" w:name="_Ref180569537"/>
      <w:r w:rsidRPr="00CC647F">
        <w:t>The</w:t>
      </w:r>
      <w:r w:rsidR="00765141" w:rsidRPr="00CC647F">
        <w:t xml:space="preserve"> economic model</w:t>
      </w:r>
      <w:r w:rsidR="00B01BA4" w:rsidRPr="00CC647F">
        <w:t xml:space="preserve"> assume</w:t>
      </w:r>
      <w:r w:rsidR="00581CE9" w:rsidRPr="00CC647F">
        <w:t>d</w:t>
      </w:r>
      <w:r w:rsidR="00B01BA4" w:rsidRPr="00CC647F">
        <w:t xml:space="preserve"> that </w:t>
      </w:r>
      <w:r w:rsidR="00765141" w:rsidRPr="00CC647F">
        <w:t xml:space="preserve">ACP has a treatment advantage in OS over CP </w:t>
      </w:r>
      <w:r w:rsidR="00D25B57" w:rsidRPr="00CC647F">
        <w:t xml:space="preserve">with a </w:t>
      </w:r>
      <w:r w:rsidR="008E3E83" w:rsidRPr="00CC647F">
        <w:t>continued treatment effect</w:t>
      </w:r>
      <w:r w:rsidR="00950749" w:rsidRPr="00CC647F">
        <w:t xml:space="preserve"> </w:t>
      </w:r>
      <w:r w:rsidR="00765141" w:rsidRPr="00CC647F">
        <w:t xml:space="preserve">throughout the time horizon. </w:t>
      </w:r>
      <w:r w:rsidR="00EC41D8">
        <w:t>T</w:t>
      </w:r>
      <w:r w:rsidR="00B87E5D" w:rsidRPr="00620E0B">
        <w:t>he evaluation considered that this</w:t>
      </w:r>
      <w:r w:rsidR="00B87E5D" w:rsidRPr="00CC647F">
        <w:t xml:space="preserve"> </w:t>
      </w:r>
      <w:r w:rsidR="00765141" w:rsidRPr="00CC647F">
        <w:t xml:space="preserve">assumption </w:t>
      </w:r>
      <w:r w:rsidR="00936ABF" w:rsidRPr="00CC647F">
        <w:t xml:space="preserve">and the ongoing </w:t>
      </w:r>
      <w:r w:rsidR="00291D3B" w:rsidRPr="00CC647F">
        <w:t xml:space="preserve">OS </w:t>
      </w:r>
      <w:r w:rsidR="00936ABF" w:rsidRPr="00CC647F">
        <w:t xml:space="preserve">treatment effect </w:t>
      </w:r>
      <w:r w:rsidR="00CC7433" w:rsidRPr="00CC647F">
        <w:t>we</w:t>
      </w:r>
      <w:r w:rsidR="00936ABF" w:rsidRPr="00CC647F">
        <w:t xml:space="preserve">re </w:t>
      </w:r>
      <w:r w:rsidR="00765141" w:rsidRPr="00CC647F">
        <w:t xml:space="preserve">not well supported given the immaturity of the data. The ICER </w:t>
      </w:r>
      <w:r w:rsidR="00CC7433" w:rsidRPr="00CC647F">
        <w:t>wa</w:t>
      </w:r>
      <w:r w:rsidR="00765141" w:rsidRPr="00CC647F">
        <w:t xml:space="preserve">s highly sensitive to both the method chosen to adjust for treatment switching and the distributions selected for extrapolation of </w:t>
      </w:r>
      <w:r w:rsidR="00CC7433" w:rsidRPr="00CC647F">
        <w:t>OS</w:t>
      </w:r>
      <w:r w:rsidR="00765141" w:rsidRPr="00CC647F">
        <w:t>.</w:t>
      </w:r>
      <w:bookmarkEnd w:id="93"/>
      <w:bookmarkEnd w:id="94"/>
    </w:p>
    <w:bookmarkStart w:id="95" w:name="_Ref180004482"/>
    <w:p w14:paraId="49F42F5E" w14:textId="7F328DB8" w:rsidR="00BE2412" w:rsidRPr="00C06BAC" w:rsidRDefault="007E6537" w:rsidP="00EF4C49">
      <w:pPr>
        <w:pStyle w:val="3-BodyText"/>
      </w:pPr>
      <w:r>
        <w:fldChar w:fldCharType="begin"/>
      </w:r>
      <w:r>
        <w:instrText xml:space="preserve"> REF _Ref177042542 \h </w:instrText>
      </w:r>
      <w:r>
        <w:fldChar w:fldCharType="separate"/>
      </w:r>
      <w:r w:rsidR="00372107">
        <w:t xml:space="preserve">Table </w:t>
      </w:r>
      <w:r w:rsidR="00372107">
        <w:rPr>
          <w:noProof/>
        </w:rPr>
        <w:t>10</w:t>
      </w:r>
      <w:r>
        <w:fldChar w:fldCharType="end"/>
      </w:r>
      <w:r w:rsidR="00A018F3">
        <w:t xml:space="preserve"> </w:t>
      </w:r>
      <w:r w:rsidR="008F649B">
        <w:t xml:space="preserve">displays the mean and median OS in the economic model when each of the parametric </w:t>
      </w:r>
      <w:r w:rsidR="008F649B" w:rsidRPr="0011037F">
        <w:t xml:space="preserve">functions </w:t>
      </w:r>
      <w:r w:rsidR="00591C72">
        <w:t>were</w:t>
      </w:r>
      <w:r w:rsidR="008F649B" w:rsidRPr="0011037F">
        <w:t xml:space="preserve"> applied. </w:t>
      </w:r>
      <w:r w:rsidR="00801A98" w:rsidRPr="0011037F">
        <w:t xml:space="preserve">In the ACP arm mean OS ranged from </w:t>
      </w:r>
      <w:r w:rsidR="00DF1428" w:rsidRPr="0011037F">
        <w:t>2.84 years</w:t>
      </w:r>
      <w:r w:rsidR="00CF04B1" w:rsidRPr="0011037F">
        <w:t xml:space="preserve"> (Gompertz)</w:t>
      </w:r>
      <w:r w:rsidR="00D34C21" w:rsidRPr="0011037F">
        <w:t xml:space="preserve"> to</w:t>
      </w:r>
      <w:r w:rsidR="00715DB6" w:rsidRPr="0011037F">
        <w:t xml:space="preserve"> 5.34 years (</w:t>
      </w:r>
      <w:r w:rsidR="003440CA" w:rsidRPr="0011037F">
        <w:t xml:space="preserve">Lognormal). In the CP arm mean OS ranged from </w:t>
      </w:r>
      <w:r w:rsidR="00151CC2" w:rsidRPr="0011037F">
        <w:t xml:space="preserve">1.65 years (Gompertz) to </w:t>
      </w:r>
      <w:r w:rsidR="00743DFE" w:rsidRPr="0011037F">
        <w:t xml:space="preserve">3.01 (exponential). </w:t>
      </w:r>
      <w:r w:rsidR="00656EE9" w:rsidRPr="00B57236">
        <w:t>Median</w:t>
      </w:r>
      <w:r w:rsidR="00B762F0" w:rsidRPr="00B57236">
        <w:t xml:space="preserve"> real-world</w:t>
      </w:r>
      <w:r w:rsidR="00656EE9" w:rsidRPr="00B57236">
        <w:t xml:space="preserve"> OS </w:t>
      </w:r>
      <w:r w:rsidR="00B762F0" w:rsidRPr="00B57236">
        <w:t xml:space="preserve">reported </w:t>
      </w:r>
      <w:r w:rsidR="00656EE9" w:rsidRPr="00B57236">
        <w:t>in Bazhenov</w:t>
      </w:r>
      <w:r w:rsidR="005A3999" w:rsidRPr="00B57236">
        <w:t>a et al. (2021) was 1.</w:t>
      </w:r>
      <w:r w:rsidR="00E57BBC" w:rsidRPr="00B57236">
        <w:t>45 years</w:t>
      </w:r>
      <w:r w:rsidR="00B46F69" w:rsidRPr="00B57236">
        <w:t xml:space="preserve"> and</w:t>
      </w:r>
      <w:r w:rsidR="00E57BBC" w:rsidRPr="00B57236">
        <w:t xml:space="preserve"> </w:t>
      </w:r>
      <w:r w:rsidR="00B762F0" w:rsidRPr="00B57236">
        <w:t xml:space="preserve">in Ou et al. (2023) it was </w:t>
      </w:r>
      <w:r w:rsidR="00FF0912" w:rsidRPr="00B57236">
        <w:t>1.42 years</w:t>
      </w:r>
      <w:r w:rsidR="006D0A29" w:rsidRPr="00B57236">
        <w:t>, which seems to indicate that survival of patients in the CP arm of the PAPILLON trial was better than those observed from real-world</w:t>
      </w:r>
      <w:r w:rsidR="00D649E7" w:rsidRPr="00B57236">
        <w:t xml:space="preserve"> evidence</w:t>
      </w:r>
      <w:r w:rsidR="00212446" w:rsidRPr="00B57236">
        <w:t xml:space="preserve">. The reasons for this </w:t>
      </w:r>
      <w:r w:rsidR="00A50EAD" w:rsidRPr="00B57236">
        <w:t xml:space="preserve">were </w:t>
      </w:r>
      <w:r w:rsidR="00212446" w:rsidRPr="00B57236">
        <w:t>unclear but may be related to the characteristics of patients recruited to the trial (likely younger and healthier populations) and related to the trial settings.</w:t>
      </w:r>
      <w:bookmarkEnd w:id="95"/>
    </w:p>
    <w:p w14:paraId="248F0E68" w14:textId="35F15DAC" w:rsidR="00244EC2" w:rsidRPr="0080618A" w:rsidRDefault="0059215D" w:rsidP="0059215D">
      <w:pPr>
        <w:pStyle w:val="Caption"/>
      </w:pPr>
      <w:bookmarkStart w:id="96" w:name="_Ref177042542"/>
      <w:r>
        <w:lastRenderedPageBreak/>
        <w:t xml:space="preserve">Table </w:t>
      </w:r>
      <w:r w:rsidR="002C794C">
        <w:fldChar w:fldCharType="begin"/>
      </w:r>
      <w:r w:rsidR="002C794C">
        <w:instrText xml:space="preserve"> SEQ Table \* ARABIC </w:instrText>
      </w:r>
      <w:r w:rsidR="002C794C">
        <w:fldChar w:fldCharType="separate"/>
      </w:r>
      <w:r w:rsidR="00372107">
        <w:rPr>
          <w:noProof/>
        </w:rPr>
        <w:t>10</w:t>
      </w:r>
      <w:r w:rsidR="002C794C">
        <w:rPr>
          <w:noProof/>
        </w:rPr>
        <w:fldChar w:fldCharType="end"/>
      </w:r>
      <w:bookmarkEnd w:id="96"/>
      <w:r w:rsidR="00244EC2">
        <w:t xml:space="preserve">: </w:t>
      </w:r>
      <w:r w:rsidR="008167AD">
        <w:t>O</w:t>
      </w:r>
      <w:r w:rsidR="00244EC2">
        <w:t xml:space="preserve">verall survival </w:t>
      </w:r>
      <w:r w:rsidR="00BB7B54">
        <w:t xml:space="preserve">over the </w:t>
      </w:r>
      <w:r w:rsidR="005C3E7A">
        <w:t>7.5-year</w:t>
      </w:r>
      <w:r w:rsidR="00BB7B54">
        <w:t xml:space="preserve"> time horizon </w:t>
      </w:r>
      <w:r w:rsidR="00244EC2">
        <w:t xml:space="preserve">estimated by parametric </w:t>
      </w:r>
      <w:r w:rsidR="00C500B0">
        <w:t>distributions</w:t>
      </w:r>
      <w:r w:rsidR="00244EC2">
        <w:t xml:space="preserve"> in the model</w:t>
      </w:r>
    </w:p>
    <w:tbl>
      <w:tblPr>
        <w:tblW w:w="5000" w:type="pct"/>
        <w:tblLook w:val="04A0" w:firstRow="1" w:lastRow="0" w:firstColumn="1" w:lastColumn="0" w:noHBand="0" w:noVBand="1"/>
      </w:tblPr>
      <w:tblGrid>
        <w:gridCol w:w="3119"/>
        <w:gridCol w:w="1542"/>
        <w:gridCol w:w="1407"/>
        <w:gridCol w:w="1542"/>
        <w:gridCol w:w="1407"/>
      </w:tblGrid>
      <w:tr w:rsidR="004F12FB" w:rsidRPr="0080618A" w14:paraId="007FAA5C" w14:textId="77777777" w:rsidTr="008F27EC">
        <w:trPr>
          <w:trHeight w:val="227"/>
        </w:trPr>
        <w:tc>
          <w:tcPr>
            <w:tcW w:w="1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CAFA8" w14:textId="77777777" w:rsidR="0080618A" w:rsidRPr="0080618A" w:rsidRDefault="0080618A" w:rsidP="0080618A">
            <w:pPr>
              <w:pStyle w:val="TableText0"/>
              <w:rPr>
                <w:lang w:eastAsia="en-GB"/>
              </w:rPr>
            </w:pPr>
            <w:r w:rsidRPr="0080618A">
              <w:rPr>
                <w:lang w:eastAsia="en-GB"/>
              </w:rPr>
              <w:t> </w:t>
            </w:r>
          </w:p>
        </w:tc>
        <w:tc>
          <w:tcPr>
            <w:tcW w:w="148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F1B8DA9" w14:textId="77777777" w:rsidR="0080618A" w:rsidRPr="00244EC2" w:rsidRDefault="0080618A" w:rsidP="008167AD">
            <w:pPr>
              <w:pStyle w:val="TableText0"/>
              <w:jc w:val="center"/>
              <w:rPr>
                <w:b/>
                <w:bCs w:val="0"/>
                <w:lang w:eastAsia="en-GB"/>
              </w:rPr>
            </w:pPr>
            <w:r w:rsidRPr="00244EC2">
              <w:rPr>
                <w:b/>
                <w:bCs w:val="0"/>
                <w:lang w:eastAsia="en-GB"/>
              </w:rPr>
              <w:t>ACP</w:t>
            </w:r>
          </w:p>
        </w:tc>
        <w:tc>
          <w:tcPr>
            <w:tcW w:w="1627" w:type="pct"/>
            <w:gridSpan w:val="2"/>
            <w:tcBorders>
              <w:top w:val="single" w:sz="4" w:space="0" w:color="auto"/>
              <w:left w:val="nil"/>
              <w:bottom w:val="single" w:sz="4" w:space="0" w:color="auto"/>
              <w:right w:val="single" w:sz="4" w:space="0" w:color="auto"/>
            </w:tcBorders>
            <w:shd w:val="clear" w:color="auto" w:fill="auto"/>
            <w:noWrap/>
            <w:vAlign w:val="center"/>
            <w:hideMark/>
          </w:tcPr>
          <w:p w14:paraId="2F1646C4" w14:textId="77777777" w:rsidR="0080618A" w:rsidRPr="00244EC2" w:rsidRDefault="0080618A" w:rsidP="008167AD">
            <w:pPr>
              <w:pStyle w:val="TableText0"/>
              <w:jc w:val="center"/>
              <w:rPr>
                <w:b/>
                <w:bCs w:val="0"/>
                <w:lang w:eastAsia="en-GB"/>
              </w:rPr>
            </w:pPr>
            <w:r w:rsidRPr="00244EC2">
              <w:rPr>
                <w:b/>
                <w:bCs w:val="0"/>
                <w:lang w:eastAsia="en-GB"/>
              </w:rPr>
              <w:t>CP</w:t>
            </w:r>
          </w:p>
        </w:tc>
      </w:tr>
      <w:tr w:rsidR="004F12FB" w:rsidRPr="0080618A" w14:paraId="0942B8F2" w14:textId="77777777" w:rsidTr="008F27EC">
        <w:trPr>
          <w:trHeight w:val="227"/>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14:paraId="5F2363E7" w14:textId="796BE48F" w:rsidR="008167AD" w:rsidRPr="00244EC2" w:rsidRDefault="008167AD" w:rsidP="008167AD">
            <w:pPr>
              <w:pStyle w:val="TableText0"/>
              <w:rPr>
                <w:b/>
                <w:bCs w:val="0"/>
                <w:lang w:eastAsia="en-GB"/>
              </w:rPr>
            </w:pPr>
            <w:r w:rsidRPr="00244EC2">
              <w:rPr>
                <w:b/>
                <w:bCs w:val="0"/>
                <w:lang w:eastAsia="en-GB"/>
              </w:rPr>
              <w:t>Parametric function</w:t>
            </w:r>
          </w:p>
        </w:tc>
        <w:tc>
          <w:tcPr>
            <w:tcW w:w="713" w:type="pct"/>
            <w:tcBorders>
              <w:top w:val="nil"/>
              <w:left w:val="nil"/>
              <w:bottom w:val="single" w:sz="4" w:space="0" w:color="auto"/>
              <w:right w:val="single" w:sz="4" w:space="0" w:color="auto"/>
            </w:tcBorders>
            <w:shd w:val="clear" w:color="auto" w:fill="auto"/>
            <w:noWrap/>
            <w:vAlign w:val="center"/>
            <w:hideMark/>
          </w:tcPr>
          <w:p w14:paraId="6BBC859C" w14:textId="03C68109" w:rsidR="008167AD" w:rsidRPr="00244EC2" w:rsidRDefault="008167AD" w:rsidP="008167AD">
            <w:pPr>
              <w:pStyle w:val="TableText0"/>
              <w:jc w:val="center"/>
              <w:rPr>
                <w:b/>
                <w:bCs w:val="0"/>
                <w:lang w:eastAsia="en-GB"/>
              </w:rPr>
            </w:pPr>
            <w:r>
              <w:rPr>
                <w:b/>
                <w:bCs w:val="0"/>
                <w:lang w:eastAsia="en-GB"/>
              </w:rPr>
              <w:t>M</w:t>
            </w:r>
            <w:r w:rsidRPr="00244EC2">
              <w:rPr>
                <w:b/>
                <w:bCs w:val="0"/>
                <w:lang w:eastAsia="en-GB"/>
              </w:rPr>
              <w:t>edian OS</w:t>
            </w:r>
            <w:r>
              <w:rPr>
                <w:b/>
                <w:bCs w:val="0"/>
                <w:lang w:eastAsia="en-GB"/>
              </w:rPr>
              <w:t xml:space="preserve"> (years)</w:t>
            </w:r>
          </w:p>
        </w:tc>
        <w:tc>
          <w:tcPr>
            <w:tcW w:w="776" w:type="pct"/>
            <w:tcBorders>
              <w:top w:val="nil"/>
              <w:left w:val="nil"/>
              <w:bottom w:val="single" w:sz="4" w:space="0" w:color="auto"/>
              <w:right w:val="single" w:sz="4" w:space="0" w:color="auto"/>
            </w:tcBorders>
            <w:shd w:val="clear" w:color="auto" w:fill="auto"/>
            <w:noWrap/>
            <w:vAlign w:val="center"/>
            <w:hideMark/>
          </w:tcPr>
          <w:p w14:paraId="3A5E92B4" w14:textId="7150D849" w:rsidR="008167AD" w:rsidRPr="00244EC2" w:rsidRDefault="008167AD" w:rsidP="008167AD">
            <w:pPr>
              <w:pStyle w:val="TableText0"/>
              <w:jc w:val="center"/>
              <w:rPr>
                <w:b/>
                <w:bCs w:val="0"/>
                <w:lang w:eastAsia="en-GB"/>
              </w:rPr>
            </w:pPr>
            <w:r>
              <w:rPr>
                <w:b/>
                <w:bCs w:val="0"/>
                <w:lang w:eastAsia="en-GB"/>
              </w:rPr>
              <w:t>M</w:t>
            </w:r>
            <w:r w:rsidRPr="00244EC2">
              <w:rPr>
                <w:b/>
                <w:bCs w:val="0"/>
                <w:lang w:eastAsia="en-GB"/>
              </w:rPr>
              <w:t>ean OS</w:t>
            </w:r>
            <w:r>
              <w:rPr>
                <w:b/>
                <w:bCs w:val="0"/>
                <w:lang w:eastAsia="en-GB"/>
              </w:rPr>
              <w:t xml:space="preserve"> (years)</w:t>
            </w:r>
          </w:p>
        </w:tc>
        <w:tc>
          <w:tcPr>
            <w:tcW w:w="851" w:type="pct"/>
            <w:tcBorders>
              <w:top w:val="nil"/>
              <w:left w:val="nil"/>
              <w:bottom w:val="single" w:sz="4" w:space="0" w:color="auto"/>
              <w:right w:val="single" w:sz="4" w:space="0" w:color="auto"/>
            </w:tcBorders>
            <w:shd w:val="clear" w:color="auto" w:fill="auto"/>
            <w:noWrap/>
            <w:vAlign w:val="center"/>
            <w:hideMark/>
          </w:tcPr>
          <w:p w14:paraId="592EE5EC" w14:textId="0A1BBAC9" w:rsidR="008167AD" w:rsidRPr="00244EC2" w:rsidRDefault="008167AD" w:rsidP="008167AD">
            <w:pPr>
              <w:pStyle w:val="TableText0"/>
              <w:jc w:val="center"/>
              <w:rPr>
                <w:b/>
                <w:bCs w:val="0"/>
                <w:lang w:eastAsia="en-GB"/>
              </w:rPr>
            </w:pPr>
            <w:r>
              <w:rPr>
                <w:b/>
                <w:bCs w:val="0"/>
                <w:lang w:eastAsia="en-GB"/>
              </w:rPr>
              <w:t>M</w:t>
            </w:r>
            <w:r w:rsidRPr="00244EC2">
              <w:rPr>
                <w:b/>
                <w:bCs w:val="0"/>
                <w:lang w:eastAsia="en-GB"/>
              </w:rPr>
              <w:t>edian OS</w:t>
            </w:r>
            <w:r>
              <w:rPr>
                <w:b/>
                <w:bCs w:val="0"/>
                <w:lang w:eastAsia="en-GB"/>
              </w:rPr>
              <w:t xml:space="preserve"> (years)</w:t>
            </w:r>
          </w:p>
        </w:tc>
        <w:tc>
          <w:tcPr>
            <w:tcW w:w="776" w:type="pct"/>
            <w:tcBorders>
              <w:top w:val="nil"/>
              <w:left w:val="nil"/>
              <w:bottom w:val="single" w:sz="4" w:space="0" w:color="auto"/>
              <w:right w:val="single" w:sz="4" w:space="0" w:color="auto"/>
            </w:tcBorders>
            <w:shd w:val="clear" w:color="auto" w:fill="auto"/>
            <w:noWrap/>
            <w:vAlign w:val="center"/>
            <w:hideMark/>
          </w:tcPr>
          <w:p w14:paraId="7737631A" w14:textId="4F3D92A3" w:rsidR="008167AD" w:rsidRPr="00244EC2" w:rsidRDefault="008167AD" w:rsidP="008167AD">
            <w:pPr>
              <w:pStyle w:val="TableText0"/>
              <w:jc w:val="center"/>
              <w:rPr>
                <w:b/>
                <w:bCs w:val="0"/>
                <w:lang w:eastAsia="en-GB"/>
              </w:rPr>
            </w:pPr>
            <w:r>
              <w:rPr>
                <w:b/>
                <w:bCs w:val="0"/>
                <w:lang w:eastAsia="en-GB"/>
              </w:rPr>
              <w:t>M</w:t>
            </w:r>
            <w:r w:rsidRPr="00244EC2">
              <w:rPr>
                <w:b/>
                <w:bCs w:val="0"/>
                <w:lang w:eastAsia="en-GB"/>
              </w:rPr>
              <w:t>ean OS</w:t>
            </w:r>
            <w:r>
              <w:rPr>
                <w:b/>
                <w:bCs w:val="0"/>
                <w:lang w:eastAsia="en-GB"/>
              </w:rPr>
              <w:t xml:space="preserve"> (years)</w:t>
            </w:r>
          </w:p>
        </w:tc>
      </w:tr>
      <w:tr w:rsidR="004F12FB" w:rsidRPr="0080618A" w14:paraId="37B353C4" w14:textId="77777777" w:rsidTr="008F27EC">
        <w:trPr>
          <w:trHeight w:val="227"/>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14:paraId="4B22FD59" w14:textId="77777777" w:rsidR="0080618A" w:rsidRPr="0080618A" w:rsidRDefault="0080618A" w:rsidP="0080618A">
            <w:pPr>
              <w:pStyle w:val="TableText0"/>
              <w:rPr>
                <w:lang w:eastAsia="en-GB"/>
              </w:rPr>
            </w:pPr>
            <w:r w:rsidRPr="0080618A">
              <w:rPr>
                <w:lang w:eastAsia="en-GB"/>
              </w:rPr>
              <w:t>Exponential</w:t>
            </w:r>
          </w:p>
        </w:tc>
        <w:tc>
          <w:tcPr>
            <w:tcW w:w="713" w:type="pct"/>
            <w:tcBorders>
              <w:top w:val="nil"/>
              <w:left w:val="nil"/>
              <w:bottom w:val="single" w:sz="4" w:space="0" w:color="auto"/>
              <w:right w:val="single" w:sz="4" w:space="0" w:color="auto"/>
            </w:tcBorders>
            <w:shd w:val="clear" w:color="auto" w:fill="auto"/>
            <w:noWrap/>
            <w:vAlign w:val="center"/>
            <w:hideMark/>
          </w:tcPr>
          <w:p w14:paraId="185E1F8B" w14:textId="77777777" w:rsidR="0080618A" w:rsidRPr="0080618A" w:rsidRDefault="0080618A" w:rsidP="008167AD">
            <w:pPr>
              <w:pStyle w:val="TableText0"/>
              <w:jc w:val="center"/>
              <w:rPr>
                <w:lang w:eastAsia="en-GB"/>
              </w:rPr>
            </w:pPr>
            <w:r w:rsidRPr="0080618A">
              <w:rPr>
                <w:lang w:eastAsia="en-GB"/>
              </w:rPr>
              <w:t>4.02</w:t>
            </w:r>
          </w:p>
        </w:tc>
        <w:tc>
          <w:tcPr>
            <w:tcW w:w="776" w:type="pct"/>
            <w:tcBorders>
              <w:top w:val="nil"/>
              <w:left w:val="nil"/>
              <w:bottom w:val="single" w:sz="4" w:space="0" w:color="auto"/>
              <w:right w:val="single" w:sz="4" w:space="0" w:color="auto"/>
            </w:tcBorders>
            <w:shd w:val="clear" w:color="auto" w:fill="auto"/>
            <w:noWrap/>
            <w:vAlign w:val="center"/>
            <w:hideMark/>
          </w:tcPr>
          <w:p w14:paraId="6DECD3A9" w14:textId="77777777" w:rsidR="0080618A" w:rsidRPr="0080618A" w:rsidRDefault="0080618A" w:rsidP="008167AD">
            <w:pPr>
              <w:pStyle w:val="TableText0"/>
              <w:jc w:val="center"/>
              <w:rPr>
                <w:lang w:eastAsia="en-GB"/>
              </w:rPr>
            </w:pPr>
            <w:r w:rsidRPr="0080618A">
              <w:rPr>
                <w:lang w:eastAsia="en-GB"/>
              </w:rPr>
              <w:t>4.21</w:t>
            </w:r>
          </w:p>
        </w:tc>
        <w:tc>
          <w:tcPr>
            <w:tcW w:w="851" w:type="pct"/>
            <w:tcBorders>
              <w:top w:val="nil"/>
              <w:left w:val="nil"/>
              <w:bottom w:val="single" w:sz="4" w:space="0" w:color="auto"/>
              <w:right w:val="single" w:sz="4" w:space="0" w:color="auto"/>
            </w:tcBorders>
            <w:shd w:val="clear" w:color="auto" w:fill="auto"/>
            <w:noWrap/>
            <w:vAlign w:val="center"/>
            <w:hideMark/>
          </w:tcPr>
          <w:p w14:paraId="3180F521" w14:textId="77777777" w:rsidR="0080618A" w:rsidRPr="0080618A" w:rsidRDefault="0080618A" w:rsidP="008167AD">
            <w:pPr>
              <w:pStyle w:val="TableText0"/>
              <w:jc w:val="center"/>
              <w:rPr>
                <w:lang w:eastAsia="en-GB"/>
              </w:rPr>
            </w:pPr>
            <w:r w:rsidRPr="0080618A">
              <w:rPr>
                <w:lang w:eastAsia="en-GB"/>
              </w:rPr>
              <w:t>2.13</w:t>
            </w:r>
          </w:p>
        </w:tc>
        <w:tc>
          <w:tcPr>
            <w:tcW w:w="776" w:type="pct"/>
            <w:tcBorders>
              <w:top w:val="nil"/>
              <w:left w:val="nil"/>
              <w:bottom w:val="single" w:sz="4" w:space="0" w:color="auto"/>
              <w:right w:val="single" w:sz="4" w:space="0" w:color="auto"/>
            </w:tcBorders>
            <w:shd w:val="clear" w:color="auto" w:fill="auto"/>
            <w:noWrap/>
            <w:vAlign w:val="center"/>
            <w:hideMark/>
          </w:tcPr>
          <w:p w14:paraId="3B48BAB2" w14:textId="77777777" w:rsidR="0080618A" w:rsidRPr="0080618A" w:rsidRDefault="0080618A" w:rsidP="008167AD">
            <w:pPr>
              <w:pStyle w:val="TableText0"/>
              <w:jc w:val="center"/>
              <w:rPr>
                <w:lang w:eastAsia="en-GB"/>
              </w:rPr>
            </w:pPr>
            <w:r w:rsidRPr="0080618A">
              <w:rPr>
                <w:lang w:eastAsia="en-GB"/>
              </w:rPr>
              <w:t>3.01</w:t>
            </w:r>
          </w:p>
        </w:tc>
      </w:tr>
      <w:tr w:rsidR="004F12FB" w:rsidRPr="0080618A" w14:paraId="463BEFDD" w14:textId="77777777" w:rsidTr="008F27EC">
        <w:trPr>
          <w:trHeight w:val="227"/>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14:paraId="58D1C9C9" w14:textId="77777777" w:rsidR="0080618A" w:rsidRPr="0080618A" w:rsidRDefault="0080618A" w:rsidP="0080618A">
            <w:pPr>
              <w:pStyle w:val="TableText0"/>
              <w:rPr>
                <w:lang w:eastAsia="en-GB"/>
              </w:rPr>
            </w:pPr>
            <w:r w:rsidRPr="0080618A">
              <w:rPr>
                <w:lang w:eastAsia="en-GB"/>
              </w:rPr>
              <w:t>Weibull</w:t>
            </w:r>
          </w:p>
        </w:tc>
        <w:tc>
          <w:tcPr>
            <w:tcW w:w="713" w:type="pct"/>
            <w:tcBorders>
              <w:top w:val="nil"/>
              <w:left w:val="nil"/>
              <w:bottom w:val="single" w:sz="4" w:space="0" w:color="auto"/>
              <w:right w:val="single" w:sz="4" w:space="0" w:color="auto"/>
            </w:tcBorders>
            <w:shd w:val="clear" w:color="auto" w:fill="auto"/>
            <w:noWrap/>
            <w:vAlign w:val="center"/>
            <w:hideMark/>
          </w:tcPr>
          <w:p w14:paraId="03370AC0" w14:textId="77777777" w:rsidR="0080618A" w:rsidRPr="0080618A" w:rsidRDefault="0080618A" w:rsidP="008167AD">
            <w:pPr>
              <w:pStyle w:val="TableText0"/>
              <w:jc w:val="center"/>
              <w:rPr>
                <w:lang w:eastAsia="en-GB"/>
              </w:rPr>
            </w:pPr>
            <w:r w:rsidRPr="0080618A">
              <w:rPr>
                <w:lang w:eastAsia="en-GB"/>
              </w:rPr>
              <w:t>3.51</w:t>
            </w:r>
          </w:p>
        </w:tc>
        <w:tc>
          <w:tcPr>
            <w:tcW w:w="776" w:type="pct"/>
            <w:tcBorders>
              <w:top w:val="nil"/>
              <w:left w:val="nil"/>
              <w:bottom w:val="single" w:sz="4" w:space="0" w:color="auto"/>
              <w:right w:val="single" w:sz="4" w:space="0" w:color="auto"/>
            </w:tcBorders>
            <w:shd w:val="clear" w:color="auto" w:fill="auto"/>
            <w:noWrap/>
            <w:vAlign w:val="center"/>
            <w:hideMark/>
          </w:tcPr>
          <w:p w14:paraId="71A41C59" w14:textId="77777777" w:rsidR="0080618A" w:rsidRPr="0080618A" w:rsidRDefault="0080618A" w:rsidP="008167AD">
            <w:pPr>
              <w:pStyle w:val="TableText0"/>
              <w:jc w:val="center"/>
              <w:rPr>
                <w:lang w:eastAsia="en-GB"/>
              </w:rPr>
            </w:pPr>
            <w:r w:rsidRPr="0080618A">
              <w:rPr>
                <w:lang w:eastAsia="en-GB"/>
              </w:rPr>
              <w:t>3.89</w:t>
            </w:r>
          </w:p>
        </w:tc>
        <w:tc>
          <w:tcPr>
            <w:tcW w:w="851" w:type="pct"/>
            <w:tcBorders>
              <w:top w:val="nil"/>
              <w:left w:val="nil"/>
              <w:bottom w:val="single" w:sz="4" w:space="0" w:color="auto"/>
              <w:right w:val="single" w:sz="4" w:space="0" w:color="auto"/>
            </w:tcBorders>
            <w:shd w:val="clear" w:color="auto" w:fill="auto"/>
            <w:noWrap/>
            <w:vAlign w:val="center"/>
            <w:hideMark/>
          </w:tcPr>
          <w:p w14:paraId="3FE06FCE" w14:textId="77777777" w:rsidR="0080618A" w:rsidRPr="0080618A" w:rsidRDefault="0080618A" w:rsidP="008167AD">
            <w:pPr>
              <w:pStyle w:val="TableText0"/>
              <w:jc w:val="center"/>
              <w:rPr>
                <w:lang w:eastAsia="en-GB"/>
              </w:rPr>
            </w:pPr>
            <w:r w:rsidRPr="0080618A">
              <w:rPr>
                <w:lang w:eastAsia="en-GB"/>
              </w:rPr>
              <w:t>1.72</w:t>
            </w:r>
          </w:p>
        </w:tc>
        <w:tc>
          <w:tcPr>
            <w:tcW w:w="776" w:type="pct"/>
            <w:tcBorders>
              <w:top w:val="nil"/>
              <w:left w:val="nil"/>
              <w:bottom w:val="single" w:sz="4" w:space="0" w:color="auto"/>
              <w:right w:val="single" w:sz="4" w:space="0" w:color="auto"/>
            </w:tcBorders>
            <w:shd w:val="clear" w:color="auto" w:fill="auto"/>
            <w:noWrap/>
            <w:vAlign w:val="center"/>
            <w:hideMark/>
          </w:tcPr>
          <w:p w14:paraId="202E0AC7" w14:textId="77777777" w:rsidR="0080618A" w:rsidRPr="0080618A" w:rsidRDefault="0080618A" w:rsidP="008167AD">
            <w:pPr>
              <w:pStyle w:val="TableText0"/>
              <w:jc w:val="center"/>
              <w:rPr>
                <w:lang w:eastAsia="en-GB"/>
              </w:rPr>
            </w:pPr>
            <w:r w:rsidRPr="0080618A">
              <w:rPr>
                <w:lang w:eastAsia="en-GB"/>
              </w:rPr>
              <w:t>1.83</w:t>
            </w:r>
          </w:p>
        </w:tc>
      </w:tr>
      <w:tr w:rsidR="004F12FB" w:rsidRPr="0080618A" w14:paraId="6E859FB0" w14:textId="77777777" w:rsidTr="008F27EC">
        <w:trPr>
          <w:trHeight w:val="227"/>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14:paraId="04607A06" w14:textId="77777777" w:rsidR="0080618A" w:rsidRPr="0080618A" w:rsidRDefault="0080618A" w:rsidP="0080618A">
            <w:pPr>
              <w:pStyle w:val="TableText0"/>
              <w:rPr>
                <w:lang w:eastAsia="en-GB"/>
              </w:rPr>
            </w:pPr>
            <w:r w:rsidRPr="0080618A">
              <w:rPr>
                <w:lang w:eastAsia="en-GB"/>
              </w:rPr>
              <w:t>Lognormal</w:t>
            </w:r>
          </w:p>
        </w:tc>
        <w:tc>
          <w:tcPr>
            <w:tcW w:w="713" w:type="pct"/>
            <w:tcBorders>
              <w:top w:val="nil"/>
              <w:left w:val="nil"/>
              <w:bottom w:val="single" w:sz="4" w:space="0" w:color="auto"/>
              <w:right w:val="single" w:sz="4" w:space="0" w:color="auto"/>
            </w:tcBorders>
            <w:shd w:val="clear" w:color="auto" w:fill="auto"/>
            <w:noWrap/>
            <w:vAlign w:val="center"/>
            <w:hideMark/>
          </w:tcPr>
          <w:p w14:paraId="0435DB8D" w14:textId="77777777" w:rsidR="0080618A" w:rsidRPr="0080618A" w:rsidRDefault="0080618A" w:rsidP="008167AD">
            <w:pPr>
              <w:pStyle w:val="TableText0"/>
              <w:jc w:val="center"/>
              <w:rPr>
                <w:lang w:eastAsia="en-GB"/>
              </w:rPr>
            </w:pPr>
            <w:r w:rsidRPr="0080618A">
              <w:rPr>
                <w:lang w:eastAsia="en-GB"/>
              </w:rPr>
              <w:t>5.34</w:t>
            </w:r>
          </w:p>
        </w:tc>
        <w:tc>
          <w:tcPr>
            <w:tcW w:w="776" w:type="pct"/>
            <w:tcBorders>
              <w:top w:val="nil"/>
              <w:left w:val="nil"/>
              <w:bottom w:val="single" w:sz="4" w:space="0" w:color="auto"/>
              <w:right w:val="single" w:sz="4" w:space="0" w:color="auto"/>
            </w:tcBorders>
            <w:shd w:val="clear" w:color="auto" w:fill="auto"/>
            <w:noWrap/>
            <w:vAlign w:val="center"/>
            <w:hideMark/>
          </w:tcPr>
          <w:p w14:paraId="21345983" w14:textId="77777777" w:rsidR="0080618A" w:rsidRPr="0080618A" w:rsidRDefault="0080618A" w:rsidP="008167AD">
            <w:pPr>
              <w:pStyle w:val="TableText0"/>
              <w:jc w:val="center"/>
              <w:rPr>
                <w:lang w:eastAsia="en-GB"/>
              </w:rPr>
            </w:pPr>
            <w:r w:rsidRPr="0080618A">
              <w:rPr>
                <w:lang w:eastAsia="en-GB"/>
              </w:rPr>
              <w:t>4.66</w:t>
            </w:r>
          </w:p>
        </w:tc>
        <w:tc>
          <w:tcPr>
            <w:tcW w:w="851" w:type="pct"/>
            <w:tcBorders>
              <w:top w:val="nil"/>
              <w:left w:val="nil"/>
              <w:bottom w:val="single" w:sz="4" w:space="0" w:color="auto"/>
              <w:right w:val="single" w:sz="4" w:space="0" w:color="auto"/>
            </w:tcBorders>
            <w:shd w:val="clear" w:color="auto" w:fill="auto"/>
            <w:noWrap/>
            <w:vAlign w:val="center"/>
            <w:hideMark/>
          </w:tcPr>
          <w:p w14:paraId="705AAD49" w14:textId="77777777" w:rsidR="0080618A" w:rsidRPr="0080618A" w:rsidRDefault="0080618A" w:rsidP="008167AD">
            <w:pPr>
              <w:pStyle w:val="TableText0"/>
              <w:jc w:val="center"/>
              <w:rPr>
                <w:lang w:eastAsia="en-GB"/>
              </w:rPr>
            </w:pPr>
            <w:r w:rsidRPr="0080618A">
              <w:rPr>
                <w:lang w:eastAsia="en-GB"/>
              </w:rPr>
              <w:t>1.86</w:t>
            </w:r>
          </w:p>
        </w:tc>
        <w:tc>
          <w:tcPr>
            <w:tcW w:w="776" w:type="pct"/>
            <w:tcBorders>
              <w:top w:val="nil"/>
              <w:left w:val="nil"/>
              <w:bottom w:val="single" w:sz="4" w:space="0" w:color="auto"/>
              <w:right w:val="single" w:sz="4" w:space="0" w:color="auto"/>
            </w:tcBorders>
            <w:shd w:val="clear" w:color="auto" w:fill="auto"/>
            <w:noWrap/>
            <w:vAlign w:val="center"/>
            <w:hideMark/>
          </w:tcPr>
          <w:p w14:paraId="61B6BA49" w14:textId="77777777" w:rsidR="0080618A" w:rsidRPr="0080618A" w:rsidRDefault="0080618A" w:rsidP="008167AD">
            <w:pPr>
              <w:pStyle w:val="TableText0"/>
              <w:jc w:val="center"/>
              <w:rPr>
                <w:lang w:eastAsia="en-GB"/>
              </w:rPr>
            </w:pPr>
            <w:r w:rsidRPr="0080618A">
              <w:rPr>
                <w:lang w:eastAsia="en-GB"/>
              </w:rPr>
              <w:t>2.59</w:t>
            </w:r>
          </w:p>
        </w:tc>
      </w:tr>
      <w:tr w:rsidR="004F12FB" w:rsidRPr="0080618A" w14:paraId="228293FF" w14:textId="77777777" w:rsidTr="008F27EC">
        <w:trPr>
          <w:trHeight w:val="227"/>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14:paraId="62A72E85" w14:textId="20A244EF" w:rsidR="0080618A" w:rsidRPr="0080618A" w:rsidRDefault="0080618A" w:rsidP="0080618A">
            <w:pPr>
              <w:pStyle w:val="TableText0"/>
              <w:rPr>
                <w:lang w:eastAsia="en-GB"/>
              </w:rPr>
            </w:pPr>
            <w:r w:rsidRPr="0080618A">
              <w:rPr>
                <w:lang w:eastAsia="en-GB"/>
              </w:rPr>
              <w:t>Log</w:t>
            </w:r>
            <w:r w:rsidR="000D0986">
              <w:rPr>
                <w:lang w:eastAsia="en-GB"/>
              </w:rPr>
              <w:t>-</w:t>
            </w:r>
            <w:r w:rsidRPr="0080618A">
              <w:rPr>
                <w:lang w:eastAsia="en-GB"/>
              </w:rPr>
              <w:t>logistic</w:t>
            </w:r>
            <w:r w:rsidR="00194489">
              <w:rPr>
                <w:lang w:eastAsia="en-GB"/>
              </w:rPr>
              <w:t xml:space="preserve"> (base case: </w:t>
            </w:r>
            <w:r w:rsidR="00CF1E87">
              <w:rPr>
                <w:lang w:eastAsia="en-GB"/>
              </w:rPr>
              <w:t>CP arm</w:t>
            </w:r>
            <w:r w:rsidR="008F27EC">
              <w:rPr>
                <w:lang w:eastAsia="en-GB"/>
              </w:rPr>
              <w:t>)</w:t>
            </w:r>
          </w:p>
        </w:tc>
        <w:tc>
          <w:tcPr>
            <w:tcW w:w="713" w:type="pct"/>
            <w:tcBorders>
              <w:top w:val="nil"/>
              <w:left w:val="nil"/>
              <w:bottom w:val="single" w:sz="4" w:space="0" w:color="auto"/>
              <w:right w:val="single" w:sz="4" w:space="0" w:color="auto"/>
            </w:tcBorders>
            <w:shd w:val="clear" w:color="auto" w:fill="auto"/>
            <w:noWrap/>
            <w:vAlign w:val="center"/>
            <w:hideMark/>
          </w:tcPr>
          <w:p w14:paraId="42B09456" w14:textId="77777777" w:rsidR="0080618A" w:rsidRPr="0080618A" w:rsidRDefault="0080618A" w:rsidP="008167AD">
            <w:pPr>
              <w:pStyle w:val="TableText0"/>
              <w:jc w:val="center"/>
              <w:rPr>
                <w:lang w:eastAsia="en-GB"/>
              </w:rPr>
            </w:pPr>
            <w:r w:rsidRPr="0080618A">
              <w:rPr>
                <w:lang w:eastAsia="en-GB"/>
              </w:rPr>
              <w:t>3.97</w:t>
            </w:r>
          </w:p>
        </w:tc>
        <w:tc>
          <w:tcPr>
            <w:tcW w:w="776" w:type="pct"/>
            <w:tcBorders>
              <w:top w:val="nil"/>
              <w:left w:val="nil"/>
              <w:bottom w:val="single" w:sz="4" w:space="0" w:color="auto"/>
              <w:right w:val="single" w:sz="4" w:space="0" w:color="auto"/>
            </w:tcBorders>
            <w:shd w:val="clear" w:color="auto" w:fill="auto"/>
            <w:noWrap/>
            <w:vAlign w:val="center"/>
            <w:hideMark/>
          </w:tcPr>
          <w:p w14:paraId="0B376FED" w14:textId="77777777" w:rsidR="0080618A" w:rsidRPr="0080618A" w:rsidRDefault="0080618A" w:rsidP="008167AD">
            <w:pPr>
              <w:pStyle w:val="TableText0"/>
              <w:jc w:val="center"/>
              <w:rPr>
                <w:lang w:eastAsia="en-GB"/>
              </w:rPr>
            </w:pPr>
            <w:r w:rsidRPr="0080618A">
              <w:rPr>
                <w:lang w:eastAsia="en-GB"/>
              </w:rPr>
              <w:t>4.28</w:t>
            </w:r>
          </w:p>
        </w:tc>
        <w:tc>
          <w:tcPr>
            <w:tcW w:w="851" w:type="pct"/>
            <w:tcBorders>
              <w:top w:val="nil"/>
              <w:left w:val="nil"/>
              <w:bottom w:val="single" w:sz="4" w:space="0" w:color="auto"/>
              <w:right w:val="single" w:sz="4" w:space="0" w:color="auto"/>
            </w:tcBorders>
            <w:shd w:val="clear" w:color="auto" w:fill="auto"/>
            <w:noWrap/>
            <w:vAlign w:val="center"/>
            <w:hideMark/>
          </w:tcPr>
          <w:p w14:paraId="68CD91EA" w14:textId="77777777" w:rsidR="0080618A" w:rsidRPr="0080618A" w:rsidRDefault="0080618A" w:rsidP="008167AD">
            <w:pPr>
              <w:pStyle w:val="TableText0"/>
              <w:jc w:val="center"/>
              <w:rPr>
                <w:lang w:eastAsia="en-GB"/>
              </w:rPr>
            </w:pPr>
            <w:r w:rsidRPr="0080618A">
              <w:rPr>
                <w:lang w:eastAsia="en-GB"/>
              </w:rPr>
              <w:t>1.76</w:t>
            </w:r>
          </w:p>
        </w:tc>
        <w:tc>
          <w:tcPr>
            <w:tcW w:w="776" w:type="pct"/>
            <w:tcBorders>
              <w:top w:val="nil"/>
              <w:left w:val="nil"/>
              <w:bottom w:val="single" w:sz="4" w:space="0" w:color="auto"/>
              <w:right w:val="single" w:sz="4" w:space="0" w:color="auto"/>
            </w:tcBorders>
            <w:shd w:val="clear" w:color="auto" w:fill="auto"/>
            <w:noWrap/>
            <w:vAlign w:val="center"/>
            <w:hideMark/>
          </w:tcPr>
          <w:p w14:paraId="3163AE67" w14:textId="77777777" w:rsidR="0080618A" w:rsidRPr="0080618A" w:rsidRDefault="0080618A" w:rsidP="008167AD">
            <w:pPr>
              <w:pStyle w:val="TableText0"/>
              <w:jc w:val="center"/>
              <w:rPr>
                <w:lang w:eastAsia="en-GB"/>
              </w:rPr>
            </w:pPr>
            <w:r w:rsidRPr="0080618A">
              <w:rPr>
                <w:lang w:eastAsia="en-GB"/>
              </w:rPr>
              <w:t>2.25</w:t>
            </w:r>
          </w:p>
        </w:tc>
      </w:tr>
      <w:tr w:rsidR="004F12FB" w:rsidRPr="0080618A" w14:paraId="7747F2D5" w14:textId="77777777" w:rsidTr="008F27EC">
        <w:trPr>
          <w:trHeight w:val="227"/>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14:paraId="54D37C57" w14:textId="77777777" w:rsidR="0080618A" w:rsidRPr="0080618A" w:rsidRDefault="0080618A" w:rsidP="0080618A">
            <w:pPr>
              <w:pStyle w:val="TableText0"/>
              <w:rPr>
                <w:lang w:eastAsia="en-GB"/>
              </w:rPr>
            </w:pPr>
            <w:r w:rsidRPr="0080618A">
              <w:rPr>
                <w:lang w:eastAsia="en-GB"/>
              </w:rPr>
              <w:t>Gompertz</w:t>
            </w:r>
          </w:p>
        </w:tc>
        <w:tc>
          <w:tcPr>
            <w:tcW w:w="713" w:type="pct"/>
            <w:tcBorders>
              <w:top w:val="nil"/>
              <w:left w:val="nil"/>
              <w:bottom w:val="single" w:sz="4" w:space="0" w:color="auto"/>
              <w:right w:val="single" w:sz="4" w:space="0" w:color="auto"/>
            </w:tcBorders>
            <w:shd w:val="clear" w:color="auto" w:fill="auto"/>
            <w:noWrap/>
            <w:vAlign w:val="center"/>
            <w:hideMark/>
          </w:tcPr>
          <w:p w14:paraId="505607DF" w14:textId="77777777" w:rsidR="0080618A" w:rsidRPr="0080618A" w:rsidRDefault="0080618A" w:rsidP="008167AD">
            <w:pPr>
              <w:pStyle w:val="TableText0"/>
              <w:jc w:val="center"/>
              <w:rPr>
                <w:lang w:eastAsia="en-GB"/>
              </w:rPr>
            </w:pPr>
            <w:r w:rsidRPr="0080618A">
              <w:rPr>
                <w:lang w:eastAsia="en-GB"/>
              </w:rPr>
              <w:t>2.84</w:t>
            </w:r>
          </w:p>
        </w:tc>
        <w:tc>
          <w:tcPr>
            <w:tcW w:w="776" w:type="pct"/>
            <w:tcBorders>
              <w:top w:val="nil"/>
              <w:left w:val="nil"/>
              <w:bottom w:val="single" w:sz="4" w:space="0" w:color="auto"/>
              <w:right w:val="single" w:sz="4" w:space="0" w:color="auto"/>
            </w:tcBorders>
            <w:shd w:val="clear" w:color="auto" w:fill="auto"/>
            <w:noWrap/>
            <w:vAlign w:val="center"/>
            <w:hideMark/>
          </w:tcPr>
          <w:p w14:paraId="0F78CFEE" w14:textId="77777777" w:rsidR="0080618A" w:rsidRPr="0080618A" w:rsidRDefault="0080618A" w:rsidP="008167AD">
            <w:pPr>
              <w:pStyle w:val="TableText0"/>
              <w:jc w:val="center"/>
              <w:rPr>
                <w:lang w:eastAsia="en-GB"/>
              </w:rPr>
            </w:pPr>
            <w:r w:rsidRPr="0080618A">
              <w:rPr>
                <w:lang w:eastAsia="en-GB"/>
              </w:rPr>
              <w:t>2.91</w:t>
            </w:r>
          </w:p>
        </w:tc>
        <w:tc>
          <w:tcPr>
            <w:tcW w:w="851" w:type="pct"/>
            <w:tcBorders>
              <w:top w:val="nil"/>
              <w:left w:val="nil"/>
              <w:bottom w:val="single" w:sz="4" w:space="0" w:color="auto"/>
              <w:right w:val="single" w:sz="4" w:space="0" w:color="auto"/>
            </w:tcBorders>
            <w:shd w:val="clear" w:color="auto" w:fill="auto"/>
            <w:noWrap/>
            <w:vAlign w:val="center"/>
            <w:hideMark/>
          </w:tcPr>
          <w:p w14:paraId="28CD8FBD" w14:textId="77777777" w:rsidR="0080618A" w:rsidRPr="0080618A" w:rsidRDefault="0080618A" w:rsidP="008167AD">
            <w:pPr>
              <w:pStyle w:val="TableText0"/>
              <w:jc w:val="center"/>
              <w:rPr>
                <w:lang w:eastAsia="en-GB"/>
              </w:rPr>
            </w:pPr>
            <w:r w:rsidRPr="0080618A">
              <w:rPr>
                <w:lang w:eastAsia="en-GB"/>
              </w:rPr>
              <w:t>1.69</w:t>
            </w:r>
          </w:p>
        </w:tc>
        <w:tc>
          <w:tcPr>
            <w:tcW w:w="776" w:type="pct"/>
            <w:tcBorders>
              <w:top w:val="nil"/>
              <w:left w:val="nil"/>
              <w:bottom w:val="single" w:sz="4" w:space="0" w:color="auto"/>
              <w:right w:val="single" w:sz="4" w:space="0" w:color="auto"/>
            </w:tcBorders>
            <w:shd w:val="clear" w:color="auto" w:fill="auto"/>
            <w:noWrap/>
            <w:vAlign w:val="center"/>
            <w:hideMark/>
          </w:tcPr>
          <w:p w14:paraId="71101AED" w14:textId="77777777" w:rsidR="0080618A" w:rsidRPr="0080618A" w:rsidRDefault="0080618A" w:rsidP="008167AD">
            <w:pPr>
              <w:pStyle w:val="TableText0"/>
              <w:jc w:val="center"/>
              <w:rPr>
                <w:lang w:eastAsia="en-GB"/>
              </w:rPr>
            </w:pPr>
            <w:r w:rsidRPr="0080618A">
              <w:rPr>
                <w:lang w:eastAsia="en-GB"/>
              </w:rPr>
              <w:t>1.65</w:t>
            </w:r>
          </w:p>
        </w:tc>
      </w:tr>
      <w:tr w:rsidR="004F12FB" w:rsidRPr="0080618A" w14:paraId="50E129FD" w14:textId="77777777" w:rsidTr="008F27EC">
        <w:trPr>
          <w:trHeight w:val="227"/>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14:paraId="3C778D1E" w14:textId="77777777" w:rsidR="0080618A" w:rsidRPr="0080618A" w:rsidRDefault="0080618A" w:rsidP="0080618A">
            <w:pPr>
              <w:pStyle w:val="TableText0"/>
              <w:rPr>
                <w:lang w:eastAsia="en-GB"/>
              </w:rPr>
            </w:pPr>
            <w:r w:rsidRPr="0080618A">
              <w:rPr>
                <w:lang w:eastAsia="en-GB"/>
              </w:rPr>
              <w:t>Gamma</w:t>
            </w:r>
          </w:p>
        </w:tc>
        <w:tc>
          <w:tcPr>
            <w:tcW w:w="713" w:type="pct"/>
            <w:tcBorders>
              <w:top w:val="nil"/>
              <w:left w:val="nil"/>
              <w:bottom w:val="single" w:sz="4" w:space="0" w:color="auto"/>
              <w:right w:val="single" w:sz="4" w:space="0" w:color="auto"/>
            </w:tcBorders>
            <w:shd w:val="clear" w:color="auto" w:fill="auto"/>
            <w:noWrap/>
            <w:vAlign w:val="center"/>
            <w:hideMark/>
          </w:tcPr>
          <w:p w14:paraId="516D9C9A" w14:textId="77777777" w:rsidR="0080618A" w:rsidRPr="0080618A" w:rsidRDefault="0080618A" w:rsidP="008167AD">
            <w:pPr>
              <w:pStyle w:val="TableText0"/>
              <w:jc w:val="center"/>
              <w:rPr>
                <w:lang w:eastAsia="en-GB"/>
              </w:rPr>
            </w:pPr>
            <w:r w:rsidRPr="0080618A">
              <w:rPr>
                <w:lang w:eastAsia="en-GB"/>
              </w:rPr>
              <w:t>3.58</w:t>
            </w:r>
          </w:p>
        </w:tc>
        <w:tc>
          <w:tcPr>
            <w:tcW w:w="776" w:type="pct"/>
            <w:tcBorders>
              <w:top w:val="nil"/>
              <w:left w:val="nil"/>
              <w:bottom w:val="single" w:sz="4" w:space="0" w:color="auto"/>
              <w:right w:val="single" w:sz="4" w:space="0" w:color="auto"/>
            </w:tcBorders>
            <w:shd w:val="clear" w:color="auto" w:fill="auto"/>
            <w:noWrap/>
            <w:vAlign w:val="center"/>
            <w:hideMark/>
          </w:tcPr>
          <w:p w14:paraId="751D9E94" w14:textId="77777777" w:rsidR="0080618A" w:rsidRPr="0080618A" w:rsidRDefault="0080618A" w:rsidP="008167AD">
            <w:pPr>
              <w:pStyle w:val="TableText0"/>
              <w:jc w:val="center"/>
              <w:rPr>
                <w:lang w:eastAsia="en-GB"/>
              </w:rPr>
            </w:pPr>
            <w:r w:rsidRPr="0080618A">
              <w:rPr>
                <w:lang w:eastAsia="en-GB"/>
              </w:rPr>
              <w:t>3.99</w:t>
            </w:r>
          </w:p>
        </w:tc>
        <w:tc>
          <w:tcPr>
            <w:tcW w:w="851" w:type="pct"/>
            <w:tcBorders>
              <w:top w:val="nil"/>
              <w:left w:val="nil"/>
              <w:bottom w:val="single" w:sz="4" w:space="0" w:color="auto"/>
              <w:right w:val="single" w:sz="4" w:space="0" w:color="auto"/>
            </w:tcBorders>
            <w:shd w:val="clear" w:color="auto" w:fill="auto"/>
            <w:noWrap/>
            <w:vAlign w:val="center"/>
            <w:hideMark/>
          </w:tcPr>
          <w:p w14:paraId="0C597D6B" w14:textId="77777777" w:rsidR="0080618A" w:rsidRPr="0080618A" w:rsidRDefault="0080618A" w:rsidP="008167AD">
            <w:pPr>
              <w:pStyle w:val="TableText0"/>
              <w:jc w:val="center"/>
              <w:rPr>
                <w:lang w:eastAsia="en-GB"/>
              </w:rPr>
            </w:pPr>
            <w:r w:rsidRPr="0080618A">
              <w:rPr>
                <w:lang w:eastAsia="en-GB"/>
              </w:rPr>
              <w:t>1.75</w:t>
            </w:r>
          </w:p>
        </w:tc>
        <w:tc>
          <w:tcPr>
            <w:tcW w:w="776" w:type="pct"/>
            <w:tcBorders>
              <w:top w:val="nil"/>
              <w:left w:val="nil"/>
              <w:bottom w:val="single" w:sz="4" w:space="0" w:color="auto"/>
              <w:right w:val="single" w:sz="4" w:space="0" w:color="auto"/>
            </w:tcBorders>
            <w:shd w:val="clear" w:color="auto" w:fill="auto"/>
            <w:noWrap/>
            <w:vAlign w:val="center"/>
            <w:hideMark/>
          </w:tcPr>
          <w:p w14:paraId="602D29B1" w14:textId="77777777" w:rsidR="0080618A" w:rsidRPr="0080618A" w:rsidRDefault="0080618A" w:rsidP="008167AD">
            <w:pPr>
              <w:pStyle w:val="TableText0"/>
              <w:jc w:val="center"/>
              <w:rPr>
                <w:lang w:eastAsia="en-GB"/>
              </w:rPr>
            </w:pPr>
            <w:r w:rsidRPr="0080618A">
              <w:rPr>
                <w:lang w:eastAsia="en-GB"/>
              </w:rPr>
              <w:t>2.02</w:t>
            </w:r>
          </w:p>
        </w:tc>
      </w:tr>
      <w:tr w:rsidR="004F12FB" w:rsidRPr="0080618A" w14:paraId="44A51157" w14:textId="77777777" w:rsidTr="008F27EC">
        <w:trPr>
          <w:trHeight w:val="227"/>
        </w:trPr>
        <w:tc>
          <w:tcPr>
            <w:tcW w:w="1884" w:type="pct"/>
            <w:tcBorders>
              <w:top w:val="nil"/>
              <w:left w:val="single" w:sz="4" w:space="0" w:color="auto"/>
              <w:bottom w:val="single" w:sz="4" w:space="0" w:color="auto"/>
              <w:right w:val="single" w:sz="4" w:space="0" w:color="auto"/>
            </w:tcBorders>
            <w:shd w:val="clear" w:color="auto" w:fill="auto"/>
            <w:noWrap/>
            <w:vAlign w:val="center"/>
            <w:hideMark/>
          </w:tcPr>
          <w:p w14:paraId="44349269" w14:textId="2EDBD276" w:rsidR="0080618A" w:rsidRPr="0080618A" w:rsidRDefault="0080618A" w:rsidP="0080618A">
            <w:pPr>
              <w:pStyle w:val="TableText0"/>
              <w:rPr>
                <w:lang w:eastAsia="en-GB"/>
              </w:rPr>
            </w:pPr>
            <w:r w:rsidRPr="0080618A">
              <w:rPr>
                <w:lang w:eastAsia="en-GB"/>
              </w:rPr>
              <w:t>Generalised gamma</w:t>
            </w:r>
            <w:r w:rsidR="00194489">
              <w:rPr>
                <w:lang w:eastAsia="en-GB"/>
              </w:rPr>
              <w:t xml:space="preserve"> (base case: ACP arm)</w:t>
            </w:r>
          </w:p>
        </w:tc>
        <w:tc>
          <w:tcPr>
            <w:tcW w:w="713" w:type="pct"/>
            <w:tcBorders>
              <w:top w:val="nil"/>
              <w:left w:val="nil"/>
              <w:bottom w:val="single" w:sz="4" w:space="0" w:color="auto"/>
              <w:right w:val="single" w:sz="4" w:space="0" w:color="auto"/>
            </w:tcBorders>
            <w:shd w:val="clear" w:color="auto" w:fill="auto"/>
            <w:noWrap/>
            <w:vAlign w:val="center"/>
            <w:hideMark/>
          </w:tcPr>
          <w:p w14:paraId="2FE1AA1A" w14:textId="77777777" w:rsidR="0080618A" w:rsidRPr="0080618A" w:rsidRDefault="0080618A" w:rsidP="008167AD">
            <w:pPr>
              <w:pStyle w:val="TableText0"/>
              <w:jc w:val="center"/>
              <w:rPr>
                <w:lang w:eastAsia="en-GB"/>
              </w:rPr>
            </w:pPr>
            <w:r w:rsidRPr="0080618A">
              <w:rPr>
                <w:lang w:eastAsia="en-GB"/>
              </w:rPr>
              <w:t>3.13</w:t>
            </w:r>
          </w:p>
        </w:tc>
        <w:tc>
          <w:tcPr>
            <w:tcW w:w="776" w:type="pct"/>
            <w:tcBorders>
              <w:top w:val="nil"/>
              <w:left w:val="nil"/>
              <w:bottom w:val="single" w:sz="4" w:space="0" w:color="auto"/>
              <w:right w:val="single" w:sz="4" w:space="0" w:color="auto"/>
            </w:tcBorders>
            <w:shd w:val="clear" w:color="auto" w:fill="auto"/>
            <w:noWrap/>
            <w:vAlign w:val="center"/>
            <w:hideMark/>
          </w:tcPr>
          <w:p w14:paraId="7F4766C2" w14:textId="77777777" w:rsidR="0080618A" w:rsidRPr="0080618A" w:rsidRDefault="0080618A" w:rsidP="008167AD">
            <w:pPr>
              <w:pStyle w:val="TableText0"/>
              <w:jc w:val="center"/>
              <w:rPr>
                <w:lang w:eastAsia="en-GB"/>
              </w:rPr>
            </w:pPr>
            <w:r w:rsidRPr="0080618A">
              <w:rPr>
                <w:lang w:eastAsia="en-GB"/>
              </w:rPr>
              <w:t>3.39</w:t>
            </w:r>
          </w:p>
        </w:tc>
        <w:tc>
          <w:tcPr>
            <w:tcW w:w="851" w:type="pct"/>
            <w:tcBorders>
              <w:top w:val="nil"/>
              <w:left w:val="nil"/>
              <w:bottom w:val="single" w:sz="4" w:space="0" w:color="auto"/>
              <w:right w:val="single" w:sz="4" w:space="0" w:color="auto"/>
            </w:tcBorders>
            <w:shd w:val="clear" w:color="auto" w:fill="auto"/>
            <w:noWrap/>
            <w:vAlign w:val="center"/>
            <w:hideMark/>
          </w:tcPr>
          <w:p w14:paraId="713E0CF8" w14:textId="77777777" w:rsidR="0080618A" w:rsidRPr="0080618A" w:rsidRDefault="0080618A" w:rsidP="008167AD">
            <w:pPr>
              <w:pStyle w:val="TableText0"/>
              <w:jc w:val="center"/>
              <w:rPr>
                <w:lang w:eastAsia="en-GB"/>
              </w:rPr>
            </w:pPr>
            <w:r w:rsidRPr="0080618A">
              <w:rPr>
                <w:lang w:eastAsia="en-GB"/>
              </w:rPr>
              <w:t>1.73</w:t>
            </w:r>
          </w:p>
        </w:tc>
        <w:tc>
          <w:tcPr>
            <w:tcW w:w="776" w:type="pct"/>
            <w:tcBorders>
              <w:top w:val="nil"/>
              <w:left w:val="nil"/>
              <w:bottom w:val="single" w:sz="4" w:space="0" w:color="auto"/>
              <w:right w:val="single" w:sz="4" w:space="0" w:color="auto"/>
            </w:tcBorders>
            <w:shd w:val="clear" w:color="auto" w:fill="auto"/>
            <w:noWrap/>
            <w:vAlign w:val="center"/>
            <w:hideMark/>
          </w:tcPr>
          <w:p w14:paraId="748486E5" w14:textId="77777777" w:rsidR="0080618A" w:rsidRPr="0080618A" w:rsidRDefault="0080618A" w:rsidP="008167AD">
            <w:pPr>
              <w:pStyle w:val="TableText0"/>
              <w:jc w:val="center"/>
              <w:rPr>
                <w:lang w:eastAsia="en-GB"/>
              </w:rPr>
            </w:pPr>
            <w:r w:rsidRPr="0080618A">
              <w:rPr>
                <w:lang w:eastAsia="en-GB"/>
              </w:rPr>
              <w:t>1.92</w:t>
            </w:r>
          </w:p>
        </w:tc>
      </w:tr>
    </w:tbl>
    <w:p w14:paraId="374CE8A8" w14:textId="3D222D87" w:rsidR="0080618A" w:rsidRDefault="00244EC2" w:rsidP="00244EC2">
      <w:pPr>
        <w:pStyle w:val="FooterTableFigure"/>
      </w:pPr>
      <w:r>
        <w:t xml:space="preserve">Source: </w:t>
      </w:r>
      <w:r w:rsidR="008E755F">
        <w:t>Compiled</w:t>
      </w:r>
      <w:r>
        <w:t xml:space="preserve"> during the evaluation from </w:t>
      </w:r>
      <w:r w:rsidR="008E755F">
        <w:t>information in the economic model</w:t>
      </w:r>
      <w:r w:rsidR="00B11C86">
        <w:t xml:space="preserve"> included with the submission.</w:t>
      </w:r>
    </w:p>
    <w:p w14:paraId="7770435D" w14:textId="0AA74E77" w:rsidR="008E755F" w:rsidRDefault="008E755F" w:rsidP="00244EC2">
      <w:pPr>
        <w:pStyle w:val="FooterTableFigure"/>
      </w:pPr>
      <w:r>
        <w:t xml:space="preserve">Abbreviations: </w:t>
      </w:r>
      <w:r w:rsidR="000E6A48">
        <w:t>ACP, amivantamab plus carboplatin and pemetrexed; CP carboplatin and pemetrexed; OS, overall survival</w:t>
      </w:r>
      <w:r w:rsidR="00B11C86">
        <w:t>.</w:t>
      </w:r>
    </w:p>
    <w:p w14:paraId="56A11E05" w14:textId="63396C4F" w:rsidR="000E6A48" w:rsidRPr="00562C6E" w:rsidRDefault="000E6A48" w:rsidP="00244EC2">
      <w:pPr>
        <w:pStyle w:val="FooterTableFigure"/>
      </w:pPr>
      <w:r>
        <w:t xml:space="preserve">Note: </w:t>
      </w:r>
      <w:r w:rsidR="00194489">
        <w:t>These</w:t>
      </w:r>
      <w:r>
        <w:t xml:space="preserve"> estimates </w:t>
      </w:r>
      <w:r w:rsidR="00B11C86">
        <w:t>we</w:t>
      </w:r>
      <w:r>
        <w:t>re based on OS Kaplan-Meier data until 10% of the patient population remained at risk</w:t>
      </w:r>
      <w:r w:rsidR="00B11C86">
        <w:t>.</w:t>
      </w:r>
    </w:p>
    <w:p w14:paraId="5B5DC792" w14:textId="6CBCB941" w:rsidR="00765141" w:rsidRPr="00850125" w:rsidRDefault="00765141" w:rsidP="000E72E5">
      <w:pPr>
        <w:pStyle w:val="5-SubsectionSubheading"/>
        <w:spacing w:after="120"/>
        <w:rPr>
          <w:lang w:val="en-GB"/>
        </w:rPr>
      </w:pPr>
      <w:r>
        <w:rPr>
          <w:rFonts w:ascii="Arial Narrow" w:hAnsi="Arial Narrow"/>
          <w:sz w:val="20"/>
          <w:szCs w:val="18"/>
        </w:rPr>
        <w:fldChar w:fldCharType="begin"/>
      </w:r>
      <w:r>
        <w:rPr>
          <w:rFonts w:ascii="Arial Narrow" w:hAnsi="Arial Narrow"/>
          <w:sz w:val="20"/>
          <w:szCs w:val="18"/>
        </w:rPr>
        <w:fldChar w:fldCharType="separate"/>
      </w:r>
      <w:r>
        <w:rPr>
          <w:rFonts w:ascii="Arial Narrow" w:hAnsi="Arial Narrow"/>
          <w:sz w:val="20"/>
          <w:szCs w:val="18"/>
        </w:rPr>
        <w:fldChar w:fldCharType="end"/>
      </w:r>
      <w:r>
        <w:rPr>
          <w:lang w:val="en-GB"/>
        </w:rPr>
        <w:t>Health state utilities</w:t>
      </w:r>
    </w:p>
    <w:p w14:paraId="37BE04FB" w14:textId="765D8E9A" w:rsidR="00765141" w:rsidRDefault="00765141" w:rsidP="00EF4C49">
      <w:pPr>
        <w:pStyle w:val="3-BodyText"/>
      </w:pPr>
      <w:r>
        <w:t xml:space="preserve">Quality of life data using the EQ-5D-5L from the PAPILLON trial were used to inform the utility values for the </w:t>
      </w:r>
      <w:r w:rsidR="001340EF">
        <w:t>P</w:t>
      </w:r>
      <w:r>
        <w:t xml:space="preserve">re-progression and Post-progression health states in the base case analysis. In the </w:t>
      </w:r>
      <w:r w:rsidR="00300A09">
        <w:t>P</w:t>
      </w:r>
      <w:r>
        <w:t>re-progression health state</w:t>
      </w:r>
      <w:r w:rsidR="00C23E02">
        <w:t>,</w:t>
      </w:r>
      <w:r>
        <w:t xml:space="preserve"> treatment</w:t>
      </w:r>
      <w:r w:rsidR="00C23E02">
        <w:t>-</w:t>
      </w:r>
      <w:r>
        <w:t>specific utilities were applied (0.913 for ACP and 0.916 for CP) while in the Post-progression health state</w:t>
      </w:r>
      <w:r w:rsidR="00C23E02">
        <w:t>,</w:t>
      </w:r>
      <w:r>
        <w:t xml:space="preserve"> </w:t>
      </w:r>
      <w:r w:rsidR="006A3083">
        <w:t xml:space="preserve">a </w:t>
      </w:r>
      <w:r>
        <w:t>pooled utility estimate (0.839) w</w:t>
      </w:r>
      <w:r w:rsidR="006A3083">
        <w:t>as</w:t>
      </w:r>
      <w:r>
        <w:t xml:space="preserve"> applied</w:t>
      </w:r>
      <w:r w:rsidR="00E75CD2">
        <w:t xml:space="preserve"> irrespective of treatment</w:t>
      </w:r>
      <w:r w:rsidR="000C1739">
        <w:t xml:space="preserve"> group</w:t>
      </w:r>
      <w:r>
        <w:t>.</w:t>
      </w:r>
    </w:p>
    <w:p w14:paraId="0FD1DBF7" w14:textId="4D1F28ED" w:rsidR="00765141" w:rsidRPr="008272D0" w:rsidRDefault="00765141" w:rsidP="00EF4C49">
      <w:pPr>
        <w:pStyle w:val="3-BodyText"/>
        <w:rPr>
          <w:color w:val="000000" w:themeColor="text1"/>
        </w:rPr>
      </w:pPr>
      <w:bookmarkStart w:id="97" w:name="_Ref180004762"/>
      <w:r>
        <w:t xml:space="preserve">The submission claimed that while there was no statistically significant difference in </w:t>
      </w:r>
      <w:r w:rsidRPr="51F4463C">
        <w:t>EQ-5D by treatment group, there w</w:t>
      </w:r>
      <w:r>
        <w:t>ere</w:t>
      </w:r>
      <w:r w:rsidRPr="51F4463C">
        <w:t xml:space="preserve"> numerical differences with a slightly lower </w:t>
      </w:r>
      <w:r>
        <w:t xml:space="preserve">pre-progression </w:t>
      </w:r>
      <w:r w:rsidRPr="51F4463C">
        <w:t xml:space="preserve">utility reported in </w:t>
      </w:r>
      <w:r>
        <w:t>the</w:t>
      </w:r>
      <w:r w:rsidRPr="51F4463C">
        <w:t xml:space="preserve"> ACP </w:t>
      </w:r>
      <w:r>
        <w:t xml:space="preserve">arm </w:t>
      </w:r>
      <w:r w:rsidRPr="51F4463C">
        <w:t xml:space="preserve">due to </w:t>
      </w:r>
      <w:r w:rsidRPr="51F4463C">
        <w:rPr>
          <w:color w:val="000000" w:themeColor="text1"/>
        </w:rPr>
        <w:t xml:space="preserve">the increased rate of </w:t>
      </w:r>
      <w:r w:rsidR="00B11C86">
        <w:rPr>
          <w:color w:val="000000" w:themeColor="text1"/>
        </w:rPr>
        <w:t>AEs</w:t>
      </w:r>
      <w:r w:rsidRPr="51F4463C">
        <w:rPr>
          <w:color w:val="000000" w:themeColor="text1"/>
        </w:rPr>
        <w:t xml:space="preserve"> seen in patients treated with ACP vs CP in the PAPILLON trial. As such, </w:t>
      </w:r>
      <w:r>
        <w:rPr>
          <w:color w:val="000000" w:themeColor="text1"/>
        </w:rPr>
        <w:t>the submission assumed treatment</w:t>
      </w:r>
      <w:r w:rsidR="00C11A83">
        <w:rPr>
          <w:color w:val="000000" w:themeColor="text1"/>
        </w:rPr>
        <w:t>-</w:t>
      </w:r>
      <w:r w:rsidRPr="51F4463C">
        <w:rPr>
          <w:color w:val="000000" w:themeColor="text1"/>
        </w:rPr>
        <w:t xml:space="preserve">specific utility in the </w:t>
      </w:r>
      <w:r w:rsidR="008B3D63">
        <w:rPr>
          <w:color w:val="000000" w:themeColor="text1"/>
        </w:rPr>
        <w:t>Pre</w:t>
      </w:r>
      <w:r w:rsidRPr="51F4463C">
        <w:rPr>
          <w:color w:val="000000" w:themeColor="text1"/>
        </w:rPr>
        <w:t xml:space="preserve">-progression state </w:t>
      </w:r>
      <w:r>
        <w:rPr>
          <w:color w:val="000000" w:themeColor="text1"/>
        </w:rPr>
        <w:t xml:space="preserve">to account for patients’ </w:t>
      </w:r>
      <w:r w:rsidRPr="51F4463C">
        <w:rPr>
          <w:color w:val="000000" w:themeColor="text1"/>
        </w:rPr>
        <w:t xml:space="preserve">disutility associated with any AEs </w:t>
      </w:r>
      <w:r>
        <w:rPr>
          <w:color w:val="000000" w:themeColor="text1"/>
        </w:rPr>
        <w:t>while they were receiving</w:t>
      </w:r>
      <w:r w:rsidRPr="51F4463C">
        <w:rPr>
          <w:color w:val="000000" w:themeColor="text1"/>
        </w:rPr>
        <w:t xml:space="preserve"> treatment</w:t>
      </w:r>
      <w:r>
        <w:rPr>
          <w:color w:val="000000" w:themeColor="text1"/>
        </w:rPr>
        <w:t xml:space="preserve">. </w:t>
      </w:r>
      <w:bookmarkEnd w:id="97"/>
    </w:p>
    <w:p w14:paraId="50B03421" w14:textId="07ACD09E" w:rsidR="003C49C5" w:rsidRPr="003C49C5" w:rsidRDefault="00765141" w:rsidP="00EF4C49">
      <w:pPr>
        <w:pStyle w:val="3-BodyText"/>
        <w:rPr>
          <w:color w:val="000000" w:themeColor="text1"/>
        </w:rPr>
      </w:pPr>
      <w:r w:rsidRPr="00F6798E">
        <w:t>The</w:t>
      </w:r>
      <w:r w:rsidRPr="00C06BAC">
        <w:t xml:space="preserve"> </w:t>
      </w:r>
      <w:r w:rsidRPr="008272D0">
        <w:t xml:space="preserve">utility values </w:t>
      </w:r>
      <w:r w:rsidR="00662BFC">
        <w:t>were</w:t>
      </w:r>
      <w:r w:rsidRPr="008272D0">
        <w:t xml:space="preserve"> high compared </w:t>
      </w:r>
      <w:r w:rsidRPr="00426210">
        <w:t xml:space="preserve">to </w:t>
      </w:r>
      <w:r w:rsidR="003C49C5">
        <w:t xml:space="preserve">utilities previously accepted by the PBAC, including: </w:t>
      </w:r>
    </w:p>
    <w:p w14:paraId="37587113" w14:textId="768A0EAC" w:rsidR="00C4114F" w:rsidRPr="00C4114F" w:rsidRDefault="00765141" w:rsidP="00AF4A63">
      <w:pPr>
        <w:pStyle w:val="ListParagraph"/>
        <w:rPr>
          <w:color w:val="000000" w:themeColor="text1"/>
        </w:rPr>
      </w:pPr>
      <w:r w:rsidRPr="001F0C0C">
        <w:t>osimertinib</w:t>
      </w:r>
      <w:r w:rsidR="00F23E5A">
        <w:t xml:space="preserve"> for the </w:t>
      </w:r>
      <w:r w:rsidR="001F0C0C" w:rsidRPr="001F0C0C">
        <w:t>adjuvant treatment of</w:t>
      </w:r>
      <w:r w:rsidR="00370906" w:rsidRPr="001F0C0C">
        <w:t xml:space="preserve"> </w:t>
      </w:r>
      <w:r w:rsidR="00AE2F04" w:rsidRPr="001F0C0C">
        <w:t>Stage IB to IIIA NSCLC</w:t>
      </w:r>
      <w:r w:rsidR="00C4114F">
        <w:t>:</w:t>
      </w:r>
      <w:r w:rsidR="00C4114F">
        <w:rPr>
          <w:color w:val="000000" w:themeColor="text1"/>
        </w:rPr>
        <w:t xml:space="preserve"> </w:t>
      </w:r>
      <w:r w:rsidR="00BF1910" w:rsidRPr="00C4114F">
        <w:t xml:space="preserve">first-line distant </w:t>
      </w:r>
      <w:r w:rsidR="003F498F" w:rsidRPr="00C4114F">
        <w:t>metastatic</w:t>
      </w:r>
      <w:r w:rsidR="00EA6A30" w:rsidRPr="00C4114F">
        <w:t xml:space="preserve"> </w:t>
      </w:r>
      <w:r w:rsidRPr="00C4114F">
        <w:t xml:space="preserve">utility </w:t>
      </w:r>
      <w:r w:rsidR="00C4114F">
        <w:t>=</w:t>
      </w:r>
      <w:r w:rsidRPr="00C4114F">
        <w:t xml:space="preserve"> 0.79</w:t>
      </w:r>
      <w:r w:rsidR="00980567" w:rsidRPr="00C4114F">
        <w:t>4</w:t>
      </w:r>
      <w:r w:rsidR="00C4114F">
        <w:t xml:space="preserve">; </w:t>
      </w:r>
      <w:r w:rsidR="00426210" w:rsidRPr="00C4114F">
        <w:t xml:space="preserve">second-line distant </w:t>
      </w:r>
      <w:r w:rsidR="003F498F" w:rsidRPr="00C4114F">
        <w:t>metastatic</w:t>
      </w:r>
      <w:r w:rsidR="00EA6A30" w:rsidRPr="00C4114F" w:rsidDel="00426210">
        <w:t xml:space="preserve"> </w:t>
      </w:r>
      <w:r w:rsidR="00EA6A30" w:rsidRPr="00C4114F">
        <w:t xml:space="preserve">utility </w:t>
      </w:r>
      <w:r w:rsidR="00C4114F">
        <w:t>=</w:t>
      </w:r>
      <w:r w:rsidRPr="00C4114F">
        <w:t xml:space="preserve"> 0.6</w:t>
      </w:r>
      <w:r w:rsidR="003B6CBC" w:rsidRPr="00C4114F">
        <w:t>4</w:t>
      </w:r>
      <w:r w:rsidR="006D4317">
        <w:t xml:space="preserve"> (</w:t>
      </w:r>
      <w:r w:rsidR="006D4317" w:rsidRPr="008272D0">
        <w:t xml:space="preserve">Table 9, </w:t>
      </w:r>
      <w:r w:rsidR="006D4317">
        <w:t>o</w:t>
      </w:r>
      <w:r w:rsidR="006D4317" w:rsidRPr="008272D0">
        <w:t>simertinib PSD, November 2023 PBAC Meeting</w:t>
      </w:r>
      <w:r w:rsidR="006D4317">
        <w:t>)</w:t>
      </w:r>
      <w:r w:rsidR="00C4114F">
        <w:t>.</w:t>
      </w:r>
      <w:r w:rsidR="00A923B7">
        <w:t xml:space="preserve"> Base case QALY gained = 1.956</w:t>
      </w:r>
      <w:r w:rsidR="00F754A6">
        <w:t xml:space="preserve"> / PBAC scenario QALY gained = 1.014.</w:t>
      </w:r>
    </w:p>
    <w:p w14:paraId="6EBA1AD6" w14:textId="3EB22F4D" w:rsidR="00C70F06" w:rsidRDefault="00221DFB" w:rsidP="00AF4A63">
      <w:pPr>
        <w:pStyle w:val="ListParagraph"/>
        <w:rPr>
          <w:color w:val="000000" w:themeColor="text1"/>
        </w:rPr>
      </w:pPr>
      <w:r w:rsidRPr="00C4114F">
        <w:t xml:space="preserve">selpercatinib </w:t>
      </w:r>
      <w:r w:rsidR="00AC7FF6" w:rsidRPr="00C4114F">
        <w:t>for the treatment of advanced or metastatic rearranged during transfection (RET) fusion-positive NSCLC</w:t>
      </w:r>
      <w:r w:rsidR="00606A45">
        <w:t>:</w:t>
      </w:r>
      <w:r w:rsidR="00AC7FF6" w:rsidRPr="00C4114F">
        <w:t xml:space="preserve"> </w:t>
      </w:r>
      <w:r w:rsidR="0053400F" w:rsidRPr="00C4114F">
        <w:t>pre-progression</w:t>
      </w:r>
      <w:r w:rsidR="00606A45">
        <w:t xml:space="preserve"> =</w:t>
      </w:r>
      <w:r w:rsidR="0053400F" w:rsidRPr="00C4114F">
        <w:t xml:space="preserve"> 0.776; post-progression</w:t>
      </w:r>
      <w:r w:rsidR="00606A45">
        <w:t xml:space="preserve"> =</w:t>
      </w:r>
      <w:r w:rsidR="0053400F" w:rsidRPr="00C4114F">
        <w:t xml:space="preserve"> 0.714</w:t>
      </w:r>
      <w:r w:rsidR="00606A45">
        <w:t xml:space="preserve"> (</w:t>
      </w:r>
      <w:r w:rsidR="001766B3">
        <w:t xml:space="preserve">Table 10, </w:t>
      </w:r>
      <w:r w:rsidR="001766B3" w:rsidRPr="00C4114F">
        <w:t xml:space="preserve">selpercatinib </w:t>
      </w:r>
      <w:r w:rsidR="001766B3">
        <w:t xml:space="preserve">PSD, </w:t>
      </w:r>
      <w:r w:rsidR="0049611A" w:rsidRPr="00C4114F">
        <w:t>July 2024 PBAC Meeting)</w:t>
      </w:r>
      <w:r w:rsidR="006D4317">
        <w:t>.</w:t>
      </w:r>
      <w:r w:rsidR="003E7DAA">
        <w:t xml:space="preserve"> Base case QALY gained = 1.27</w:t>
      </w:r>
      <w:r w:rsidR="009A6A74">
        <w:t xml:space="preserve"> / multivariate sensitivity analysis QALY gained = 1.02</w:t>
      </w:r>
      <w:r w:rsidR="00D652D3">
        <w:t>.</w:t>
      </w:r>
    </w:p>
    <w:p w14:paraId="0A970A2D" w14:textId="617D7730" w:rsidR="006D4DED" w:rsidRPr="002B4EFE" w:rsidRDefault="00DF30FC" w:rsidP="00AF4A63">
      <w:pPr>
        <w:pStyle w:val="ListParagraph"/>
        <w:rPr>
          <w:color w:val="000000" w:themeColor="text1"/>
        </w:rPr>
      </w:pPr>
      <w:r w:rsidRPr="00C70F06">
        <w:t xml:space="preserve">larotrectinib </w:t>
      </w:r>
      <w:r w:rsidR="00C70F06">
        <w:t>f</w:t>
      </w:r>
      <w:r w:rsidR="00C70F06" w:rsidRPr="00C70F06">
        <w:t xml:space="preserve">or the treatment of locally advanced or metastatic </w:t>
      </w:r>
      <w:r w:rsidR="00C70F06">
        <w:t>NSCLC</w:t>
      </w:r>
      <w:r w:rsidR="00C70F06" w:rsidRPr="00C70F06">
        <w:t xml:space="preserve"> or soft tissue sarcoma (STS) harbouring neurotrophic tropomyosin receptor kinase (NTRK) gene fusions</w:t>
      </w:r>
      <w:r w:rsidR="00A42089">
        <w:t xml:space="preserve">: pre-progression = 0.713; post-progression = </w:t>
      </w:r>
      <w:r w:rsidR="00B54C7F">
        <w:t>0.688 (Table 12, larotrectinib PSD, March 2024 PBAC Meeting).</w:t>
      </w:r>
      <w:r w:rsidR="00EF134F">
        <w:t xml:space="preserve"> Base case QALY gained = 1.95.</w:t>
      </w:r>
    </w:p>
    <w:p w14:paraId="4CEBE23F" w14:textId="083C9391" w:rsidR="00F6798E" w:rsidRPr="0099077A" w:rsidRDefault="00765141" w:rsidP="00EF4C49">
      <w:pPr>
        <w:pStyle w:val="3-BodyText"/>
        <w:rPr>
          <w:color w:val="000000" w:themeColor="text1"/>
        </w:rPr>
      </w:pPr>
      <w:r w:rsidRPr="008272D0">
        <w:lastRenderedPageBreak/>
        <w:t>Furthermore, a systematic review of health state utility values for late-stage NSCLC showed that the highest reported pre-progression utility used was 0.84.</w:t>
      </w:r>
      <w:r w:rsidRPr="008272D0">
        <w:rPr>
          <w:rStyle w:val="FootnoteReference"/>
        </w:rPr>
        <w:footnoteReference w:id="21"/>
      </w:r>
      <w:r w:rsidRPr="008272D0">
        <w:t xml:space="preserve"> </w:t>
      </w:r>
      <w:r w:rsidR="00F6798E" w:rsidRPr="00620E0B">
        <w:t xml:space="preserve">The ESC noted that utility data from the PAPILLON trial could not be </w:t>
      </w:r>
      <w:r w:rsidR="002C4C39">
        <w:t xml:space="preserve">verified </w:t>
      </w:r>
      <w:r w:rsidR="00F6798E" w:rsidRPr="00620E0B">
        <w:t>during the evaluation</w:t>
      </w:r>
      <w:r w:rsidR="0099077A" w:rsidRPr="00620E0B">
        <w:t xml:space="preserve"> and </w:t>
      </w:r>
      <w:r w:rsidR="00F6798E" w:rsidRPr="00620E0B">
        <w:t xml:space="preserve">that </w:t>
      </w:r>
      <w:r w:rsidR="00F6798E" w:rsidRPr="00620E0B">
        <w:rPr>
          <w:color w:val="000000" w:themeColor="text1"/>
        </w:rPr>
        <w:t xml:space="preserve">the ICER was relatively sensitive to the utility values. </w:t>
      </w:r>
    </w:p>
    <w:p w14:paraId="0BEA89F7" w14:textId="6D7E706F" w:rsidR="00765141" w:rsidRPr="001774C9" w:rsidRDefault="00765141" w:rsidP="0028529F">
      <w:pPr>
        <w:pStyle w:val="5-SubsectionSubheading"/>
        <w:spacing w:after="120"/>
      </w:pPr>
      <w:r>
        <w:t>Costs</w:t>
      </w:r>
    </w:p>
    <w:p w14:paraId="3FBB8AEE" w14:textId="6DC18898" w:rsidR="00765141" w:rsidRDefault="00765141" w:rsidP="00EF4C49">
      <w:pPr>
        <w:pStyle w:val="3-BodyText"/>
      </w:pPr>
      <w:r>
        <w:t xml:space="preserve">To calculate the per cycle cost of amivantamab, the submission factored in the proportion of skipped/reduced doses, the proportion of patients over/under </w:t>
      </w:r>
      <w:r w:rsidR="00A46031">
        <w:t>80 </w:t>
      </w:r>
      <w:r>
        <w:t xml:space="preserve">kg, and the dose intensity for initial/maintenance treatment based on the PAPILLON trial. </w:t>
      </w:r>
      <w:r w:rsidR="000C1CCB">
        <w:t>The submission also assumed treatment until progression</w:t>
      </w:r>
      <w:r w:rsidR="00B466B3">
        <w:t xml:space="preserve">. </w:t>
      </w:r>
    </w:p>
    <w:p w14:paraId="7F2123ED" w14:textId="1FB03680" w:rsidR="00C72548" w:rsidRDefault="00765141" w:rsidP="00EF4C49">
      <w:pPr>
        <w:pStyle w:val="3-BodyText"/>
        <w:rPr>
          <w:color w:val="0066FF"/>
        </w:rPr>
      </w:pPr>
      <w:r w:rsidRPr="009A5E92">
        <w:t xml:space="preserve">Adverse events from the PAPILLON trial were </w:t>
      </w:r>
      <w:r>
        <w:t xml:space="preserve">included as costs in the model if they were Grade 3 or 4 severity, had occurred in at least 5% of patients in either treatment arm, </w:t>
      </w:r>
      <w:proofErr w:type="gramStart"/>
      <w:r>
        <w:t>and</w:t>
      </w:r>
      <w:proofErr w:type="gramEnd"/>
      <w:r>
        <w:t xml:space="preserve"> were significantly different. </w:t>
      </w:r>
      <w:r w:rsidRPr="008272D0">
        <w:t>The decision criteria for inclusion in the economic model appear</w:t>
      </w:r>
      <w:r w:rsidR="009B752E" w:rsidRPr="008272D0">
        <w:t>ed</w:t>
      </w:r>
      <w:r w:rsidRPr="008272D0">
        <w:t xml:space="preserve"> reasonable, however it mean</w:t>
      </w:r>
      <w:r w:rsidR="009B752E" w:rsidRPr="008272D0">
        <w:t>t</w:t>
      </w:r>
      <w:r w:rsidRPr="008272D0">
        <w:t xml:space="preserve"> that rarer (expensive) adverse events such as deep vein thrombosis were excluded from the model. This would have a disproportionate impact favouring the intervention arm, given that 23.8% of ACP patients experienced a TEAE that led to discontinuation of a study treatment, compared to 10.3% in the comparator arm</w:t>
      </w:r>
      <w:r w:rsidR="00D46B94">
        <w:t xml:space="preserve"> (</w:t>
      </w:r>
      <w:r w:rsidRPr="008272D0">
        <w:t>relative risk</w:t>
      </w:r>
      <w:r w:rsidR="00D46B94">
        <w:t>:</w:t>
      </w:r>
      <w:r w:rsidRPr="008272D0">
        <w:t xml:space="preserve"> 2.31</w:t>
      </w:r>
      <w:r w:rsidR="00D46B94">
        <w:t>,</w:t>
      </w:r>
      <w:r w:rsidRPr="008272D0">
        <w:t xml:space="preserve"> 95% CI 1.34 to 3.98) (</w:t>
      </w:r>
      <w:r w:rsidR="0064301F" w:rsidRPr="008272D0">
        <w:fldChar w:fldCharType="begin"/>
      </w:r>
      <w:r w:rsidR="0064301F" w:rsidRPr="008272D0">
        <w:instrText xml:space="preserve"> REF _Ref174277249 \h  \* MERGEFORMAT </w:instrText>
      </w:r>
      <w:r w:rsidR="0064301F" w:rsidRPr="008272D0">
        <w:fldChar w:fldCharType="separate"/>
      </w:r>
      <w:r w:rsidR="00372107" w:rsidRPr="0098262F">
        <w:t xml:space="preserve">Table </w:t>
      </w:r>
      <w:r w:rsidR="00372107">
        <w:rPr>
          <w:noProof/>
        </w:rPr>
        <w:t>7</w:t>
      </w:r>
      <w:r w:rsidR="0064301F" w:rsidRPr="008272D0">
        <w:fldChar w:fldCharType="end"/>
      </w:r>
      <w:r w:rsidRPr="008272D0">
        <w:t>).</w:t>
      </w:r>
    </w:p>
    <w:p w14:paraId="59C996C4" w14:textId="7DC5A07D" w:rsidR="001F6694" w:rsidRPr="00C72548" w:rsidRDefault="00765141" w:rsidP="00EF4C49">
      <w:pPr>
        <w:pStyle w:val="3-BodyText"/>
        <w:rPr>
          <w:color w:val="0066FF"/>
        </w:rPr>
      </w:pPr>
      <w:r w:rsidRPr="007F6ADF">
        <w:t xml:space="preserve">Weighted average MBS access statistics were used to value each of the AEs with costs ranging from $0.00 for asthenia to $124.11 for neutropenia. </w:t>
      </w:r>
      <w:r w:rsidRPr="00C72548">
        <w:t>The</w:t>
      </w:r>
      <w:r w:rsidR="00AC66B6" w:rsidRPr="00C72548">
        <w:t>se</w:t>
      </w:r>
      <w:r w:rsidRPr="00C72548">
        <w:t xml:space="preserve"> costs are low</w:t>
      </w:r>
      <w:r w:rsidR="00A90C6A" w:rsidRPr="00C72548">
        <w:t xml:space="preserve"> and do not capture the cost of hospital admission.</w:t>
      </w:r>
      <w:r w:rsidR="008D0EB3" w:rsidRPr="00C72548">
        <w:t xml:space="preserve"> </w:t>
      </w:r>
      <w:r w:rsidR="00C72548">
        <w:t>S</w:t>
      </w:r>
      <w:r w:rsidR="001F6694" w:rsidRPr="00C72548">
        <w:t xml:space="preserve">ensitivity analysis conducted </w:t>
      </w:r>
      <w:r w:rsidR="00E34001" w:rsidRPr="00C72548">
        <w:t xml:space="preserve">during the evaluation </w:t>
      </w:r>
      <w:r w:rsidR="00A273E5" w:rsidRPr="00C72548">
        <w:t xml:space="preserve">considering </w:t>
      </w:r>
      <w:r w:rsidR="001F6694" w:rsidRPr="00C72548">
        <w:t xml:space="preserve">alternate costs for </w:t>
      </w:r>
      <w:r w:rsidR="000B217A" w:rsidRPr="00C72548">
        <w:t xml:space="preserve">managing Grade </w:t>
      </w:r>
      <w:r w:rsidR="002A1B55" w:rsidRPr="00C72548">
        <w:t xml:space="preserve">3/4 </w:t>
      </w:r>
      <w:r w:rsidR="001F6694" w:rsidRPr="00C72548">
        <w:t>AEs</w:t>
      </w:r>
      <w:r w:rsidR="00544697" w:rsidRPr="00C72548">
        <w:t xml:space="preserve"> </w:t>
      </w:r>
      <w:r w:rsidR="00C6025E" w:rsidRPr="00C72548">
        <w:t xml:space="preserve">had a small impact on the ICER, increasing it </w:t>
      </w:r>
      <w:r w:rsidR="00CE1652" w:rsidRPr="00C72548">
        <w:t xml:space="preserve">from </w:t>
      </w:r>
      <w:r w:rsidR="00703610" w:rsidRPr="00703610">
        <w:t>$75,000</w:t>
      </w:r>
      <w:r w:rsidR="00453453">
        <w:t> </w:t>
      </w:r>
      <w:r w:rsidR="00703610" w:rsidRPr="00703610">
        <w:t>to</w:t>
      </w:r>
      <w:r w:rsidR="00453453">
        <w:t> </w:t>
      </w:r>
      <w:r w:rsidR="00703610" w:rsidRPr="00703610">
        <w:t>&lt;</w:t>
      </w:r>
      <w:r w:rsidR="00453453">
        <w:t> </w:t>
      </w:r>
      <w:r w:rsidR="00703610" w:rsidRPr="00703610">
        <w:t>$95,000</w:t>
      </w:r>
      <w:r w:rsidR="00B422BC" w:rsidRPr="00C72548">
        <w:t>/</w:t>
      </w:r>
      <w:r w:rsidR="00CE1652" w:rsidRPr="00C72548">
        <w:t xml:space="preserve">QALY gained to </w:t>
      </w:r>
      <w:r w:rsidR="00453453" w:rsidRPr="00703610">
        <w:t>$75,000</w:t>
      </w:r>
      <w:r w:rsidR="00453453">
        <w:t> </w:t>
      </w:r>
      <w:r w:rsidR="00453453" w:rsidRPr="00703610">
        <w:t>to</w:t>
      </w:r>
      <w:r w:rsidR="00453453">
        <w:t> </w:t>
      </w:r>
      <w:r w:rsidR="00453453" w:rsidRPr="00703610">
        <w:t>&lt;</w:t>
      </w:r>
      <w:r w:rsidR="00453453">
        <w:t> </w:t>
      </w:r>
      <w:r w:rsidR="00453453" w:rsidRPr="00703610">
        <w:t>$95,000</w:t>
      </w:r>
      <w:r w:rsidR="00B422BC" w:rsidRPr="00C72548">
        <w:t>/QALY (+</w:t>
      </w:r>
      <w:r w:rsidR="00C2058C" w:rsidRPr="00C72548">
        <w:t>1</w:t>
      </w:r>
      <w:r w:rsidR="00B422BC" w:rsidRPr="00C72548">
        <w:t>%).</w:t>
      </w:r>
    </w:p>
    <w:p w14:paraId="31A4106A" w14:textId="017FAF87" w:rsidR="00765141" w:rsidRPr="005935CF" w:rsidRDefault="00765141" w:rsidP="00EF4C49">
      <w:pPr>
        <w:pStyle w:val="3-BodyText"/>
        <w:rPr>
          <w:color w:val="0066FF"/>
        </w:rPr>
      </w:pPr>
      <w:bookmarkStart w:id="98" w:name="_Ref183440758"/>
      <w:r>
        <w:t xml:space="preserve">The economic model applied a one-time cost of $52,873.20 for end-of-life care based on Langton 2016. </w:t>
      </w:r>
      <w:r w:rsidRPr="008272D0">
        <w:t xml:space="preserve">The end-of-life cost applied in the model appears high. </w:t>
      </w:r>
      <w:r w:rsidRPr="00990C95">
        <w:t>Previous PBAC consideration</w:t>
      </w:r>
      <w:r w:rsidR="000A4F94">
        <w:t>s</w:t>
      </w:r>
      <w:r w:rsidRPr="00990C95">
        <w:t xml:space="preserve"> ha</w:t>
      </w:r>
      <w:r w:rsidR="000A4F94">
        <w:t>ve</w:t>
      </w:r>
      <w:r w:rsidRPr="00990C95">
        <w:t xml:space="preserve"> applied a cost of </w:t>
      </w:r>
      <w:r w:rsidR="00273934">
        <w:t xml:space="preserve">approximately </w:t>
      </w:r>
      <w:r w:rsidRPr="00990C95">
        <w:t>$38,0</w:t>
      </w:r>
      <w:r w:rsidR="00273934">
        <w:t>0</w:t>
      </w:r>
      <w:r w:rsidR="00BC1FCB">
        <w:t>0</w:t>
      </w:r>
      <w:r w:rsidRPr="00990C95">
        <w:t xml:space="preserve"> based on the same source (para 6.43</w:t>
      </w:r>
      <w:r w:rsidR="00126823">
        <w:t>,</w:t>
      </w:r>
      <w:r w:rsidRPr="00990C95">
        <w:t xml:space="preserve"> pembrolizumab</w:t>
      </w:r>
      <w:r w:rsidR="00BC1FCB">
        <w:t xml:space="preserve"> for </w:t>
      </w:r>
      <w:r w:rsidR="00D74C5D" w:rsidRPr="00D74C5D">
        <w:t>oesophageal carcinoma</w:t>
      </w:r>
      <w:r w:rsidRPr="00990C95">
        <w:t xml:space="preserve"> PSD, </w:t>
      </w:r>
      <w:r w:rsidR="0071195B" w:rsidRPr="00990C95">
        <w:t>November</w:t>
      </w:r>
      <w:r w:rsidR="0071195B">
        <w:t> </w:t>
      </w:r>
      <w:r w:rsidRPr="00990C95">
        <w:t>2021 PBAC meeting</w:t>
      </w:r>
      <w:r w:rsidR="00273934">
        <w:t xml:space="preserve">; para </w:t>
      </w:r>
      <w:r w:rsidR="003D5F1A">
        <w:t>6.46, nivolumab PSD, November 2021 PBAC meeting</w:t>
      </w:r>
      <w:r w:rsidRPr="00990C95">
        <w:t>).</w:t>
      </w:r>
      <w:r w:rsidR="00BE72C4">
        <w:t xml:space="preserve"> </w:t>
      </w:r>
      <w:r w:rsidRPr="005935CF">
        <w:t xml:space="preserve">Excluding end-of-life costs from the economic model increased the ICER </w:t>
      </w:r>
      <w:r w:rsidR="00390DBC" w:rsidRPr="005935CF">
        <w:t xml:space="preserve">from </w:t>
      </w:r>
      <w:r w:rsidR="00BA3FDA" w:rsidRPr="00703610">
        <w:t>$75,000</w:t>
      </w:r>
      <w:r w:rsidR="00BA3FDA">
        <w:t> </w:t>
      </w:r>
      <w:r w:rsidR="00BA3FDA" w:rsidRPr="00703610">
        <w:t>to</w:t>
      </w:r>
      <w:r w:rsidR="00BA3FDA">
        <w:t> </w:t>
      </w:r>
      <w:r w:rsidR="00BA3FDA" w:rsidRPr="00703610">
        <w:t>&lt;</w:t>
      </w:r>
      <w:r w:rsidR="00BA3FDA">
        <w:t> </w:t>
      </w:r>
      <w:r w:rsidR="00BA3FDA" w:rsidRPr="00703610">
        <w:t>$95,000</w:t>
      </w:r>
      <w:r w:rsidR="00390DBC" w:rsidRPr="005935CF">
        <w:t xml:space="preserve">/QALY gained </w:t>
      </w:r>
      <w:r w:rsidRPr="005935CF">
        <w:t xml:space="preserve">to </w:t>
      </w:r>
      <w:r w:rsidR="00BA3FDA" w:rsidRPr="00703610">
        <w:t>$75,000</w:t>
      </w:r>
      <w:r w:rsidR="00BA3FDA">
        <w:t> </w:t>
      </w:r>
      <w:r w:rsidR="00BA3FDA" w:rsidRPr="00703610">
        <w:t>to</w:t>
      </w:r>
      <w:r w:rsidR="00BA3FDA">
        <w:t> </w:t>
      </w:r>
      <w:r w:rsidR="00BA3FDA" w:rsidRPr="00703610">
        <w:t>&lt;</w:t>
      </w:r>
      <w:r w:rsidR="00BA3FDA">
        <w:t> </w:t>
      </w:r>
      <w:r w:rsidR="00BA3FDA" w:rsidRPr="00703610">
        <w:t>$95,000</w:t>
      </w:r>
      <w:r w:rsidRPr="005935CF">
        <w:t>/QALY gained (+5%).</w:t>
      </w:r>
      <w:bookmarkEnd w:id="98"/>
      <w:r w:rsidR="007C667D" w:rsidRPr="005935CF">
        <w:t xml:space="preserve"> </w:t>
      </w:r>
      <w:r w:rsidR="000A1694">
        <w:t>Given</w:t>
      </w:r>
      <w:r w:rsidR="005935CF">
        <w:t xml:space="preserve"> the </w:t>
      </w:r>
      <w:r w:rsidR="00171BEA">
        <w:t>uncertainty of the</w:t>
      </w:r>
      <w:r w:rsidR="005935CF">
        <w:t xml:space="preserve"> </w:t>
      </w:r>
      <w:r w:rsidR="00DE23ED">
        <w:t xml:space="preserve">OS </w:t>
      </w:r>
      <w:r w:rsidR="005935CF">
        <w:t xml:space="preserve">data, </w:t>
      </w:r>
      <w:r w:rsidR="00DE23ED">
        <w:t xml:space="preserve">it </w:t>
      </w:r>
      <w:r w:rsidR="005935CF">
        <w:t xml:space="preserve">is likely not reasonable </w:t>
      </w:r>
      <w:r w:rsidR="00DE23ED">
        <w:t xml:space="preserve">that the economic model be driven, in-part, by </w:t>
      </w:r>
      <w:r w:rsidR="002802D4">
        <w:t>a</w:t>
      </w:r>
      <w:r w:rsidR="00D54812">
        <w:t xml:space="preserve"> </w:t>
      </w:r>
      <w:r w:rsidR="002802D4" w:rsidRPr="002802D4">
        <w:t xml:space="preserve">high </w:t>
      </w:r>
      <w:r w:rsidR="0071284F">
        <w:t xml:space="preserve">end-of-life </w:t>
      </w:r>
      <w:r w:rsidR="002802D4" w:rsidRPr="002802D4">
        <w:t>cost</w:t>
      </w:r>
      <w:r w:rsidR="00BF674D">
        <w:t xml:space="preserve"> </w:t>
      </w:r>
      <w:r w:rsidR="00B017FB">
        <w:t xml:space="preserve">associated with earlier deaths in the </w:t>
      </w:r>
      <w:r w:rsidR="002802D4" w:rsidRPr="002802D4">
        <w:t>CP arm</w:t>
      </w:r>
      <w:r w:rsidR="00B017FB">
        <w:t xml:space="preserve">, </w:t>
      </w:r>
      <w:r w:rsidR="00933001">
        <w:t xml:space="preserve">particularly </w:t>
      </w:r>
      <w:r w:rsidR="00B017FB">
        <w:t>as discounting is lower</w:t>
      </w:r>
      <w:r w:rsidR="00AC0DEA">
        <w:t xml:space="preserve"> </w:t>
      </w:r>
      <w:r w:rsidR="002802D4" w:rsidRPr="002802D4">
        <w:t xml:space="preserve">compared to when the deaths </w:t>
      </w:r>
      <w:r w:rsidR="00DB2F22">
        <w:t xml:space="preserve">are assumed to </w:t>
      </w:r>
      <w:r w:rsidR="002802D4" w:rsidRPr="002802D4">
        <w:t>occur in the ACP arm.</w:t>
      </w:r>
    </w:p>
    <w:p w14:paraId="7E168DEB" w14:textId="3678DF92" w:rsidR="00765141" w:rsidRPr="00AF3D35" w:rsidRDefault="00765141" w:rsidP="00EF4C49">
      <w:pPr>
        <w:pStyle w:val="3-BodyText"/>
      </w:pPr>
      <w:r w:rsidRPr="00AF3D35">
        <w:t xml:space="preserve">A summary of the key drivers of the economic model is presented in </w:t>
      </w:r>
      <w:r>
        <w:fldChar w:fldCharType="begin"/>
      </w:r>
      <w:r>
        <w:instrText xml:space="preserve"> REF _Ref104805122 \h </w:instrText>
      </w:r>
      <w:r>
        <w:fldChar w:fldCharType="separate"/>
      </w:r>
      <w:r w:rsidR="00372107" w:rsidRPr="0098262F">
        <w:t xml:space="preserve">Table </w:t>
      </w:r>
      <w:r w:rsidR="00372107">
        <w:rPr>
          <w:noProof/>
        </w:rPr>
        <w:t>11</w:t>
      </w:r>
      <w:r>
        <w:fldChar w:fldCharType="end"/>
      </w:r>
      <w:r>
        <w:t>.</w:t>
      </w:r>
    </w:p>
    <w:p w14:paraId="424F614A" w14:textId="191BF8DA" w:rsidR="00765141" w:rsidRPr="0098262F" w:rsidRDefault="00765141" w:rsidP="000F65E5">
      <w:pPr>
        <w:pStyle w:val="Caption"/>
        <w:jc w:val="left"/>
        <w:rPr>
          <w:rStyle w:val="CommentReference"/>
          <w:b/>
          <w:szCs w:val="24"/>
        </w:rPr>
      </w:pPr>
      <w:bookmarkStart w:id="99" w:name="_Ref104805122"/>
      <w:r w:rsidRPr="0098262F">
        <w:lastRenderedPageBreak/>
        <w:t xml:space="preserve">Table </w:t>
      </w:r>
      <w:r w:rsidR="002C794C">
        <w:fldChar w:fldCharType="begin"/>
      </w:r>
      <w:r w:rsidR="002C794C">
        <w:instrText xml:space="preserve"> SEQ Table \* ARABIC </w:instrText>
      </w:r>
      <w:r w:rsidR="002C794C">
        <w:fldChar w:fldCharType="separate"/>
      </w:r>
      <w:r w:rsidR="00372107">
        <w:rPr>
          <w:noProof/>
        </w:rPr>
        <w:t>11</w:t>
      </w:r>
      <w:r w:rsidR="002C794C">
        <w:rPr>
          <w:noProof/>
        </w:rPr>
        <w:fldChar w:fldCharType="end"/>
      </w:r>
      <w:bookmarkEnd w:id="99"/>
      <w:r w:rsidRPr="0098262F">
        <w:t>:</w:t>
      </w:r>
      <w:r w:rsidRPr="0098262F">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2977"/>
        <w:gridCol w:w="4911"/>
      </w:tblGrid>
      <w:tr w:rsidR="00765141" w:rsidRPr="0098262F" w14:paraId="202D7B55" w14:textId="77777777" w:rsidTr="001E32E1">
        <w:trPr>
          <w:tblHeader/>
        </w:trPr>
        <w:tc>
          <w:tcPr>
            <w:tcW w:w="626" w:type="pct"/>
            <w:shd w:val="clear" w:color="auto" w:fill="auto"/>
            <w:vAlign w:val="center"/>
          </w:tcPr>
          <w:p w14:paraId="7A542387" w14:textId="77777777" w:rsidR="00765141" w:rsidRPr="0098262F" w:rsidRDefault="00765141" w:rsidP="000F65E5">
            <w:pPr>
              <w:pStyle w:val="In-tableHeading"/>
            </w:pPr>
            <w:r w:rsidRPr="0098262F">
              <w:t>Description</w:t>
            </w:r>
          </w:p>
        </w:tc>
        <w:tc>
          <w:tcPr>
            <w:tcW w:w="1651" w:type="pct"/>
            <w:shd w:val="clear" w:color="auto" w:fill="auto"/>
            <w:vAlign w:val="center"/>
          </w:tcPr>
          <w:p w14:paraId="08E3F579" w14:textId="77777777" w:rsidR="00765141" w:rsidRPr="0098262F" w:rsidRDefault="00765141" w:rsidP="000F65E5">
            <w:pPr>
              <w:pStyle w:val="In-tableHeading"/>
            </w:pPr>
            <w:r w:rsidRPr="0098262F">
              <w:t>Method/Value</w:t>
            </w:r>
          </w:p>
        </w:tc>
        <w:tc>
          <w:tcPr>
            <w:tcW w:w="2723" w:type="pct"/>
            <w:shd w:val="clear" w:color="auto" w:fill="auto"/>
          </w:tcPr>
          <w:p w14:paraId="2C4CC726" w14:textId="77777777" w:rsidR="00765141" w:rsidRPr="0098262F" w:rsidRDefault="00765141" w:rsidP="000F65E5">
            <w:pPr>
              <w:pStyle w:val="In-tableHeading"/>
            </w:pPr>
            <w:r w:rsidRPr="0098262F">
              <w:t>Impact</w:t>
            </w:r>
          </w:p>
          <w:p w14:paraId="1880CC62" w14:textId="185B873E" w:rsidR="00765141" w:rsidRPr="0098262F" w:rsidRDefault="00765141" w:rsidP="000F65E5">
            <w:pPr>
              <w:pStyle w:val="In-tableHeading"/>
            </w:pPr>
            <w:r w:rsidRPr="0098262F">
              <w:t>Base case: $</w:t>
            </w:r>
            <w:r w:rsidR="00CE016F" w:rsidRPr="00CE016F">
              <w:rPr>
                <w:color w:val="000000"/>
                <w:shd w:val="solid" w:color="000000" w:fill="000000"/>
                <w14:textFill>
                  <w14:solidFill>
                    <w14:srgbClr w14:val="000000">
                      <w14:alpha w14:val="100000"/>
                    </w14:srgbClr>
                  </w14:solidFill>
                </w14:textFill>
              </w:rPr>
              <w:t>|</w:t>
            </w:r>
            <w:r w:rsidR="00653B2C">
              <w:rPr>
                <w:vertAlign w:val="superscript"/>
              </w:rPr>
              <w:t>1</w:t>
            </w:r>
            <w:r w:rsidRPr="0098262F">
              <w:t>/QALY gained</w:t>
            </w:r>
            <w:r w:rsidRPr="0098262F">
              <w:rPr>
                <w:color w:val="3366FF"/>
              </w:rPr>
              <w:t>.</w:t>
            </w:r>
          </w:p>
        </w:tc>
      </w:tr>
      <w:tr w:rsidR="00765141" w:rsidRPr="0098262F" w14:paraId="33B03C45" w14:textId="77777777" w:rsidTr="001E32E1">
        <w:tc>
          <w:tcPr>
            <w:tcW w:w="626" w:type="pct"/>
            <w:shd w:val="clear" w:color="auto" w:fill="auto"/>
          </w:tcPr>
          <w:p w14:paraId="0BE13A68" w14:textId="77777777" w:rsidR="00765141" w:rsidRDefault="00765141" w:rsidP="000F65E5">
            <w:pPr>
              <w:pStyle w:val="TableText0"/>
            </w:pPr>
            <w:r>
              <w:t>OS parametric functions</w:t>
            </w:r>
          </w:p>
        </w:tc>
        <w:tc>
          <w:tcPr>
            <w:tcW w:w="1651" w:type="pct"/>
            <w:shd w:val="clear" w:color="auto" w:fill="auto"/>
          </w:tcPr>
          <w:p w14:paraId="0AECACDB" w14:textId="34DE96D7" w:rsidR="00765141" w:rsidRDefault="00765141" w:rsidP="000F65E5">
            <w:pPr>
              <w:pStyle w:val="TableText0"/>
            </w:pPr>
            <w:r>
              <w:t>ACP: generalised gamma, CP: log</w:t>
            </w:r>
            <w:r w:rsidR="000D0986">
              <w:t>-</w:t>
            </w:r>
            <w:r>
              <w:t>logistic (TSE adjusted)</w:t>
            </w:r>
          </w:p>
          <w:p w14:paraId="34B00994" w14:textId="77777777" w:rsidR="00765141" w:rsidRDefault="00765141" w:rsidP="000F65E5">
            <w:pPr>
              <w:pStyle w:val="TableText0"/>
            </w:pPr>
          </w:p>
          <w:p w14:paraId="606C3932" w14:textId="7E57A8EB" w:rsidR="00765141" w:rsidRDefault="00765141" w:rsidP="000F65E5">
            <w:pPr>
              <w:pStyle w:val="TableText0"/>
            </w:pPr>
            <w:r>
              <w:t>The parametric distribution for CP was based on best fit according to AIC/BIC, while the generalised gamma function for ACP was based on clinical plausibility</w:t>
            </w:r>
            <w:r w:rsidR="00C8507E">
              <w:t>.</w:t>
            </w:r>
            <w:r>
              <w:t xml:space="preserve"> </w:t>
            </w:r>
          </w:p>
        </w:tc>
        <w:tc>
          <w:tcPr>
            <w:tcW w:w="2723" w:type="pct"/>
            <w:shd w:val="clear" w:color="auto" w:fill="auto"/>
          </w:tcPr>
          <w:p w14:paraId="32DB297A" w14:textId="77777777" w:rsidR="00765141" w:rsidRPr="008272D0" w:rsidRDefault="00765141" w:rsidP="000F65E5">
            <w:pPr>
              <w:pStyle w:val="TableText0"/>
            </w:pPr>
            <w:r w:rsidRPr="008272D0">
              <w:t xml:space="preserve">Very high, favours comparator. </w:t>
            </w:r>
          </w:p>
          <w:p w14:paraId="1CD2FFE5" w14:textId="77777777" w:rsidR="00765141" w:rsidRPr="008272D0" w:rsidRDefault="00765141" w:rsidP="000F65E5">
            <w:pPr>
              <w:pStyle w:val="TableText0"/>
            </w:pPr>
          </w:p>
          <w:p w14:paraId="5E1A5809" w14:textId="1B53D227" w:rsidR="00765141" w:rsidRDefault="00765141" w:rsidP="000F65E5">
            <w:pPr>
              <w:pStyle w:val="TableText0"/>
              <w:rPr>
                <w:i/>
              </w:rPr>
            </w:pPr>
            <w:r w:rsidRPr="008272D0">
              <w:t xml:space="preserve">The extrapolation of OS is highly uncertain given the premature OS data in the PAPILLON trial. </w:t>
            </w:r>
            <w:r w:rsidR="003C29E2" w:rsidRPr="008272D0">
              <w:t xml:space="preserve">The </w:t>
            </w:r>
            <w:r w:rsidR="00CD274F" w:rsidRPr="008272D0">
              <w:t xml:space="preserve">submission assumed a </w:t>
            </w:r>
            <w:r w:rsidR="00DF2276">
              <w:t xml:space="preserve">large and </w:t>
            </w:r>
            <w:r w:rsidR="00CD274F" w:rsidRPr="008272D0">
              <w:t>continued treatment effect applied throughout the ti</w:t>
            </w:r>
            <w:r w:rsidR="00A9229F" w:rsidRPr="008272D0">
              <w:t>m</w:t>
            </w:r>
            <w:r w:rsidR="00CD274F" w:rsidRPr="008272D0">
              <w:t xml:space="preserve">e horizon. </w:t>
            </w:r>
            <w:r w:rsidR="009A40B5" w:rsidRPr="008272D0">
              <w:t>This</w:t>
            </w:r>
            <w:r w:rsidR="003C29E2" w:rsidRPr="008272D0">
              <w:t xml:space="preserve"> is highly uncertain</w:t>
            </w:r>
            <w:r w:rsidR="00F52F61">
              <w:t>.</w:t>
            </w:r>
          </w:p>
        </w:tc>
      </w:tr>
      <w:tr w:rsidR="00765141" w:rsidRPr="0098262F" w14:paraId="268C8D09" w14:textId="77777777" w:rsidTr="001E32E1">
        <w:tc>
          <w:tcPr>
            <w:tcW w:w="626" w:type="pct"/>
            <w:shd w:val="clear" w:color="auto" w:fill="auto"/>
          </w:tcPr>
          <w:p w14:paraId="0B04E53B" w14:textId="0320F412" w:rsidR="00765141" w:rsidRDefault="00765141" w:rsidP="000F65E5">
            <w:pPr>
              <w:pStyle w:val="TableText0"/>
            </w:pPr>
            <w:r>
              <w:t>OS adjustments for treatment switching</w:t>
            </w:r>
          </w:p>
        </w:tc>
        <w:tc>
          <w:tcPr>
            <w:tcW w:w="1651" w:type="pct"/>
            <w:shd w:val="clear" w:color="auto" w:fill="auto"/>
          </w:tcPr>
          <w:p w14:paraId="55DACAD2" w14:textId="10B19139" w:rsidR="00765141" w:rsidRDefault="00765141" w:rsidP="000F65E5">
            <w:pPr>
              <w:pStyle w:val="TableText0"/>
            </w:pPr>
            <w:r>
              <w:t xml:space="preserve">TSE: HR 0.55 </w:t>
            </w:r>
          </w:p>
          <w:p w14:paraId="45A3B195" w14:textId="071CE558" w:rsidR="00765141" w:rsidRDefault="00765141" w:rsidP="000F65E5">
            <w:pPr>
              <w:pStyle w:val="TableText0"/>
            </w:pPr>
          </w:p>
          <w:p w14:paraId="33E06C0F" w14:textId="0EC7A44F" w:rsidR="00765141" w:rsidRDefault="00765141" w:rsidP="000F65E5">
            <w:pPr>
              <w:pStyle w:val="TableText0"/>
            </w:pPr>
            <w:r>
              <w:t>Alternative adjustments:</w:t>
            </w:r>
          </w:p>
          <w:p w14:paraId="2A29E15A" w14:textId="71F17A28" w:rsidR="00765141" w:rsidRDefault="00765141" w:rsidP="000F65E5">
            <w:pPr>
              <w:pStyle w:val="TableText0"/>
            </w:pPr>
            <w:r>
              <w:t xml:space="preserve">IPCW: HR 0.52 </w:t>
            </w:r>
          </w:p>
          <w:p w14:paraId="23B70A18" w14:textId="57E83AB4" w:rsidR="00765141" w:rsidRDefault="00765141" w:rsidP="000F65E5">
            <w:pPr>
              <w:pStyle w:val="TableText0"/>
            </w:pPr>
            <w:r>
              <w:t xml:space="preserve">RPSFT: HR 0.60 </w:t>
            </w:r>
          </w:p>
        </w:tc>
        <w:tc>
          <w:tcPr>
            <w:tcW w:w="2723" w:type="pct"/>
            <w:shd w:val="clear" w:color="auto" w:fill="auto"/>
          </w:tcPr>
          <w:p w14:paraId="038DEA38" w14:textId="74DC63ED" w:rsidR="00765141" w:rsidRPr="008272D0" w:rsidRDefault="00765141" w:rsidP="000F65E5">
            <w:pPr>
              <w:pStyle w:val="TableText0"/>
              <w:rPr>
                <w:iCs/>
              </w:rPr>
            </w:pPr>
            <w:r w:rsidRPr="008272D0">
              <w:rPr>
                <w:iCs/>
              </w:rPr>
              <w:t>Very high, favours amivantamab</w:t>
            </w:r>
            <w:r w:rsidR="00A528BD" w:rsidRPr="008272D0">
              <w:rPr>
                <w:iCs/>
              </w:rPr>
              <w:t>.</w:t>
            </w:r>
          </w:p>
          <w:p w14:paraId="31C33E7D" w14:textId="45F26738" w:rsidR="0086625D" w:rsidRPr="008272D0" w:rsidRDefault="0086625D" w:rsidP="000F65E5">
            <w:pPr>
              <w:pStyle w:val="TableText0"/>
              <w:rPr>
                <w:iCs/>
              </w:rPr>
            </w:pPr>
          </w:p>
          <w:p w14:paraId="4DFAB8B3" w14:textId="20F00C43" w:rsidR="00765141" w:rsidRDefault="007E12E0" w:rsidP="000F65E5">
            <w:pPr>
              <w:pStyle w:val="TableText0"/>
              <w:rPr>
                <w:i/>
              </w:rPr>
            </w:pPr>
            <w:r w:rsidRPr="008272D0">
              <w:rPr>
                <w:iCs/>
              </w:rPr>
              <w:t>When the I</w:t>
            </w:r>
            <w:r w:rsidR="00765141" w:rsidRPr="008272D0">
              <w:rPr>
                <w:iCs/>
              </w:rPr>
              <w:t>PCW adjustment</w:t>
            </w:r>
            <w:r w:rsidRPr="008272D0">
              <w:rPr>
                <w:iCs/>
              </w:rPr>
              <w:t xml:space="preserve"> was applied, the ICER reduced to</w:t>
            </w:r>
            <w:r w:rsidR="00765141" w:rsidRPr="008272D0">
              <w:rPr>
                <w:iCs/>
              </w:rPr>
              <w:t xml:space="preserve"> $</w:t>
            </w:r>
            <w:r w:rsidR="00CE016F" w:rsidRPr="00CE016F">
              <w:rPr>
                <w:iCs/>
                <w:color w:val="000000"/>
                <w:spacing w:val="53"/>
                <w:shd w:val="solid" w:color="000000" w:fill="000000"/>
                <w:fitText w:val="334" w:id="-762139901"/>
                <w14:textFill>
                  <w14:solidFill>
                    <w14:srgbClr w14:val="000000">
                      <w14:alpha w14:val="100000"/>
                    </w14:srgbClr>
                  </w14:solidFill>
                </w14:textFill>
              </w:rPr>
              <w:t>|||</w:t>
            </w:r>
            <w:r w:rsidR="00CE016F" w:rsidRPr="00CE016F">
              <w:rPr>
                <w:iCs/>
                <w:color w:val="000000"/>
                <w:spacing w:val="13"/>
                <w:shd w:val="solid" w:color="000000" w:fill="000000"/>
                <w:fitText w:val="334" w:id="-762139901"/>
                <w14:textFill>
                  <w14:solidFill>
                    <w14:srgbClr w14:val="000000">
                      <w14:alpha w14:val="100000"/>
                    </w14:srgbClr>
                  </w14:solidFill>
                </w14:textFill>
              </w:rPr>
              <w:t>|</w:t>
            </w:r>
            <w:r w:rsidR="00C13238">
              <w:rPr>
                <w:iCs/>
                <w:vertAlign w:val="superscript"/>
              </w:rPr>
              <w:t>2</w:t>
            </w:r>
            <w:r w:rsidRPr="008272D0">
              <w:rPr>
                <w:iCs/>
              </w:rPr>
              <w:t>/QALY gained</w:t>
            </w:r>
            <w:r w:rsidR="00765141" w:rsidRPr="008272D0">
              <w:rPr>
                <w:iCs/>
              </w:rPr>
              <w:t xml:space="preserve"> (-24%)</w:t>
            </w:r>
            <w:r w:rsidRPr="008272D0">
              <w:rPr>
                <w:iCs/>
              </w:rPr>
              <w:t xml:space="preserve"> and</w:t>
            </w:r>
            <w:r w:rsidR="00671697">
              <w:rPr>
                <w:iCs/>
              </w:rPr>
              <w:t xml:space="preserve"> when</w:t>
            </w:r>
            <w:r w:rsidRPr="008272D0">
              <w:rPr>
                <w:iCs/>
              </w:rPr>
              <w:t xml:space="preserve"> using the </w:t>
            </w:r>
            <w:r w:rsidR="00765141" w:rsidRPr="008272D0">
              <w:rPr>
                <w:iCs/>
              </w:rPr>
              <w:t>RPSFT adjustment</w:t>
            </w:r>
            <w:r w:rsidRPr="008272D0">
              <w:rPr>
                <w:iCs/>
              </w:rPr>
              <w:t>, the ICER increased to</w:t>
            </w:r>
            <w:r w:rsidR="00765141" w:rsidRPr="008272D0">
              <w:rPr>
                <w:iCs/>
              </w:rPr>
              <w:t xml:space="preserve"> $</w:t>
            </w:r>
            <w:r w:rsidR="00CE016F" w:rsidRPr="00CE016F">
              <w:rPr>
                <w:iCs/>
                <w:color w:val="000000"/>
                <w:spacing w:val="49"/>
                <w:shd w:val="solid" w:color="000000" w:fill="000000"/>
                <w:fitText w:val="320" w:id="-762139900"/>
                <w14:textFill>
                  <w14:solidFill>
                    <w14:srgbClr w14:val="000000">
                      <w14:alpha w14:val="100000"/>
                    </w14:srgbClr>
                  </w14:solidFill>
                </w14:textFill>
              </w:rPr>
              <w:t>|||</w:t>
            </w:r>
            <w:r w:rsidR="00CE016F" w:rsidRPr="00CE016F">
              <w:rPr>
                <w:iCs/>
                <w:color w:val="000000"/>
                <w:spacing w:val="3"/>
                <w:shd w:val="solid" w:color="000000" w:fill="000000"/>
                <w:fitText w:val="320" w:id="-762139900"/>
                <w14:textFill>
                  <w14:solidFill>
                    <w14:srgbClr w14:val="000000">
                      <w14:alpha w14:val="100000"/>
                    </w14:srgbClr>
                  </w14:solidFill>
                </w14:textFill>
              </w:rPr>
              <w:t>|</w:t>
            </w:r>
            <w:r w:rsidR="005975FE" w:rsidRPr="005975FE">
              <w:rPr>
                <w:iCs/>
                <w:vertAlign w:val="superscript"/>
              </w:rPr>
              <w:t>1</w:t>
            </w:r>
            <w:r w:rsidRPr="008272D0">
              <w:rPr>
                <w:iCs/>
              </w:rPr>
              <w:t>/QALY gained</w:t>
            </w:r>
            <w:r w:rsidR="00765141" w:rsidRPr="008272D0">
              <w:rPr>
                <w:iCs/>
              </w:rPr>
              <w:t xml:space="preserve"> (+17%)</w:t>
            </w:r>
          </w:p>
        </w:tc>
      </w:tr>
      <w:tr w:rsidR="00765141" w:rsidRPr="0098262F" w14:paraId="67B8AAFD" w14:textId="77777777" w:rsidTr="001E32E1">
        <w:tc>
          <w:tcPr>
            <w:tcW w:w="626" w:type="pct"/>
            <w:shd w:val="clear" w:color="auto" w:fill="auto"/>
          </w:tcPr>
          <w:p w14:paraId="2C417123" w14:textId="77777777" w:rsidR="00765141" w:rsidRPr="0098262F" w:rsidRDefault="00765141" w:rsidP="000F65E5">
            <w:pPr>
              <w:pStyle w:val="TableText0"/>
            </w:pPr>
            <w:r w:rsidRPr="0098262F">
              <w:t>Utilities</w:t>
            </w:r>
          </w:p>
        </w:tc>
        <w:tc>
          <w:tcPr>
            <w:tcW w:w="1651" w:type="pct"/>
            <w:shd w:val="clear" w:color="auto" w:fill="auto"/>
          </w:tcPr>
          <w:p w14:paraId="659E0CAD" w14:textId="393A25DB" w:rsidR="00765141" w:rsidRPr="0098262F" w:rsidRDefault="00765141" w:rsidP="000F65E5">
            <w:pPr>
              <w:pStyle w:val="TableText0"/>
            </w:pPr>
            <w:r>
              <w:t>The utility values applied were based on EQ-5D-5L data from the PAPILLON trial. Pre</w:t>
            </w:r>
            <w:r w:rsidR="008B3145">
              <w:t>-</w:t>
            </w:r>
            <w:r>
              <w:t>progression utility was 0.913 in the ACP arm and 0.916 in the CP arm. Post</w:t>
            </w:r>
            <w:r w:rsidR="00835DBA">
              <w:t>-</w:t>
            </w:r>
            <w:r>
              <w:t xml:space="preserve">progression utility was pooled 0.839. </w:t>
            </w:r>
            <w:r w:rsidRPr="008272D0">
              <w:rPr>
                <w:iCs/>
              </w:rPr>
              <w:t xml:space="preserve">These utility values could not be verified </w:t>
            </w:r>
            <w:r w:rsidR="00835DBA">
              <w:rPr>
                <w:iCs/>
              </w:rPr>
              <w:t xml:space="preserve">during the evaluation </w:t>
            </w:r>
            <w:r w:rsidRPr="008272D0">
              <w:rPr>
                <w:iCs/>
              </w:rPr>
              <w:t>and were higher than in other recent studies.</w:t>
            </w:r>
            <w:r>
              <w:t xml:space="preserve"> </w:t>
            </w:r>
          </w:p>
        </w:tc>
        <w:tc>
          <w:tcPr>
            <w:tcW w:w="2723" w:type="pct"/>
            <w:shd w:val="clear" w:color="auto" w:fill="auto"/>
          </w:tcPr>
          <w:p w14:paraId="7B593531" w14:textId="77777777" w:rsidR="00765141" w:rsidRPr="008272D0" w:rsidRDefault="00765141" w:rsidP="000F65E5">
            <w:pPr>
              <w:pStyle w:val="TableText0"/>
            </w:pPr>
            <w:r w:rsidRPr="008272D0">
              <w:t xml:space="preserve">Moderate, favours intervention </w:t>
            </w:r>
          </w:p>
          <w:p w14:paraId="4B2F1C55" w14:textId="77777777" w:rsidR="00BC7993" w:rsidRPr="008272D0" w:rsidRDefault="00BC7993" w:rsidP="000F65E5">
            <w:pPr>
              <w:pStyle w:val="TableText0"/>
            </w:pPr>
          </w:p>
          <w:p w14:paraId="34ACE422" w14:textId="6973E901" w:rsidR="00854E2B" w:rsidRPr="0098262F" w:rsidRDefault="00765141" w:rsidP="000F65E5">
            <w:pPr>
              <w:pStyle w:val="TableText0"/>
              <w:rPr>
                <w:i/>
              </w:rPr>
            </w:pPr>
            <w:r w:rsidRPr="008272D0">
              <w:t>When a pre-progression utility of 0.79</w:t>
            </w:r>
            <w:r w:rsidR="005F28CC">
              <w:t>4</w:t>
            </w:r>
            <w:r w:rsidRPr="008272D0">
              <w:t xml:space="preserve"> and post-progression utility of 0.6</w:t>
            </w:r>
            <w:r w:rsidR="005F28CC">
              <w:t>4</w:t>
            </w:r>
            <w:r w:rsidRPr="008272D0">
              <w:t xml:space="preserve"> (osimertinib PSD, </w:t>
            </w:r>
            <w:r w:rsidR="00AA488F">
              <w:t>November</w:t>
            </w:r>
            <w:r w:rsidR="00AA488F" w:rsidRPr="008272D0">
              <w:t xml:space="preserve"> </w:t>
            </w:r>
            <w:r w:rsidRPr="008272D0">
              <w:t>2023 PBAC meeting) were applied, the ICER increased to $</w:t>
            </w:r>
            <w:r w:rsidR="00CE016F" w:rsidRPr="00CE016F">
              <w:rPr>
                <w:color w:val="000000"/>
                <w:spacing w:val="54"/>
                <w:shd w:val="solid" w:color="000000" w:fill="000000"/>
                <w:fitText w:val="333" w:id="-762139899"/>
                <w14:textFill>
                  <w14:solidFill>
                    <w14:srgbClr w14:val="000000">
                      <w14:alpha w14:val="100000"/>
                    </w14:srgbClr>
                  </w14:solidFill>
                </w14:textFill>
              </w:rPr>
              <w:t>|||</w:t>
            </w:r>
            <w:r w:rsidR="00CE016F" w:rsidRPr="00CE016F">
              <w:rPr>
                <w:color w:val="000000"/>
                <w:spacing w:val="1"/>
                <w:shd w:val="solid" w:color="000000" w:fill="000000"/>
                <w:fitText w:val="333" w:id="-762139899"/>
                <w14:textFill>
                  <w14:solidFill>
                    <w14:srgbClr w14:val="000000">
                      <w14:alpha w14:val="100000"/>
                    </w14:srgbClr>
                  </w14:solidFill>
                </w14:textFill>
              </w:rPr>
              <w:t>|</w:t>
            </w:r>
            <w:r w:rsidR="001E32E1">
              <w:rPr>
                <w:vertAlign w:val="superscript"/>
              </w:rPr>
              <w:t>3</w:t>
            </w:r>
            <w:r w:rsidRPr="008272D0">
              <w:t xml:space="preserve"> (+</w:t>
            </w:r>
            <w:r w:rsidR="00A356BC">
              <w:t>20</w:t>
            </w:r>
            <w:r w:rsidRPr="008272D0">
              <w:t>%).</w:t>
            </w:r>
            <w:r w:rsidR="00175348" w:rsidRPr="008272D0">
              <w:t xml:space="preserve"> </w:t>
            </w:r>
            <w:r w:rsidR="00747202" w:rsidRPr="008272D0">
              <w:t>Th</w:t>
            </w:r>
            <w:r w:rsidR="00145AB8" w:rsidRPr="008272D0">
              <w:t xml:space="preserve">e </w:t>
            </w:r>
            <w:r w:rsidR="00747202" w:rsidRPr="008272D0">
              <w:t xml:space="preserve">osimertinib submission was in </w:t>
            </w:r>
            <w:r w:rsidR="00372B9B" w:rsidRPr="008272D0">
              <w:t xml:space="preserve">the </w:t>
            </w:r>
            <w:r w:rsidR="00747202" w:rsidRPr="008272D0">
              <w:rPr>
                <w:iCs/>
              </w:rPr>
              <w:t xml:space="preserve">adjuvant setting, in patients with Stage IB-IIIA NSCLC, who would likely have better quality of life. </w:t>
            </w:r>
          </w:p>
        </w:tc>
      </w:tr>
    </w:tbl>
    <w:p w14:paraId="3284A66B" w14:textId="01B35266" w:rsidR="00765141" w:rsidRDefault="00765141" w:rsidP="000F65E5">
      <w:pPr>
        <w:pStyle w:val="FooterTableFigure"/>
        <w:keepNext/>
        <w:jc w:val="left"/>
      </w:pPr>
      <w:r w:rsidRPr="0098262F">
        <w:t xml:space="preserve">Source: </w:t>
      </w:r>
      <w:r>
        <w:t xml:space="preserve">Table 3.35, pp199-200 of the submission and compiled during the commentary </w:t>
      </w:r>
      <w:r>
        <w:br/>
        <w:t xml:space="preserve">Abbreviations: ACP, amivantamab plus carboplatin and pemetrexed; AIC Akaike information criterion; BIC, Bayesian information criterion; CP, carboplatin and pemetrexed; </w:t>
      </w:r>
      <w:r w:rsidR="00D52012">
        <w:t xml:space="preserve">EQ-5D-5L, </w:t>
      </w:r>
      <w:r w:rsidR="00D52012" w:rsidRPr="00D52012">
        <w:t>EuroQol 5 Dimension 5 Level</w:t>
      </w:r>
      <w:r w:rsidR="00D52012">
        <w:t xml:space="preserve">; </w:t>
      </w:r>
      <w:r>
        <w:t xml:space="preserve">ICER, incremental cost-effectiveness ratio; IPCW, inverse probability of censoring weight; </w:t>
      </w:r>
      <w:r w:rsidR="007F3A5B">
        <w:t xml:space="preserve">NSCLC, </w:t>
      </w:r>
      <w:r w:rsidR="007F3A5B" w:rsidRPr="007F3A5B">
        <w:t>non-small cell lung cancer</w:t>
      </w:r>
      <w:r w:rsidR="007F3A5B">
        <w:t xml:space="preserve">; </w:t>
      </w:r>
      <w:r w:rsidR="00442CB2">
        <w:t xml:space="preserve">OS, overall survival; </w:t>
      </w:r>
      <w:r>
        <w:t xml:space="preserve">PSD, public summary document; QALY, quality-adjusted life year; RPSFT, rank preserving structural failure time; TSE, two-stage estimation </w:t>
      </w:r>
    </w:p>
    <w:p w14:paraId="16B9C4A1" w14:textId="52888B06" w:rsidR="00AD4D97" w:rsidRPr="00AD4D97" w:rsidRDefault="00AD4D97" w:rsidP="00AD4D97">
      <w:pPr>
        <w:pStyle w:val="FooterTableFigure"/>
        <w:keepNext/>
      </w:pPr>
      <w:r>
        <w:rPr>
          <w:i/>
          <w:iCs/>
        </w:rPr>
        <w:t>T</w:t>
      </w:r>
      <w:r w:rsidRPr="00AD4D97">
        <w:rPr>
          <w:i/>
          <w:iCs/>
        </w:rPr>
        <w:t>he redacted values correspond to the following ranges:</w:t>
      </w:r>
    </w:p>
    <w:p w14:paraId="6FB90078" w14:textId="264C8E81" w:rsidR="00AD4D97" w:rsidRPr="00AD4D97" w:rsidRDefault="00AD4D97" w:rsidP="00AD4D97">
      <w:pPr>
        <w:pStyle w:val="FooterTableFigure"/>
        <w:keepNext/>
      </w:pPr>
      <w:r w:rsidRPr="00AD4D97">
        <w:rPr>
          <w:i/>
          <w:iCs/>
          <w:vertAlign w:val="superscript"/>
        </w:rPr>
        <w:t>1</w:t>
      </w:r>
      <w:r w:rsidR="000039AB">
        <w:rPr>
          <w:i/>
          <w:iCs/>
          <w:vertAlign w:val="superscript"/>
        </w:rPr>
        <w:t xml:space="preserve"> </w:t>
      </w:r>
      <w:r w:rsidR="000039AB" w:rsidRPr="000039AB">
        <w:rPr>
          <w:i/>
          <w:iCs/>
        </w:rPr>
        <w:t>$75,000</w:t>
      </w:r>
      <w:r w:rsidR="000039AB">
        <w:rPr>
          <w:rFonts w:ascii="Arial" w:hAnsi="Arial"/>
          <w:i/>
          <w:iCs/>
        </w:rPr>
        <w:t> </w:t>
      </w:r>
      <w:r w:rsidR="000039AB" w:rsidRPr="000039AB">
        <w:rPr>
          <w:i/>
          <w:iCs/>
        </w:rPr>
        <w:t>to</w:t>
      </w:r>
      <w:r w:rsidR="000039AB">
        <w:rPr>
          <w:i/>
          <w:iCs/>
        </w:rPr>
        <w:t> </w:t>
      </w:r>
      <w:r w:rsidR="000039AB" w:rsidRPr="000039AB">
        <w:rPr>
          <w:i/>
          <w:iCs/>
        </w:rPr>
        <w:t>&lt;</w:t>
      </w:r>
      <w:r w:rsidR="000039AB">
        <w:rPr>
          <w:i/>
          <w:iCs/>
        </w:rPr>
        <w:t> </w:t>
      </w:r>
      <w:r w:rsidR="000039AB" w:rsidRPr="000039AB">
        <w:rPr>
          <w:i/>
          <w:iCs/>
        </w:rPr>
        <w:t>$95,000</w:t>
      </w:r>
    </w:p>
    <w:p w14:paraId="2753ED56" w14:textId="775732F9" w:rsidR="00AD4D97" w:rsidRPr="00AD4D97" w:rsidRDefault="00AD4D97" w:rsidP="00AD4D97">
      <w:pPr>
        <w:pStyle w:val="FooterTableFigure"/>
        <w:keepNext/>
      </w:pPr>
      <w:r w:rsidRPr="00AD4D97">
        <w:rPr>
          <w:i/>
          <w:iCs/>
          <w:vertAlign w:val="superscript"/>
        </w:rPr>
        <w:t>2</w:t>
      </w:r>
      <w:r w:rsidR="000039AB">
        <w:rPr>
          <w:i/>
          <w:iCs/>
          <w:vertAlign w:val="superscript"/>
        </w:rPr>
        <w:t xml:space="preserve"> </w:t>
      </w:r>
      <w:r w:rsidR="00D71B88" w:rsidRPr="00D71B88">
        <w:rPr>
          <w:i/>
          <w:iCs/>
        </w:rPr>
        <w:t>$55,000</w:t>
      </w:r>
      <w:r w:rsidR="00D71B88">
        <w:rPr>
          <w:i/>
          <w:iCs/>
        </w:rPr>
        <w:t> </w:t>
      </w:r>
      <w:r w:rsidR="00D71B88" w:rsidRPr="00D71B88">
        <w:rPr>
          <w:i/>
          <w:iCs/>
        </w:rPr>
        <w:t>to</w:t>
      </w:r>
      <w:r w:rsidR="00D71B88">
        <w:rPr>
          <w:i/>
          <w:iCs/>
        </w:rPr>
        <w:t> </w:t>
      </w:r>
      <w:r w:rsidR="00D71B88" w:rsidRPr="00D71B88">
        <w:rPr>
          <w:i/>
          <w:iCs/>
        </w:rPr>
        <w:t>&lt;</w:t>
      </w:r>
      <w:r w:rsidR="00D71B88">
        <w:rPr>
          <w:i/>
          <w:iCs/>
        </w:rPr>
        <w:t> </w:t>
      </w:r>
      <w:r w:rsidR="00D71B88" w:rsidRPr="00D71B88">
        <w:rPr>
          <w:i/>
          <w:iCs/>
        </w:rPr>
        <w:t>$75,000</w:t>
      </w:r>
    </w:p>
    <w:p w14:paraId="35CF5200" w14:textId="63324B51" w:rsidR="005B43E5" w:rsidRPr="00977C7D" w:rsidRDefault="00AD4D97" w:rsidP="00AD4D97">
      <w:pPr>
        <w:pStyle w:val="FooterTableFigure"/>
      </w:pPr>
      <w:r w:rsidRPr="00AD4D97">
        <w:rPr>
          <w:i/>
          <w:iCs/>
          <w:vertAlign w:val="superscript"/>
        </w:rPr>
        <w:t>3</w:t>
      </w:r>
      <w:r w:rsidR="000039AB">
        <w:rPr>
          <w:i/>
          <w:iCs/>
          <w:vertAlign w:val="superscript"/>
        </w:rPr>
        <w:t xml:space="preserve"> </w:t>
      </w:r>
      <w:r w:rsidR="00977C7D" w:rsidRPr="00977C7D">
        <w:rPr>
          <w:i/>
          <w:iCs/>
        </w:rPr>
        <w:t>$95,000</w:t>
      </w:r>
      <w:r w:rsidR="00977C7D">
        <w:rPr>
          <w:rFonts w:ascii="Arial" w:hAnsi="Arial"/>
          <w:i/>
          <w:iCs/>
        </w:rPr>
        <w:t> </w:t>
      </w:r>
      <w:r w:rsidR="00977C7D" w:rsidRPr="00977C7D">
        <w:rPr>
          <w:i/>
          <w:iCs/>
        </w:rPr>
        <w:t>to</w:t>
      </w:r>
      <w:r w:rsidR="00977C7D">
        <w:rPr>
          <w:i/>
          <w:iCs/>
        </w:rPr>
        <w:t> </w:t>
      </w:r>
      <w:r w:rsidR="00977C7D" w:rsidRPr="00977C7D">
        <w:rPr>
          <w:i/>
          <w:iCs/>
        </w:rPr>
        <w:t>&lt;</w:t>
      </w:r>
      <w:r w:rsidR="00977C7D">
        <w:rPr>
          <w:i/>
          <w:iCs/>
        </w:rPr>
        <w:t> </w:t>
      </w:r>
      <w:r w:rsidR="00977C7D" w:rsidRPr="00977C7D">
        <w:rPr>
          <w:i/>
          <w:iCs/>
        </w:rPr>
        <w:t>$115,000</w:t>
      </w:r>
    </w:p>
    <w:p w14:paraId="25F1300A" w14:textId="7A877730" w:rsidR="00765141" w:rsidRPr="0098262F" w:rsidRDefault="00765141" w:rsidP="00EF4C49">
      <w:pPr>
        <w:pStyle w:val="3-BodyText"/>
      </w:pPr>
      <w:r>
        <w:t xml:space="preserve">The results of the stepped economic evaluation are presented in </w:t>
      </w:r>
      <w:r w:rsidR="00463AE1">
        <w:fldChar w:fldCharType="begin"/>
      </w:r>
      <w:r w:rsidR="00463AE1">
        <w:instrText xml:space="preserve"> REF _Ref104805160 \h </w:instrText>
      </w:r>
      <w:r w:rsidR="00463AE1">
        <w:fldChar w:fldCharType="separate"/>
      </w:r>
      <w:r w:rsidR="00372107" w:rsidRPr="0098262F">
        <w:t xml:space="preserve">Table </w:t>
      </w:r>
      <w:r w:rsidR="00372107">
        <w:rPr>
          <w:noProof/>
        </w:rPr>
        <w:t>12</w:t>
      </w:r>
      <w:r w:rsidR="00463AE1">
        <w:fldChar w:fldCharType="end"/>
      </w:r>
      <w:r>
        <w:t>.</w:t>
      </w:r>
    </w:p>
    <w:p w14:paraId="30CCA8F4" w14:textId="57DA7EAC" w:rsidR="00765141" w:rsidRDefault="00765141" w:rsidP="000F65E5">
      <w:pPr>
        <w:pStyle w:val="Caption"/>
        <w:rPr>
          <w:rStyle w:val="CommentReference"/>
          <w:b/>
          <w:szCs w:val="24"/>
        </w:rPr>
      </w:pPr>
      <w:bookmarkStart w:id="100" w:name="_Ref104805160"/>
      <w:r w:rsidRPr="0098262F">
        <w:lastRenderedPageBreak/>
        <w:t xml:space="preserve">Table </w:t>
      </w:r>
      <w:r w:rsidR="002C794C">
        <w:fldChar w:fldCharType="begin"/>
      </w:r>
      <w:r w:rsidR="002C794C">
        <w:instrText xml:space="preserve"> SEQ Table \* ARABIC </w:instrText>
      </w:r>
      <w:r w:rsidR="002C794C">
        <w:fldChar w:fldCharType="separate"/>
      </w:r>
      <w:r w:rsidR="00372107">
        <w:rPr>
          <w:noProof/>
        </w:rPr>
        <w:t>12</w:t>
      </w:r>
      <w:r w:rsidR="002C794C">
        <w:rPr>
          <w:noProof/>
        </w:rPr>
        <w:fldChar w:fldCharType="end"/>
      </w:r>
      <w:bookmarkEnd w:id="100"/>
      <w:r w:rsidRPr="0098262F">
        <w:t>:</w:t>
      </w:r>
      <w:r w:rsidRPr="0098262F">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765141" w:rsidRPr="0098262F" w14:paraId="5AC7E8B4" w14:textId="77777777">
        <w:trPr>
          <w:tblHeader/>
        </w:trPr>
        <w:tc>
          <w:tcPr>
            <w:tcW w:w="1529" w:type="pct"/>
            <w:vAlign w:val="center"/>
          </w:tcPr>
          <w:p w14:paraId="367A70C2" w14:textId="77777777" w:rsidR="00765141" w:rsidRPr="0098262F" w:rsidRDefault="00765141" w:rsidP="000F65E5">
            <w:pPr>
              <w:pStyle w:val="In-tableHeading"/>
              <w:jc w:val="both"/>
            </w:pPr>
            <w:r w:rsidRPr="0098262F">
              <w:t>Step and component</w:t>
            </w:r>
          </w:p>
        </w:tc>
        <w:tc>
          <w:tcPr>
            <w:tcW w:w="1359" w:type="pct"/>
            <w:vAlign w:val="center"/>
          </w:tcPr>
          <w:p w14:paraId="12448D55" w14:textId="77777777" w:rsidR="00765141" w:rsidRPr="0098262F" w:rsidRDefault="00765141" w:rsidP="000F65E5">
            <w:pPr>
              <w:pStyle w:val="In-tableHeading"/>
            </w:pPr>
            <w:r>
              <w:t>ACP</w:t>
            </w:r>
          </w:p>
        </w:tc>
        <w:tc>
          <w:tcPr>
            <w:tcW w:w="1274" w:type="pct"/>
            <w:vAlign w:val="center"/>
          </w:tcPr>
          <w:p w14:paraId="6AEEBAF6" w14:textId="77777777" w:rsidR="00765141" w:rsidRPr="0098262F" w:rsidRDefault="00765141" w:rsidP="000F65E5">
            <w:pPr>
              <w:pStyle w:val="In-tableHeading"/>
            </w:pPr>
            <w:r>
              <w:t>CP</w:t>
            </w:r>
          </w:p>
        </w:tc>
        <w:tc>
          <w:tcPr>
            <w:tcW w:w="838" w:type="pct"/>
            <w:vAlign w:val="center"/>
          </w:tcPr>
          <w:p w14:paraId="63875B56" w14:textId="77777777" w:rsidR="00765141" w:rsidRPr="0098262F" w:rsidRDefault="00765141" w:rsidP="000F65E5">
            <w:pPr>
              <w:pStyle w:val="In-tableHeading"/>
            </w:pPr>
            <w:r w:rsidRPr="0098262F">
              <w:t>Increment</w:t>
            </w:r>
          </w:p>
        </w:tc>
      </w:tr>
      <w:tr w:rsidR="00765141" w:rsidRPr="0098262F" w14:paraId="581C4C98" w14:textId="77777777">
        <w:tc>
          <w:tcPr>
            <w:tcW w:w="5000" w:type="pct"/>
            <w:gridSpan w:val="4"/>
            <w:vAlign w:val="center"/>
          </w:tcPr>
          <w:p w14:paraId="423721E6" w14:textId="1C0976D0" w:rsidR="00765141" w:rsidRPr="00C4762F" w:rsidRDefault="00765141" w:rsidP="000F65E5">
            <w:pPr>
              <w:pStyle w:val="In-tableHeading"/>
              <w:jc w:val="both"/>
              <w:rPr>
                <w:vertAlign w:val="superscript"/>
              </w:rPr>
            </w:pPr>
            <w:r w:rsidRPr="0098262F">
              <w:t>Step 1: trial-based costs and outcomes</w:t>
            </w:r>
            <w:r w:rsidR="00CF116C">
              <w:t xml:space="preserve"> (14.9 months follow up</w:t>
            </w:r>
            <w:r w:rsidR="0078131E">
              <w:t>, no discounting for costs and outcomes</w:t>
            </w:r>
            <w:r w:rsidR="00CF116C">
              <w:t>)</w:t>
            </w:r>
            <w:r w:rsidR="00C4762F">
              <w:rPr>
                <w:vertAlign w:val="superscript"/>
              </w:rPr>
              <w:t>a</w:t>
            </w:r>
          </w:p>
        </w:tc>
      </w:tr>
      <w:tr w:rsidR="00765141" w:rsidRPr="0098262F" w14:paraId="5D326EC1" w14:textId="77777777">
        <w:tc>
          <w:tcPr>
            <w:tcW w:w="1529" w:type="pct"/>
            <w:vAlign w:val="center"/>
          </w:tcPr>
          <w:p w14:paraId="50B34D77" w14:textId="77777777" w:rsidR="00765141" w:rsidRPr="0098262F" w:rsidRDefault="00765141" w:rsidP="000F65E5">
            <w:pPr>
              <w:pStyle w:val="TableText0"/>
              <w:rPr>
                <w:rFonts w:ascii="Times" w:hAnsi="Times"/>
              </w:rPr>
            </w:pPr>
            <w:r w:rsidRPr="0098262F">
              <w:t>Costs</w:t>
            </w:r>
          </w:p>
        </w:tc>
        <w:tc>
          <w:tcPr>
            <w:tcW w:w="1359" w:type="pct"/>
            <w:vAlign w:val="center"/>
          </w:tcPr>
          <w:p w14:paraId="09AFBDCD" w14:textId="2123299E" w:rsidR="00765141" w:rsidRPr="0098262F" w:rsidRDefault="00765141" w:rsidP="000F65E5">
            <w:pPr>
              <w:pStyle w:val="TableText0"/>
              <w:jc w:val="center"/>
              <w:rPr>
                <w:rFonts w:ascii="Times" w:hAnsi="Times"/>
              </w:rPr>
            </w:pPr>
            <w:r w:rsidRPr="0098262F">
              <w:t>$</w:t>
            </w:r>
            <w:r w:rsidR="00CE016F" w:rsidRPr="00CE016F">
              <w:rPr>
                <w:color w:val="000000"/>
                <w:shd w:val="solid" w:color="000000" w:fill="000000"/>
                <w14:textFill>
                  <w14:solidFill>
                    <w14:srgbClr w14:val="000000">
                      <w14:alpha w14:val="100000"/>
                    </w14:srgbClr>
                  </w14:solidFill>
                </w14:textFill>
              </w:rPr>
              <w:t>|</w:t>
            </w:r>
          </w:p>
        </w:tc>
        <w:tc>
          <w:tcPr>
            <w:tcW w:w="1274" w:type="pct"/>
            <w:vAlign w:val="center"/>
          </w:tcPr>
          <w:p w14:paraId="361126B5" w14:textId="77777777" w:rsidR="00765141" w:rsidRPr="0098262F" w:rsidRDefault="00765141" w:rsidP="000F65E5">
            <w:pPr>
              <w:pStyle w:val="TableText0"/>
              <w:jc w:val="center"/>
              <w:rPr>
                <w:rFonts w:ascii="Times" w:hAnsi="Times"/>
              </w:rPr>
            </w:pPr>
            <w:r w:rsidRPr="0098262F">
              <w:t>$</w:t>
            </w:r>
            <w:r>
              <w:t>4,319</w:t>
            </w:r>
          </w:p>
        </w:tc>
        <w:tc>
          <w:tcPr>
            <w:tcW w:w="838" w:type="pct"/>
            <w:vAlign w:val="center"/>
          </w:tcPr>
          <w:p w14:paraId="4B06C14C" w14:textId="02CF7BA9" w:rsidR="00765141" w:rsidRPr="0098262F" w:rsidRDefault="00765141" w:rsidP="000F65E5">
            <w:pPr>
              <w:pStyle w:val="TableText0"/>
              <w:jc w:val="center"/>
              <w:rPr>
                <w:rFonts w:ascii="Times" w:hAnsi="Times"/>
              </w:rPr>
            </w:pPr>
            <w:r w:rsidRPr="0098262F">
              <w:t>$</w:t>
            </w:r>
            <w:r w:rsidR="00CE016F" w:rsidRPr="00CE016F">
              <w:rPr>
                <w:color w:val="000000"/>
                <w:shd w:val="solid" w:color="000000" w:fill="000000"/>
                <w14:textFill>
                  <w14:solidFill>
                    <w14:srgbClr w14:val="000000">
                      <w14:alpha w14:val="100000"/>
                    </w14:srgbClr>
                  </w14:solidFill>
                </w14:textFill>
              </w:rPr>
              <w:t>|</w:t>
            </w:r>
          </w:p>
        </w:tc>
      </w:tr>
      <w:tr w:rsidR="00765141" w:rsidRPr="0098262F" w14:paraId="70D0F943" w14:textId="77777777">
        <w:tc>
          <w:tcPr>
            <w:tcW w:w="1529" w:type="pct"/>
            <w:vAlign w:val="center"/>
          </w:tcPr>
          <w:p w14:paraId="72CFBC66" w14:textId="77777777" w:rsidR="00765141" w:rsidRPr="0098262F" w:rsidRDefault="00765141" w:rsidP="000F65E5">
            <w:pPr>
              <w:pStyle w:val="TableText0"/>
              <w:rPr>
                <w:rFonts w:ascii="Times" w:hAnsi="Times"/>
              </w:rPr>
            </w:pPr>
            <w:r w:rsidRPr="0098262F">
              <w:t>LY</w:t>
            </w:r>
            <w:r>
              <w:t xml:space="preserve"> gained</w:t>
            </w:r>
          </w:p>
        </w:tc>
        <w:tc>
          <w:tcPr>
            <w:tcW w:w="1359" w:type="pct"/>
            <w:vAlign w:val="center"/>
          </w:tcPr>
          <w:p w14:paraId="267B908A" w14:textId="77777777" w:rsidR="00765141" w:rsidRPr="0098262F" w:rsidRDefault="00765141" w:rsidP="000F65E5">
            <w:pPr>
              <w:pStyle w:val="TableText0"/>
              <w:jc w:val="center"/>
              <w:rPr>
                <w:rFonts w:ascii="Times" w:hAnsi="Times"/>
              </w:rPr>
            </w:pPr>
            <w:r>
              <w:t>1.1717</w:t>
            </w:r>
          </w:p>
        </w:tc>
        <w:tc>
          <w:tcPr>
            <w:tcW w:w="1274" w:type="pct"/>
            <w:vAlign w:val="center"/>
          </w:tcPr>
          <w:p w14:paraId="6D64BECB" w14:textId="77777777" w:rsidR="00765141" w:rsidRPr="0098262F" w:rsidRDefault="00765141" w:rsidP="000F65E5">
            <w:pPr>
              <w:pStyle w:val="TableText0"/>
              <w:jc w:val="center"/>
              <w:rPr>
                <w:rFonts w:ascii="Times" w:hAnsi="Times"/>
              </w:rPr>
            </w:pPr>
            <w:r>
              <w:t>1.1562</w:t>
            </w:r>
          </w:p>
        </w:tc>
        <w:tc>
          <w:tcPr>
            <w:tcW w:w="838" w:type="pct"/>
            <w:vAlign w:val="center"/>
          </w:tcPr>
          <w:p w14:paraId="4CF86895" w14:textId="77777777" w:rsidR="00765141" w:rsidRPr="0098262F" w:rsidRDefault="00765141" w:rsidP="000F65E5">
            <w:pPr>
              <w:pStyle w:val="TableText0"/>
              <w:jc w:val="center"/>
            </w:pPr>
            <w:r>
              <w:t>0.0156</w:t>
            </w:r>
          </w:p>
        </w:tc>
      </w:tr>
      <w:tr w:rsidR="00765141" w:rsidRPr="00FC701A" w14:paraId="36F7521C" w14:textId="77777777">
        <w:tc>
          <w:tcPr>
            <w:tcW w:w="4162" w:type="pct"/>
            <w:gridSpan w:val="3"/>
            <w:vAlign w:val="center"/>
          </w:tcPr>
          <w:p w14:paraId="1BF77714" w14:textId="77777777" w:rsidR="00765141" w:rsidRPr="00FC701A" w:rsidRDefault="00765141" w:rsidP="000F65E5">
            <w:pPr>
              <w:pStyle w:val="TableText0"/>
              <w:rPr>
                <w:rFonts w:ascii="Times" w:hAnsi="Times"/>
              </w:rPr>
            </w:pPr>
            <w:r w:rsidRPr="00FC701A">
              <w:t>Incremental cost/extra LY gained</w:t>
            </w:r>
          </w:p>
        </w:tc>
        <w:tc>
          <w:tcPr>
            <w:tcW w:w="838" w:type="pct"/>
            <w:vAlign w:val="center"/>
          </w:tcPr>
          <w:p w14:paraId="7F9FF7EE" w14:textId="28FB56D9" w:rsidR="00765141" w:rsidRPr="00977C7D" w:rsidRDefault="00765141" w:rsidP="000F65E5">
            <w:pPr>
              <w:pStyle w:val="TableText0"/>
              <w:jc w:val="center"/>
              <w:rPr>
                <w:rFonts w:ascii="Times" w:hAnsi="Times"/>
                <w:vertAlign w:val="superscript"/>
              </w:rPr>
            </w:pPr>
            <w:r w:rsidRPr="00FC701A">
              <w:t>$</w:t>
            </w:r>
            <w:r w:rsidR="00CE016F" w:rsidRPr="00CE016F">
              <w:rPr>
                <w:color w:val="000000"/>
                <w:shd w:val="solid" w:color="000000" w:fill="000000"/>
                <w14:textFill>
                  <w14:solidFill>
                    <w14:srgbClr w14:val="000000">
                      <w14:alpha w14:val="100000"/>
                    </w14:srgbClr>
                  </w14:solidFill>
                </w14:textFill>
              </w:rPr>
              <w:t>|</w:t>
            </w:r>
            <w:r w:rsidR="00977C7D">
              <w:rPr>
                <w:vertAlign w:val="superscript"/>
              </w:rPr>
              <w:t>1</w:t>
            </w:r>
          </w:p>
        </w:tc>
      </w:tr>
      <w:tr w:rsidR="00765141" w:rsidRPr="00FC701A" w14:paraId="6233ABA0" w14:textId="77777777">
        <w:tc>
          <w:tcPr>
            <w:tcW w:w="5000" w:type="pct"/>
            <w:gridSpan w:val="4"/>
            <w:vAlign w:val="center"/>
          </w:tcPr>
          <w:p w14:paraId="4915BE55" w14:textId="30B1AF04" w:rsidR="00765141" w:rsidRPr="00FC701A" w:rsidRDefault="00765141" w:rsidP="000F65E5">
            <w:pPr>
              <w:pStyle w:val="In-tableHeading"/>
              <w:jc w:val="both"/>
            </w:pPr>
            <w:r w:rsidRPr="00FC701A">
              <w:t>Step 2: extrapolated analysis</w:t>
            </w:r>
            <w:r w:rsidR="00CF116C" w:rsidRPr="00FC701A">
              <w:t xml:space="preserve"> (</w:t>
            </w:r>
            <w:proofErr w:type="gramStart"/>
            <w:r w:rsidR="00CF116C" w:rsidRPr="00FC701A">
              <w:t>7.5 year</w:t>
            </w:r>
            <w:proofErr w:type="gramEnd"/>
            <w:r w:rsidR="00CF116C" w:rsidRPr="00FC701A">
              <w:t xml:space="preserve"> time horizon</w:t>
            </w:r>
            <w:r w:rsidR="0078131E" w:rsidRPr="00FC701A">
              <w:t>, 5% discounting for costs and outcomes</w:t>
            </w:r>
            <w:r w:rsidR="0046408C" w:rsidRPr="00FC701A">
              <w:t>, and adjustment for treatment switching</w:t>
            </w:r>
            <w:r w:rsidR="00CF116C" w:rsidRPr="00FC701A">
              <w:t>)</w:t>
            </w:r>
          </w:p>
        </w:tc>
      </w:tr>
      <w:tr w:rsidR="00765141" w:rsidRPr="00FC701A" w14:paraId="32C92DE2" w14:textId="77777777">
        <w:tc>
          <w:tcPr>
            <w:tcW w:w="1529" w:type="pct"/>
            <w:vAlign w:val="center"/>
          </w:tcPr>
          <w:p w14:paraId="734C16C7" w14:textId="77777777" w:rsidR="00765141" w:rsidRPr="00FC701A" w:rsidRDefault="00765141" w:rsidP="000F65E5">
            <w:pPr>
              <w:pStyle w:val="TableText0"/>
              <w:rPr>
                <w:rFonts w:ascii="Times" w:hAnsi="Times"/>
              </w:rPr>
            </w:pPr>
            <w:r w:rsidRPr="00FC701A">
              <w:t>Costs</w:t>
            </w:r>
          </w:p>
        </w:tc>
        <w:tc>
          <w:tcPr>
            <w:tcW w:w="1359" w:type="pct"/>
            <w:vAlign w:val="center"/>
          </w:tcPr>
          <w:p w14:paraId="4912C196" w14:textId="7E0438FC" w:rsidR="00765141" w:rsidRPr="00FC701A" w:rsidRDefault="00765141" w:rsidP="000F65E5">
            <w:pPr>
              <w:pStyle w:val="TableText0"/>
              <w:jc w:val="center"/>
              <w:rPr>
                <w:rFonts w:ascii="Times" w:hAnsi="Times"/>
              </w:rPr>
            </w:pPr>
            <w:r w:rsidRPr="00FC701A">
              <w:t>$</w:t>
            </w:r>
            <w:r w:rsidR="00CE016F" w:rsidRPr="00CE016F">
              <w:rPr>
                <w:color w:val="000000"/>
                <w:shd w:val="solid" w:color="000000" w:fill="000000"/>
                <w14:textFill>
                  <w14:solidFill>
                    <w14:srgbClr w14:val="000000">
                      <w14:alpha w14:val="100000"/>
                    </w14:srgbClr>
                  </w14:solidFill>
                </w14:textFill>
              </w:rPr>
              <w:t>|</w:t>
            </w:r>
          </w:p>
        </w:tc>
        <w:tc>
          <w:tcPr>
            <w:tcW w:w="1274" w:type="pct"/>
            <w:vAlign w:val="center"/>
          </w:tcPr>
          <w:p w14:paraId="6F99638B" w14:textId="77777777" w:rsidR="00765141" w:rsidRPr="00FC701A" w:rsidRDefault="00765141" w:rsidP="000F65E5">
            <w:pPr>
              <w:pStyle w:val="TableText0"/>
              <w:jc w:val="center"/>
              <w:rPr>
                <w:rFonts w:ascii="Times" w:hAnsi="Times"/>
              </w:rPr>
            </w:pPr>
            <w:r w:rsidRPr="00FC701A">
              <w:t>$52,572</w:t>
            </w:r>
          </w:p>
        </w:tc>
        <w:tc>
          <w:tcPr>
            <w:tcW w:w="838" w:type="pct"/>
            <w:vAlign w:val="center"/>
          </w:tcPr>
          <w:p w14:paraId="6A8CB358" w14:textId="3E3FC57A" w:rsidR="00765141" w:rsidRPr="00FC701A" w:rsidRDefault="00765141" w:rsidP="000F65E5">
            <w:pPr>
              <w:pStyle w:val="TableText0"/>
              <w:jc w:val="center"/>
              <w:rPr>
                <w:rFonts w:ascii="Times" w:hAnsi="Times"/>
              </w:rPr>
            </w:pPr>
            <w:r w:rsidRPr="00FC701A">
              <w:t>$</w:t>
            </w:r>
            <w:r w:rsidR="00CE016F" w:rsidRPr="00CE016F">
              <w:rPr>
                <w:color w:val="000000"/>
                <w:shd w:val="solid" w:color="000000" w:fill="000000"/>
                <w14:textFill>
                  <w14:solidFill>
                    <w14:srgbClr w14:val="000000">
                      <w14:alpha w14:val="100000"/>
                    </w14:srgbClr>
                  </w14:solidFill>
                </w14:textFill>
              </w:rPr>
              <w:t>|</w:t>
            </w:r>
          </w:p>
        </w:tc>
      </w:tr>
      <w:tr w:rsidR="00765141" w:rsidRPr="00FC701A" w14:paraId="2ECE5A3B" w14:textId="77777777">
        <w:tc>
          <w:tcPr>
            <w:tcW w:w="1529" w:type="pct"/>
            <w:vAlign w:val="center"/>
          </w:tcPr>
          <w:p w14:paraId="6AF1F4B1" w14:textId="77777777" w:rsidR="00765141" w:rsidRPr="00FC701A" w:rsidRDefault="00765141" w:rsidP="000F65E5">
            <w:pPr>
              <w:pStyle w:val="TableText0"/>
              <w:rPr>
                <w:rFonts w:ascii="Times" w:hAnsi="Times"/>
              </w:rPr>
            </w:pPr>
            <w:r w:rsidRPr="00FC701A">
              <w:t>LY gained</w:t>
            </w:r>
          </w:p>
        </w:tc>
        <w:tc>
          <w:tcPr>
            <w:tcW w:w="1359" w:type="pct"/>
            <w:vAlign w:val="center"/>
          </w:tcPr>
          <w:p w14:paraId="5F450FFA" w14:textId="77777777" w:rsidR="00765141" w:rsidRPr="00FC701A" w:rsidRDefault="00765141" w:rsidP="000F65E5">
            <w:pPr>
              <w:pStyle w:val="TableText0"/>
              <w:jc w:val="center"/>
              <w:rPr>
                <w:rFonts w:ascii="Times" w:hAnsi="Times"/>
              </w:rPr>
            </w:pPr>
            <w:r w:rsidRPr="00FC701A">
              <w:t>3.1120</w:t>
            </w:r>
          </w:p>
        </w:tc>
        <w:tc>
          <w:tcPr>
            <w:tcW w:w="1274" w:type="pct"/>
            <w:vAlign w:val="center"/>
          </w:tcPr>
          <w:p w14:paraId="7782D663" w14:textId="77777777" w:rsidR="00765141" w:rsidRPr="00FC701A" w:rsidRDefault="00765141" w:rsidP="000F65E5">
            <w:pPr>
              <w:pStyle w:val="TableText0"/>
              <w:jc w:val="center"/>
              <w:rPr>
                <w:rFonts w:ascii="Times" w:hAnsi="Times"/>
              </w:rPr>
            </w:pPr>
            <w:r w:rsidRPr="00FC701A">
              <w:t>2.1222</w:t>
            </w:r>
          </w:p>
        </w:tc>
        <w:tc>
          <w:tcPr>
            <w:tcW w:w="838" w:type="pct"/>
            <w:vAlign w:val="center"/>
          </w:tcPr>
          <w:p w14:paraId="71679BBB" w14:textId="77777777" w:rsidR="00765141" w:rsidRPr="00FC701A" w:rsidRDefault="00765141" w:rsidP="000F65E5">
            <w:pPr>
              <w:pStyle w:val="TableText0"/>
              <w:jc w:val="center"/>
            </w:pPr>
            <w:r w:rsidRPr="00FC701A">
              <w:t>0.9898</w:t>
            </w:r>
          </w:p>
        </w:tc>
      </w:tr>
      <w:tr w:rsidR="00765141" w:rsidRPr="00FC701A" w14:paraId="111CF4F7" w14:textId="77777777">
        <w:tc>
          <w:tcPr>
            <w:tcW w:w="4162" w:type="pct"/>
            <w:gridSpan w:val="3"/>
            <w:vAlign w:val="center"/>
          </w:tcPr>
          <w:p w14:paraId="3D6868AB" w14:textId="77777777" w:rsidR="00765141" w:rsidRPr="00FC701A" w:rsidRDefault="00765141" w:rsidP="000F65E5">
            <w:pPr>
              <w:pStyle w:val="TableText0"/>
              <w:rPr>
                <w:rFonts w:ascii="Times" w:hAnsi="Times"/>
              </w:rPr>
            </w:pPr>
            <w:r w:rsidRPr="00FC701A">
              <w:t>Incremental cost/extra LY gained</w:t>
            </w:r>
          </w:p>
        </w:tc>
        <w:tc>
          <w:tcPr>
            <w:tcW w:w="838" w:type="pct"/>
            <w:vAlign w:val="center"/>
          </w:tcPr>
          <w:p w14:paraId="69843CCA" w14:textId="1A6813B1" w:rsidR="00765141" w:rsidRPr="00977C7D" w:rsidRDefault="00765141" w:rsidP="000F65E5">
            <w:pPr>
              <w:pStyle w:val="TableText0"/>
              <w:jc w:val="center"/>
              <w:rPr>
                <w:rFonts w:ascii="Times" w:hAnsi="Times"/>
                <w:vertAlign w:val="superscript"/>
              </w:rPr>
            </w:pPr>
            <w:r w:rsidRPr="00FC701A">
              <w:t>$</w:t>
            </w:r>
            <w:r w:rsidR="00CE016F" w:rsidRPr="00CE016F">
              <w:rPr>
                <w:color w:val="000000"/>
                <w:shd w:val="solid" w:color="000000" w:fill="000000"/>
                <w14:textFill>
                  <w14:solidFill>
                    <w14:srgbClr w14:val="000000">
                      <w14:alpha w14:val="100000"/>
                    </w14:srgbClr>
                  </w14:solidFill>
                </w14:textFill>
              </w:rPr>
              <w:t>|</w:t>
            </w:r>
            <w:r w:rsidR="00977C7D">
              <w:rPr>
                <w:vertAlign w:val="superscript"/>
              </w:rPr>
              <w:t>2</w:t>
            </w:r>
          </w:p>
        </w:tc>
      </w:tr>
      <w:tr w:rsidR="00765141" w:rsidRPr="00FC701A" w14:paraId="3B7B176A" w14:textId="77777777">
        <w:tc>
          <w:tcPr>
            <w:tcW w:w="5000" w:type="pct"/>
            <w:gridSpan w:val="4"/>
            <w:vAlign w:val="center"/>
          </w:tcPr>
          <w:p w14:paraId="1EEE6A92" w14:textId="139735D2" w:rsidR="00765141" w:rsidRPr="00FC701A" w:rsidRDefault="00765141" w:rsidP="000F65E5">
            <w:pPr>
              <w:pStyle w:val="In-tableHeading"/>
              <w:jc w:val="both"/>
            </w:pPr>
            <w:r w:rsidRPr="00FC701A">
              <w:t>Step 3: utility weights applied</w:t>
            </w:r>
            <w:r w:rsidR="0078131E" w:rsidRPr="00FC701A">
              <w:t xml:space="preserve"> (</w:t>
            </w:r>
            <w:proofErr w:type="gramStart"/>
            <w:r w:rsidR="0078131E" w:rsidRPr="00FC701A">
              <w:t>7.5 year</w:t>
            </w:r>
            <w:proofErr w:type="gramEnd"/>
            <w:r w:rsidR="0078131E" w:rsidRPr="00FC701A">
              <w:t xml:space="preserve"> time horizon, 5% discounting for costs and outcomes</w:t>
            </w:r>
            <w:r w:rsidR="0046408C" w:rsidRPr="00FC701A">
              <w:t xml:space="preserve"> and adjustment for treatment switching</w:t>
            </w:r>
            <w:r w:rsidR="0078131E" w:rsidRPr="00FC701A">
              <w:t>)</w:t>
            </w:r>
          </w:p>
        </w:tc>
      </w:tr>
      <w:tr w:rsidR="00765141" w:rsidRPr="00FC701A" w14:paraId="77A529D8" w14:textId="77777777">
        <w:tc>
          <w:tcPr>
            <w:tcW w:w="1529" w:type="pct"/>
            <w:vAlign w:val="center"/>
          </w:tcPr>
          <w:p w14:paraId="7C3E1612" w14:textId="77777777" w:rsidR="00765141" w:rsidRPr="00FC701A" w:rsidRDefault="00765141" w:rsidP="000F65E5">
            <w:pPr>
              <w:pStyle w:val="TableText0"/>
              <w:rPr>
                <w:rFonts w:ascii="Times" w:hAnsi="Times"/>
              </w:rPr>
            </w:pPr>
            <w:r w:rsidRPr="00FC701A">
              <w:t>Costs</w:t>
            </w:r>
          </w:p>
        </w:tc>
        <w:tc>
          <w:tcPr>
            <w:tcW w:w="1359" w:type="pct"/>
            <w:vAlign w:val="center"/>
          </w:tcPr>
          <w:p w14:paraId="74E1A533" w14:textId="0FFE1162" w:rsidR="00765141" w:rsidRPr="00FC701A" w:rsidRDefault="00765141" w:rsidP="000F65E5">
            <w:pPr>
              <w:pStyle w:val="TableText0"/>
              <w:jc w:val="center"/>
              <w:rPr>
                <w:rFonts w:ascii="Times" w:hAnsi="Times"/>
              </w:rPr>
            </w:pPr>
            <w:r w:rsidRPr="00FC701A">
              <w:t>$</w:t>
            </w:r>
            <w:r w:rsidR="00CE016F" w:rsidRPr="00CE016F">
              <w:rPr>
                <w:color w:val="000000"/>
                <w:shd w:val="solid" w:color="000000" w:fill="000000"/>
                <w14:textFill>
                  <w14:solidFill>
                    <w14:srgbClr w14:val="000000">
                      <w14:alpha w14:val="100000"/>
                    </w14:srgbClr>
                  </w14:solidFill>
                </w14:textFill>
              </w:rPr>
              <w:t>|</w:t>
            </w:r>
          </w:p>
        </w:tc>
        <w:tc>
          <w:tcPr>
            <w:tcW w:w="1274" w:type="pct"/>
            <w:vAlign w:val="center"/>
          </w:tcPr>
          <w:p w14:paraId="0F8B8EB1" w14:textId="77777777" w:rsidR="00765141" w:rsidRPr="00FC701A" w:rsidRDefault="00765141" w:rsidP="000F65E5">
            <w:pPr>
              <w:pStyle w:val="TableText0"/>
              <w:jc w:val="center"/>
              <w:rPr>
                <w:rFonts w:ascii="Times" w:hAnsi="Times"/>
              </w:rPr>
            </w:pPr>
            <w:r w:rsidRPr="00FC701A">
              <w:t>$</w:t>
            </w:r>
            <w:r w:rsidRPr="00977C7D">
              <w:t>52,572</w:t>
            </w:r>
          </w:p>
        </w:tc>
        <w:tc>
          <w:tcPr>
            <w:tcW w:w="838" w:type="pct"/>
            <w:vAlign w:val="center"/>
          </w:tcPr>
          <w:p w14:paraId="77EDC4D5" w14:textId="6E8DACA9" w:rsidR="00765141" w:rsidRPr="00FC701A" w:rsidRDefault="00765141" w:rsidP="000F65E5">
            <w:pPr>
              <w:pStyle w:val="TableText0"/>
              <w:jc w:val="center"/>
              <w:rPr>
                <w:rFonts w:ascii="Times" w:hAnsi="Times"/>
              </w:rPr>
            </w:pPr>
            <w:r w:rsidRPr="00FC701A">
              <w:t>$</w:t>
            </w:r>
            <w:r w:rsidR="00CE016F" w:rsidRPr="00CE016F">
              <w:rPr>
                <w:color w:val="000000"/>
                <w:shd w:val="solid" w:color="000000" w:fill="000000"/>
                <w14:textFill>
                  <w14:solidFill>
                    <w14:srgbClr w14:val="000000">
                      <w14:alpha w14:val="100000"/>
                    </w14:srgbClr>
                  </w14:solidFill>
                </w14:textFill>
              </w:rPr>
              <w:t>|</w:t>
            </w:r>
          </w:p>
        </w:tc>
      </w:tr>
      <w:tr w:rsidR="00765141" w:rsidRPr="00FC701A" w14:paraId="72B7BC67" w14:textId="77777777">
        <w:tc>
          <w:tcPr>
            <w:tcW w:w="1529" w:type="pct"/>
            <w:vAlign w:val="center"/>
          </w:tcPr>
          <w:p w14:paraId="16433716" w14:textId="77777777" w:rsidR="00765141" w:rsidRPr="00FC701A" w:rsidRDefault="00765141" w:rsidP="000F65E5">
            <w:pPr>
              <w:pStyle w:val="TableText0"/>
              <w:rPr>
                <w:rFonts w:ascii="Times" w:hAnsi="Times"/>
              </w:rPr>
            </w:pPr>
            <w:r w:rsidRPr="00FC701A">
              <w:t>QALYs gained</w:t>
            </w:r>
          </w:p>
        </w:tc>
        <w:tc>
          <w:tcPr>
            <w:tcW w:w="1359" w:type="pct"/>
            <w:vAlign w:val="center"/>
          </w:tcPr>
          <w:p w14:paraId="2BA504F6" w14:textId="77777777" w:rsidR="00765141" w:rsidRPr="00FC701A" w:rsidRDefault="00765141" w:rsidP="000F65E5">
            <w:pPr>
              <w:pStyle w:val="TableText0"/>
              <w:jc w:val="center"/>
              <w:rPr>
                <w:rFonts w:ascii="Times" w:hAnsi="Times"/>
              </w:rPr>
            </w:pPr>
            <w:r w:rsidRPr="00FC701A">
              <w:t>2.6493</w:t>
            </w:r>
          </w:p>
        </w:tc>
        <w:tc>
          <w:tcPr>
            <w:tcW w:w="1274" w:type="pct"/>
            <w:vAlign w:val="center"/>
          </w:tcPr>
          <w:p w14:paraId="74BC0D28" w14:textId="77777777" w:rsidR="00765141" w:rsidRPr="00FC701A" w:rsidRDefault="00765141" w:rsidP="000F65E5">
            <w:pPr>
              <w:pStyle w:val="TableText0"/>
              <w:jc w:val="center"/>
              <w:rPr>
                <w:rFonts w:ascii="Times" w:hAnsi="Times"/>
              </w:rPr>
            </w:pPr>
            <w:r w:rsidRPr="00FC701A">
              <w:t>1.8330</w:t>
            </w:r>
          </w:p>
        </w:tc>
        <w:tc>
          <w:tcPr>
            <w:tcW w:w="838" w:type="pct"/>
            <w:vAlign w:val="center"/>
          </w:tcPr>
          <w:p w14:paraId="6D51B5C8" w14:textId="77777777" w:rsidR="00765141" w:rsidRPr="00FC701A" w:rsidRDefault="00765141" w:rsidP="000F65E5">
            <w:pPr>
              <w:pStyle w:val="TableText0"/>
              <w:jc w:val="center"/>
            </w:pPr>
            <w:r w:rsidRPr="00FC701A">
              <w:t>0.8164</w:t>
            </w:r>
          </w:p>
        </w:tc>
      </w:tr>
      <w:tr w:rsidR="00765141" w:rsidRPr="00FC701A" w14:paraId="7BB7AD8D" w14:textId="77777777">
        <w:tc>
          <w:tcPr>
            <w:tcW w:w="4162" w:type="pct"/>
            <w:gridSpan w:val="3"/>
            <w:vAlign w:val="center"/>
          </w:tcPr>
          <w:p w14:paraId="0DC3BA46" w14:textId="77777777" w:rsidR="00765141" w:rsidRPr="00FC701A" w:rsidRDefault="00765141" w:rsidP="000F65E5">
            <w:pPr>
              <w:pStyle w:val="TableText0"/>
              <w:rPr>
                <w:rFonts w:ascii="Times" w:hAnsi="Times"/>
              </w:rPr>
            </w:pPr>
            <w:r w:rsidRPr="00FC701A">
              <w:t xml:space="preserve">Incremental cost/extra QALY gained </w:t>
            </w:r>
          </w:p>
        </w:tc>
        <w:tc>
          <w:tcPr>
            <w:tcW w:w="838" w:type="pct"/>
            <w:vAlign w:val="center"/>
          </w:tcPr>
          <w:p w14:paraId="28CDD6D7" w14:textId="311CA225" w:rsidR="00765141" w:rsidRPr="00977C7D" w:rsidRDefault="00765141" w:rsidP="000F65E5">
            <w:pPr>
              <w:pStyle w:val="TableText0"/>
              <w:jc w:val="center"/>
              <w:rPr>
                <w:rFonts w:ascii="Times" w:hAnsi="Times"/>
                <w:vertAlign w:val="superscript"/>
              </w:rPr>
            </w:pPr>
            <w:r w:rsidRPr="00FC701A">
              <w:t>$</w:t>
            </w:r>
            <w:r w:rsidR="00CE016F" w:rsidRPr="00CE016F">
              <w:rPr>
                <w:color w:val="000000"/>
                <w:shd w:val="solid" w:color="000000" w:fill="000000"/>
                <w14:textFill>
                  <w14:solidFill>
                    <w14:srgbClr w14:val="000000">
                      <w14:alpha w14:val="100000"/>
                    </w14:srgbClr>
                  </w14:solidFill>
                </w14:textFill>
              </w:rPr>
              <w:t>|</w:t>
            </w:r>
            <w:r w:rsidR="00977C7D">
              <w:rPr>
                <w:vertAlign w:val="superscript"/>
              </w:rPr>
              <w:t>3</w:t>
            </w:r>
          </w:p>
        </w:tc>
      </w:tr>
    </w:tbl>
    <w:p w14:paraId="5089E3F2" w14:textId="77777777" w:rsidR="00765141" w:rsidRPr="00FC701A" w:rsidRDefault="00765141" w:rsidP="000F65E5">
      <w:pPr>
        <w:pStyle w:val="FooterTableFigure"/>
        <w:keepNext/>
      </w:pPr>
      <w:r w:rsidRPr="00FC701A">
        <w:t>Source: Table 3.33, p196 of the submission</w:t>
      </w:r>
    </w:p>
    <w:p w14:paraId="54FAA024" w14:textId="42431B05" w:rsidR="00765141" w:rsidRPr="00FC701A" w:rsidRDefault="00765141" w:rsidP="000F65E5">
      <w:pPr>
        <w:pStyle w:val="FooterTableFigure"/>
        <w:keepNext/>
      </w:pPr>
      <w:r w:rsidRPr="00FC701A">
        <w:t>Abbreviations: ACP, amivantamab plus carboplatin and pemetrexed; CP, carboplatin/ pemetrexed; LY, life years; QALYs, quality-adjusted life-years</w:t>
      </w:r>
      <w:r w:rsidR="00C4762F" w:rsidRPr="00FC701A">
        <w:t>.</w:t>
      </w:r>
    </w:p>
    <w:p w14:paraId="25E05E8C" w14:textId="164A873D" w:rsidR="00C4762F" w:rsidRDefault="00C4762F" w:rsidP="00765141">
      <w:pPr>
        <w:pStyle w:val="FooterTableFigure"/>
        <w:rPr>
          <w:rStyle w:val="ui-provider"/>
        </w:rPr>
      </w:pPr>
      <w:proofErr w:type="spellStart"/>
      <w:r w:rsidRPr="00FC701A">
        <w:rPr>
          <w:vertAlign w:val="superscript"/>
        </w:rPr>
        <w:t>a</w:t>
      </w:r>
      <w:proofErr w:type="spellEnd"/>
      <w:r w:rsidRPr="00FC701A">
        <w:t xml:space="preserve"> In Step 1, </w:t>
      </w:r>
      <w:r w:rsidR="00EA680B" w:rsidRPr="00FC701A">
        <w:rPr>
          <w:rStyle w:val="ui-provider"/>
        </w:rPr>
        <w:t>Costs: Drug and drug administration costs &amp; costs of treating adverse events; Time horizon: 14.9 months (median follow-up in PAPILLON); No discounting applied; Full analysis set, no adjustment for treatment switching</w:t>
      </w:r>
      <w:r w:rsidR="0046408C" w:rsidRPr="00FC701A">
        <w:rPr>
          <w:rStyle w:val="ui-provider"/>
        </w:rPr>
        <w:t>.</w:t>
      </w:r>
    </w:p>
    <w:p w14:paraId="1F5BFAC4" w14:textId="77777777" w:rsidR="00977C7D" w:rsidRPr="00AD4D97" w:rsidRDefault="00977C7D" w:rsidP="00977C7D">
      <w:pPr>
        <w:pStyle w:val="FooterTableFigure"/>
        <w:keepNext/>
      </w:pPr>
      <w:r>
        <w:rPr>
          <w:i/>
          <w:iCs/>
        </w:rPr>
        <w:t>T</w:t>
      </w:r>
      <w:r w:rsidRPr="00AD4D97">
        <w:rPr>
          <w:i/>
          <w:iCs/>
        </w:rPr>
        <w:t>he redacted values correspond to the following ranges:</w:t>
      </w:r>
    </w:p>
    <w:p w14:paraId="26AFE8CD" w14:textId="6825F2EC" w:rsidR="00977C7D" w:rsidRPr="00AD4D97" w:rsidRDefault="00977C7D" w:rsidP="00977C7D">
      <w:pPr>
        <w:pStyle w:val="FooterTableFigure"/>
        <w:keepNext/>
      </w:pPr>
      <w:r w:rsidRPr="00AD4D97">
        <w:rPr>
          <w:i/>
          <w:iCs/>
          <w:vertAlign w:val="superscript"/>
        </w:rPr>
        <w:t>1</w:t>
      </w:r>
      <w:r>
        <w:rPr>
          <w:i/>
          <w:iCs/>
          <w:vertAlign w:val="superscript"/>
        </w:rPr>
        <w:t xml:space="preserve"> </w:t>
      </w:r>
      <w:r w:rsidR="00A43693" w:rsidRPr="00A43693">
        <w:rPr>
          <w:i/>
          <w:iCs/>
        </w:rPr>
        <w:t>&gt;</w:t>
      </w:r>
      <w:r w:rsidR="00A43693">
        <w:rPr>
          <w:i/>
          <w:iCs/>
        </w:rPr>
        <w:t> </w:t>
      </w:r>
      <w:r w:rsidR="00A43693" w:rsidRPr="00A43693">
        <w:rPr>
          <w:i/>
          <w:iCs/>
        </w:rPr>
        <w:t>$1,055,000</w:t>
      </w:r>
    </w:p>
    <w:p w14:paraId="4582D1C5" w14:textId="77777777" w:rsidR="00977C7D" w:rsidRPr="00AD4D97" w:rsidRDefault="00977C7D" w:rsidP="00977C7D">
      <w:pPr>
        <w:pStyle w:val="FooterTableFigure"/>
        <w:keepNext/>
      </w:pPr>
      <w:r w:rsidRPr="00AD4D97">
        <w:rPr>
          <w:i/>
          <w:iCs/>
          <w:vertAlign w:val="superscript"/>
        </w:rPr>
        <w:t>2</w:t>
      </w:r>
      <w:r>
        <w:rPr>
          <w:i/>
          <w:iCs/>
          <w:vertAlign w:val="superscript"/>
        </w:rPr>
        <w:t xml:space="preserve"> </w:t>
      </w:r>
      <w:r w:rsidRPr="00D71B88">
        <w:rPr>
          <w:i/>
          <w:iCs/>
        </w:rPr>
        <w:t>$55,000</w:t>
      </w:r>
      <w:r>
        <w:rPr>
          <w:i/>
          <w:iCs/>
        </w:rPr>
        <w:t> </w:t>
      </w:r>
      <w:r w:rsidRPr="00D71B88">
        <w:rPr>
          <w:i/>
          <w:iCs/>
        </w:rPr>
        <w:t>to</w:t>
      </w:r>
      <w:r>
        <w:rPr>
          <w:i/>
          <w:iCs/>
        </w:rPr>
        <w:t> </w:t>
      </w:r>
      <w:r w:rsidRPr="00D71B88">
        <w:rPr>
          <w:i/>
          <w:iCs/>
        </w:rPr>
        <w:t>&lt;</w:t>
      </w:r>
      <w:r>
        <w:rPr>
          <w:i/>
          <w:iCs/>
        </w:rPr>
        <w:t> </w:t>
      </w:r>
      <w:r w:rsidRPr="00D71B88">
        <w:rPr>
          <w:i/>
          <w:iCs/>
        </w:rPr>
        <w:t>$75,000</w:t>
      </w:r>
    </w:p>
    <w:p w14:paraId="7118C5A1" w14:textId="38958CF0" w:rsidR="00977C7D" w:rsidRPr="00232E1C" w:rsidRDefault="00977C7D" w:rsidP="00765141">
      <w:pPr>
        <w:pStyle w:val="FooterTableFigure"/>
        <w:rPr>
          <w:sz w:val="20"/>
        </w:rPr>
      </w:pPr>
      <w:r w:rsidRPr="00AD4D97">
        <w:rPr>
          <w:i/>
          <w:iCs/>
          <w:vertAlign w:val="superscript"/>
        </w:rPr>
        <w:t>3</w:t>
      </w:r>
      <w:r>
        <w:rPr>
          <w:i/>
          <w:iCs/>
          <w:vertAlign w:val="superscript"/>
        </w:rPr>
        <w:t xml:space="preserve"> </w:t>
      </w:r>
      <w:r w:rsidRPr="000039AB">
        <w:rPr>
          <w:i/>
          <w:iCs/>
        </w:rPr>
        <w:t>$75,000</w:t>
      </w:r>
      <w:r>
        <w:rPr>
          <w:rFonts w:ascii="Arial" w:hAnsi="Arial"/>
          <w:i/>
          <w:iCs/>
        </w:rPr>
        <w:t> </w:t>
      </w:r>
      <w:r w:rsidRPr="000039AB">
        <w:rPr>
          <w:i/>
          <w:iCs/>
        </w:rPr>
        <w:t>to</w:t>
      </w:r>
      <w:r>
        <w:rPr>
          <w:i/>
          <w:iCs/>
        </w:rPr>
        <w:t> </w:t>
      </w:r>
      <w:r w:rsidRPr="000039AB">
        <w:rPr>
          <w:i/>
          <w:iCs/>
        </w:rPr>
        <w:t>&lt;</w:t>
      </w:r>
      <w:r>
        <w:rPr>
          <w:i/>
          <w:iCs/>
        </w:rPr>
        <w:t> </w:t>
      </w:r>
      <w:r w:rsidRPr="000039AB">
        <w:rPr>
          <w:i/>
          <w:iCs/>
        </w:rPr>
        <w:t>$95,000</w:t>
      </w:r>
    </w:p>
    <w:p w14:paraId="2DDE6E21" w14:textId="6609A8FB" w:rsidR="00765141" w:rsidRPr="00363E6D" w:rsidRDefault="00BE081A" w:rsidP="00EF4C49">
      <w:pPr>
        <w:pStyle w:val="3-BodyText"/>
      </w:pPr>
      <w:r w:rsidRPr="00620E0B">
        <w:t xml:space="preserve">The ESC noted that the extrapolation step (Step 2) was an important driver of the ICER. The ICER reduced from </w:t>
      </w:r>
      <w:r w:rsidR="00A43693" w:rsidRPr="00A43693">
        <w:t>&gt;</w:t>
      </w:r>
      <w:r w:rsidR="00A43693">
        <w:t> </w:t>
      </w:r>
      <w:r w:rsidR="00A43693" w:rsidRPr="00A43693">
        <w:t>$1,055,000</w:t>
      </w:r>
      <w:r w:rsidRPr="00620E0B">
        <w:t xml:space="preserve"> per LY gained (trial-based analysis) to </w:t>
      </w:r>
      <w:r w:rsidR="00E160FA" w:rsidRPr="00E160FA">
        <w:t>$55,000</w:t>
      </w:r>
      <w:r w:rsidR="00E160FA">
        <w:t> </w:t>
      </w:r>
      <w:r w:rsidR="00E160FA" w:rsidRPr="00E160FA">
        <w:t>to</w:t>
      </w:r>
      <w:r w:rsidR="00E160FA">
        <w:t> </w:t>
      </w:r>
      <w:r w:rsidR="00E160FA" w:rsidRPr="00E160FA">
        <w:t>&lt;</w:t>
      </w:r>
      <w:r w:rsidR="00E160FA">
        <w:t> </w:t>
      </w:r>
      <w:r w:rsidR="00E160FA" w:rsidRPr="00E160FA">
        <w:t>$75,000</w:t>
      </w:r>
      <w:r w:rsidRPr="00620E0B">
        <w:t xml:space="preserve"> per LY gained </w:t>
      </w:r>
      <w:r w:rsidR="00215F5D" w:rsidRPr="00620E0B">
        <w:t>when the time horizon was extended to 7.5 years.</w:t>
      </w:r>
      <w:r w:rsidR="00215F5D">
        <w:t xml:space="preserve"> </w:t>
      </w:r>
    </w:p>
    <w:p w14:paraId="4933B4CA" w14:textId="1A53A5D8" w:rsidR="00765141" w:rsidRPr="004D2D4E" w:rsidRDefault="00BE081A" w:rsidP="00EF4C49">
      <w:pPr>
        <w:pStyle w:val="3-BodyText"/>
      </w:pPr>
      <w:bookmarkStart w:id="101" w:name="_Ref182932662"/>
      <w:r w:rsidRPr="00620E0B">
        <w:t>Overall, the ESC considered that the</w:t>
      </w:r>
      <w:r w:rsidR="00765141" w:rsidRPr="00620E0B">
        <w:t xml:space="preserve"> </w:t>
      </w:r>
      <w:r w:rsidR="00765141" w:rsidRPr="008272D0">
        <w:t xml:space="preserve">results of the economic evaluation </w:t>
      </w:r>
      <w:r w:rsidRPr="00620E0B">
        <w:t>were associated with the following uncertainties</w:t>
      </w:r>
      <w:r w:rsidR="00765141" w:rsidRPr="008272D0">
        <w:t>:</w:t>
      </w:r>
      <w:bookmarkEnd w:id="101"/>
    </w:p>
    <w:p w14:paraId="63F788D4" w14:textId="0074D5BA" w:rsidR="00215F5D" w:rsidRPr="007A0DC1" w:rsidRDefault="00765141" w:rsidP="00AF4A63">
      <w:pPr>
        <w:pStyle w:val="ListParagraph"/>
      </w:pPr>
      <w:r w:rsidRPr="00D7395E">
        <w:t xml:space="preserve">The data that informed the transitions in this model from the PAPILLON trial were immature with a median follow up of 14.9 months. The time horizon in the model </w:t>
      </w:r>
      <w:r w:rsidR="00205677" w:rsidRPr="00D7395E">
        <w:t>wa</w:t>
      </w:r>
      <w:r w:rsidRPr="00D7395E">
        <w:t xml:space="preserve">s 7.5 years and subsequently there </w:t>
      </w:r>
      <w:r w:rsidR="00205677" w:rsidRPr="00D7395E">
        <w:t>wa</w:t>
      </w:r>
      <w:r w:rsidRPr="00D7395E">
        <w:t xml:space="preserve">s substantial uncertainty about the ongoing effectiveness of amivantamab beyond the trial period, particularly in relation to differences in overall survival. At the </w:t>
      </w:r>
      <w:r w:rsidR="003771DC" w:rsidRPr="00D7395E">
        <w:t>data</w:t>
      </w:r>
      <w:r w:rsidRPr="00D7395E">
        <w:t xml:space="preserve"> cutoff point, median OS for ACP had not been reached. Although there appear</w:t>
      </w:r>
      <w:r w:rsidR="00205677" w:rsidRPr="00D7395E">
        <w:t>ed</w:t>
      </w:r>
      <w:r w:rsidRPr="00D7395E">
        <w:t xml:space="preserve"> to be a trend towards improved survival in the ACP arm, data for OS remain</w:t>
      </w:r>
      <w:r w:rsidR="00AB7CCE" w:rsidRPr="00D7395E">
        <w:t>ed</w:t>
      </w:r>
      <w:r w:rsidRPr="00D7395E">
        <w:t xml:space="preserve"> immature for definitive conclusions. A large proportion of patients were censored (81.7% in ACP and 72.9% in CP) at the </w:t>
      </w:r>
      <w:r w:rsidR="003771DC" w:rsidRPr="00D7395E">
        <w:t xml:space="preserve">data </w:t>
      </w:r>
      <w:r w:rsidRPr="00D7395E">
        <w:t>cutoff date for analysis and this m</w:t>
      </w:r>
      <w:r w:rsidR="00E63D47" w:rsidRPr="00D7395E">
        <w:t>ight</w:t>
      </w:r>
      <w:r w:rsidRPr="00D7395E">
        <w:t xml:space="preserve"> impact on the interpretation of results. Therefore, the assumption of a superior (extrapolated and continued)</w:t>
      </w:r>
      <w:r w:rsidR="00D62A8A" w:rsidRPr="00D7395E">
        <w:t xml:space="preserve"> </w:t>
      </w:r>
      <w:r w:rsidRPr="00D7395E">
        <w:t xml:space="preserve">OS treatment effect </w:t>
      </w:r>
      <w:r w:rsidR="00E63D47" w:rsidRPr="00D7395E">
        <w:t>wa</w:t>
      </w:r>
      <w:r w:rsidRPr="00D7395E">
        <w:t xml:space="preserve">s highly uncertain. The economic model demonstrated a large, continued treatment effect and most effectiveness gains occurred between 2 and 5 years. </w:t>
      </w:r>
    </w:p>
    <w:p w14:paraId="52E1475A" w14:textId="05EF1E60" w:rsidR="00765141" w:rsidRPr="00B94AD6" w:rsidRDefault="00765141" w:rsidP="00AF4A63">
      <w:pPr>
        <w:pStyle w:val="ListParagraph"/>
      </w:pPr>
      <w:r w:rsidRPr="00D7395E">
        <w:t xml:space="preserve">Similarly, the extrapolation functions applied to estimate OS were informed by limited event data. The type of parametric distribution applied to the OS data had a very large impact on the ICER. </w:t>
      </w:r>
    </w:p>
    <w:p w14:paraId="39BF7692" w14:textId="5B41C9C4" w:rsidR="00765141" w:rsidRPr="0098262F" w:rsidRDefault="00765141" w:rsidP="00EF4C49">
      <w:pPr>
        <w:pStyle w:val="3-BodyText"/>
      </w:pPr>
      <w:r w:rsidRPr="0098262F">
        <w:t xml:space="preserve">The results of key </w:t>
      </w:r>
      <w:r>
        <w:t>univariate</w:t>
      </w:r>
      <w:r w:rsidRPr="0098262F">
        <w:t xml:space="preserve"> sensitivity analyses are summarised in </w:t>
      </w:r>
      <w:r w:rsidRPr="0098262F">
        <w:fldChar w:fldCharType="begin"/>
      </w:r>
      <w:r w:rsidRPr="0098262F">
        <w:instrText xml:space="preserve"> REF _Ref104804865 \h </w:instrText>
      </w:r>
      <w:r w:rsidRPr="0098262F">
        <w:fldChar w:fldCharType="separate"/>
      </w:r>
      <w:r w:rsidR="00372107" w:rsidRPr="0098262F">
        <w:t xml:space="preserve">Table </w:t>
      </w:r>
      <w:r w:rsidR="00372107">
        <w:rPr>
          <w:noProof/>
        </w:rPr>
        <w:t>13</w:t>
      </w:r>
      <w:r w:rsidRPr="0098262F">
        <w:fldChar w:fldCharType="end"/>
      </w:r>
      <w:r w:rsidRPr="0098262F">
        <w:t xml:space="preserve">. </w:t>
      </w:r>
    </w:p>
    <w:p w14:paraId="01349C8E" w14:textId="3323D746" w:rsidR="00765141" w:rsidRDefault="00765141" w:rsidP="00765141">
      <w:pPr>
        <w:pStyle w:val="Caption"/>
        <w:rPr>
          <w:rStyle w:val="CommentReference"/>
          <w:b/>
          <w:szCs w:val="24"/>
        </w:rPr>
      </w:pPr>
      <w:bookmarkStart w:id="102" w:name="_Ref104804865"/>
      <w:r w:rsidRPr="0098262F">
        <w:lastRenderedPageBreak/>
        <w:t xml:space="preserve">Table </w:t>
      </w:r>
      <w:r w:rsidR="002C794C">
        <w:fldChar w:fldCharType="begin"/>
      </w:r>
      <w:r w:rsidR="002C794C">
        <w:instrText xml:space="preserve"> SEQ Table \* ARABIC </w:instrText>
      </w:r>
      <w:r w:rsidR="002C794C">
        <w:fldChar w:fldCharType="separate"/>
      </w:r>
      <w:r w:rsidR="00372107">
        <w:rPr>
          <w:noProof/>
        </w:rPr>
        <w:t>13</w:t>
      </w:r>
      <w:r w:rsidR="002C794C">
        <w:rPr>
          <w:noProof/>
        </w:rPr>
        <w:fldChar w:fldCharType="end"/>
      </w:r>
      <w:bookmarkEnd w:id="102"/>
      <w:r w:rsidRPr="0098262F">
        <w:t>:</w:t>
      </w:r>
      <w:r w:rsidRPr="0098262F">
        <w:rPr>
          <w:rStyle w:val="CommentReference"/>
          <w:b/>
          <w:szCs w:val="24"/>
        </w:rPr>
        <w:t xml:space="preserve"> Sensitivity analyses</w:t>
      </w:r>
    </w:p>
    <w:tbl>
      <w:tblPr>
        <w:tblW w:w="5000" w:type="pct"/>
        <w:tblLayout w:type="fixed"/>
        <w:tblLook w:val="04A0" w:firstRow="1" w:lastRow="0" w:firstColumn="1" w:lastColumn="0" w:noHBand="0" w:noVBand="1"/>
      </w:tblPr>
      <w:tblGrid>
        <w:gridCol w:w="3963"/>
        <w:gridCol w:w="1277"/>
        <w:gridCol w:w="1275"/>
        <w:gridCol w:w="1277"/>
        <w:gridCol w:w="1225"/>
      </w:tblGrid>
      <w:tr w:rsidR="00765141" w:rsidRPr="007428CD" w14:paraId="46A67CCF"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5A669B12" w14:textId="77777777" w:rsidR="00765141" w:rsidRPr="00880751" w:rsidRDefault="00765141">
            <w:pPr>
              <w:pStyle w:val="TableFigureHeading"/>
            </w:pPr>
            <w:r w:rsidRPr="00880751">
              <w:t>Variables altered in the sensitivity analysis</w:t>
            </w:r>
          </w:p>
        </w:tc>
        <w:tc>
          <w:tcPr>
            <w:tcW w:w="708" w:type="pct"/>
            <w:tcBorders>
              <w:top w:val="single" w:sz="4" w:space="0" w:color="auto"/>
              <w:left w:val="single" w:sz="4" w:space="0" w:color="auto"/>
              <w:bottom w:val="single" w:sz="4" w:space="0" w:color="auto"/>
              <w:right w:val="single" w:sz="4" w:space="0" w:color="auto"/>
            </w:tcBorders>
          </w:tcPr>
          <w:p w14:paraId="2D57F72E" w14:textId="77777777" w:rsidR="00765141" w:rsidRPr="00880751" w:rsidRDefault="00765141">
            <w:pPr>
              <w:pStyle w:val="TableFigureHeading"/>
              <w:jc w:val="center"/>
            </w:pPr>
            <w:r w:rsidRPr="00880751">
              <w:t>Incremental costs</w:t>
            </w:r>
          </w:p>
        </w:tc>
        <w:tc>
          <w:tcPr>
            <w:tcW w:w="707" w:type="pct"/>
            <w:tcBorders>
              <w:top w:val="single" w:sz="4" w:space="0" w:color="auto"/>
              <w:left w:val="single" w:sz="4" w:space="0" w:color="auto"/>
              <w:bottom w:val="single" w:sz="4" w:space="0" w:color="auto"/>
              <w:right w:val="single" w:sz="4" w:space="0" w:color="auto"/>
            </w:tcBorders>
          </w:tcPr>
          <w:p w14:paraId="22B26565" w14:textId="77777777" w:rsidR="00765141" w:rsidRPr="00880751" w:rsidRDefault="00765141">
            <w:pPr>
              <w:pStyle w:val="TableFigureHeading"/>
              <w:jc w:val="center"/>
            </w:pPr>
            <w:r w:rsidRPr="00880751">
              <w:t>Incremental QALYs</w:t>
            </w:r>
          </w:p>
        </w:tc>
        <w:tc>
          <w:tcPr>
            <w:tcW w:w="708" w:type="pct"/>
            <w:tcBorders>
              <w:top w:val="single" w:sz="4" w:space="0" w:color="auto"/>
              <w:left w:val="single" w:sz="4" w:space="0" w:color="auto"/>
              <w:bottom w:val="single" w:sz="4" w:space="0" w:color="auto"/>
              <w:right w:val="single" w:sz="4" w:space="0" w:color="auto"/>
            </w:tcBorders>
          </w:tcPr>
          <w:p w14:paraId="30E8AAAF" w14:textId="77777777" w:rsidR="00765141" w:rsidRPr="00880751" w:rsidRDefault="00765141">
            <w:pPr>
              <w:pStyle w:val="TableFigureHeading"/>
              <w:jc w:val="center"/>
            </w:pPr>
            <w:r w:rsidRPr="00880751">
              <w:t>ICER</w:t>
            </w:r>
          </w:p>
        </w:tc>
        <w:tc>
          <w:tcPr>
            <w:tcW w:w="679" w:type="pct"/>
            <w:tcBorders>
              <w:top w:val="single" w:sz="4" w:space="0" w:color="auto"/>
              <w:left w:val="single" w:sz="4" w:space="0" w:color="auto"/>
              <w:bottom w:val="single" w:sz="4" w:space="0" w:color="auto"/>
              <w:right w:val="single" w:sz="4" w:space="0" w:color="auto"/>
            </w:tcBorders>
          </w:tcPr>
          <w:p w14:paraId="68E8D0FE" w14:textId="77777777" w:rsidR="00765141" w:rsidRPr="00880751" w:rsidRDefault="00765141">
            <w:pPr>
              <w:pStyle w:val="TableFigureHeading"/>
              <w:jc w:val="center"/>
            </w:pPr>
            <w:r w:rsidRPr="00880751">
              <w:t>Change to ICER (%)</w:t>
            </w:r>
          </w:p>
        </w:tc>
      </w:tr>
      <w:tr w:rsidR="00765141" w:rsidRPr="007428CD" w14:paraId="3494DAD8"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7C0EF78C" w14:textId="77777777" w:rsidR="00765141" w:rsidRPr="00880751" w:rsidRDefault="00765141">
            <w:pPr>
              <w:pStyle w:val="TableFigureHeading"/>
            </w:pPr>
            <w:r w:rsidRPr="00880751">
              <w:t>Base case results</w:t>
            </w:r>
          </w:p>
        </w:tc>
        <w:tc>
          <w:tcPr>
            <w:tcW w:w="708" w:type="pct"/>
            <w:tcBorders>
              <w:top w:val="single" w:sz="4" w:space="0" w:color="auto"/>
              <w:left w:val="single" w:sz="4" w:space="0" w:color="auto"/>
              <w:bottom w:val="single" w:sz="4" w:space="0" w:color="auto"/>
              <w:right w:val="single" w:sz="4" w:space="0" w:color="auto"/>
            </w:tcBorders>
          </w:tcPr>
          <w:p w14:paraId="653BBAB5" w14:textId="340FB32F" w:rsidR="00765141" w:rsidRPr="00880751" w:rsidRDefault="00765141">
            <w:pPr>
              <w:pStyle w:val="TableFigureHeading"/>
              <w:jc w:val="center"/>
            </w:pPr>
            <w:r w:rsidRPr="00880751">
              <w:t>$</w:t>
            </w:r>
            <w:r w:rsidR="00CE016F" w:rsidRPr="00CE016F">
              <w:rPr>
                <w:rFonts w:hint="eastAsia"/>
                <w:color w:val="000000"/>
                <w:w w:val="23"/>
                <w:shd w:val="solid" w:color="000000" w:fill="000000"/>
                <w:fitText w:val="107" w:id="-762139898"/>
                <w14:textFill>
                  <w14:solidFill>
                    <w14:srgbClr w14:val="000000">
                      <w14:alpha w14:val="100000"/>
                    </w14:srgbClr>
                  </w14:solidFill>
                </w14:textFill>
              </w:rPr>
              <w:t xml:space="preserve">　</w:t>
            </w:r>
            <w:r w:rsidR="00CE016F" w:rsidRPr="00CE016F">
              <w:rPr>
                <w:color w:val="000000"/>
                <w:w w:val="23"/>
                <w:shd w:val="solid" w:color="000000" w:fill="000000"/>
                <w:fitText w:val="107" w:id="-762139898"/>
                <w14:textFill>
                  <w14:solidFill>
                    <w14:srgbClr w14:val="000000">
                      <w14:alpha w14:val="100000"/>
                    </w14:srgbClr>
                  </w14:solidFill>
                </w14:textFill>
              </w:rPr>
              <w:t>|</w:t>
            </w:r>
            <w:r w:rsidR="00CE016F" w:rsidRPr="00CE016F">
              <w:rPr>
                <w:rFonts w:hint="eastAsia"/>
                <w:color w:val="000000"/>
                <w:w w:val="23"/>
                <w:shd w:val="solid" w:color="000000" w:fill="000000"/>
                <w:fitText w:val="107" w:id="-762139898"/>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3F768D8B" w14:textId="77777777" w:rsidR="00765141" w:rsidRPr="00880751" w:rsidRDefault="00765141">
            <w:pPr>
              <w:pStyle w:val="TableFigureHeading"/>
              <w:jc w:val="center"/>
            </w:pPr>
            <w:r w:rsidRPr="00880751">
              <w:t>0.8164</w:t>
            </w:r>
          </w:p>
        </w:tc>
        <w:tc>
          <w:tcPr>
            <w:tcW w:w="708" w:type="pct"/>
            <w:tcBorders>
              <w:top w:val="single" w:sz="4" w:space="0" w:color="auto"/>
              <w:left w:val="single" w:sz="4" w:space="0" w:color="auto"/>
              <w:bottom w:val="single" w:sz="4" w:space="0" w:color="auto"/>
              <w:right w:val="single" w:sz="4" w:space="0" w:color="auto"/>
            </w:tcBorders>
          </w:tcPr>
          <w:p w14:paraId="4220D487" w14:textId="0F084835" w:rsidR="00765141" w:rsidRPr="0014663A" w:rsidRDefault="00765141">
            <w:pPr>
              <w:pStyle w:val="TableFigureHeading"/>
              <w:jc w:val="center"/>
              <w:rPr>
                <w:vertAlign w:val="superscript"/>
              </w:rPr>
            </w:pPr>
            <w:r w:rsidRPr="00880751">
              <w:t>$</w:t>
            </w:r>
            <w:r w:rsidR="00CE016F" w:rsidRPr="00CE016F">
              <w:rPr>
                <w:rFonts w:hint="eastAsia"/>
                <w:color w:val="000000"/>
                <w:w w:val="32"/>
                <w:shd w:val="solid" w:color="000000" w:fill="000000"/>
                <w:fitText w:val="147" w:id="-762139897"/>
                <w14:textFill>
                  <w14:solidFill>
                    <w14:srgbClr w14:val="000000">
                      <w14:alpha w14:val="100000"/>
                    </w14:srgbClr>
                  </w14:solidFill>
                </w14:textFill>
              </w:rPr>
              <w:t xml:space="preserve">　</w:t>
            </w:r>
            <w:r w:rsidR="00CE016F" w:rsidRPr="00CE016F">
              <w:rPr>
                <w:color w:val="000000"/>
                <w:w w:val="32"/>
                <w:shd w:val="solid" w:color="000000" w:fill="000000"/>
                <w:fitText w:val="147" w:id="-762139897"/>
                <w14:textFill>
                  <w14:solidFill>
                    <w14:srgbClr w14:val="000000">
                      <w14:alpha w14:val="100000"/>
                    </w14:srgbClr>
                  </w14:solidFill>
                </w14:textFill>
              </w:rPr>
              <w:t>|</w:t>
            </w:r>
            <w:r w:rsidR="00CE016F" w:rsidRPr="00CE016F">
              <w:rPr>
                <w:rFonts w:hint="eastAsia"/>
                <w:color w:val="000000"/>
                <w:w w:val="32"/>
                <w:shd w:val="solid" w:color="000000" w:fill="000000"/>
                <w:fitText w:val="147" w:id="-762139897"/>
                <w14:textFill>
                  <w14:solidFill>
                    <w14:srgbClr w14:val="000000">
                      <w14:alpha w14:val="100000"/>
                    </w14:srgbClr>
                  </w14:solidFill>
                </w14:textFill>
              </w:rPr>
              <w:t xml:space="preserve">　</w:t>
            </w:r>
            <w:r w:rsidR="0014663A">
              <w:rPr>
                <w:vertAlign w:val="superscript"/>
              </w:rPr>
              <w:t>1</w:t>
            </w:r>
          </w:p>
        </w:tc>
        <w:tc>
          <w:tcPr>
            <w:tcW w:w="679" w:type="pct"/>
            <w:tcBorders>
              <w:top w:val="single" w:sz="4" w:space="0" w:color="auto"/>
              <w:left w:val="single" w:sz="4" w:space="0" w:color="auto"/>
              <w:bottom w:val="single" w:sz="4" w:space="0" w:color="auto"/>
              <w:right w:val="single" w:sz="4" w:space="0" w:color="auto"/>
            </w:tcBorders>
          </w:tcPr>
          <w:p w14:paraId="00862061" w14:textId="04460838" w:rsidR="00765141" w:rsidRPr="00880751" w:rsidRDefault="00CE016F">
            <w:pPr>
              <w:pStyle w:val="TableFigureHeading"/>
              <w:jc w:val="center"/>
            </w:pPr>
            <w:r w:rsidRPr="00CE016F">
              <w:rPr>
                <w:rFonts w:hint="eastAsia"/>
                <w:color w:val="000000"/>
                <w:w w:val="21"/>
                <w:shd w:val="solid" w:color="000000" w:fill="000000"/>
                <w:fitText w:val="94" w:id="-762139896"/>
                <w14:textFill>
                  <w14:solidFill>
                    <w14:srgbClr w14:val="000000">
                      <w14:alpha w14:val="100000"/>
                    </w14:srgbClr>
                  </w14:solidFill>
                </w14:textFill>
              </w:rPr>
              <w:t xml:space="preserve">　</w:t>
            </w:r>
            <w:r w:rsidRPr="00CE016F">
              <w:rPr>
                <w:color w:val="000000"/>
                <w:w w:val="21"/>
                <w:shd w:val="solid" w:color="000000" w:fill="000000"/>
                <w:fitText w:val="94" w:id="-762139896"/>
                <w14:textFill>
                  <w14:solidFill>
                    <w14:srgbClr w14:val="000000">
                      <w14:alpha w14:val="100000"/>
                    </w14:srgbClr>
                  </w14:solidFill>
                </w14:textFill>
              </w:rPr>
              <w:t>|</w:t>
            </w:r>
            <w:r w:rsidRPr="00CE016F">
              <w:rPr>
                <w:rFonts w:hint="eastAsia"/>
                <w:color w:val="000000"/>
                <w:spacing w:val="3"/>
                <w:w w:val="21"/>
                <w:shd w:val="solid" w:color="000000" w:fill="000000"/>
                <w:fitText w:val="94" w:id="-762139896"/>
                <w14:textFill>
                  <w14:solidFill>
                    <w14:srgbClr w14:val="000000">
                      <w14:alpha w14:val="100000"/>
                    </w14:srgbClr>
                  </w14:solidFill>
                </w14:textFill>
              </w:rPr>
              <w:t xml:space="preserve">　</w:t>
            </w:r>
            <w:r w:rsidR="00EB4155">
              <w:t xml:space="preserve"> </w:t>
            </w:r>
          </w:p>
        </w:tc>
      </w:tr>
      <w:tr w:rsidR="00765141" w:rsidRPr="007428CD" w14:paraId="0051A7CC" w14:textId="77777777">
        <w:trPr>
          <w:cantSplit/>
          <w:tblHeader/>
        </w:trPr>
        <w:tc>
          <w:tcPr>
            <w:tcW w:w="5000" w:type="pct"/>
            <w:gridSpan w:val="5"/>
            <w:tcBorders>
              <w:top w:val="single" w:sz="4" w:space="0" w:color="auto"/>
              <w:left w:val="single" w:sz="4" w:space="0" w:color="auto"/>
              <w:bottom w:val="single" w:sz="4" w:space="0" w:color="auto"/>
              <w:right w:val="single" w:sz="4" w:space="0" w:color="auto"/>
            </w:tcBorders>
          </w:tcPr>
          <w:p w14:paraId="4D9C4D63" w14:textId="77777777" w:rsidR="00765141" w:rsidRPr="00880751" w:rsidRDefault="00765141">
            <w:pPr>
              <w:pStyle w:val="TableText0"/>
            </w:pPr>
            <w:r w:rsidRPr="00880751">
              <w:rPr>
                <w:b/>
              </w:rPr>
              <w:t>Discount rate (base case: 5%)</w:t>
            </w:r>
          </w:p>
        </w:tc>
      </w:tr>
      <w:tr w:rsidR="00765141" w:rsidRPr="007428CD" w14:paraId="3F6AC7E8"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579EEA37" w14:textId="77777777" w:rsidR="00765141" w:rsidRPr="00880751" w:rsidRDefault="00765141">
            <w:pPr>
              <w:pStyle w:val="TableText0"/>
            </w:pPr>
            <w:r w:rsidRPr="00D5605D">
              <w:t>0%</w:t>
            </w:r>
          </w:p>
        </w:tc>
        <w:tc>
          <w:tcPr>
            <w:tcW w:w="708" w:type="pct"/>
            <w:tcBorders>
              <w:top w:val="single" w:sz="4" w:space="0" w:color="auto"/>
              <w:left w:val="single" w:sz="4" w:space="0" w:color="auto"/>
              <w:bottom w:val="single" w:sz="4" w:space="0" w:color="auto"/>
              <w:right w:val="single" w:sz="4" w:space="0" w:color="auto"/>
            </w:tcBorders>
          </w:tcPr>
          <w:p w14:paraId="068C2729" w14:textId="77A5C855" w:rsidR="00765141" w:rsidRPr="00880751" w:rsidRDefault="00765141">
            <w:pPr>
              <w:pStyle w:val="TableText0"/>
              <w:jc w:val="center"/>
            </w:pPr>
            <w:r w:rsidRPr="00361809">
              <w:t>$</w:t>
            </w:r>
            <w:r w:rsidR="00CE016F" w:rsidRPr="00CE016F">
              <w:rPr>
                <w:rFonts w:hint="eastAsia"/>
                <w:color w:val="000000"/>
                <w:w w:val="15"/>
                <w:shd w:val="solid" w:color="000000" w:fill="000000"/>
                <w:fitText w:val="66" w:id="-762139895"/>
                <w14:textFill>
                  <w14:solidFill>
                    <w14:srgbClr w14:val="000000">
                      <w14:alpha w14:val="100000"/>
                    </w14:srgbClr>
                  </w14:solidFill>
                </w14:textFill>
              </w:rPr>
              <w:t xml:space="preserve">　</w:t>
            </w:r>
            <w:r w:rsidR="00CE016F" w:rsidRPr="00CE016F">
              <w:rPr>
                <w:color w:val="000000"/>
                <w:w w:val="15"/>
                <w:shd w:val="solid" w:color="000000" w:fill="000000"/>
                <w:fitText w:val="66" w:id="-762139895"/>
                <w14:textFill>
                  <w14:solidFill>
                    <w14:srgbClr w14:val="000000">
                      <w14:alpha w14:val="100000"/>
                    </w14:srgbClr>
                  </w14:solidFill>
                </w14:textFill>
              </w:rPr>
              <w:t>|</w:t>
            </w:r>
            <w:r w:rsidR="00CE016F" w:rsidRPr="00CE016F">
              <w:rPr>
                <w:rFonts w:hint="eastAsia"/>
                <w:color w:val="000000"/>
                <w:w w:val="15"/>
                <w:shd w:val="solid" w:color="000000" w:fill="000000"/>
                <w:fitText w:val="66" w:id="-762139895"/>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49C71654" w14:textId="77777777" w:rsidR="00765141" w:rsidRPr="00880751" w:rsidRDefault="00765141">
            <w:pPr>
              <w:pStyle w:val="TableText0"/>
              <w:jc w:val="center"/>
            </w:pPr>
            <w:r w:rsidRPr="00361809">
              <w:t>1.0015</w:t>
            </w:r>
          </w:p>
        </w:tc>
        <w:tc>
          <w:tcPr>
            <w:tcW w:w="708" w:type="pct"/>
            <w:tcBorders>
              <w:top w:val="single" w:sz="4" w:space="0" w:color="auto"/>
              <w:left w:val="single" w:sz="4" w:space="0" w:color="auto"/>
              <w:bottom w:val="single" w:sz="4" w:space="0" w:color="auto"/>
              <w:right w:val="single" w:sz="4" w:space="0" w:color="auto"/>
            </w:tcBorders>
          </w:tcPr>
          <w:p w14:paraId="75B06476" w14:textId="216B400D" w:rsidR="00765141" w:rsidRPr="00880751" w:rsidRDefault="00765141">
            <w:pPr>
              <w:pStyle w:val="TableText0"/>
              <w:jc w:val="center"/>
            </w:pPr>
            <w:r w:rsidRPr="00361809">
              <w:t>$</w:t>
            </w:r>
            <w:r w:rsidR="00CE016F" w:rsidRPr="00CE016F">
              <w:rPr>
                <w:rFonts w:hint="eastAsia"/>
                <w:color w:val="000000"/>
                <w:w w:val="18"/>
                <w:shd w:val="solid" w:color="000000" w:fill="000000"/>
                <w:fitText w:val="80" w:id="-762139894"/>
                <w14:textFill>
                  <w14:solidFill>
                    <w14:srgbClr w14:val="000000">
                      <w14:alpha w14:val="100000"/>
                    </w14:srgbClr>
                  </w14:solidFill>
                </w14:textFill>
              </w:rPr>
              <w:t xml:space="preserve">　</w:t>
            </w:r>
            <w:r w:rsidR="00CE016F" w:rsidRPr="00CE016F">
              <w:rPr>
                <w:color w:val="000000"/>
                <w:w w:val="18"/>
                <w:shd w:val="solid" w:color="000000" w:fill="000000"/>
                <w:fitText w:val="80" w:id="-762139894"/>
                <w14:textFill>
                  <w14:solidFill>
                    <w14:srgbClr w14:val="000000">
                      <w14:alpha w14:val="100000"/>
                    </w14:srgbClr>
                  </w14:solidFill>
                </w14:textFill>
              </w:rPr>
              <w:t>|</w:t>
            </w:r>
            <w:r w:rsidR="00CE016F" w:rsidRPr="00CE016F">
              <w:rPr>
                <w:rFonts w:hint="eastAsia"/>
                <w:color w:val="000000"/>
                <w:w w:val="18"/>
                <w:shd w:val="solid" w:color="000000" w:fill="000000"/>
                <w:fitText w:val="80" w:id="-762139894"/>
                <w14:textFill>
                  <w14:solidFill>
                    <w14:srgbClr w14:val="000000">
                      <w14:alpha w14:val="100000"/>
                    </w14:srgbClr>
                  </w14:solidFill>
                </w14:textFill>
              </w:rPr>
              <w:t xml:space="preserve">　</w:t>
            </w:r>
            <w:r w:rsidR="00D062E8">
              <w:rPr>
                <w:vertAlign w:val="superscript"/>
              </w:rPr>
              <w:t>2</w:t>
            </w:r>
          </w:p>
        </w:tc>
        <w:tc>
          <w:tcPr>
            <w:tcW w:w="679" w:type="pct"/>
            <w:tcBorders>
              <w:top w:val="single" w:sz="4" w:space="0" w:color="auto"/>
              <w:left w:val="single" w:sz="4" w:space="0" w:color="auto"/>
              <w:bottom w:val="single" w:sz="4" w:space="0" w:color="auto"/>
              <w:right w:val="single" w:sz="4" w:space="0" w:color="auto"/>
            </w:tcBorders>
            <w:vAlign w:val="center"/>
          </w:tcPr>
          <w:p w14:paraId="0B0AFBCE" w14:textId="321AAF8A" w:rsidR="00765141" w:rsidRPr="00880751" w:rsidRDefault="00765141">
            <w:pPr>
              <w:pStyle w:val="TableText0"/>
              <w:jc w:val="center"/>
            </w:pPr>
            <w:r>
              <w:t>-</w:t>
            </w:r>
            <w:r w:rsidR="00CE016F" w:rsidRPr="00CE016F">
              <w:rPr>
                <w:rFonts w:hint="eastAsia"/>
                <w:color w:val="000000"/>
                <w:w w:val="15"/>
                <w:shd w:val="solid" w:color="000000" w:fill="000000"/>
                <w:fitText w:val="67" w:id="-762139893"/>
                <w14:textFill>
                  <w14:solidFill>
                    <w14:srgbClr w14:val="000000">
                      <w14:alpha w14:val="100000"/>
                    </w14:srgbClr>
                  </w14:solidFill>
                </w14:textFill>
              </w:rPr>
              <w:t xml:space="preserve">　</w:t>
            </w:r>
            <w:r w:rsidR="00CE016F" w:rsidRPr="00CE016F">
              <w:rPr>
                <w:color w:val="000000"/>
                <w:w w:val="15"/>
                <w:shd w:val="solid" w:color="000000" w:fill="000000"/>
                <w:fitText w:val="67" w:id="-762139893"/>
                <w14:textFill>
                  <w14:solidFill>
                    <w14:srgbClr w14:val="000000">
                      <w14:alpha w14:val="100000"/>
                    </w14:srgbClr>
                  </w14:solidFill>
                </w14:textFill>
              </w:rPr>
              <w:t>|</w:t>
            </w:r>
            <w:r w:rsidR="00CE016F" w:rsidRPr="00CE016F">
              <w:rPr>
                <w:rFonts w:hint="eastAsia"/>
                <w:color w:val="000000"/>
                <w:w w:val="15"/>
                <w:shd w:val="solid" w:color="000000" w:fill="000000"/>
                <w:fitText w:val="67" w:id="-762139893"/>
                <w14:textFill>
                  <w14:solidFill>
                    <w14:srgbClr w14:val="000000">
                      <w14:alpha w14:val="100000"/>
                    </w14:srgbClr>
                  </w14:solidFill>
                </w14:textFill>
              </w:rPr>
              <w:t xml:space="preserve">　</w:t>
            </w:r>
          </w:p>
        </w:tc>
      </w:tr>
      <w:tr w:rsidR="00765141" w:rsidRPr="007428CD" w14:paraId="1B4F46EE"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7E83E05A" w14:textId="77777777" w:rsidR="00765141" w:rsidRPr="00880751" w:rsidRDefault="00765141">
            <w:pPr>
              <w:pStyle w:val="TableText0"/>
            </w:pPr>
            <w:r w:rsidRPr="00D5605D">
              <w:t>3.5%</w:t>
            </w:r>
          </w:p>
        </w:tc>
        <w:tc>
          <w:tcPr>
            <w:tcW w:w="708" w:type="pct"/>
            <w:tcBorders>
              <w:top w:val="single" w:sz="4" w:space="0" w:color="auto"/>
              <w:left w:val="single" w:sz="4" w:space="0" w:color="auto"/>
              <w:bottom w:val="single" w:sz="4" w:space="0" w:color="auto"/>
              <w:right w:val="single" w:sz="4" w:space="0" w:color="auto"/>
            </w:tcBorders>
          </w:tcPr>
          <w:p w14:paraId="2442CB11" w14:textId="1176E0FD" w:rsidR="00765141" w:rsidRPr="00880751" w:rsidRDefault="00765141">
            <w:pPr>
              <w:pStyle w:val="TableText0"/>
              <w:jc w:val="center"/>
            </w:pPr>
            <w:r w:rsidRPr="00B365CA">
              <w:t>$</w:t>
            </w:r>
            <w:r w:rsidR="00CE016F" w:rsidRPr="00CE016F">
              <w:rPr>
                <w:rFonts w:hint="eastAsia"/>
                <w:color w:val="000000"/>
                <w:w w:val="15"/>
                <w:shd w:val="solid" w:color="000000" w:fill="000000"/>
                <w:fitText w:val="66" w:id="-762139892"/>
                <w14:textFill>
                  <w14:solidFill>
                    <w14:srgbClr w14:val="000000">
                      <w14:alpha w14:val="100000"/>
                    </w14:srgbClr>
                  </w14:solidFill>
                </w14:textFill>
              </w:rPr>
              <w:t xml:space="preserve">　</w:t>
            </w:r>
            <w:r w:rsidR="00CE016F" w:rsidRPr="00CE016F">
              <w:rPr>
                <w:color w:val="000000"/>
                <w:w w:val="15"/>
                <w:shd w:val="solid" w:color="000000" w:fill="000000"/>
                <w:fitText w:val="66" w:id="-762139892"/>
                <w14:textFill>
                  <w14:solidFill>
                    <w14:srgbClr w14:val="000000">
                      <w14:alpha w14:val="100000"/>
                    </w14:srgbClr>
                  </w14:solidFill>
                </w14:textFill>
              </w:rPr>
              <w:t>|</w:t>
            </w:r>
            <w:r w:rsidR="00CE016F" w:rsidRPr="00CE016F">
              <w:rPr>
                <w:rFonts w:hint="eastAsia"/>
                <w:color w:val="000000"/>
                <w:w w:val="15"/>
                <w:shd w:val="solid" w:color="000000" w:fill="000000"/>
                <w:fitText w:val="66" w:id="-762139892"/>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31751415" w14:textId="77777777" w:rsidR="00765141" w:rsidRPr="00880751" w:rsidRDefault="00765141">
            <w:pPr>
              <w:pStyle w:val="TableText0"/>
              <w:jc w:val="center"/>
            </w:pPr>
            <w:r w:rsidRPr="00B365CA">
              <w:t>0.8675</w:t>
            </w:r>
          </w:p>
        </w:tc>
        <w:tc>
          <w:tcPr>
            <w:tcW w:w="708" w:type="pct"/>
            <w:tcBorders>
              <w:top w:val="single" w:sz="4" w:space="0" w:color="auto"/>
              <w:left w:val="single" w:sz="4" w:space="0" w:color="auto"/>
              <w:bottom w:val="single" w:sz="4" w:space="0" w:color="auto"/>
              <w:right w:val="single" w:sz="4" w:space="0" w:color="auto"/>
            </w:tcBorders>
          </w:tcPr>
          <w:p w14:paraId="7390395A" w14:textId="504EC6D8" w:rsidR="00765141" w:rsidRPr="00880751" w:rsidRDefault="00765141">
            <w:pPr>
              <w:pStyle w:val="TableText0"/>
              <w:jc w:val="center"/>
            </w:pPr>
            <w:r w:rsidRPr="00B365CA">
              <w:t>$</w:t>
            </w:r>
            <w:r w:rsidR="00CE016F" w:rsidRPr="00CE016F">
              <w:rPr>
                <w:rFonts w:hint="eastAsia"/>
                <w:color w:val="000000"/>
                <w:w w:val="18"/>
                <w:shd w:val="solid" w:color="000000" w:fill="000000"/>
                <w:fitText w:val="80" w:id="-762139891"/>
                <w14:textFill>
                  <w14:solidFill>
                    <w14:srgbClr w14:val="000000">
                      <w14:alpha w14:val="100000"/>
                    </w14:srgbClr>
                  </w14:solidFill>
                </w14:textFill>
              </w:rPr>
              <w:t xml:space="preserve">　</w:t>
            </w:r>
            <w:r w:rsidR="00CE016F" w:rsidRPr="00CE016F">
              <w:rPr>
                <w:color w:val="000000"/>
                <w:w w:val="18"/>
                <w:shd w:val="solid" w:color="000000" w:fill="000000"/>
                <w:fitText w:val="80" w:id="-762139891"/>
                <w14:textFill>
                  <w14:solidFill>
                    <w14:srgbClr w14:val="000000">
                      <w14:alpha w14:val="100000"/>
                    </w14:srgbClr>
                  </w14:solidFill>
                </w14:textFill>
              </w:rPr>
              <w:t>|</w:t>
            </w:r>
            <w:r w:rsidR="00CE016F" w:rsidRPr="00CE016F">
              <w:rPr>
                <w:rFonts w:hint="eastAsia"/>
                <w:color w:val="000000"/>
                <w:w w:val="18"/>
                <w:shd w:val="solid" w:color="000000" w:fill="000000"/>
                <w:fitText w:val="80" w:id="-762139891"/>
                <w14:textFill>
                  <w14:solidFill>
                    <w14:srgbClr w14:val="000000">
                      <w14:alpha w14:val="100000"/>
                    </w14:srgbClr>
                  </w14:solidFill>
                </w14:textFill>
              </w:rPr>
              <w:t xml:space="preserve">　</w:t>
            </w:r>
            <w:r w:rsidR="0014663A">
              <w:rPr>
                <w:vertAlign w:val="superscript"/>
              </w:rPr>
              <w:t>1</w:t>
            </w:r>
          </w:p>
        </w:tc>
        <w:tc>
          <w:tcPr>
            <w:tcW w:w="679" w:type="pct"/>
            <w:tcBorders>
              <w:top w:val="single" w:sz="4" w:space="0" w:color="auto"/>
              <w:left w:val="single" w:sz="4" w:space="0" w:color="auto"/>
              <w:bottom w:val="single" w:sz="4" w:space="0" w:color="auto"/>
              <w:right w:val="single" w:sz="4" w:space="0" w:color="auto"/>
            </w:tcBorders>
            <w:vAlign w:val="center"/>
          </w:tcPr>
          <w:p w14:paraId="7EF515B9" w14:textId="35DB321B" w:rsidR="00765141" w:rsidRPr="00880751" w:rsidRDefault="00765141">
            <w:pPr>
              <w:pStyle w:val="TableText0"/>
              <w:jc w:val="center"/>
            </w:pPr>
            <w:r>
              <w:t>-</w:t>
            </w:r>
            <w:r w:rsidR="00CE016F" w:rsidRPr="00CE016F">
              <w:rPr>
                <w:rFonts w:hint="eastAsia"/>
                <w:color w:val="000000"/>
                <w:w w:val="15"/>
                <w:shd w:val="solid" w:color="000000" w:fill="000000"/>
                <w:fitText w:val="67" w:id="-762139890"/>
                <w14:textFill>
                  <w14:solidFill>
                    <w14:srgbClr w14:val="000000">
                      <w14:alpha w14:val="100000"/>
                    </w14:srgbClr>
                  </w14:solidFill>
                </w14:textFill>
              </w:rPr>
              <w:t xml:space="preserve">　</w:t>
            </w:r>
            <w:r w:rsidR="00CE016F" w:rsidRPr="00CE016F">
              <w:rPr>
                <w:color w:val="000000"/>
                <w:w w:val="15"/>
                <w:shd w:val="solid" w:color="000000" w:fill="000000"/>
                <w:fitText w:val="67" w:id="-762139890"/>
                <w14:textFill>
                  <w14:solidFill>
                    <w14:srgbClr w14:val="000000">
                      <w14:alpha w14:val="100000"/>
                    </w14:srgbClr>
                  </w14:solidFill>
                </w14:textFill>
              </w:rPr>
              <w:t>|</w:t>
            </w:r>
            <w:r w:rsidR="00CE016F" w:rsidRPr="00CE016F">
              <w:rPr>
                <w:rFonts w:hint="eastAsia"/>
                <w:color w:val="000000"/>
                <w:w w:val="15"/>
                <w:shd w:val="solid" w:color="000000" w:fill="000000"/>
                <w:fitText w:val="67" w:id="-762139890"/>
                <w14:textFill>
                  <w14:solidFill>
                    <w14:srgbClr w14:val="000000">
                      <w14:alpha w14:val="100000"/>
                    </w14:srgbClr>
                  </w14:solidFill>
                </w14:textFill>
              </w:rPr>
              <w:t xml:space="preserve">　</w:t>
            </w:r>
          </w:p>
        </w:tc>
      </w:tr>
      <w:tr w:rsidR="00765141" w:rsidRPr="007428CD" w14:paraId="5EB8629D" w14:textId="77777777">
        <w:trPr>
          <w:cantSplit/>
          <w:tblHeader/>
        </w:trPr>
        <w:tc>
          <w:tcPr>
            <w:tcW w:w="5000" w:type="pct"/>
            <w:gridSpan w:val="5"/>
            <w:tcBorders>
              <w:top w:val="single" w:sz="4" w:space="0" w:color="auto"/>
              <w:left w:val="single" w:sz="4" w:space="0" w:color="auto"/>
              <w:bottom w:val="single" w:sz="4" w:space="0" w:color="auto"/>
              <w:right w:val="single" w:sz="4" w:space="0" w:color="auto"/>
            </w:tcBorders>
          </w:tcPr>
          <w:p w14:paraId="4B60E184" w14:textId="77777777" w:rsidR="00765141" w:rsidRPr="00880751" w:rsidRDefault="00765141">
            <w:pPr>
              <w:pStyle w:val="TableText0"/>
            </w:pPr>
            <w:r w:rsidRPr="00880751">
              <w:rPr>
                <w:b/>
              </w:rPr>
              <w:t>Time horizon (base case: 7.5 years)</w:t>
            </w:r>
          </w:p>
        </w:tc>
      </w:tr>
      <w:tr w:rsidR="00765141" w:rsidRPr="007428CD" w14:paraId="5971318D"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643C5C56" w14:textId="77777777" w:rsidR="00765141" w:rsidRDefault="00765141">
            <w:pPr>
              <w:pStyle w:val="TableText0"/>
            </w:pPr>
            <w:r>
              <w:t>5</w:t>
            </w:r>
            <w:r w:rsidRPr="00D5605D">
              <w:t xml:space="preserve"> years</w:t>
            </w:r>
          </w:p>
        </w:tc>
        <w:tc>
          <w:tcPr>
            <w:tcW w:w="708" w:type="pct"/>
            <w:tcBorders>
              <w:top w:val="single" w:sz="4" w:space="0" w:color="auto"/>
              <w:left w:val="single" w:sz="4" w:space="0" w:color="auto"/>
              <w:bottom w:val="single" w:sz="4" w:space="0" w:color="auto"/>
              <w:right w:val="single" w:sz="4" w:space="0" w:color="auto"/>
            </w:tcBorders>
          </w:tcPr>
          <w:p w14:paraId="7AAF4926" w14:textId="4B444B8A" w:rsidR="00765141" w:rsidRDefault="00765141">
            <w:pPr>
              <w:pStyle w:val="TableText0"/>
              <w:jc w:val="center"/>
            </w:pPr>
            <w:r w:rsidRPr="0061228A">
              <w:t>$</w:t>
            </w:r>
            <w:r w:rsidR="00CE016F" w:rsidRPr="00CE016F">
              <w:rPr>
                <w:rFonts w:hint="eastAsia"/>
                <w:color w:val="000000"/>
                <w:w w:val="15"/>
                <w:shd w:val="solid" w:color="000000" w:fill="000000"/>
                <w:fitText w:val="66" w:id="-762139889"/>
                <w14:textFill>
                  <w14:solidFill>
                    <w14:srgbClr w14:val="000000">
                      <w14:alpha w14:val="100000"/>
                    </w14:srgbClr>
                  </w14:solidFill>
                </w14:textFill>
              </w:rPr>
              <w:t xml:space="preserve">　</w:t>
            </w:r>
            <w:r w:rsidR="00CE016F" w:rsidRPr="00CE016F">
              <w:rPr>
                <w:color w:val="000000"/>
                <w:w w:val="15"/>
                <w:shd w:val="solid" w:color="000000" w:fill="000000"/>
                <w:fitText w:val="66" w:id="-762139889"/>
                <w14:textFill>
                  <w14:solidFill>
                    <w14:srgbClr w14:val="000000">
                      <w14:alpha w14:val="100000"/>
                    </w14:srgbClr>
                  </w14:solidFill>
                </w14:textFill>
              </w:rPr>
              <w:t>|</w:t>
            </w:r>
            <w:r w:rsidR="00CE016F" w:rsidRPr="00CE016F">
              <w:rPr>
                <w:rFonts w:hint="eastAsia"/>
                <w:color w:val="000000"/>
                <w:w w:val="15"/>
                <w:shd w:val="solid" w:color="000000" w:fill="000000"/>
                <w:fitText w:val="66" w:id="-762139889"/>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319624F3" w14:textId="77777777" w:rsidR="00765141" w:rsidRDefault="00765141">
            <w:pPr>
              <w:pStyle w:val="TableText0"/>
              <w:jc w:val="center"/>
            </w:pPr>
            <w:r w:rsidRPr="0061228A">
              <w:t>0.69</w:t>
            </w:r>
            <w:r>
              <w:t>60</w:t>
            </w:r>
          </w:p>
        </w:tc>
        <w:tc>
          <w:tcPr>
            <w:tcW w:w="708" w:type="pct"/>
            <w:tcBorders>
              <w:top w:val="single" w:sz="4" w:space="0" w:color="auto"/>
              <w:left w:val="single" w:sz="4" w:space="0" w:color="auto"/>
              <w:bottom w:val="single" w:sz="4" w:space="0" w:color="auto"/>
              <w:right w:val="single" w:sz="4" w:space="0" w:color="auto"/>
            </w:tcBorders>
          </w:tcPr>
          <w:p w14:paraId="681458B7" w14:textId="22B1F0B9" w:rsidR="00765141" w:rsidRDefault="00765141">
            <w:pPr>
              <w:pStyle w:val="TableText0"/>
              <w:jc w:val="center"/>
            </w:pPr>
            <w:r w:rsidRPr="0061228A">
              <w:t>$</w:t>
            </w:r>
            <w:r w:rsidR="00CE016F" w:rsidRPr="00CE016F">
              <w:rPr>
                <w:rFonts w:hint="eastAsia"/>
                <w:color w:val="000000"/>
                <w:w w:val="18"/>
                <w:shd w:val="solid" w:color="000000" w:fill="000000"/>
                <w:fitText w:val="80" w:id="-762139888"/>
                <w14:textFill>
                  <w14:solidFill>
                    <w14:srgbClr w14:val="000000">
                      <w14:alpha w14:val="100000"/>
                    </w14:srgbClr>
                  </w14:solidFill>
                </w14:textFill>
              </w:rPr>
              <w:t xml:space="preserve">　</w:t>
            </w:r>
            <w:r w:rsidR="00CE016F" w:rsidRPr="00CE016F">
              <w:rPr>
                <w:color w:val="000000"/>
                <w:w w:val="18"/>
                <w:shd w:val="solid" w:color="000000" w:fill="000000"/>
                <w:fitText w:val="80" w:id="-762139888"/>
                <w14:textFill>
                  <w14:solidFill>
                    <w14:srgbClr w14:val="000000">
                      <w14:alpha w14:val="100000"/>
                    </w14:srgbClr>
                  </w14:solidFill>
                </w14:textFill>
              </w:rPr>
              <w:t>|</w:t>
            </w:r>
            <w:r w:rsidR="00CE016F" w:rsidRPr="00CE016F">
              <w:rPr>
                <w:rFonts w:hint="eastAsia"/>
                <w:color w:val="000000"/>
                <w:w w:val="18"/>
                <w:shd w:val="solid" w:color="000000" w:fill="000000"/>
                <w:fitText w:val="80" w:id="-762139888"/>
                <w14:textFill>
                  <w14:solidFill>
                    <w14:srgbClr w14:val="000000">
                      <w14:alpha w14:val="100000"/>
                    </w14:srgbClr>
                  </w14:solidFill>
                </w14:textFill>
              </w:rPr>
              <w:t xml:space="preserve">　</w:t>
            </w:r>
            <w:r w:rsidR="0014663A">
              <w:rPr>
                <w:vertAlign w:val="superscript"/>
              </w:rPr>
              <w:t>1</w:t>
            </w:r>
          </w:p>
        </w:tc>
        <w:tc>
          <w:tcPr>
            <w:tcW w:w="679" w:type="pct"/>
            <w:tcBorders>
              <w:top w:val="single" w:sz="4" w:space="0" w:color="auto"/>
              <w:left w:val="single" w:sz="4" w:space="0" w:color="auto"/>
              <w:bottom w:val="single" w:sz="4" w:space="0" w:color="auto"/>
              <w:right w:val="single" w:sz="4" w:space="0" w:color="auto"/>
            </w:tcBorders>
            <w:vAlign w:val="center"/>
          </w:tcPr>
          <w:p w14:paraId="6F9C4788" w14:textId="0A5F76EB" w:rsidR="00765141" w:rsidRDefault="00CE016F">
            <w:pPr>
              <w:pStyle w:val="TableText0"/>
              <w:jc w:val="center"/>
            </w:pPr>
            <w:r w:rsidRPr="00CE016F">
              <w:rPr>
                <w:rFonts w:hint="eastAsia"/>
                <w:color w:val="000000"/>
                <w:w w:val="15"/>
                <w:shd w:val="solid" w:color="000000" w:fill="000000"/>
                <w:fitText w:val="40" w:id="-762139904"/>
                <w14:textFill>
                  <w14:solidFill>
                    <w14:srgbClr w14:val="000000">
                      <w14:alpha w14:val="100000"/>
                    </w14:srgbClr>
                  </w14:solidFill>
                </w14:textFill>
              </w:rPr>
              <w:t xml:space="preserve">　</w:t>
            </w:r>
            <w:r w:rsidRPr="00CE016F">
              <w:rPr>
                <w:color w:val="000000"/>
                <w:w w:val="15"/>
                <w:shd w:val="solid" w:color="000000" w:fill="000000"/>
                <w:fitText w:val="40" w:id="-762139904"/>
                <w14:textFill>
                  <w14:solidFill>
                    <w14:srgbClr w14:val="000000">
                      <w14:alpha w14:val="100000"/>
                    </w14:srgbClr>
                  </w14:solidFill>
                </w14:textFill>
              </w:rPr>
              <w:t>|</w:t>
            </w:r>
            <w:r w:rsidRPr="00CE016F">
              <w:rPr>
                <w:rFonts w:hint="eastAsia"/>
                <w:color w:val="000000"/>
                <w:spacing w:val="-25"/>
                <w:w w:val="15"/>
                <w:shd w:val="solid" w:color="000000" w:fill="000000"/>
                <w:fitText w:val="40" w:id="-762139904"/>
                <w14:textFill>
                  <w14:solidFill>
                    <w14:srgbClr w14:val="000000">
                      <w14:alpha w14:val="100000"/>
                    </w14:srgbClr>
                  </w14:solidFill>
                </w14:textFill>
              </w:rPr>
              <w:t xml:space="preserve">　</w:t>
            </w:r>
            <w:r w:rsidR="00EB4155">
              <w:t xml:space="preserve"> </w:t>
            </w:r>
          </w:p>
        </w:tc>
      </w:tr>
      <w:tr w:rsidR="00765141" w:rsidRPr="007428CD" w14:paraId="5CEAF094"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6686E5E2" w14:textId="77777777" w:rsidR="00765141" w:rsidRDefault="00765141">
            <w:pPr>
              <w:pStyle w:val="TableText0"/>
            </w:pPr>
            <w:r>
              <w:t>10</w:t>
            </w:r>
            <w:r w:rsidRPr="00D5605D">
              <w:t xml:space="preserve"> years</w:t>
            </w:r>
          </w:p>
        </w:tc>
        <w:tc>
          <w:tcPr>
            <w:tcW w:w="708" w:type="pct"/>
            <w:tcBorders>
              <w:top w:val="single" w:sz="4" w:space="0" w:color="auto"/>
              <w:left w:val="single" w:sz="4" w:space="0" w:color="auto"/>
              <w:bottom w:val="single" w:sz="4" w:space="0" w:color="auto"/>
              <w:right w:val="single" w:sz="4" w:space="0" w:color="auto"/>
            </w:tcBorders>
          </w:tcPr>
          <w:p w14:paraId="602DEC03" w14:textId="7BF35B5F" w:rsidR="00765141" w:rsidRPr="0061228A" w:rsidRDefault="00765141">
            <w:pPr>
              <w:pStyle w:val="TableText0"/>
              <w:jc w:val="center"/>
            </w:pPr>
            <w:r w:rsidRPr="00DA5C9D">
              <w:t>$</w:t>
            </w:r>
            <w:r w:rsidR="00CE016F" w:rsidRPr="00CE016F">
              <w:rPr>
                <w:rFonts w:hint="eastAsia"/>
                <w:color w:val="000000"/>
                <w:w w:val="15"/>
                <w:shd w:val="solid" w:color="000000" w:fill="000000"/>
                <w:fitText w:val="66" w:id="-762139903"/>
                <w14:textFill>
                  <w14:solidFill>
                    <w14:srgbClr w14:val="000000">
                      <w14:alpha w14:val="100000"/>
                    </w14:srgbClr>
                  </w14:solidFill>
                </w14:textFill>
              </w:rPr>
              <w:t xml:space="preserve">　</w:t>
            </w:r>
            <w:r w:rsidR="00CE016F" w:rsidRPr="00CE016F">
              <w:rPr>
                <w:color w:val="000000"/>
                <w:w w:val="15"/>
                <w:shd w:val="solid" w:color="000000" w:fill="000000"/>
                <w:fitText w:val="66" w:id="-762139903"/>
                <w14:textFill>
                  <w14:solidFill>
                    <w14:srgbClr w14:val="000000">
                      <w14:alpha w14:val="100000"/>
                    </w14:srgbClr>
                  </w14:solidFill>
                </w14:textFill>
              </w:rPr>
              <w:t>|</w:t>
            </w:r>
            <w:r w:rsidR="00CE016F" w:rsidRPr="00CE016F">
              <w:rPr>
                <w:rFonts w:hint="eastAsia"/>
                <w:color w:val="000000"/>
                <w:w w:val="15"/>
                <w:shd w:val="solid" w:color="000000" w:fill="000000"/>
                <w:fitText w:val="66" w:id="-762139903"/>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5CC411EB" w14:textId="77777777" w:rsidR="00765141" w:rsidRPr="0061228A" w:rsidRDefault="00765141">
            <w:pPr>
              <w:pStyle w:val="TableText0"/>
              <w:jc w:val="center"/>
            </w:pPr>
            <w:r w:rsidRPr="00DA5C9D">
              <w:t>0.8176</w:t>
            </w:r>
          </w:p>
        </w:tc>
        <w:tc>
          <w:tcPr>
            <w:tcW w:w="708" w:type="pct"/>
            <w:tcBorders>
              <w:top w:val="single" w:sz="4" w:space="0" w:color="auto"/>
              <w:left w:val="single" w:sz="4" w:space="0" w:color="auto"/>
              <w:bottom w:val="single" w:sz="4" w:space="0" w:color="auto"/>
              <w:right w:val="single" w:sz="4" w:space="0" w:color="auto"/>
            </w:tcBorders>
          </w:tcPr>
          <w:p w14:paraId="68F0549D" w14:textId="0E9F6108" w:rsidR="00765141" w:rsidRPr="0061228A" w:rsidRDefault="00765141">
            <w:pPr>
              <w:pStyle w:val="TableText0"/>
              <w:jc w:val="center"/>
            </w:pPr>
            <w:r w:rsidRPr="00DA5C9D">
              <w:t>$</w:t>
            </w:r>
            <w:r w:rsidR="00CE016F" w:rsidRPr="00CE016F">
              <w:rPr>
                <w:rFonts w:hint="eastAsia"/>
                <w:color w:val="000000"/>
                <w:w w:val="18"/>
                <w:shd w:val="solid" w:color="000000" w:fill="000000"/>
                <w:fitText w:val="80" w:id="-762139902"/>
                <w14:textFill>
                  <w14:solidFill>
                    <w14:srgbClr w14:val="000000">
                      <w14:alpha w14:val="100000"/>
                    </w14:srgbClr>
                  </w14:solidFill>
                </w14:textFill>
              </w:rPr>
              <w:t xml:space="preserve">　</w:t>
            </w:r>
            <w:r w:rsidR="00CE016F" w:rsidRPr="00CE016F">
              <w:rPr>
                <w:color w:val="000000"/>
                <w:w w:val="18"/>
                <w:shd w:val="solid" w:color="000000" w:fill="000000"/>
                <w:fitText w:val="80" w:id="-762139902"/>
                <w14:textFill>
                  <w14:solidFill>
                    <w14:srgbClr w14:val="000000">
                      <w14:alpha w14:val="100000"/>
                    </w14:srgbClr>
                  </w14:solidFill>
                </w14:textFill>
              </w:rPr>
              <w:t>|</w:t>
            </w:r>
            <w:r w:rsidR="00CE016F" w:rsidRPr="00CE016F">
              <w:rPr>
                <w:rFonts w:hint="eastAsia"/>
                <w:color w:val="000000"/>
                <w:w w:val="18"/>
                <w:shd w:val="solid" w:color="000000" w:fill="000000"/>
                <w:fitText w:val="80" w:id="-762139902"/>
                <w14:textFill>
                  <w14:solidFill>
                    <w14:srgbClr w14:val="000000">
                      <w14:alpha w14:val="100000"/>
                    </w14:srgbClr>
                  </w14:solidFill>
                </w14:textFill>
              </w:rPr>
              <w:t xml:space="preserve">　</w:t>
            </w:r>
            <w:r w:rsidR="0014663A">
              <w:rPr>
                <w:vertAlign w:val="superscript"/>
              </w:rPr>
              <w:t>1</w:t>
            </w:r>
          </w:p>
        </w:tc>
        <w:tc>
          <w:tcPr>
            <w:tcW w:w="679" w:type="pct"/>
            <w:tcBorders>
              <w:top w:val="single" w:sz="4" w:space="0" w:color="auto"/>
              <w:left w:val="single" w:sz="4" w:space="0" w:color="auto"/>
              <w:bottom w:val="single" w:sz="4" w:space="0" w:color="auto"/>
              <w:right w:val="single" w:sz="4" w:space="0" w:color="auto"/>
            </w:tcBorders>
            <w:vAlign w:val="center"/>
          </w:tcPr>
          <w:p w14:paraId="66EAE89E" w14:textId="17D9B3D4" w:rsidR="00765141" w:rsidRDefault="00CE016F">
            <w:pPr>
              <w:pStyle w:val="TableText0"/>
              <w:jc w:val="center"/>
            </w:pPr>
            <w:r w:rsidRPr="00CE016F">
              <w:rPr>
                <w:rFonts w:hint="eastAsia"/>
                <w:color w:val="000000"/>
                <w:w w:val="15"/>
                <w:shd w:val="solid" w:color="000000" w:fill="000000"/>
                <w:fitText w:val="40" w:id="-762139901"/>
                <w14:textFill>
                  <w14:solidFill>
                    <w14:srgbClr w14:val="000000">
                      <w14:alpha w14:val="100000"/>
                    </w14:srgbClr>
                  </w14:solidFill>
                </w14:textFill>
              </w:rPr>
              <w:t xml:space="preserve">　</w:t>
            </w:r>
            <w:r w:rsidRPr="00CE016F">
              <w:rPr>
                <w:color w:val="000000"/>
                <w:w w:val="15"/>
                <w:shd w:val="solid" w:color="000000" w:fill="000000"/>
                <w:fitText w:val="40" w:id="-762139901"/>
                <w14:textFill>
                  <w14:solidFill>
                    <w14:srgbClr w14:val="000000">
                      <w14:alpha w14:val="100000"/>
                    </w14:srgbClr>
                  </w14:solidFill>
                </w14:textFill>
              </w:rPr>
              <w:t>|</w:t>
            </w:r>
            <w:r w:rsidRPr="00CE016F">
              <w:rPr>
                <w:rFonts w:hint="eastAsia"/>
                <w:color w:val="000000"/>
                <w:spacing w:val="-25"/>
                <w:w w:val="15"/>
                <w:shd w:val="solid" w:color="000000" w:fill="000000"/>
                <w:fitText w:val="40" w:id="-762139901"/>
                <w14:textFill>
                  <w14:solidFill>
                    <w14:srgbClr w14:val="000000">
                      <w14:alpha w14:val="100000"/>
                    </w14:srgbClr>
                  </w14:solidFill>
                </w14:textFill>
              </w:rPr>
              <w:t xml:space="preserve">　</w:t>
            </w:r>
            <w:r w:rsidR="00EB4155">
              <w:t xml:space="preserve"> </w:t>
            </w:r>
          </w:p>
        </w:tc>
      </w:tr>
      <w:tr w:rsidR="00765141" w:rsidRPr="007428CD" w14:paraId="454305D2" w14:textId="77777777">
        <w:trPr>
          <w:cantSplit/>
          <w:tblHeader/>
        </w:trPr>
        <w:tc>
          <w:tcPr>
            <w:tcW w:w="5000" w:type="pct"/>
            <w:gridSpan w:val="5"/>
            <w:tcBorders>
              <w:top w:val="single" w:sz="4" w:space="0" w:color="auto"/>
              <w:left w:val="single" w:sz="4" w:space="0" w:color="auto"/>
              <w:bottom w:val="single" w:sz="4" w:space="0" w:color="auto"/>
              <w:right w:val="single" w:sz="4" w:space="0" w:color="auto"/>
            </w:tcBorders>
          </w:tcPr>
          <w:p w14:paraId="4CE69731" w14:textId="47333BF5" w:rsidR="00765141" w:rsidRDefault="00765141">
            <w:pPr>
              <w:pStyle w:val="TableText0"/>
            </w:pPr>
            <w:r w:rsidRPr="00880751">
              <w:rPr>
                <w:b/>
              </w:rPr>
              <w:t xml:space="preserve">Parametric function used for ACP OS (base case: Generalised </w:t>
            </w:r>
            <w:r w:rsidR="00921A5F">
              <w:rPr>
                <w:b/>
              </w:rPr>
              <w:t>g</w:t>
            </w:r>
            <w:r w:rsidRPr="00880751">
              <w:rPr>
                <w:b/>
              </w:rPr>
              <w:t>amma)</w:t>
            </w:r>
          </w:p>
        </w:tc>
      </w:tr>
      <w:tr w:rsidR="00765141" w:rsidRPr="007428CD" w14:paraId="63874E41"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227D96F8" w14:textId="77777777" w:rsidR="00765141" w:rsidRPr="00D5605D" w:rsidRDefault="00765141">
            <w:pPr>
              <w:pStyle w:val="TableText0"/>
            </w:pPr>
            <w:r w:rsidRPr="00D5605D">
              <w:t>Weibull</w:t>
            </w:r>
          </w:p>
        </w:tc>
        <w:tc>
          <w:tcPr>
            <w:tcW w:w="708" w:type="pct"/>
            <w:tcBorders>
              <w:top w:val="single" w:sz="4" w:space="0" w:color="auto"/>
              <w:left w:val="single" w:sz="4" w:space="0" w:color="auto"/>
              <w:bottom w:val="single" w:sz="4" w:space="0" w:color="auto"/>
              <w:right w:val="single" w:sz="4" w:space="0" w:color="auto"/>
            </w:tcBorders>
          </w:tcPr>
          <w:p w14:paraId="4715763E" w14:textId="3F8326F3" w:rsidR="00765141" w:rsidRPr="00F3716B" w:rsidRDefault="00765141">
            <w:pPr>
              <w:pStyle w:val="TableText0"/>
              <w:jc w:val="center"/>
            </w:pPr>
            <w:r w:rsidRPr="00BE6D41">
              <w:t>$</w:t>
            </w:r>
            <w:r w:rsidR="00CE016F" w:rsidRPr="00CE016F">
              <w:rPr>
                <w:rFonts w:hint="eastAsia"/>
                <w:color w:val="000000"/>
                <w:w w:val="15"/>
                <w:shd w:val="solid" w:color="000000" w:fill="000000"/>
                <w:fitText w:val="66" w:id="-762139900"/>
                <w14:textFill>
                  <w14:solidFill>
                    <w14:srgbClr w14:val="000000">
                      <w14:alpha w14:val="100000"/>
                    </w14:srgbClr>
                  </w14:solidFill>
                </w14:textFill>
              </w:rPr>
              <w:t xml:space="preserve">　</w:t>
            </w:r>
            <w:r w:rsidR="00CE016F" w:rsidRPr="00CE016F">
              <w:rPr>
                <w:color w:val="000000"/>
                <w:w w:val="15"/>
                <w:shd w:val="solid" w:color="000000" w:fill="000000"/>
                <w:fitText w:val="66" w:id="-762139900"/>
                <w14:textFill>
                  <w14:solidFill>
                    <w14:srgbClr w14:val="000000">
                      <w14:alpha w14:val="100000"/>
                    </w14:srgbClr>
                  </w14:solidFill>
                </w14:textFill>
              </w:rPr>
              <w:t>|</w:t>
            </w:r>
            <w:r w:rsidR="00CE016F" w:rsidRPr="00CE016F">
              <w:rPr>
                <w:rFonts w:hint="eastAsia"/>
                <w:color w:val="000000"/>
                <w:w w:val="15"/>
                <w:shd w:val="solid" w:color="000000" w:fill="000000"/>
                <w:fitText w:val="66" w:id="-762139900"/>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1D6613AC" w14:textId="77777777" w:rsidR="00765141" w:rsidRPr="00F3716B" w:rsidRDefault="00765141">
            <w:pPr>
              <w:pStyle w:val="TableText0"/>
              <w:jc w:val="center"/>
            </w:pPr>
            <w:r w:rsidRPr="00BE6D41">
              <w:t>1.1462</w:t>
            </w:r>
          </w:p>
        </w:tc>
        <w:tc>
          <w:tcPr>
            <w:tcW w:w="708" w:type="pct"/>
            <w:tcBorders>
              <w:top w:val="single" w:sz="4" w:space="0" w:color="auto"/>
              <w:left w:val="single" w:sz="4" w:space="0" w:color="auto"/>
              <w:bottom w:val="single" w:sz="4" w:space="0" w:color="auto"/>
              <w:right w:val="single" w:sz="4" w:space="0" w:color="auto"/>
            </w:tcBorders>
          </w:tcPr>
          <w:p w14:paraId="700D7D95" w14:textId="6427AD2C" w:rsidR="00765141" w:rsidRPr="00F3716B" w:rsidRDefault="00765141">
            <w:pPr>
              <w:pStyle w:val="TableText0"/>
              <w:jc w:val="center"/>
            </w:pPr>
            <w:r w:rsidRPr="00BE6D41">
              <w:t>$</w:t>
            </w:r>
            <w:r w:rsidR="00CE016F" w:rsidRPr="00CE016F">
              <w:rPr>
                <w:rFonts w:hint="eastAsia"/>
                <w:color w:val="000000"/>
                <w:w w:val="18"/>
                <w:shd w:val="solid" w:color="000000" w:fill="000000"/>
                <w:fitText w:val="80" w:id="-762139899"/>
                <w14:textFill>
                  <w14:solidFill>
                    <w14:srgbClr w14:val="000000">
                      <w14:alpha w14:val="100000"/>
                    </w14:srgbClr>
                  </w14:solidFill>
                </w14:textFill>
              </w:rPr>
              <w:t xml:space="preserve">　</w:t>
            </w:r>
            <w:r w:rsidR="00CE016F" w:rsidRPr="00CE016F">
              <w:rPr>
                <w:color w:val="000000"/>
                <w:w w:val="18"/>
                <w:shd w:val="solid" w:color="000000" w:fill="000000"/>
                <w:fitText w:val="80" w:id="-762139899"/>
                <w14:textFill>
                  <w14:solidFill>
                    <w14:srgbClr w14:val="000000">
                      <w14:alpha w14:val="100000"/>
                    </w14:srgbClr>
                  </w14:solidFill>
                </w14:textFill>
              </w:rPr>
              <w:t>|</w:t>
            </w:r>
            <w:r w:rsidR="00CE016F" w:rsidRPr="00CE016F">
              <w:rPr>
                <w:rFonts w:hint="eastAsia"/>
                <w:color w:val="000000"/>
                <w:w w:val="18"/>
                <w:shd w:val="solid" w:color="000000" w:fill="000000"/>
                <w:fitText w:val="80" w:id="-762139899"/>
                <w14:textFill>
                  <w14:solidFill>
                    <w14:srgbClr w14:val="000000">
                      <w14:alpha w14:val="100000"/>
                    </w14:srgbClr>
                  </w14:solidFill>
                </w14:textFill>
              </w:rPr>
              <w:t xml:space="preserve">　</w:t>
            </w:r>
            <w:r w:rsidR="00D062E8">
              <w:rPr>
                <w:vertAlign w:val="superscript"/>
              </w:rPr>
              <w:t>3</w:t>
            </w:r>
          </w:p>
        </w:tc>
        <w:tc>
          <w:tcPr>
            <w:tcW w:w="679" w:type="pct"/>
            <w:tcBorders>
              <w:top w:val="single" w:sz="4" w:space="0" w:color="auto"/>
              <w:left w:val="single" w:sz="4" w:space="0" w:color="auto"/>
              <w:bottom w:val="single" w:sz="4" w:space="0" w:color="auto"/>
              <w:right w:val="single" w:sz="4" w:space="0" w:color="auto"/>
            </w:tcBorders>
            <w:vAlign w:val="center"/>
          </w:tcPr>
          <w:p w14:paraId="50979DA3" w14:textId="6EE0682D" w:rsidR="00765141" w:rsidRDefault="00765141">
            <w:pPr>
              <w:pStyle w:val="TableText0"/>
              <w:jc w:val="center"/>
            </w:pPr>
            <w:r>
              <w:t>-</w:t>
            </w:r>
            <w:r w:rsidR="00CE016F" w:rsidRPr="00CE016F">
              <w:rPr>
                <w:rFonts w:hint="eastAsia"/>
                <w:color w:val="000000"/>
                <w:w w:val="15"/>
                <w:shd w:val="solid" w:color="000000" w:fill="000000"/>
                <w:fitText w:val="67" w:id="-762139898"/>
                <w14:textFill>
                  <w14:solidFill>
                    <w14:srgbClr w14:val="000000">
                      <w14:alpha w14:val="100000"/>
                    </w14:srgbClr>
                  </w14:solidFill>
                </w14:textFill>
              </w:rPr>
              <w:t xml:space="preserve">　</w:t>
            </w:r>
            <w:r w:rsidR="00CE016F" w:rsidRPr="00CE016F">
              <w:rPr>
                <w:color w:val="000000"/>
                <w:w w:val="15"/>
                <w:shd w:val="solid" w:color="000000" w:fill="000000"/>
                <w:fitText w:val="67" w:id="-762139898"/>
                <w14:textFill>
                  <w14:solidFill>
                    <w14:srgbClr w14:val="000000">
                      <w14:alpha w14:val="100000"/>
                    </w14:srgbClr>
                  </w14:solidFill>
                </w14:textFill>
              </w:rPr>
              <w:t>|</w:t>
            </w:r>
            <w:r w:rsidR="00CE016F" w:rsidRPr="00CE016F">
              <w:rPr>
                <w:rFonts w:hint="eastAsia"/>
                <w:color w:val="000000"/>
                <w:w w:val="15"/>
                <w:shd w:val="solid" w:color="000000" w:fill="000000"/>
                <w:fitText w:val="67" w:id="-762139898"/>
                <w14:textFill>
                  <w14:solidFill>
                    <w14:srgbClr w14:val="000000">
                      <w14:alpha w14:val="100000"/>
                    </w14:srgbClr>
                  </w14:solidFill>
                </w14:textFill>
              </w:rPr>
              <w:t xml:space="preserve">　</w:t>
            </w:r>
          </w:p>
        </w:tc>
      </w:tr>
      <w:tr w:rsidR="00765141" w:rsidRPr="007428CD" w14:paraId="0A6935E9"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58D1FDDC" w14:textId="77777777" w:rsidR="00765141" w:rsidRPr="00D5605D" w:rsidRDefault="00765141">
            <w:pPr>
              <w:pStyle w:val="TableText0"/>
            </w:pPr>
            <w:r w:rsidRPr="00D5605D">
              <w:t>Gompertz</w:t>
            </w:r>
          </w:p>
        </w:tc>
        <w:tc>
          <w:tcPr>
            <w:tcW w:w="708" w:type="pct"/>
            <w:tcBorders>
              <w:top w:val="single" w:sz="4" w:space="0" w:color="auto"/>
              <w:left w:val="single" w:sz="4" w:space="0" w:color="auto"/>
              <w:bottom w:val="single" w:sz="4" w:space="0" w:color="auto"/>
              <w:right w:val="single" w:sz="4" w:space="0" w:color="auto"/>
            </w:tcBorders>
          </w:tcPr>
          <w:p w14:paraId="0B04D07E" w14:textId="6D7C2D39" w:rsidR="00765141" w:rsidRPr="00BE6D41" w:rsidRDefault="00765141">
            <w:pPr>
              <w:pStyle w:val="TableText0"/>
              <w:jc w:val="center"/>
            </w:pPr>
            <w:r w:rsidRPr="00C3475A">
              <w:t>$</w:t>
            </w:r>
            <w:r w:rsidR="00CE016F" w:rsidRPr="00CE016F">
              <w:rPr>
                <w:rFonts w:hint="eastAsia"/>
                <w:color w:val="000000"/>
                <w:w w:val="15"/>
                <w:shd w:val="solid" w:color="000000" w:fill="000000"/>
                <w:fitText w:val="66" w:id="-762139897"/>
                <w14:textFill>
                  <w14:solidFill>
                    <w14:srgbClr w14:val="000000">
                      <w14:alpha w14:val="100000"/>
                    </w14:srgbClr>
                  </w14:solidFill>
                </w14:textFill>
              </w:rPr>
              <w:t xml:space="preserve">　</w:t>
            </w:r>
            <w:r w:rsidR="00CE016F" w:rsidRPr="00CE016F">
              <w:rPr>
                <w:color w:val="000000"/>
                <w:w w:val="15"/>
                <w:shd w:val="solid" w:color="000000" w:fill="000000"/>
                <w:fitText w:val="66" w:id="-762139897"/>
                <w14:textFill>
                  <w14:solidFill>
                    <w14:srgbClr w14:val="000000">
                      <w14:alpha w14:val="100000"/>
                    </w14:srgbClr>
                  </w14:solidFill>
                </w14:textFill>
              </w:rPr>
              <w:t>|</w:t>
            </w:r>
            <w:r w:rsidR="00CE016F" w:rsidRPr="00CE016F">
              <w:rPr>
                <w:rFonts w:hint="eastAsia"/>
                <w:color w:val="000000"/>
                <w:w w:val="15"/>
                <w:shd w:val="solid" w:color="000000" w:fill="000000"/>
                <w:fitText w:val="66" w:id="-762139897"/>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52BF3702" w14:textId="77777777" w:rsidR="00765141" w:rsidRPr="00BE6D41" w:rsidRDefault="00765141">
            <w:pPr>
              <w:pStyle w:val="TableText0"/>
              <w:jc w:val="center"/>
            </w:pPr>
            <w:r w:rsidRPr="00C3475A">
              <w:t>0.5372</w:t>
            </w:r>
          </w:p>
        </w:tc>
        <w:tc>
          <w:tcPr>
            <w:tcW w:w="708" w:type="pct"/>
            <w:tcBorders>
              <w:top w:val="single" w:sz="4" w:space="0" w:color="auto"/>
              <w:left w:val="single" w:sz="4" w:space="0" w:color="auto"/>
              <w:bottom w:val="single" w:sz="4" w:space="0" w:color="auto"/>
              <w:right w:val="single" w:sz="4" w:space="0" w:color="auto"/>
            </w:tcBorders>
          </w:tcPr>
          <w:p w14:paraId="0CAE1B46" w14:textId="63E34EF7" w:rsidR="00765141" w:rsidRPr="00BE6D41" w:rsidRDefault="00765141">
            <w:pPr>
              <w:pStyle w:val="TableText0"/>
              <w:jc w:val="center"/>
            </w:pPr>
            <w:r w:rsidRPr="00C3475A">
              <w:t>$</w:t>
            </w:r>
            <w:r w:rsidR="00CE016F" w:rsidRPr="00CE016F">
              <w:rPr>
                <w:rFonts w:hint="eastAsia"/>
                <w:color w:val="000000"/>
                <w:w w:val="18"/>
                <w:shd w:val="solid" w:color="000000" w:fill="000000"/>
                <w:fitText w:val="80" w:id="-762139896"/>
                <w14:textFill>
                  <w14:solidFill>
                    <w14:srgbClr w14:val="000000">
                      <w14:alpha w14:val="100000"/>
                    </w14:srgbClr>
                  </w14:solidFill>
                </w14:textFill>
              </w:rPr>
              <w:t xml:space="preserve">　</w:t>
            </w:r>
            <w:r w:rsidR="00CE016F" w:rsidRPr="00CE016F">
              <w:rPr>
                <w:color w:val="000000"/>
                <w:w w:val="18"/>
                <w:shd w:val="solid" w:color="000000" w:fill="000000"/>
                <w:fitText w:val="80" w:id="-762139896"/>
                <w14:textFill>
                  <w14:solidFill>
                    <w14:srgbClr w14:val="000000">
                      <w14:alpha w14:val="100000"/>
                    </w14:srgbClr>
                  </w14:solidFill>
                </w14:textFill>
              </w:rPr>
              <w:t>|</w:t>
            </w:r>
            <w:r w:rsidR="00CE016F" w:rsidRPr="00CE016F">
              <w:rPr>
                <w:rFonts w:hint="eastAsia"/>
                <w:color w:val="000000"/>
                <w:w w:val="18"/>
                <w:shd w:val="solid" w:color="000000" w:fill="000000"/>
                <w:fitText w:val="80" w:id="-762139896"/>
                <w14:textFill>
                  <w14:solidFill>
                    <w14:srgbClr w14:val="000000">
                      <w14:alpha w14:val="100000"/>
                    </w14:srgbClr>
                  </w14:solidFill>
                </w14:textFill>
              </w:rPr>
              <w:t xml:space="preserve">　</w:t>
            </w:r>
            <w:r w:rsidR="00D062E8">
              <w:rPr>
                <w:vertAlign w:val="superscript"/>
              </w:rPr>
              <w:t>4</w:t>
            </w:r>
          </w:p>
        </w:tc>
        <w:tc>
          <w:tcPr>
            <w:tcW w:w="679" w:type="pct"/>
            <w:tcBorders>
              <w:top w:val="single" w:sz="4" w:space="0" w:color="auto"/>
              <w:left w:val="single" w:sz="4" w:space="0" w:color="auto"/>
              <w:bottom w:val="single" w:sz="4" w:space="0" w:color="auto"/>
              <w:right w:val="single" w:sz="4" w:space="0" w:color="auto"/>
            </w:tcBorders>
            <w:vAlign w:val="center"/>
          </w:tcPr>
          <w:p w14:paraId="0E591437" w14:textId="5831A3EF" w:rsidR="00765141" w:rsidRDefault="00CE016F">
            <w:pPr>
              <w:pStyle w:val="TableText0"/>
              <w:jc w:val="center"/>
            </w:pPr>
            <w:r w:rsidRPr="00CE016F">
              <w:rPr>
                <w:rFonts w:hint="eastAsia"/>
                <w:color w:val="000000"/>
                <w:w w:val="15"/>
                <w:shd w:val="solid" w:color="000000" w:fill="000000"/>
                <w:fitText w:val="40" w:id="-762139895"/>
                <w14:textFill>
                  <w14:solidFill>
                    <w14:srgbClr w14:val="000000">
                      <w14:alpha w14:val="100000"/>
                    </w14:srgbClr>
                  </w14:solidFill>
                </w14:textFill>
              </w:rPr>
              <w:t xml:space="preserve">　</w:t>
            </w:r>
            <w:r w:rsidRPr="00CE016F">
              <w:rPr>
                <w:color w:val="000000"/>
                <w:w w:val="15"/>
                <w:shd w:val="solid" w:color="000000" w:fill="000000"/>
                <w:fitText w:val="40" w:id="-762139895"/>
                <w14:textFill>
                  <w14:solidFill>
                    <w14:srgbClr w14:val="000000">
                      <w14:alpha w14:val="100000"/>
                    </w14:srgbClr>
                  </w14:solidFill>
                </w14:textFill>
              </w:rPr>
              <w:t>|</w:t>
            </w:r>
            <w:r w:rsidRPr="00CE016F">
              <w:rPr>
                <w:rFonts w:hint="eastAsia"/>
                <w:color w:val="000000"/>
                <w:spacing w:val="-25"/>
                <w:w w:val="15"/>
                <w:shd w:val="solid" w:color="000000" w:fill="000000"/>
                <w:fitText w:val="40" w:id="-762139895"/>
                <w14:textFill>
                  <w14:solidFill>
                    <w14:srgbClr w14:val="000000">
                      <w14:alpha w14:val="100000"/>
                    </w14:srgbClr>
                  </w14:solidFill>
                </w14:textFill>
              </w:rPr>
              <w:t xml:space="preserve">　</w:t>
            </w:r>
            <w:r w:rsidR="00EB4155">
              <w:t xml:space="preserve"> </w:t>
            </w:r>
          </w:p>
        </w:tc>
      </w:tr>
      <w:tr w:rsidR="00765141" w:rsidRPr="007428CD" w14:paraId="662984E8"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0145DA67" w14:textId="77777777" w:rsidR="00765141" w:rsidRPr="00D5605D" w:rsidRDefault="00765141">
            <w:pPr>
              <w:pStyle w:val="TableText0"/>
            </w:pPr>
            <w:r>
              <w:t>Gamma</w:t>
            </w:r>
          </w:p>
        </w:tc>
        <w:tc>
          <w:tcPr>
            <w:tcW w:w="708" w:type="pct"/>
            <w:tcBorders>
              <w:top w:val="single" w:sz="4" w:space="0" w:color="auto"/>
              <w:left w:val="single" w:sz="4" w:space="0" w:color="auto"/>
              <w:bottom w:val="single" w:sz="4" w:space="0" w:color="auto"/>
              <w:right w:val="single" w:sz="4" w:space="0" w:color="auto"/>
            </w:tcBorders>
          </w:tcPr>
          <w:p w14:paraId="6FD86214" w14:textId="4EC84C8C" w:rsidR="00765141" w:rsidRPr="00C3475A" w:rsidRDefault="00765141">
            <w:pPr>
              <w:pStyle w:val="TableText0"/>
              <w:jc w:val="center"/>
            </w:pPr>
            <w:r w:rsidRPr="00402538">
              <w:t>$</w:t>
            </w:r>
            <w:r w:rsidR="00CE016F" w:rsidRPr="00CE016F">
              <w:rPr>
                <w:rFonts w:hint="eastAsia"/>
                <w:color w:val="000000"/>
                <w:w w:val="15"/>
                <w:shd w:val="solid" w:color="000000" w:fill="000000"/>
                <w:fitText w:val="66" w:id="-762139894"/>
                <w14:textFill>
                  <w14:solidFill>
                    <w14:srgbClr w14:val="000000">
                      <w14:alpha w14:val="100000"/>
                    </w14:srgbClr>
                  </w14:solidFill>
                </w14:textFill>
              </w:rPr>
              <w:t xml:space="preserve">　</w:t>
            </w:r>
            <w:r w:rsidR="00CE016F" w:rsidRPr="00CE016F">
              <w:rPr>
                <w:color w:val="000000"/>
                <w:w w:val="15"/>
                <w:shd w:val="solid" w:color="000000" w:fill="000000"/>
                <w:fitText w:val="66" w:id="-762139894"/>
                <w14:textFill>
                  <w14:solidFill>
                    <w14:srgbClr w14:val="000000">
                      <w14:alpha w14:val="100000"/>
                    </w14:srgbClr>
                  </w14:solidFill>
                </w14:textFill>
              </w:rPr>
              <w:t>|</w:t>
            </w:r>
            <w:r w:rsidR="00CE016F" w:rsidRPr="00CE016F">
              <w:rPr>
                <w:rFonts w:hint="eastAsia"/>
                <w:color w:val="000000"/>
                <w:w w:val="15"/>
                <w:shd w:val="solid" w:color="000000" w:fill="000000"/>
                <w:fitText w:val="66" w:id="-762139894"/>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5B37901A" w14:textId="77777777" w:rsidR="00765141" w:rsidRPr="00C3475A" w:rsidRDefault="00765141">
            <w:pPr>
              <w:pStyle w:val="TableText0"/>
              <w:jc w:val="center"/>
            </w:pPr>
            <w:r w:rsidRPr="00402538">
              <w:t>1.2091</w:t>
            </w:r>
          </w:p>
        </w:tc>
        <w:tc>
          <w:tcPr>
            <w:tcW w:w="708" w:type="pct"/>
            <w:tcBorders>
              <w:top w:val="single" w:sz="4" w:space="0" w:color="auto"/>
              <w:left w:val="single" w:sz="4" w:space="0" w:color="auto"/>
              <w:bottom w:val="single" w:sz="4" w:space="0" w:color="auto"/>
              <w:right w:val="single" w:sz="4" w:space="0" w:color="auto"/>
            </w:tcBorders>
          </w:tcPr>
          <w:p w14:paraId="7DA01DF8" w14:textId="552DEE14" w:rsidR="00765141" w:rsidRPr="00C3475A" w:rsidRDefault="00765141">
            <w:pPr>
              <w:pStyle w:val="TableText0"/>
              <w:jc w:val="center"/>
            </w:pPr>
            <w:r w:rsidRPr="00402538">
              <w:t>$</w:t>
            </w:r>
            <w:r w:rsidR="00CE016F" w:rsidRPr="00CE016F">
              <w:rPr>
                <w:rFonts w:hint="eastAsia"/>
                <w:color w:val="000000"/>
                <w:w w:val="18"/>
                <w:shd w:val="solid" w:color="000000" w:fill="000000"/>
                <w:fitText w:val="80" w:id="-762139893"/>
                <w14:textFill>
                  <w14:solidFill>
                    <w14:srgbClr w14:val="000000">
                      <w14:alpha w14:val="100000"/>
                    </w14:srgbClr>
                  </w14:solidFill>
                </w14:textFill>
              </w:rPr>
              <w:t xml:space="preserve">　</w:t>
            </w:r>
            <w:r w:rsidR="00CE016F" w:rsidRPr="00CE016F">
              <w:rPr>
                <w:color w:val="000000"/>
                <w:w w:val="18"/>
                <w:shd w:val="solid" w:color="000000" w:fill="000000"/>
                <w:fitText w:val="80" w:id="-762139893"/>
                <w14:textFill>
                  <w14:solidFill>
                    <w14:srgbClr w14:val="000000">
                      <w14:alpha w14:val="100000"/>
                    </w14:srgbClr>
                  </w14:solidFill>
                </w14:textFill>
              </w:rPr>
              <w:t>|</w:t>
            </w:r>
            <w:r w:rsidR="00CE016F" w:rsidRPr="00CE016F">
              <w:rPr>
                <w:rFonts w:hint="eastAsia"/>
                <w:color w:val="000000"/>
                <w:w w:val="18"/>
                <w:shd w:val="solid" w:color="000000" w:fill="000000"/>
                <w:fitText w:val="80" w:id="-762139893"/>
                <w14:textFill>
                  <w14:solidFill>
                    <w14:srgbClr w14:val="000000">
                      <w14:alpha w14:val="100000"/>
                    </w14:srgbClr>
                  </w14:solidFill>
                </w14:textFill>
              </w:rPr>
              <w:t xml:space="preserve">　</w:t>
            </w:r>
            <w:r w:rsidR="00D062E8">
              <w:rPr>
                <w:vertAlign w:val="superscript"/>
              </w:rPr>
              <w:t>3</w:t>
            </w:r>
          </w:p>
        </w:tc>
        <w:tc>
          <w:tcPr>
            <w:tcW w:w="679" w:type="pct"/>
            <w:tcBorders>
              <w:top w:val="single" w:sz="4" w:space="0" w:color="auto"/>
              <w:left w:val="single" w:sz="4" w:space="0" w:color="auto"/>
              <w:bottom w:val="single" w:sz="4" w:space="0" w:color="auto"/>
              <w:right w:val="single" w:sz="4" w:space="0" w:color="auto"/>
            </w:tcBorders>
            <w:vAlign w:val="center"/>
          </w:tcPr>
          <w:p w14:paraId="02AA9BD9" w14:textId="275303E2" w:rsidR="00765141" w:rsidRDefault="00765141">
            <w:pPr>
              <w:pStyle w:val="TableText0"/>
              <w:jc w:val="center"/>
            </w:pPr>
            <w:r>
              <w:t>-</w:t>
            </w:r>
            <w:r w:rsidR="00CE016F" w:rsidRPr="00CE016F">
              <w:rPr>
                <w:rFonts w:hint="eastAsia"/>
                <w:color w:val="000000"/>
                <w:w w:val="15"/>
                <w:shd w:val="solid" w:color="000000" w:fill="000000"/>
                <w:fitText w:val="67" w:id="-762139892"/>
                <w14:textFill>
                  <w14:solidFill>
                    <w14:srgbClr w14:val="000000">
                      <w14:alpha w14:val="100000"/>
                    </w14:srgbClr>
                  </w14:solidFill>
                </w14:textFill>
              </w:rPr>
              <w:t xml:space="preserve">　</w:t>
            </w:r>
            <w:r w:rsidR="00CE016F" w:rsidRPr="00CE016F">
              <w:rPr>
                <w:color w:val="000000"/>
                <w:w w:val="15"/>
                <w:shd w:val="solid" w:color="000000" w:fill="000000"/>
                <w:fitText w:val="67" w:id="-762139892"/>
                <w14:textFill>
                  <w14:solidFill>
                    <w14:srgbClr w14:val="000000">
                      <w14:alpha w14:val="100000"/>
                    </w14:srgbClr>
                  </w14:solidFill>
                </w14:textFill>
              </w:rPr>
              <w:t>|</w:t>
            </w:r>
            <w:r w:rsidR="00CE016F" w:rsidRPr="00CE016F">
              <w:rPr>
                <w:rFonts w:hint="eastAsia"/>
                <w:color w:val="000000"/>
                <w:w w:val="15"/>
                <w:shd w:val="solid" w:color="000000" w:fill="000000"/>
                <w:fitText w:val="67" w:id="-762139892"/>
                <w14:textFill>
                  <w14:solidFill>
                    <w14:srgbClr w14:val="000000">
                      <w14:alpha w14:val="100000"/>
                    </w14:srgbClr>
                  </w14:solidFill>
                </w14:textFill>
              </w:rPr>
              <w:t xml:space="preserve">　</w:t>
            </w:r>
          </w:p>
        </w:tc>
      </w:tr>
      <w:tr w:rsidR="00765141" w:rsidRPr="00AD717A" w14:paraId="4C7612B4" w14:textId="25C27608"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4E9296D4" w14:textId="382DB9BF" w:rsidR="00765141" w:rsidRPr="00AD717A" w:rsidRDefault="00765141">
            <w:pPr>
              <w:pStyle w:val="TableText0"/>
            </w:pPr>
            <w:r w:rsidRPr="00AD717A">
              <w:t>Log-logistic</w:t>
            </w:r>
          </w:p>
        </w:tc>
        <w:tc>
          <w:tcPr>
            <w:tcW w:w="708" w:type="pct"/>
            <w:tcBorders>
              <w:top w:val="single" w:sz="4" w:space="0" w:color="auto"/>
              <w:left w:val="single" w:sz="4" w:space="0" w:color="auto"/>
              <w:bottom w:val="single" w:sz="4" w:space="0" w:color="auto"/>
              <w:right w:val="single" w:sz="4" w:space="0" w:color="auto"/>
            </w:tcBorders>
          </w:tcPr>
          <w:p w14:paraId="68B1125D" w14:textId="244CB8B5" w:rsidR="00765141" w:rsidRPr="00AD717A" w:rsidRDefault="00765141">
            <w:pPr>
              <w:pStyle w:val="TableText0"/>
              <w:jc w:val="center"/>
            </w:pPr>
            <w:r w:rsidRPr="00AD717A">
              <w:t>$</w:t>
            </w:r>
            <w:r w:rsidR="00CE016F" w:rsidRPr="00CE016F">
              <w:rPr>
                <w:rFonts w:hint="eastAsia"/>
                <w:color w:val="000000"/>
                <w:w w:val="15"/>
                <w:shd w:val="solid" w:color="000000" w:fill="000000"/>
                <w:fitText w:val="66" w:id="-762139891"/>
                <w14:textFill>
                  <w14:solidFill>
                    <w14:srgbClr w14:val="000000">
                      <w14:alpha w14:val="100000"/>
                    </w14:srgbClr>
                  </w14:solidFill>
                </w14:textFill>
              </w:rPr>
              <w:t xml:space="preserve">　</w:t>
            </w:r>
            <w:r w:rsidR="00CE016F" w:rsidRPr="00CE016F">
              <w:rPr>
                <w:color w:val="000000"/>
                <w:w w:val="15"/>
                <w:shd w:val="solid" w:color="000000" w:fill="000000"/>
                <w:fitText w:val="66" w:id="-762139891"/>
                <w14:textFill>
                  <w14:solidFill>
                    <w14:srgbClr w14:val="000000">
                      <w14:alpha w14:val="100000"/>
                    </w14:srgbClr>
                  </w14:solidFill>
                </w14:textFill>
              </w:rPr>
              <w:t>|</w:t>
            </w:r>
            <w:r w:rsidR="00CE016F" w:rsidRPr="00CE016F">
              <w:rPr>
                <w:rFonts w:hint="eastAsia"/>
                <w:color w:val="000000"/>
                <w:w w:val="15"/>
                <w:shd w:val="solid" w:color="000000" w:fill="000000"/>
                <w:fitText w:val="66" w:id="-762139891"/>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6C1A6155" w14:textId="1B4B1F53" w:rsidR="00765141" w:rsidRPr="00AD717A" w:rsidRDefault="00765141">
            <w:pPr>
              <w:pStyle w:val="TableText0"/>
              <w:jc w:val="center"/>
            </w:pPr>
            <w:r w:rsidRPr="00AD717A">
              <w:t>1.3960</w:t>
            </w:r>
          </w:p>
        </w:tc>
        <w:tc>
          <w:tcPr>
            <w:tcW w:w="708" w:type="pct"/>
            <w:tcBorders>
              <w:top w:val="single" w:sz="4" w:space="0" w:color="auto"/>
              <w:left w:val="single" w:sz="4" w:space="0" w:color="auto"/>
              <w:bottom w:val="single" w:sz="4" w:space="0" w:color="auto"/>
              <w:right w:val="single" w:sz="4" w:space="0" w:color="auto"/>
            </w:tcBorders>
          </w:tcPr>
          <w:p w14:paraId="4B14FB21" w14:textId="65C6C63F" w:rsidR="00765141" w:rsidRPr="00AD717A" w:rsidRDefault="00765141">
            <w:pPr>
              <w:pStyle w:val="TableText0"/>
              <w:jc w:val="center"/>
            </w:pPr>
            <w:r w:rsidRPr="00AD717A">
              <w:t>$</w:t>
            </w:r>
            <w:r w:rsidR="00CE016F" w:rsidRPr="00CE016F">
              <w:rPr>
                <w:rFonts w:hint="eastAsia"/>
                <w:color w:val="000000"/>
                <w:w w:val="18"/>
                <w:shd w:val="solid" w:color="000000" w:fill="000000"/>
                <w:fitText w:val="80" w:id="-762139890"/>
                <w14:textFill>
                  <w14:solidFill>
                    <w14:srgbClr w14:val="000000">
                      <w14:alpha w14:val="100000"/>
                    </w14:srgbClr>
                  </w14:solidFill>
                </w14:textFill>
              </w:rPr>
              <w:t xml:space="preserve">　</w:t>
            </w:r>
            <w:r w:rsidR="00CE016F" w:rsidRPr="00CE016F">
              <w:rPr>
                <w:color w:val="000000"/>
                <w:w w:val="18"/>
                <w:shd w:val="solid" w:color="000000" w:fill="000000"/>
                <w:fitText w:val="80" w:id="-762139890"/>
                <w14:textFill>
                  <w14:solidFill>
                    <w14:srgbClr w14:val="000000">
                      <w14:alpha w14:val="100000"/>
                    </w14:srgbClr>
                  </w14:solidFill>
                </w14:textFill>
              </w:rPr>
              <w:t>|</w:t>
            </w:r>
            <w:r w:rsidR="00CE016F" w:rsidRPr="00CE016F">
              <w:rPr>
                <w:rFonts w:hint="eastAsia"/>
                <w:color w:val="000000"/>
                <w:w w:val="18"/>
                <w:shd w:val="solid" w:color="000000" w:fill="000000"/>
                <w:fitText w:val="80" w:id="-762139890"/>
                <w14:textFill>
                  <w14:solidFill>
                    <w14:srgbClr w14:val="000000">
                      <w14:alpha w14:val="100000"/>
                    </w14:srgbClr>
                  </w14:solidFill>
                </w14:textFill>
              </w:rPr>
              <w:t xml:space="preserve">　</w:t>
            </w:r>
            <w:r w:rsidR="0008057B">
              <w:rPr>
                <w:vertAlign w:val="superscript"/>
              </w:rPr>
              <w:t>5</w:t>
            </w:r>
          </w:p>
        </w:tc>
        <w:tc>
          <w:tcPr>
            <w:tcW w:w="679" w:type="pct"/>
            <w:tcBorders>
              <w:top w:val="single" w:sz="4" w:space="0" w:color="auto"/>
              <w:left w:val="single" w:sz="4" w:space="0" w:color="auto"/>
              <w:bottom w:val="single" w:sz="4" w:space="0" w:color="auto"/>
              <w:right w:val="single" w:sz="4" w:space="0" w:color="auto"/>
            </w:tcBorders>
            <w:vAlign w:val="center"/>
          </w:tcPr>
          <w:p w14:paraId="7EF30790" w14:textId="454F51D5" w:rsidR="00765141" w:rsidRPr="00AD717A" w:rsidRDefault="00765141">
            <w:pPr>
              <w:pStyle w:val="TableText0"/>
              <w:jc w:val="center"/>
            </w:pPr>
            <w:r w:rsidRPr="00AD717A">
              <w:t>-</w:t>
            </w:r>
            <w:r w:rsidR="00CE016F" w:rsidRPr="00CE016F">
              <w:rPr>
                <w:rFonts w:hint="eastAsia"/>
                <w:color w:val="000000"/>
                <w:w w:val="15"/>
                <w:shd w:val="solid" w:color="000000" w:fill="000000"/>
                <w:fitText w:val="67" w:id="-762139889"/>
                <w14:textFill>
                  <w14:solidFill>
                    <w14:srgbClr w14:val="000000">
                      <w14:alpha w14:val="100000"/>
                    </w14:srgbClr>
                  </w14:solidFill>
                </w14:textFill>
              </w:rPr>
              <w:t xml:space="preserve">　</w:t>
            </w:r>
            <w:r w:rsidR="00CE016F" w:rsidRPr="00CE016F">
              <w:rPr>
                <w:color w:val="000000"/>
                <w:w w:val="15"/>
                <w:shd w:val="solid" w:color="000000" w:fill="000000"/>
                <w:fitText w:val="67" w:id="-762139889"/>
                <w14:textFill>
                  <w14:solidFill>
                    <w14:srgbClr w14:val="000000">
                      <w14:alpha w14:val="100000"/>
                    </w14:srgbClr>
                  </w14:solidFill>
                </w14:textFill>
              </w:rPr>
              <w:t>|</w:t>
            </w:r>
            <w:r w:rsidR="00CE016F" w:rsidRPr="00CE016F">
              <w:rPr>
                <w:rFonts w:hint="eastAsia"/>
                <w:color w:val="000000"/>
                <w:w w:val="15"/>
                <w:shd w:val="solid" w:color="000000" w:fill="000000"/>
                <w:fitText w:val="67" w:id="-762139889"/>
                <w14:textFill>
                  <w14:solidFill>
                    <w14:srgbClr w14:val="000000">
                      <w14:alpha w14:val="100000"/>
                    </w14:srgbClr>
                  </w14:solidFill>
                </w14:textFill>
              </w:rPr>
              <w:t xml:space="preserve">　</w:t>
            </w:r>
          </w:p>
        </w:tc>
      </w:tr>
      <w:tr w:rsidR="00765141" w:rsidRPr="00AD717A" w14:paraId="321E9D27" w14:textId="77777777">
        <w:trPr>
          <w:cantSplit/>
          <w:tblHeader/>
        </w:trPr>
        <w:tc>
          <w:tcPr>
            <w:tcW w:w="5000" w:type="pct"/>
            <w:gridSpan w:val="5"/>
            <w:tcBorders>
              <w:top w:val="single" w:sz="4" w:space="0" w:color="auto"/>
              <w:left w:val="single" w:sz="4" w:space="0" w:color="auto"/>
              <w:bottom w:val="single" w:sz="4" w:space="0" w:color="auto"/>
              <w:right w:val="single" w:sz="4" w:space="0" w:color="auto"/>
            </w:tcBorders>
          </w:tcPr>
          <w:p w14:paraId="3E392A75" w14:textId="2F8195D3" w:rsidR="00765141" w:rsidRPr="00AD717A" w:rsidDel="007C3B4D" w:rsidRDefault="00765141">
            <w:pPr>
              <w:pStyle w:val="TableText0"/>
            </w:pPr>
            <w:r w:rsidRPr="00AD717A">
              <w:rPr>
                <w:b/>
              </w:rPr>
              <w:t>Adjustment method for treatment switching used for CP OS &amp; best-fit extrapolation (base case: TSE + log</w:t>
            </w:r>
            <w:r w:rsidR="000D0986" w:rsidRPr="00AD717A">
              <w:rPr>
                <w:b/>
              </w:rPr>
              <w:t>-</w:t>
            </w:r>
            <w:r w:rsidRPr="00AD717A">
              <w:rPr>
                <w:b/>
              </w:rPr>
              <w:t>logistic)</w:t>
            </w:r>
          </w:p>
        </w:tc>
      </w:tr>
      <w:tr w:rsidR="00765141" w:rsidRPr="00AD717A" w14:paraId="50488603"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5B7FA20E" w14:textId="2784D708" w:rsidR="00765141" w:rsidRPr="00AD717A" w:rsidRDefault="00765141">
            <w:pPr>
              <w:pStyle w:val="TableText0"/>
              <w:rPr>
                <w:b/>
              </w:rPr>
            </w:pPr>
            <w:r w:rsidRPr="00AD717A">
              <w:t xml:space="preserve">No adjustment – FAS </w:t>
            </w:r>
            <w:r w:rsidR="000C745E" w:rsidRPr="00AD717A">
              <w:t>+</w:t>
            </w:r>
            <w:r w:rsidRPr="00AD717A">
              <w:t xml:space="preserve"> log</w:t>
            </w:r>
            <w:r w:rsidR="000D0986" w:rsidRPr="00AD717A">
              <w:t>-</w:t>
            </w:r>
            <w:r w:rsidRPr="00AD717A">
              <w:t>logistic</w:t>
            </w:r>
          </w:p>
        </w:tc>
        <w:tc>
          <w:tcPr>
            <w:tcW w:w="708" w:type="pct"/>
            <w:tcBorders>
              <w:top w:val="single" w:sz="4" w:space="0" w:color="auto"/>
              <w:left w:val="single" w:sz="4" w:space="0" w:color="auto"/>
              <w:bottom w:val="single" w:sz="4" w:space="0" w:color="auto"/>
              <w:right w:val="single" w:sz="4" w:space="0" w:color="auto"/>
            </w:tcBorders>
          </w:tcPr>
          <w:p w14:paraId="4A78D877" w14:textId="33232E68" w:rsidR="00765141" w:rsidRPr="00AD717A" w:rsidDel="007C3B4D" w:rsidRDefault="00765141">
            <w:pPr>
              <w:pStyle w:val="TableText0"/>
              <w:jc w:val="center"/>
            </w:pPr>
            <w:r w:rsidRPr="00AD717A">
              <w:t>$</w:t>
            </w:r>
            <w:r w:rsidR="00CE016F" w:rsidRPr="00CE016F">
              <w:rPr>
                <w:rFonts w:hint="eastAsia"/>
                <w:color w:val="000000"/>
                <w:w w:val="15"/>
                <w:shd w:val="solid" w:color="000000" w:fill="000000"/>
                <w:fitText w:val="66" w:id="-762139888"/>
                <w14:textFill>
                  <w14:solidFill>
                    <w14:srgbClr w14:val="000000">
                      <w14:alpha w14:val="100000"/>
                    </w14:srgbClr>
                  </w14:solidFill>
                </w14:textFill>
              </w:rPr>
              <w:t xml:space="preserve">　</w:t>
            </w:r>
            <w:r w:rsidR="00CE016F" w:rsidRPr="00CE016F">
              <w:rPr>
                <w:color w:val="000000"/>
                <w:w w:val="15"/>
                <w:shd w:val="solid" w:color="000000" w:fill="000000"/>
                <w:fitText w:val="66" w:id="-762139888"/>
                <w14:textFill>
                  <w14:solidFill>
                    <w14:srgbClr w14:val="000000">
                      <w14:alpha w14:val="100000"/>
                    </w14:srgbClr>
                  </w14:solidFill>
                </w14:textFill>
              </w:rPr>
              <w:t>|</w:t>
            </w:r>
            <w:r w:rsidR="00CE016F" w:rsidRPr="00CE016F">
              <w:rPr>
                <w:rFonts w:hint="eastAsia"/>
                <w:color w:val="000000"/>
                <w:w w:val="15"/>
                <w:shd w:val="solid" w:color="000000" w:fill="000000"/>
                <w:fitText w:val="66" w:id="-762139888"/>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19151DDB" w14:textId="77777777" w:rsidR="00765141" w:rsidRPr="00AD717A" w:rsidDel="007C3B4D" w:rsidRDefault="00765141">
            <w:pPr>
              <w:pStyle w:val="TableText0"/>
              <w:jc w:val="center"/>
            </w:pPr>
            <w:r w:rsidRPr="00AD717A">
              <w:t>0.4143</w:t>
            </w:r>
          </w:p>
        </w:tc>
        <w:tc>
          <w:tcPr>
            <w:tcW w:w="708" w:type="pct"/>
            <w:tcBorders>
              <w:top w:val="single" w:sz="4" w:space="0" w:color="auto"/>
              <w:left w:val="single" w:sz="4" w:space="0" w:color="auto"/>
              <w:bottom w:val="single" w:sz="4" w:space="0" w:color="auto"/>
              <w:right w:val="single" w:sz="4" w:space="0" w:color="auto"/>
            </w:tcBorders>
          </w:tcPr>
          <w:p w14:paraId="5A271F1E" w14:textId="20CCBB59" w:rsidR="00765141" w:rsidRPr="00AD717A" w:rsidDel="007C3B4D" w:rsidRDefault="00765141">
            <w:pPr>
              <w:pStyle w:val="TableText0"/>
              <w:jc w:val="center"/>
            </w:pPr>
            <w:r w:rsidRPr="00AD717A">
              <w:t>$</w:t>
            </w:r>
            <w:r w:rsidR="00CE016F" w:rsidRPr="00CE016F">
              <w:rPr>
                <w:rFonts w:hint="eastAsia"/>
                <w:color w:val="000000"/>
                <w:w w:val="18"/>
                <w:shd w:val="solid" w:color="000000" w:fill="000000"/>
                <w:fitText w:val="80" w:id="-762139904"/>
                <w14:textFill>
                  <w14:solidFill>
                    <w14:srgbClr w14:val="000000">
                      <w14:alpha w14:val="100000"/>
                    </w14:srgbClr>
                  </w14:solidFill>
                </w14:textFill>
              </w:rPr>
              <w:t xml:space="preserve">　</w:t>
            </w:r>
            <w:r w:rsidR="00CE016F" w:rsidRPr="00CE016F">
              <w:rPr>
                <w:color w:val="000000"/>
                <w:w w:val="18"/>
                <w:shd w:val="solid" w:color="000000" w:fill="000000"/>
                <w:fitText w:val="80" w:id="-762139904"/>
                <w14:textFill>
                  <w14:solidFill>
                    <w14:srgbClr w14:val="000000">
                      <w14:alpha w14:val="100000"/>
                    </w14:srgbClr>
                  </w14:solidFill>
                </w14:textFill>
              </w:rPr>
              <w:t>|</w:t>
            </w:r>
            <w:r w:rsidR="00CE016F" w:rsidRPr="00CE016F">
              <w:rPr>
                <w:rFonts w:hint="eastAsia"/>
                <w:color w:val="000000"/>
                <w:w w:val="18"/>
                <w:shd w:val="solid" w:color="000000" w:fill="000000"/>
                <w:fitText w:val="80" w:id="-762139904"/>
                <w14:textFill>
                  <w14:solidFill>
                    <w14:srgbClr w14:val="000000">
                      <w14:alpha w14:val="100000"/>
                    </w14:srgbClr>
                  </w14:solidFill>
                </w14:textFill>
              </w:rPr>
              <w:t xml:space="preserve">　</w:t>
            </w:r>
            <w:r w:rsidR="0008057B">
              <w:rPr>
                <w:vertAlign w:val="superscript"/>
              </w:rPr>
              <w:t>6</w:t>
            </w:r>
          </w:p>
        </w:tc>
        <w:tc>
          <w:tcPr>
            <w:tcW w:w="679" w:type="pct"/>
            <w:tcBorders>
              <w:top w:val="single" w:sz="4" w:space="0" w:color="auto"/>
              <w:left w:val="single" w:sz="4" w:space="0" w:color="auto"/>
              <w:bottom w:val="single" w:sz="4" w:space="0" w:color="auto"/>
              <w:right w:val="single" w:sz="4" w:space="0" w:color="auto"/>
            </w:tcBorders>
            <w:vAlign w:val="center"/>
          </w:tcPr>
          <w:p w14:paraId="29E1A375" w14:textId="337CEB17" w:rsidR="00765141" w:rsidRPr="00AD717A" w:rsidDel="007C3B4D" w:rsidRDefault="00CE016F">
            <w:pPr>
              <w:pStyle w:val="TableText0"/>
              <w:jc w:val="center"/>
            </w:pPr>
            <w:r w:rsidRPr="00CE016F">
              <w:rPr>
                <w:rFonts w:hint="eastAsia"/>
                <w:color w:val="000000"/>
                <w:w w:val="15"/>
                <w:shd w:val="solid" w:color="000000" w:fill="000000"/>
                <w:fitText w:val="40" w:id="-762139903"/>
                <w14:textFill>
                  <w14:solidFill>
                    <w14:srgbClr w14:val="000000">
                      <w14:alpha w14:val="100000"/>
                    </w14:srgbClr>
                  </w14:solidFill>
                </w14:textFill>
              </w:rPr>
              <w:t xml:space="preserve">　</w:t>
            </w:r>
            <w:r w:rsidRPr="00CE016F">
              <w:rPr>
                <w:color w:val="000000"/>
                <w:w w:val="15"/>
                <w:shd w:val="solid" w:color="000000" w:fill="000000"/>
                <w:fitText w:val="40" w:id="-762139903"/>
                <w14:textFill>
                  <w14:solidFill>
                    <w14:srgbClr w14:val="000000">
                      <w14:alpha w14:val="100000"/>
                    </w14:srgbClr>
                  </w14:solidFill>
                </w14:textFill>
              </w:rPr>
              <w:t>|</w:t>
            </w:r>
            <w:r w:rsidRPr="00CE016F">
              <w:rPr>
                <w:rFonts w:hint="eastAsia"/>
                <w:color w:val="000000"/>
                <w:spacing w:val="-25"/>
                <w:w w:val="15"/>
                <w:shd w:val="solid" w:color="000000" w:fill="000000"/>
                <w:fitText w:val="40" w:id="-762139903"/>
                <w14:textFill>
                  <w14:solidFill>
                    <w14:srgbClr w14:val="000000">
                      <w14:alpha w14:val="100000"/>
                    </w14:srgbClr>
                  </w14:solidFill>
                </w14:textFill>
              </w:rPr>
              <w:t xml:space="preserve">　</w:t>
            </w:r>
            <w:r w:rsidR="00EB4155">
              <w:t xml:space="preserve"> </w:t>
            </w:r>
          </w:p>
        </w:tc>
      </w:tr>
      <w:tr w:rsidR="00765141" w:rsidRPr="00AD717A" w14:paraId="1BDCADC6"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0949F803" w14:textId="3B4B1A1A" w:rsidR="00765141" w:rsidRPr="00AD717A" w:rsidRDefault="00765141">
            <w:pPr>
              <w:pStyle w:val="TableText0"/>
            </w:pPr>
            <w:r w:rsidRPr="00AD717A">
              <w:t xml:space="preserve">IPCW </w:t>
            </w:r>
            <w:r w:rsidR="000C745E" w:rsidRPr="00AD717A">
              <w:t>+</w:t>
            </w:r>
            <w:r w:rsidRPr="00AD717A">
              <w:t xml:space="preserve"> log</w:t>
            </w:r>
            <w:r w:rsidR="000D0986" w:rsidRPr="00AD717A">
              <w:t>-</w:t>
            </w:r>
            <w:r w:rsidRPr="00AD717A">
              <w:t>logistic</w:t>
            </w:r>
          </w:p>
        </w:tc>
        <w:tc>
          <w:tcPr>
            <w:tcW w:w="708" w:type="pct"/>
            <w:tcBorders>
              <w:top w:val="single" w:sz="4" w:space="0" w:color="auto"/>
              <w:left w:val="single" w:sz="4" w:space="0" w:color="auto"/>
              <w:bottom w:val="single" w:sz="4" w:space="0" w:color="auto"/>
              <w:right w:val="single" w:sz="4" w:space="0" w:color="auto"/>
            </w:tcBorders>
          </w:tcPr>
          <w:p w14:paraId="75BC332C" w14:textId="445CF7BA" w:rsidR="00765141" w:rsidRPr="00AD717A" w:rsidRDefault="00765141">
            <w:pPr>
              <w:pStyle w:val="TableText0"/>
              <w:jc w:val="center"/>
            </w:pPr>
            <w:r w:rsidRPr="00AD717A">
              <w:t>$</w:t>
            </w:r>
            <w:r w:rsidR="00CE016F" w:rsidRPr="00CE016F">
              <w:rPr>
                <w:rFonts w:hint="eastAsia"/>
                <w:color w:val="000000"/>
                <w:w w:val="15"/>
                <w:shd w:val="solid" w:color="000000" w:fill="000000"/>
                <w:fitText w:val="66" w:id="-762139902"/>
                <w14:textFill>
                  <w14:solidFill>
                    <w14:srgbClr w14:val="000000">
                      <w14:alpha w14:val="100000"/>
                    </w14:srgbClr>
                  </w14:solidFill>
                </w14:textFill>
              </w:rPr>
              <w:t xml:space="preserve">　</w:t>
            </w:r>
            <w:r w:rsidR="00CE016F" w:rsidRPr="00CE016F">
              <w:rPr>
                <w:color w:val="000000"/>
                <w:w w:val="15"/>
                <w:shd w:val="solid" w:color="000000" w:fill="000000"/>
                <w:fitText w:val="66" w:id="-762139902"/>
                <w14:textFill>
                  <w14:solidFill>
                    <w14:srgbClr w14:val="000000">
                      <w14:alpha w14:val="100000"/>
                    </w14:srgbClr>
                  </w14:solidFill>
                </w14:textFill>
              </w:rPr>
              <w:t>|</w:t>
            </w:r>
            <w:r w:rsidR="00CE016F" w:rsidRPr="00CE016F">
              <w:rPr>
                <w:rFonts w:hint="eastAsia"/>
                <w:color w:val="000000"/>
                <w:w w:val="15"/>
                <w:shd w:val="solid" w:color="000000" w:fill="000000"/>
                <w:fitText w:val="66" w:id="-762139902"/>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50042601" w14:textId="77777777" w:rsidR="00765141" w:rsidRPr="00AD717A" w:rsidRDefault="00765141">
            <w:pPr>
              <w:pStyle w:val="TableText0"/>
              <w:jc w:val="center"/>
            </w:pPr>
            <w:r w:rsidRPr="00AD717A">
              <w:t>1.0561</w:t>
            </w:r>
          </w:p>
        </w:tc>
        <w:tc>
          <w:tcPr>
            <w:tcW w:w="708" w:type="pct"/>
            <w:tcBorders>
              <w:top w:val="single" w:sz="4" w:space="0" w:color="auto"/>
              <w:left w:val="single" w:sz="4" w:space="0" w:color="auto"/>
              <w:bottom w:val="single" w:sz="4" w:space="0" w:color="auto"/>
              <w:right w:val="single" w:sz="4" w:space="0" w:color="auto"/>
            </w:tcBorders>
          </w:tcPr>
          <w:p w14:paraId="4A32DA7E" w14:textId="495BED55" w:rsidR="00765141" w:rsidRPr="00AD717A" w:rsidRDefault="00765141">
            <w:pPr>
              <w:pStyle w:val="TableText0"/>
              <w:jc w:val="center"/>
            </w:pPr>
            <w:r w:rsidRPr="00AD717A">
              <w:t>$</w:t>
            </w:r>
            <w:r w:rsidR="00CE016F" w:rsidRPr="00CE016F">
              <w:rPr>
                <w:rFonts w:hint="eastAsia"/>
                <w:color w:val="000000"/>
                <w:w w:val="18"/>
                <w:shd w:val="solid" w:color="000000" w:fill="000000"/>
                <w:fitText w:val="80" w:id="-762139901"/>
                <w14:textFill>
                  <w14:solidFill>
                    <w14:srgbClr w14:val="000000">
                      <w14:alpha w14:val="100000"/>
                    </w14:srgbClr>
                  </w14:solidFill>
                </w14:textFill>
              </w:rPr>
              <w:t xml:space="preserve">　</w:t>
            </w:r>
            <w:r w:rsidR="00CE016F" w:rsidRPr="00CE016F">
              <w:rPr>
                <w:color w:val="000000"/>
                <w:w w:val="18"/>
                <w:shd w:val="solid" w:color="000000" w:fill="000000"/>
                <w:fitText w:val="80" w:id="-762139901"/>
                <w14:textFill>
                  <w14:solidFill>
                    <w14:srgbClr w14:val="000000">
                      <w14:alpha w14:val="100000"/>
                    </w14:srgbClr>
                  </w14:solidFill>
                </w14:textFill>
              </w:rPr>
              <w:t>|</w:t>
            </w:r>
            <w:r w:rsidR="00CE016F" w:rsidRPr="00CE016F">
              <w:rPr>
                <w:rFonts w:hint="eastAsia"/>
                <w:color w:val="000000"/>
                <w:w w:val="18"/>
                <w:shd w:val="solid" w:color="000000" w:fill="000000"/>
                <w:fitText w:val="80" w:id="-762139901"/>
                <w14:textFill>
                  <w14:solidFill>
                    <w14:srgbClr w14:val="000000">
                      <w14:alpha w14:val="100000"/>
                    </w14:srgbClr>
                  </w14:solidFill>
                </w14:textFill>
              </w:rPr>
              <w:t xml:space="preserve">　</w:t>
            </w:r>
            <w:r w:rsidR="00D062E8">
              <w:rPr>
                <w:vertAlign w:val="superscript"/>
              </w:rPr>
              <w:t>2</w:t>
            </w:r>
          </w:p>
        </w:tc>
        <w:tc>
          <w:tcPr>
            <w:tcW w:w="679" w:type="pct"/>
            <w:tcBorders>
              <w:top w:val="single" w:sz="4" w:space="0" w:color="auto"/>
              <w:left w:val="single" w:sz="4" w:space="0" w:color="auto"/>
              <w:bottom w:val="single" w:sz="4" w:space="0" w:color="auto"/>
              <w:right w:val="single" w:sz="4" w:space="0" w:color="auto"/>
            </w:tcBorders>
            <w:vAlign w:val="center"/>
          </w:tcPr>
          <w:p w14:paraId="1BF4DD5B" w14:textId="2FD44BDB" w:rsidR="00765141" w:rsidRPr="00AD717A" w:rsidRDefault="00765141">
            <w:pPr>
              <w:pStyle w:val="TableText0"/>
              <w:jc w:val="center"/>
            </w:pPr>
            <w:r w:rsidRPr="00AD717A">
              <w:t>-</w:t>
            </w:r>
            <w:r w:rsidR="00CE016F" w:rsidRPr="00CE016F">
              <w:rPr>
                <w:rFonts w:hint="eastAsia"/>
                <w:color w:val="000000"/>
                <w:w w:val="15"/>
                <w:shd w:val="solid" w:color="000000" w:fill="000000"/>
                <w:fitText w:val="67" w:id="-762139900"/>
                <w14:textFill>
                  <w14:solidFill>
                    <w14:srgbClr w14:val="000000">
                      <w14:alpha w14:val="100000"/>
                    </w14:srgbClr>
                  </w14:solidFill>
                </w14:textFill>
              </w:rPr>
              <w:t xml:space="preserve">　</w:t>
            </w:r>
            <w:r w:rsidR="00CE016F" w:rsidRPr="00CE016F">
              <w:rPr>
                <w:color w:val="000000"/>
                <w:w w:val="15"/>
                <w:shd w:val="solid" w:color="000000" w:fill="000000"/>
                <w:fitText w:val="67" w:id="-762139900"/>
                <w14:textFill>
                  <w14:solidFill>
                    <w14:srgbClr w14:val="000000">
                      <w14:alpha w14:val="100000"/>
                    </w14:srgbClr>
                  </w14:solidFill>
                </w14:textFill>
              </w:rPr>
              <w:t>|</w:t>
            </w:r>
            <w:r w:rsidR="00CE016F" w:rsidRPr="00CE016F">
              <w:rPr>
                <w:rFonts w:hint="eastAsia"/>
                <w:color w:val="000000"/>
                <w:w w:val="15"/>
                <w:shd w:val="solid" w:color="000000" w:fill="000000"/>
                <w:fitText w:val="67" w:id="-762139900"/>
                <w14:textFill>
                  <w14:solidFill>
                    <w14:srgbClr w14:val="000000">
                      <w14:alpha w14:val="100000"/>
                    </w14:srgbClr>
                  </w14:solidFill>
                </w14:textFill>
              </w:rPr>
              <w:t xml:space="preserve">　</w:t>
            </w:r>
          </w:p>
        </w:tc>
      </w:tr>
      <w:tr w:rsidR="00765141" w:rsidRPr="00AD717A" w14:paraId="10DDDA2D"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7C0343DE" w14:textId="5C2CBDB0" w:rsidR="00765141" w:rsidRPr="00AD717A" w:rsidRDefault="00765141">
            <w:pPr>
              <w:pStyle w:val="TableText0"/>
            </w:pPr>
            <w:r w:rsidRPr="00AD717A">
              <w:t xml:space="preserve">RPSFT </w:t>
            </w:r>
            <w:r w:rsidR="000C745E" w:rsidRPr="00AD717A">
              <w:t>+</w:t>
            </w:r>
            <w:r w:rsidRPr="00AD717A">
              <w:t xml:space="preserve"> log</w:t>
            </w:r>
            <w:r w:rsidR="000D0986" w:rsidRPr="00AD717A">
              <w:t>-</w:t>
            </w:r>
            <w:r w:rsidRPr="00AD717A">
              <w:t>logistic</w:t>
            </w:r>
          </w:p>
        </w:tc>
        <w:tc>
          <w:tcPr>
            <w:tcW w:w="708" w:type="pct"/>
            <w:tcBorders>
              <w:top w:val="single" w:sz="4" w:space="0" w:color="auto"/>
              <w:left w:val="single" w:sz="4" w:space="0" w:color="auto"/>
              <w:bottom w:val="single" w:sz="4" w:space="0" w:color="auto"/>
              <w:right w:val="single" w:sz="4" w:space="0" w:color="auto"/>
            </w:tcBorders>
          </w:tcPr>
          <w:p w14:paraId="244F8BAB" w14:textId="1CFCA8F7" w:rsidR="00765141" w:rsidRPr="00AD717A" w:rsidRDefault="00765141">
            <w:pPr>
              <w:pStyle w:val="TableText0"/>
              <w:jc w:val="center"/>
            </w:pPr>
            <w:r w:rsidRPr="00AD717A">
              <w:t>$</w:t>
            </w:r>
            <w:r w:rsidR="00CE016F" w:rsidRPr="00CE016F">
              <w:rPr>
                <w:rFonts w:hint="eastAsia"/>
                <w:color w:val="000000"/>
                <w:w w:val="15"/>
                <w:shd w:val="solid" w:color="000000" w:fill="000000"/>
                <w:fitText w:val="66" w:id="-762139899"/>
                <w14:textFill>
                  <w14:solidFill>
                    <w14:srgbClr w14:val="000000">
                      <w14:alpha w14:val="100000"/>
                    </w14:srgbClr>
                  </w14:solidFill>
                </w14:textFill>
              </w:rPr>
              <w:t xml:space="preserve">　</w:t>
            </w:r>
            <w:r w:rsidR="00CE016F" w:rsidRPr="00CE016F">
              <w:rPr>
                <w:color w:val="000000"/>
                <w:w w:val="15"/>
                <w:shd w:val="solid" w:color="000000" w:fill="000000"/>
                <w:fitText w:val="66" w:id="-762139899"/>
                <w14:textFill>
                  <w14:solidFill>
                    <w14:srgbClr w14:val="000000">
                      <w14:alpha w14:val="100000"/>
                    </w14:srgbClr>
                  </w14:solidFill>
                </w14:textFill>
              </w:rPr>
              <w:t>|</w:t>
            </w:r>
            <w:r w:rsidR="00CE016F" w:rsidRPr="00CE016F">
              <w:rPr>
                <w:rFonts w:hint="eastAsia"/>
                <w:color w:val="000000"/>
                <w:w w:val="15"/>
                <w:shd w:val="solid" w:color="000000" w:fill="000000"/>
                <w:fitText w:val="66" w:id="-762139899"/>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1AADE7E1" w14:textId="77777777" w:rsidR="00765141" w:rsidRPr="00AD717A" w:rsidRDefault="00765141">
            <w:pPr>
              <w:pStyle w:val="TableText0"/>
              <w:jc w:val="center"/>
            </w:pPr>
            <w:r w:rsidRPr="00AD717A">
              <w:t>0.7038</w:t>
            </w:r>
          </w:p>
        </w:tc>
        <w:tc>
          <w:tcPr>
            <w:tcW w:w="708" w:type="pct"/>
            <w:tcBorders>
              <w:top w:val="single" w:sz="4" w:space="0" w:color="auto"/>
              <w:left w:val="single" w:sz="4" w:space="0" w:color="auto"/>
              <w:bottom w:val="single" w:sz="4" w:space="0" w:color="auto"/>
              <w:right w:val="single" w:sz="4" w:space="0" w:color="auto"/>
            </w:tcBorders>
          </w:tcPr>
          <w:p w14:paraId="1CA56487" w14:textId="79FF6EB9" w:rsidR="00765141" w:rsidRPr="00AD717A" w:rsidRDefault="00765141">
            <w:pPr>
              <w:pStyle w:val="TableText0"/>
              <w:jc w:val="center"/>
            </w:pPr>
            <w:r w:rsidRPr="00AD717A">
              <w:t>$</w:t>
            </w:r>
            <w:r w:rsidR="00CE016F" w:rsidRPr="00CE016F">
              <w:rPr>
                <w:rFonts w:hint="eastAsia"/>
                <w:color w:val="000000"/>
                <w:w w:val="18"/>
                <w:shd w:val="solid" w:color="000000" w:fill="000000"/>
                <w:fitText w:val="80" w:id="-762139898"/>
                <w14:textFill>
                  <w14:solidFill>
                    <w14:srgbClr w14:val="000000">
                      <w14:alpha w14:val="100000"/>
                    </w14:srgbClr>
                  </w14:solidFill>
                </w14:textFill>
              </w:rPr>
              <w:t xml:space="preserve">　</w:t>
            </w:r>
            <w:r w:rsidR="00CE016F" w:rsidRPr="00CE016F">
              <w:rPr>
                <w:color w:val="000000"/>
                <w:w w:val="18"/>
                <w:shd w:val="solid" w:color="000000" w:fill="000000"/>
                <w:fitText w:val="80" w:id="-762139898"/>
                <w14:textFill>
                  <w14:solidFill>
                    <w14:srgbClr w14:val="000000">
                      <w14:alpha w14:val="100000"/>
                    </w14:srgbClr>
                  </w14:solidFill>
                </w14:textFill>
              </w:rPr>
              <w:t>|</w:t>
            </w:r>
            <w:r w:rsidR="00CE016F" w:rsidRPr="00CE016F">
              <w:rPr>
                <w:rFonts w:hint="eastAsia"/>
                <w:color w:val="000000"/>
                <w:w w:val="18"/>
                <w:shd w:val="solid" w:color="000000" w:fill="000000"/>
                <w:fitText w:val="80" w:id="-762139898"/>
                <w14:textFill>
                  <w14:solidFill>
                    <w14:srgbClr w14:val="000000">
                      <w14:alpha w14:val="100000"/>
                    </w14:srgbClr>
                  </w14:solidFill>
                </w14:textFill>
              </w:rPr>
              <w:t xml:space="preserve">　</w:t>
            </w:r>
            <w:r w:rsidR="0014663A">
              <w:rPr>
                <w:vertAlign w:val="superscript"/>
              </w:rPr>
              <w:t>1</w:t>
            </w:r>
          </w:p>
        </w:tc>
        <w:tc>
          <w:tcPr>
            <w:tcW w:w="679" w:type="pct"/>
            <w:tcBorders>
              <w:top w:val="single" w:sz="4" w:space="0" w:color="auto"/>
              <w:left w:val="single" w:sz="4" w:space="0" w:color="auto"/>
              <w:bottom w:val="single" w:sz="4" w:space="0" w:color="auto"/>
              <w:right w:val="single" w:sz="4" w:space="0" w:color="auto"/>
            </w:tcBorders>
            <w:vAlign w:val="center"/>
          </w:tcPr>
          <w:p w14:paraId="100E54F4" w14:textId="113B7AB0" w:rsidR="00765141" w:rsidRPr="00AD717A" w:rsidRDefault="00CE016F">
            <w:pPr>
              <w:pStyle w:val="TableText0"/>
              <w:jc w:val="center"/>
            </w:pPr>
            <w:r w:rsidRPr="00CE016F">
              <w:rPr>
                <w:rFonts w:hint="eastAsia"/>
                <w:color w:val="000000"/>
                <w:w w:val="15"/>
                <w:shd w:val="solid" w:color="000000" w:fill="000000"/>
                <w:fitText w:val="40" w:id="-762139897"/>
                <w14:textFill>
                  <w14:solidFill>
                    <w14:srgbClr w14:val="000000">
                      <w14:alpha w14:val="100000"/>
                    </w14:srgbClr>
                  </w14:solidFill>
                </w14:textFill>
              </w:rPr>
              <w:t xml:space="preserve">　</w:t>
            </w:r>
            <w:r w:rsidRPr="00CE016F">
              <w:rPr>
                <w:color w:val="000000"/>
                <w:w w:val="15"/>
                <w:shd w:val="solid" w:color="000000" w:fill="000000"/>
                <w:fitText w:val="40" w:id="-762139897"/>
                <w14:textFill>
                  <w14:solidFill>
                    <w14:srgbClr w14:val="000000">
                      <w14:alpha w14:val="100000"/>
                    </w14:srgbClr>
                  </w14:solidFill>
                </w14:textFill>
              </w:rPr>
              <w:t>|</w:t>
            </w:r>
            <w:r w:rsidRPr="00CE016F">
              <w:rPr>
                <w:rFonts w:hint="eastAsia"/>
                <w:color w:val="000000"/>
                <w:spacing w:val="-25"/>
                <w:w w:val="15"/>
                <w:shd w:val="solid" w:color="000000" w:fill="000000"/>
                <w:fitText w:val="40" w:id="-762139897"/>
                <w14:textFill>
                  <w14:solidFill>
                    <w14:srgbClr w14:val="000000">
                      <w14:alpha w14:val="100000"/>
                    </w14:srgbClr>
                  </w14:solidFill>
                </w14:textFill>
              </w:rPr>
              <w:t xml:space="preserve">　</w:t>
            </w:r>
            <w:r w:rsidR="00EB4155">
              <w:t xml:space="preserve"> </w:t>
            </w:r>
          </w:p>
        </w:tc>
      </w:tr>
      <w:tr w:rsidR="00765141" w:rsidRPr="00AD717A" w14:paraId="05608215" w14:textId="77777777">
        <w:trPr>
          <w:cantSplit/>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A07B968" w14:textId="77777777" w:rsidR="00765141" w:rsidRPr="00AD717A" w:rsidRDefault="00765141">
            <w:pPr>
              <w:pStyle w:val="TableText0"/>
            </w:pPr>
            <w:r w:rsidRPr="00AD717A">
              <w:rPr>
                <w:b/>
              </w:rPr>
              <w:t>Extrapolation point for switching from KM data to parametric functions (base-case: at-risk = 10%)</w:t>
            </w:r>
          </w:p>
        </w:tc>
      </w:tr>
      <w:tr w:rsidR="00765141" w:rsidRPr="00AD717A" w14:paraId="4E414491"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626B150D" w14:textId="77777777" w:rsidR="00765141" w:rsidRPr="00AD717A" w:rsidRDefault="00765141">
            <w:pPr>
              <w:pStyle w:val="TableText0"/>
              <w:rPr>
                <w:b/>
              </w:rPr>
            </w:pPr>
            <w:r w:rsidRPr="00AD717A">
              <w:t>Use parametric fit only (from time 0)</w:t>
            </w:r>
          </w:p>
        </w:tc>
        <w:tc>
          <w:tcPr>
            <w:tcW w:w="708" w:type="pct"/>
            <w:tcBorders>
              <w:top w:val="single" w:sz="4" w:space="0" w:color="auto"/>
              <w:left w:val="single" w:sz="4" w:space="0" w:color="auto"/>
              <w:bottom w:val="single" w:sz="4" w:space="0" w:color="auto"/>
              <w:right w:val="single" w:sz="4" w:space="0" w:color="auto"/>
            </w:tcBorders>
          </w:tcPr>
          <w:p w14:paraId="4113811E" w14:textId="702A0FD7" w:rsidR="00765141" w:rsidRPr="00AD717A" w:rsidRDefault="00765141">
            <w:pPr>
              <w:pStyle w:val="TableText0"/>
              <w:jc w:val="center"/>
            </w:pPr>
            <w:r w:rsidRPr="00AD717A">
              <w:t>$</w:t>
            </w:r>
            <w:r w:rsidR="00CE016F" w:rsidRPr="00CE016F">
              <w:rPr>
                <w:rFonts w:hint="eastAsia"/>
                <w:color w:val="000000"/>
                <w:w w:val="15"/>
                <w:shd w:val="solid" w:color="000000" w:fill="000000"/>
                <w:fitText w:val="66" w:id="-762139896"/>
                <w14:textFill>
                  <w14:solidFill>
                    <w14:srgbClr w14:val="000000">
                      <w14:alpha w14:val="100000"/>
                    </w14:srgbClr>
                  </w14:solidFill>
                </w14:textFill>
              </w:rPr>
              <w:t xml:space="preserve">　</w:t>
            </w:r>
            <w:r w:rsidR="00CE016F" w:rsidRPr="00CE016F">
              <w:rPr>
                <w:color w:val="000000"/>
                <w:w w:val="15"/>
                <w:shd w:val="solid" w:color="000000" w:fill="000000"/>
                <w:fitText w:val="66" w:id="-762139896"/>
                <w14:textFill>
                  <w14:solidFill>
                    <w14:srgbClr w14:val="000000">
                      <w14:alpha w14:val="100000"/>
                    </w14:srgbClr>
                  </w14:solidFill>
                </w14:textFill>
              </w:rPr>
              <w:t>|</w:t>
            </w:r>
            <w:r w:rsidR="00CE016F" w:rsidRPr="00CE016F">
              <w:rPr>
                <w:rFonts w:hint="eastAsia"/>
                <w:color w:val="000000"/>
                <w:w w:val="15"/>
                <w:shd w:val="solid" w:color="000000" w:fill="000000"/>
                <w:fitText w:val="66" w:id="-762139896"/>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244D3D3B" w14:textId="77777777" w:rsidR="00765141" w:rsidRPr="00AD717A" w:rsidRDefault="00765141">
            <w:pPr>
              <w:pStyle w:val="TableText0"/>
              <w:jc w:val="center"/>
            </w:pPr>
            <w:r w:rsidRPr="00AD717A">
              <w:t>0.9113</w:t>
            </w:r>
          </w:p>
        </w:tc>
        <w:tc>
          <w:tcPr>
            <w:tcW w:w="708" w:type="pct"/>
            <w:tcBorders>
              <w:top w:val="single" w:sz="4" w:space="0" w:color="auto"/>
              <w:left w:val="single" w:sz="4" w:space="0" w:color="auto"/>
              <w:bottom w:val="single" w:sz="4" w:space="0" w:color="auto"/>
              <w:right w:val="single" w:sz="4" w:space="0" w:color="auto"/>
            </w:tcBorders>
          </w:tcPr>
          <w:p w14:paraId="4232D866" w14:textId="1BED33BF" w:rsidR="00765141" w:rsidRPr="00AD717A" w:rsidRDefault="00765141">
            <w:pPr>
              <w:pStyle w:val="TableText0"/>
              <w:jc w:val="center"/>
            </w:pPr>
            <w:r w:rsidRPr="00AD717A">
              <w:t>$</w:t>
            </w:r>
            <w:r w:rsidR="00CE016F" w:rsidRPr="00CE016F">
              <w:rPr>
                <w:rFonts w:hint="eastAsia"/>
                <w:color w:val="000000"/>
                <w:w w:val="18"/>
                <w:shd w:val="solid" w:color="000000" w:fill="000000"/>
                <w:fitText w:val="80" w:id="-762139895"/>
                <w14:textFill>
                  <w14:solidFill>
                    <w14:srgbClr w14:val="000000">
                      <w14:alpha w14:val="100000"/>
                    </w14:srgbClr>
                  </w14:solidFill>
                </w14:textFill>
              </w:rPr>
              <w:t xml:space="preserve">　</w:t>
            </w:r>
            <w:r w:rsidR="00CE016F" w:rsidRPr="00CE016F">
              <w:rPr>
                <w:color w:val="000000"/>
                <w:w w:val="18"/>
                <w:shd w:val="solid" w:color="000000" w:fill="000000"/>
                <w:fitText w:val="80" w:id="-762139895"/>
                <w14:textFill>
                  <w14:solidFill>
                    <w14:srgbClr w14:val="000000">
                      <w14:alpha w14:val="100000"/>
                    </w14:srgbClr>
                  </w14:solidFill>
                </w14:textFill>
              </w:rPr>
              <w:t>|</w:t>
            </w:r>
            <w:r w:rsidR="00CE016F" w:rsidRPr="00CE016F">
              <w:rPr>
                <w:rFonts w:hint="eastAsia"/>
                <w:color w:val="000000"/>
                <w:w w:val="18"/>
                <w:shd w:val="solid" w:color="000000" w:fill="000000"/>
                <w:fitText w:val="80" w:id="-762139895"/>
                <w14:textFill>
                  <w14:solidFill>
                    <w14:srgbClr w14:val="000000">
                      <w14:alpha w14:val="100000"/>
                    </w14:srgbClr>
                  </w14:solidFill>
                </w14:textFill>
              </w:rPr>
              <w:t xml:space="preserve">　</w:t>
            </w:r>
            <w:r w:rsidR="00D062E8">
              <w:rPr>
                <w:vertAlign w:val="superscript"/>
              </w:rPr>
              <w:t>2</w:t>
            </w:r>
          </w:p>
        </w:tc>
        <w:tc>
          <w:tcPr>
            <w:tcW w:w="679" w:type="pct"/>
            <w:tcBorders>
              <w:top w:val="single" w:sz="4" w:space="0" w:color="auto"/>
              <w:left w:val="single" w:sz="4" w:space="0" w:color="auto"/>
              <w:bottom w:val="single" w:sz="4" w:space="0" w:color="auto"/>
              <w:right w:val="single" w:sz="4" w:space="0" w:color="auto"/>
            </w:tcBorders>
            <w:vAlign w:val="center"/>
          </w:tcPr>
          <w:p w14:paraId="33A4A456" w14:textId="3D019BAC" w:rsidR="00765141" w:rsidRPr="00AD717A" w:rsidRDefault="00765141">
            <w:pPr>
              <w:pStyle w:val="TableText0"/>
              <w:jc w:val="center"/>
            </w:pPr>
            <w:r w:rsidRPr="00AD717A">
              <w:t>-</w:t>
            </w:r>
            <w:r w:rsidR="00CE016F" w:rsidRPr="00CE016F">
              <w:rPr>
                <w:rFonts w:hint="eastAsia"/>
                <w:color w:val="000000"/>
                <w:w w:val="15"/>
                <w:shd w:val="solid" w:color="000000" w:fill="000000"/>
                <w:fitText w:val="67" w:id="-762139894"/>
                <w14:textFill>
                  <w14:solidFill>
                    <w14:srgbClr w14:val="000000">
                      <w14:alpha w14:val="100000"/>
                    </w14:srgbClr>
                  </w14:solidFill>
                </w14:textFill>
              </w:rPr>
              <w:t xml:space="preserve">　</w:t>
            </w:r>
            <w:r w:rsidR="00CE016F" w:rsidRPr="00CE016F">
              <w:rPr>
                <w:color w:val="000000"/>
                <w:w w:val="15"/>
                <w:shd w:val="solid" w:color="000000" w:fill="000000"/>
                <w:fitText w:val="67" w:id="-762139894"/>
                <w14:textFill>
                  <w14:solidFill>
                    <w14:srgbClr w14:val="000000">
                      <w14:alpha w14:val="100000"/>
                    </w14:srgbClr>
                  </w14:solidFill>
                </w14:textFill>
              </w:rPr>
              <w:t>|</w:t>
            </w:r>
            <w:r w:rsidR="00CE016F" w:rsidRPr="00CE016F">
              <w:rPr>
                <w:rFonts w:hint="eastAsia"/>
                <w:color w:val="000000"/>
                <w:w w:val="15"/>
                <w:shd w:val="solid" w:color="000000" w:fill="000000"/>
                <w:fitText w:val="67" w:id="-762139894"/>
                <w14:textFill>
                  <w14:solidFill>
                    <w14:srgbClr w14:val="000000">
                      <w14:alpha w14:val="100000"/>
                    </w14:srgbClr>
                  </w14:solidFill>
                </w14:textFill>
              </w:rPr>
              <w:t xml:space="preserve">　</w:t>
            </w:r>
          </w:p>
        </w:tc>
      </w:tr>
      <w:tr w:rsidR="00765141" w:rsidRPr="00AD717A" w14:paraId="61BB1364"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38F059E6" w14:textId="77777777" w:rsidR="00765141" w:rsidRPr="00AD717A" w:rsidRDefault="00765141">
            <w:pPr>
              <w:pStyle w:val="TableText0"/>
            </w:pPr>
            <w:r w:rsidRPr="00AD717A">
              <w:t>20% at-risk remaining</w:t>
            </w:r>
          </w:p>
        </w:tc>
        <w:tc>
          <w:tcPr>
            <w:tcW w:w="708" w:type="pct"/>
            <w:tcBorders>
              <w:top w:val="single" w:sz="4" w:space="0" w:color="auto"/>
              <w:left w:val="single" w:sz="4" w:space="0" w:color="auto"/>
              <w:bottom w:val="single" w:sz="4" w:space="0" w:color="auto"/>
              <w:right w:val="single" w:sz="4" w:space="0" w:color="auto"/>
            </w:tcBorders>
          </w:tcPr>
          <w:p w14:paraId="77B5A39E" w14:textId="33AACEAE" w:rsidR="00765141" w:rsidRPr="00AD717A" w:rsidRDefault="00765141">
            <w:pPr>
              <w:pStyle w:val="TableText0"/>
              <w:jc w:val="center"/>
            </w:pPr>
            <w:r w:rsidRPr="00AD717A">
              <w:t>$</w:t>
            </w:r>
            <w:r w:rsidR="00CE016F" w:rsidRPr="00CE016F">
              <w:rPr>
                <w:rFonts w:hint="eastAsia"/>
                <w:color w:val="000000"/>
                <w:w w:val="15"/>
                <w:shd w:val="solid" w:color="000000" w:fill="000000"/>
                <w:fitText w:val="66" w:id="-762139893"/>
                <w14:textFill>
                  <w14:solidFill>
                    <w14:srgbClr w14:val="000000">
                      <w14:alpha w14:val="100000"/>
                    </w14:srgbClr>
                  </w14:solidFill>
                </w14:textFill>
              </w:rPr>
              <w:t xml:space="preserve">　</w:t>
            </w:r>
            <w:r w:rsidR="00CE016F" w:rsidRPr="00CE016F">
              <w:rPr>
                <w:color w:val="000000"/>
                <w:w w:val="15"/>
                <w:shd w:val="solid" w:color="000000" w:fill="000000"/>
                <w:fitText w:val="66" w:id="-762139893"/>
                <w14:textFill>
                  <w14:solidFill>
                    <w14:srgbClr w14:val="000000">
                      <w14:alpha w14:val="100000"/>
                    </w14:srgbClr>
                  </w14:solidFill>
                </w14:textFill>
              </w:rPr>
              <w:t>|</w:t>
            </w:r>
            <w:r w:rsidR="00CE016F" w:rsidRPr="00CE016F">
              <w:rPr>
                <w:rFonts w:hint="eastAsia"/>
                <w:color w:val="000000"/>
                <w:w w:val="15"/>
                <w:shd w:val="solid" w:color="000000" w:fill="000000"/>
                <w:fitText w:val="66" w:id="-762139893"/>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tcPr>
          <w:p w14:paraId="0E52E727" w14:textId="77777777" w:rsidR="00765141" w:rsidRPr="00AD717A" w:rsidRDefault="00765141">
            <w:pPr>
              <w:pStyle w:val="TableText0"/>
              <w:jc w:val="center"/>
            </w:pPr>
            <w:r w:rsidRPr="00AD717A">
              <w:t>0.7913</w:t>
            </w:r>
          </w:p>
        </w:tc>
        <w:tc>
          <w:tcPr>
            <w:tcW w:w="708" w:type="pct"/>
            <w:tcBorders>
              <w:top w:val="single" w:sz="4" w:space="0" w:color="auto"/>
              <w:left w:val="single" w:sz="4" w:space="0" w:color="auto"/>
              <w:bottom w:val="single" w:sz="4" w:space="0" w:color="auto"/>
              <w:right w:val="single" w:sz="4" w:space="0" w:color="auto"/>
            </w:tcBorders>
          </w:tcPr>
          <w:p w14:paraId="1D7A754C" w14:textId="66BAE7DA" w:rsidR="00765141" w:rsidRPr="00AD717A" w:rsidRDefault="00765141">
            <w:pPr>
              <w:pStyle w:val="TableText0"/>
              <w:jc w:val="center"/>
            </w:pPr>
            <w:r w:rsidRPr="00AD717A">
              <w:t>$</w:t>
            </w:r>
            <w:r w:rsidR="00CE016F" w:rsidRPr="00CE016F">
              <w:rPr>
                <w:rFonts w:hint="eastAsia"/>
                <w:color w:val="000000"/>
                <w:w w:val="18"/>
                <w:shd w:val="solid" w:color="000000" w:fill="000000"/>
                <w:fitText w:val="80" w:id="-762139892"/>
                <w14:textFill>
                  <w14:solidFill>
                    <w14:srgbClr w14:val="000000">
                      <w14:alpha w14:val="100000"/>
                    </w14:srgbClr>
                  </w14:solidFill>
                </w14:textFill>
              </w:rPr>
              <w:t xml:space="preserve">　</w:t>
            </w:r>
            <w:r w:rsidR="00CE016F" w:rsidRPr="00CE016F">
              <w:rPr>
                <w:color w:val="000000"/>
                <w:w w:val="18"/>
                <w:shd w:val="solid" w:color="000000" w:fill="000000"/>
                <w:fitText w:val="80" w:id="-762139892"/>
                <w14:textFill>
                  <w14:solidFill>
                    <w14:srgbClr w14:val="000000">
                      <w14:alpha w14:val="100000"/>
                    </w14:srgbClr>
                  </w14:solidFill>
                </w14:textFill>
              </w:rPr>
              <w:t>|</w:t>
            </w:r>
            <w:r w:rsidR="00CE016F" w:rsidRPr="00CE016F">
              <w:rPr>
                <w:rFonts w:hint="eastAsia"/>
                <w:color w:val="000000"/>
                <w:w w:val="18"/>
                <w:shd w:val="solid" w:color="000000" w:fill="000000"/>
                <w:fitText w:val="80" w:id="-762139892"/>
                <w14:textFill>
                  <w14:solidFill>
                    <w14:srgbClr w14:val="000000">
                      <w14:alpha w14:val="100000"/>
                    </w14:srgbClr>
                  </w14:solidFill>
                </w14:textFill>
              </w:rPr>
              <w:t xml:space="preserve">　</w:t>
            </w:r>
            <w:r w:rsidR="0014663A">
              <w:rPr>
                <w:vertAlign w:val="superscript"/>
              </w:rPr>
              <w:t>1</w:t>
            </w:r>
          </w:p>
        </w:tc>
        <w:tc>
          <w:tcPr>
            <w:tcW w:w="679" w:type="pct"/>
            <w:tcBorders>
              <w:top w:val="single" w:sz="4" w:space="0" w:color="auto"/>
              <w:left w:val="single" w:sz="4" w:space="0" w:color="auto"/>
              <w:bottom w:val="single" w:sz="4" w:space="0" w:color="auto"/>
              <w:right w:val="single" w:sz="4" w:space="0" w:color="auto"/>
            </w:tcBorders>
            <w:vAlign w:val="center"/>
          </w:tcPr>
          <w:p w14:paraId="7DF2ABF0" w14:textId="2BD3BCF3" w:rsidR="00765141" w:rsidRPr="00AD717A" w:rsidRDefault="00CE016F">
            <w:pPr>
              <w:pStyle w:val="TableText0"/>
              <w:jc w:val="center"/>
            </w:pPr>
            <w:r w:rsidRPr="00CE016F">
              <w:rPr>
                <w:rFonts w:hint="eastAsia"/>
                <w:color w:val="000000"/>
                <w:w w:val="15"/>
                <w:shd w:val="solid" w:color="000000" w:fill="000000"/>
                <w:fitText w:val="40" w:id="-762139891"/>
                <w14:textFill>
                  <w14:solidFill>
                    <w14:srgbClr w14:val="000000">
                      <w14:alpha w14:val="100000"/>
                    </w14:srgbClr>
                  </w14:solidFill>
                </w14:textFill>
              </w:rPr>
              <w:t xml:space="preserve">　</w:t>
            </w:r>
            <w:r w:rsidRPr="00CE016F">
              <w:rPr>
                <w:color w:val="000000"/>
                <w:w w:val="15"/>
                <w:shd w:val="solid" w:color="000000" w:fill="000000"/>
                <w:fitText w:val="40" w:id="-762139891"/>
                <w14:textFill>
                  <w14:solidFill>
                    <w14:srgbClr w14:val="000000">
                      <w14:alpha w14:val="100000"/>
                    </w14:srgbClr>
                  </w14:solidFill>
                </w14:textFill>
              </w:rPr>
              <w:t>|</w:t>
            </w:r>
            <w:r w:rsidRPr="00CE016F">
              <w:rPr>
                <w:rFonts w:hint="eastAsia"/>
                <w:color w:val="000000"/>
                <w:spacing w:val="-25"/>
                <w:w w:val="15"/>
                <w:shd w:val="solid" w:color="000000" w:fill="000000"/>
                <w:fitText w:val="40" w:id="-762139891"/>
                <w14:textFill>
                  <w14:solidFill>
                    <w14:srgbClr w14:val="000000">
                      <w14:alpha w14:val="100000"/>
                    </w14:srgbClr>
                  </w14:solidFill>
                </w14:textFill>
              </w:rPr>
              <w:t xml:space="preserve">　</w:t>
            </w:r>
            <w:r w:rsidR="00EB4155">
              <w:t xml:space="preserve"> </w:t>
            </w:r>
          </w:p>
        </w:tc>
      </w:tr>
      <w:tr w:rsidR="00684F1A" w:rsidRPr="00AD717A" w14:paraId="134F95E4" w14:textId="77777777" w:rsidTr="00684F1A">
        <w:trPr>
          <w:cantSplit/>
          <w:tblHeader/>
        </w:trPr>
        <w:tc>
          <w:tcPr>
            <w:tcW w:w="5000" w:type="pct"/>
            <w:gridSpan w:val="5"/>
            <w:tcBorders>
              <w:top w:val="single" w:sz="4" w:space="0" w:color="auto"/>
              <w:left w:val="single" w:sz="4" w:space="0" w:color="auto"/>
              <w:bottom w:val="single" w:sz="4" w:space="0" w:color="auto"/>
              <w:right w:val="single" w:sz="4" w:space="0" w:color="auto"/>
            </w:tcBorders>
          </w:tcPr>
          <w:p w14:paraId="01A43345" w14:textId="2659B52D" w:rsidR="00684F1A" w:rsidRPr="00AD717A" w:rsidRDefault="00684F1A" w:rsidP="00684F1A">
            <w:pPr>
              <w:pStyle w:val="TableText0"/>
            </w:pPr>
            <w:r w:rsidRPr="00AD717A">
              <w:rPr>
                <w:b/>
                <w:bCs w:val="0"/>
              </w:rPr>
              <w:t xml:space="preserve">Cost of adverse events </w:t>
            </w:r>
          </w:p>
        </w:tc>
      </w:tr>
      <w:tr w:rsidR="00D34B19" w:rsidRPr="00AD717A" w14:paraId="1AC8811D"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vAlign w:val="center"/>
          </w:tcPr>
          <w:p w14:paraId="1A552E9A" w14:textId="4C61E24E" w:rsidR="00D34B19" w:rsidRPr="00AD717A" w:rsidRDefault="001B5F96" w:rsidP="00D34B19">
            <w:pPr>
              <w:pStyle w:val="TableText0"/>
              <w:rPr>
                <w:vertAlign w:val="superscript"/>
              </w:rPr>
            </w:pPr>
            <w:r w:rsidRPr="00AD717A">
              <w:rPr>
                <w:iCs/>
              </w:rPr>
              <w:t xml:space="preserve">Revised </w:t>
            </w:r>
            <w:r w:rsidR="00D34B19" w:rsidRPr="00AD717A">
              <w:rPr>
                <w:iCs/>
              </w:rPr>
              <w:t>to include hospitalisations for Grade 3/4 AEs</w:t>
            </w:r>
            <w:r w:rsidR="00684F1A" w:rsidRPr="00AD717A">
              <w:rPr>
                <w:iCs/>
                <w:vertAlign w:val="superscript"/>
              </w:rPr>
              <w:t>a</w:t>
            </w:r>
          </w:p>
        </w:tc>
        <w:tc>
          <w:tcPr>
            <w:tcW w:w="708" w:type="pct"/>
            <w:tcBorders>
              <w:top w:val="single" w:sz="4" w:space="0" w:color="auto"/>
              <w:left w:val="single" w:sz="4" w:space="0" w:color="auto"/>
              <w:bottom w:val="single" w:sz="4" w:space="0" w:color="auto"/>
              <w:right w:val="single" w:sz="4" w:space="0" w:color="auto"/>
            </w:tcBorders>
            <w:vAlign w:val="center"/>
          </w:tcPr>
          <w:p w14:paraId="50E97A6C" w14:textId="54D8E2BF" w:rsidR="00D34B19" w:rsidRPr="00AD717A" w:rsidRDefault="00D34B19" w:rsidP="00D34B19">
            <w:pPr>
              <w:pStyle w:val="TableText0"/>
              <w:jc w:val="center"/>
            </w:pPr>
            <w:r w:rsidRPr="00AD717A">
              <w:rPr>
                <w:iCs/>
              </w:rPr>
              <w:t>$</w:t>
            </w:r>
            <w:r w:rsidR="00CE016F" w:rsidRPr="00CE016F">
              <w:rPr>
                <w:rFonts w:hint="eastAsia"/>
                <w:iCs/>
                <w:color w:val="000000"/>
                <w:w w:val="15"/>
                <w:shd w:val="solid" w:color="000000" w:fill="000000"/>
                <w:fitText w:val="66" w:id="-762139890"/>
                <w14:textFill>
                  <w14:solidFill>
                    <w14:srgbClr w14:val="000000">
                      <w14:alpha w14:val="100000"/>
                    </w14:srgbClr>
                  </w14:solidFill>
                </w14:textFill>
              </w:rPr>
              <w:t xml:space="preserve">　</w:t>
            </w:r>
            <w:r w:rsidR="00CE016F" w:rsidRPr="00CE016F">
              <w:rPr>
                <w:iCs/>
                <w:color w:val="000000"/>
                <w:w w:val="15"/>
                <w:shd w:val="solid" w:color="000000" w:fill="000000"/>
                <w:fitText w:val="66" w:id="-762139890"/>
                <w14:textFill>
                  <w14:solidFill>
                    <w14:srgbClr w14:val="000000">
                      <w14:alpha w14:val="100000"/>
                    </w14:srgbClr>
                  </w14:solidFill>
                </w14:textFill>
              </w:rPr>
              <w:t>|</w:t>
            </w:r>
            <w:r w:rsidR="00CE016F" w:rsidRPr="00CE016F">
              <w:rPr>
                <w:rFonts w:hint="eastAsia"/>
                <w:iCs/>
                <w:color w:val="000000"/>
                <w:w w:val="15"/>
                <w:shd w:val="solid" w:color="000000" w:fill="000000"/>
                <w:fitText w:val="66" w:id="-762139890"/>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vAlign w:val="center"/>
          </w:tcPr>
          <w:p w14:paraId="280A6F15" w14:textId="0D414FD5" w:rsidR="00D34B19" w:rsidRPr="00AD717A" w:rsidRDefault="00D34B19" w:rsidP="00D34B19">
            <w:pPr>
              <w:pStyle w:val="TableText0"/>
              <w:jc w:val="center"/>
            </w:pPr>
            <w:r w:rsidRPr="00AD717A">
              <w:rPr>
                <w:iCs/>
              </w:rPr>
              <w:t>0.816</w:t>
            </w:r>
          </w:p>
        </w:tc>
        <w:tc>
          <w:tcPr>
            <w:tcW w:w="708" w:type="pct"/>
            <w:tcBorders>
              <w:top w:val="single" w:sz="4" w:space="0" w:color="auto"/>
              <w:left w:val="single" w:sz="4" w:space="0" w:color="auto"/>
              <w:bottom w:val="single" w:sz="4" w:space="0" w:color="auto"/>
              <w:right w:val="single" w:sz="4" w:space="0" w:color="auto"/>
            </w:tcBorders>
            <w:vAlign w:val="center"/>
          </w:tcPr>
          <w:p w14:paraId="3354370C" w14:textId="1BE24E68" w:rsidR="00D34B19" w:rsidRPr="00AD717A" w:rsidRDefault="00D34B19" w:rsidP="00D34B19">
            <w:pPr>
              <w:pStyle w:val="TableText0"/>
              <w:jc w:val="center"/>
            </w:pPr>
            <w:r w:rsidRPr="00AD717A">
              <w:rPr>
                <w:iCs/>
              </w:rPr>
              <w:t>$</w:t>
            </w:r>
            <w:r w:rsidR="00CE016F" w:rsidRPr="00CE016F">
              <w:rPr>
                <w:rFonts w:hint="eastAsia"/>
                <w:iCs/>
                <w:color w:val="000000"/>
                <w:w w:val="18"/>
                <w:shd w:val="solid" w:color="000000" w:fill="000000"/>
                <w:fitText w:val="80" w:id="-762139889"/>
                <w14:textFill>
                  <w14:solidFill>
                    <w14:srgbClr w14:val="000000">
                      <w14:alpha w14:val="100000"/>
                    </w14:srgbClr>
                  </w14:solidFill>
                </w14:textFill>
              </w:rPr>
              <w:t xml:space="preserve">　</w:t>
            </w:r>
            <w:r w:rsidR="00CE016F" w:rsidRPr="00CE016F">
              <w:rPr>
                <w:iCs/>
                <w:color w:val="000000"/>
                <w:w w:val="18"/>
                <w:shd w:val="solid" w:color="000000" w:fill="000000"/>
                <w:fitText w:val="80" w:id="-762139889"/>
                <w14:textFill>
                  <w14:solidFill>
                    <w14:srgbClr w14:val="000000">
                      <w14:alpha w14:val="100000"/>
                    </w14:srgbClr>
                  </w14:solidFill>
                </w14:textFill>
              </w:rPr>
              <w:t>|</w:t>
            </w:r>
            <w:r w:rsidR="00CE016F" w:rsidRPr="00CE016F">
              <w:rPr>
                <w:rFonts w:hint="eastAsia"/>
                <w:iCs/>
                <w:color w:val="000000"/>
                <w:w w:val="18"/>
                <w:shd w:val="solid" w:color="000000" w:fill="000000"/>
                <w:fitText w:val="80" w:id="-762139889"/>
                <w14:textFill>
                  <w14:solidFill>
                    <w14:srgbClr w14:val="000000">
                      <w14:alpha w14:val="100000"/>
                    </w14:srgbClr>
                  </w14:solidFill>
                </w14:textFill>
              </w:rPr>
              <w:t xml:space="preserve">　</w:t>
            </w:r>
            <w:r w:rsidR="0014663A">
              <w:rPr>
                <w:vertAlign w:val="superscript"/>
              </w:rPr>
              <w:t>1</w:t>
            </w:r>
          </w:p>
        </w:tc>
        <w:tc>
          <w:tcPr>
            <w:tcW w:w="679" w:type="pct"/>
            <w:tcBorders>
              <w:top w:val="single" w:sz="4" w:space="0" w:color="auto"/>
              <w:left w:val="single" w:sz="4" w:space="0" w:color="auto"/>
              <w:bottom w:val="single" w:sz="4" w:space="0" w:color="auto"/>
              <w:right w:val="single" w:sz="4" w:space="0" w:color="auto"/>
            </w:tcBorders>
            <w:vAlign w:val="center"/>
          </w:tcPr>
          <w:p w14:paraId="40D08699" w14:textId="167B56F2" w:rsidR="00D34B19" w:rsidRPr="00AD717A" w:rsidRDefault="00CE016F" w:rsidP="00D34B19">
            <w:pPr>
              <w:pStyle w:val="TableText0"/>
              <w:jc w:val="center"/>
            </w:pPr>
            <w:r w:rsidRPr="00CE016F">
              <w:rPr>
                <w:rFonts w:hint="eastAsia"/>
                <w:iCs/>
                <w:color w:val="000000"/>
                <w:w w:val="15"/>
                <w:shd w:val="solid" w:color="000000" w:fill="000000"/>
                <w:fitText w:val="40" w:id="-762139888"/>
                <w14:textFill>
                  <w14:solidFill>
                    <w14:srgbClr w14:val="000000">
                      <w14:alpha w14:val="100000"/>
                    </w14:srgbClr>
                  </w14:solidFill>
                </w14:textFill>
              </w:rPr>
              <w:t xml:space="preserve">　</w:t>
            </w:r>
            <w:r w:rsidRPr="00CE016F">
              <w:rPr>
                <w:iCs/>
                <w:color w:val="000000"/>
                <w:w w:val="15"/>
                <w:shd w:val="solid" w:color="000000" w:fill="000000"/>
                <w:fitText w:val="40" w:id="-762139888"/>
                <w14:textFill>
                  <w14:solidFill>
                    <w14:srgbClr w14:val="000000">
                      <w14:alpha w14:val="100000"/>
                    </w14:srgbClr>
                  </w14:solidFill>
                </w14:textFill>
              </w:rPr>
              <w:t>|</w:t>
            </w:r>
            <w:r w:rsidRPr="00CE016F">
              <w:rPr>
                <w:rFonts w:hint="eastAsia"/>
                <w:iCs/>
                <w:color w:val="000000"/>
                <w:spacing w:val="-25"/>
                <w:w w:val="15"/>
                <w:shd w:val="solid" w:color="000000" w:fill="000000"/>
                <w:fitText w:val="40" w:id="-762139888"/>
                <w14:textFill>
                  <w14:solidFill>
                    <w14:srgbClr w14:val="000000">
                      <w14:alpha w14:val="100000"/>
                    </w14:srgbClr>
                  </w14:solidFill>
                </w14:textFill>
              </w:rPr>
              <w:t xml:space="preserve">　</w:t>
            </w:r>
            <w:r w:rsidR="00EB4155">
              <w:rPr>
                <w:iCs/>
              </w:rPr>
              <w:t xml:space="preserve"> </w:t>
            </w:r>
          </w:p>
        </w:tc>
      </w:tr>
      <w:tr w:rsidR="00D34B19" w:rsidRPr="00AD717A" w14:paraId="0D7C8C57" w14:textId="77777777" w:rsidTr="00A3272F">
        <w:trPr>
          <w:cantSplit/>
          <w:tblHeader/>
        </w:trPr>
        <w:tc>
          <w:tcPr>
            <w:tcW w:w="5000" w:type="pct"/>
            <w:gridSpan w:val="5"/>
            <w:tcBorders>
              <w:top w:val="single" w:sz="4" w:space="0" w:color="auto"/>
              <w:left w:val="single" w:sz="4" w:space="0" w:color="auto"/>
              <w:bottom w:val="single" w:sz="4" w:space="0" w:color="auto"/>
              <w:right w:val="single" w:sz="4" w:space="0" w:color="auto"/>
            </w:tcBorders>
          </w:tcPr>
          <w:p w14:paraId="5EE4E044" w14:textId="603EEF05" w:rsidR="00D34B19" w:rsidRPr="00AD717A" w:rsidRDefault="00D34B19" w:rsidP="00D34B19">
            <w:pPr>
              <w:pStyle w:val="TableText0"/>
            </w:pPr>
            <w:r w:rsidRPr="00AD717A">
              <w:rPr>
                <w:b/>
              </w:rPr>
              <w:t>Utility (base case: pre progression, ACP=0.913, CP=0.916; post progression pooled=0.839)</w:t>
            </w:r>
          </w:p>
        </w:tc>
      </w:tr>
      <w:tr w:rsidR="00D34B19" w:rsidRPr="00AD717A" w14:paraId="0755A54D" w14:textId="77777777" w:rsidTr="0008057B">
        <w:trPr>
          <w:cantSplit/>
          <w:tblHeader/>
        </w:trPr>
        <w:tc>
          <w:tcPr>
            <w:tcW w:w="2198" w:type="pct"/>
            <w:tcBorders>
              <w:top w:val="single" w:sz="4" w:space="0" w:color="auto"/>
              <w:left w:val="single" w:sz="4" w:space="0" w:color="auto"/>
              <w:bottom w:val="single" w:sz="4" w:space="0" w:color="auto"/>
              <w:right w:val="single" w:sz="4" w:space="0" w:color="auto"/>
            </w:tcBorders>
          </w:tcPr>
          <w:p w14:paraId="7E208DD7" w14:textId="74C08E73" w:rsidR="00D34B19" w:rsidRPr="004149D8" w:rsidRDefault="00D34B19" w:rsidP="00D34B19">
            <w:pPr>
              <w:pStyle w:val="TableText0"/>
              <w:rPr>
                <w:b/>
                <w:vertAlign w:val="superscript"/>
              </w:rPr>
            </w:pPr>
            <w:r w:rsidRPr="00AD717A">
              <w:rPr>
                <w:iCs/>
              </w:rPr>
              <w:t>Pre-progression utility of 0.79</w:t>
            </w:r>
            <w:r w:rsidR="008E4F0E">
              <w:rPr>
                <w:iCs/>
              </w:rPr>
              <w:t>4</w:t>
            </w:r>
            <w:r w:rsidRPr="00AD717A">
              <w:rPr>
                <w:iCs/>
              </w:rPr>
              <w:t xml:space="preserve"> and post-progression utility of 0.6</w:t>
            </w:r>
            <w:r w:rsidR="008E4F0E">
              <w:rPr>
                <w:iCs/>
              </w:rPr>
              <w:t>4</w:t>
            </w:r>
            <w:r w:rsidRPr="00AD717A">
              <w:rPr>
                <w:iCs/>
              </w:rPr>
              <w:t xml:space="preserve"> (osimertinib PSD </w:t>
            </w:r>
            <w:r w:rsidR="009A4018" w:rsidRPr="00AD717A">
              <w:rPr>
                <w:iCs/>
              </w:rPr>
              <w:t xml:space="preserve">November </w:t>
            </w:r>
            <w:r w:rsidRPr="00AD717A">
              <w:rPr>
                <w:iCs/>
              </w:rPr>
              <w:t>2023)</w:t>
            </w:r>
            <w:r w:rsidR="004149D8">
              <w:rPr>
                <w:iCs/>
                <w:vertAlign w:val="superscript"/>
              </w:rPr>
              <w:t>b</w:t>
            </w:r>
          </w:p>
        </w:tc>
        <w:tc>
          <w:tcPr>
            <w:tcW w:w="708" w:type="pct"/>
            <w:tcBorders>
              <w:top w:val="single" w:sz="4" w:space="0" w:color="auto"/>
              <w:left w:val="single" w:sz="4" w:space="0" w:color="auto"/>
              <w:bottom w:val="single" w:sz="4" w:space="0" w:color="auto"/>
              <w:right w:val="single" w:sz="4" w:space="0" w:color="auto"/>
            </w:tcBorders>
            <w:vAlign w:val="center"/>
          </w:tcPr>
          <w:p w14:paraId="41EE5FB3" w14:textId="2358BEEC" w:rsidR="00D34B19" w:rsidRPr="00AD717A" w:rsidRDefault="00BD1A36" w:rsidP="00D34B19">
            <w:pPr>
              <w:pStyle w:val="TableText0"/>
              <w:jc w:val="center"/>
            </w:pPr>
            <w:r w:rsidRPr="00AD717A">
              <w:rPr>
                <w:iCs/>
              </w:rPr>
              <w:t>$</w:t>
            </w:r>
            <w:r w:rsidR="00CE016F" w:rsidRPr="00CE016F">
              <w:rPr>
                <w:rFonts w:hint="eastAsia"/>
                <w:iCs/>
                <w:color w:val="000000"/>
                <w:w w:val="15"/>
                <w:shd w:val="solid" w:color="000000" w:fill="000000"/>
                <w:fitText w:val="66" w:id="-762139904"/>
                <w14:textFill>
                  <w14:solidFill>
                    <w14:srgbClr w14:val="000000">
                      <w14:alpha w14:val="100000"/>
                    </w14:srgbClr>
                  </w14:solidFill>
                </w14:textFill>
              </w:rPr>
              <w:t xml:space="preserve">　</w:t>
            </w:r>
            <w:r w:rsidR="00CE016F" w:rsidRPr="00CE016F">
              <w:rPr>
                <w:iCs/>
                <w:color w:val="000000"/>
                <w:w w:val="15"/>
                <w:shd w:val="solid" w:color="000000" w:fill="000000"/>
                <w:fitText w:val="66" w:id="-762139904"/>
                <w14:textFill>
                  <w14:solidFill>
                    <w14:srgbClr w14:val="000000">
                      <w14:alpha w14:val="100000"/>
                    </w14:srgbClr>
                  </w14:solidFill>
                </w14:textFill>
              </w:rPr>
              <w:t>|</w:t>
            </w:r>
            <w:r w:rsidR="00CE016F" w:rsidRPr="00CE016F">
              <w:rPr>
                <w:rFonts w:hint="eastAsia"/>
                <w:iCs/>
                <w:color w:val="000000"/>
                <w:w w:val="15"/>
                <w:shd w:val="solid" w:color="000000" w:fill="000000"/>
                <w:fitText w:val="66" w:id="-762139904"/>
                <w14:textFill>
                  <w14:solidFill>
                    <w14:srgbClr w14:val="000000">
                      <w14:alpha w14:val="100000"/>
                    </w14:srgbClr>
                  </w14:solidFill>
                </w14:textFill>
              </w:rPr>
              <w:t xml:space="preserve">　</w:t>
            </w:r>
          </w:p>
        </w:tc>
        <w:tc>
          <w:tcPr>
            <w:tcW w:w="707" w:type="pct"/>
            <w:tcBorders>
              <w:top w:val="single" w:sz="4" w:space="0" w:color="auto"/>
              <w:left w:val="single" w:sz="4" w:space="0" w:color="auto"/>
              <w:bottom w:val="single" w:sz="4" w:space="0" w:color="auto"/>
              <w:right w:val="single" w:sz="4" w:space="0" w:color="auto"/>
            </w:tcBorders>
            <w:vAlign w:val="center"/>
          </w:tcPr>
          <w:p w14:paraId="70DA33C3" w14:textId="22145408" w:rsidR="00D34B19" w:rsidRPr="00AD717A" w:rsidRDefault="000E791B" w:rsidP="009E43F9">
            <w:pPr>
              <w:pStyle w:val="TableText0"/>
              <w:jc w:val="center"/>
            </w:pPr>
            <w:r w:rsidRPr="00AD717A">
              <w:rPr>
                <w:iCs/>
              </w:rPr>
              <w:t>0.6782</w:t>
            </w:r>
          </w:p>
        </w:tc>
        <w:tc>
          <w:tcPr>
            <w:tcW w:w="708" w:type="pct"/>
            <w:tcBorders>
              <w:top w:val="single" w:sz="4" w:space="0" w:color="auto"/>
              <w:left w:val="single" w:sz="4" w:space="0" w:color="auto"/>
              <w:bottom w:val="single" w:sz="4" w:space="0" w:color="auto"/>
              <w:right w:val="single" w:sz="4" w:space="0" w:color="auto"/>
            </w:tcBorders>
            <w:vAlign w:val="center"/>
          </w:tcPr>
          <w:p w14:paraId="7E00A298" w14:textId="749A5325" w:rsidR="00D34B19" w:rsidRPr="00AD717A" w:rsidRDefault="002A435B" w:rsidP="00D34B19">
            <w:pPr>
              <w:pStyle w:val="TableText0"/>
              <w:jc w:val="center"/>
            </w:pPr>
            <w:r w:rsidRPr="00AD717A">
              <w:rPr>
                <w:iCs/>
              </w:rPr>
              <w:t>$</w:t>
            </w:r>
            <w:r w:rsidR="00CE016F" w:rsidRPr="00CE016F">
              <w:rPr>
                <w:rFonts w:hint="eastAsia"/>
                <w:iCs/>
                <w:color w:val="000000"/>
                <w:w w:val="18"/>
                <w:shd w:val="solid" w:color="000000" w:fill="000000"/>
                <w:fitText w:val="80" w:id="-762139903"/>
                <w14:textFill>
                  <w14:solidFill>
                    <w14:srgbClr w14:val="000000">
                      <w14:alpha w14:val="100000"/>
                    </w14:srgbClr>
                  </w14:solidFill>
                </w14:textFill>
              </w:rPr>
              <w:t xml:space="preserve">　</w:t>
            </w:r>
            <w:r w:rsidR="00CE016F" w:rsidRPr="00CE016F">
              <w:rPr>
                <w:iCs/>
                <w:color w:val="000000"/>
                <w:w w:val="18"/>
                <w:shd w:val="solid" w:color="000000" w:fill="000000"/>
                <w:fitText w:val="80" w:id="-762139903"/>
                <w14:textFill>
                  <w14:solidFill>
                    <w14:srgbClr w14:val="000000">
                      <w14:alpha w14:val="100000"/>
                    </w14:srgbClr>
                  </w14:solidFill>
                </w14:textFill>
              </w:rPr>
              <w:t>|</w:t>
            </w:r>
            <w:r w:rsidR="00CE016F" w:rsidRPr="00CE016F">
              <w:rPr>
                <w:rFonts w:hint="eastAsia"/>
                <w:iCs/>
                <w:color w:val="000000"/>
                <w:w w:val="18"/>
                <w:shd w:val="solid" w:color="000000" w:fill="000000"/>
                <w:fitText w:val="80" w:id="-762139903"/>
                <w14:textFill>
                  <w14:solidFill>
                    <w14:srgbClr w14:val="000000">
                      <w14:alpha w14:val="100000"/>
                    </w14:srgbClr>
                  </w14:solidFill>
                </w14:textFill>
              </w:rPr>
              <w:t xml:space="preserve">　</w:t>
            </w:r>
            <w:r w:rsidR="0008057B">
              <w:rPr>
                <w:vertAlign w:val="superscript"/>
              </w:rPr>
              <w:t>7</w:t>
            </w:r>
          </w:p>
        </w:tc>
        <w:tc>
          <w:tcPr>
            <w:tcW w:w="679" w:type="pct"/>
            <w:tcBorders>
              <w:top w:val="single" w:sz="4" w:space="0" w:color="auto"/>
              <w:left w:val="single" w:sz="4" w:space="0" w:color="auto"/>
              <w:bottom w:val="single" w:sz="4" w:space="0" w:color="auto"/>
              <w:right w:val="single" w:sz="4" w:space="0" w:color="auto"/>
            </w:tcBorders>
            <w:vAlign w:val="center"/>
          </w:tcPr>
          <w:p w14:paraId="796A8AA4" w14:textId="46431505" w:rsidR="002A435B" w:rsidRPr="00AD717A" w:rsidRDefault="00CE016F" w:rsidP="00D34B19">
            <w:pPr>
              <w:pStyle w:val="TableText0"/>
              <w:jc w:val="center"/>
            </w:pPr>
            <w:r w:rsidRPr="00CE016F">
              <w:rPr>
                <w:rFonts w:hint="eastAsia"/>
                <w:iCs/>
                <w:color w:val="000000"/>
                <w:w w:val="15"/>
                <w:shd w:val="solid" w:color="000000" w:fill="000000"/>
                <w:fitText w:val="40" w:id="-762139902"/>
                <w14:textFill>
                  <w14:solidFill>
                    <w14:srgbClr w14:val="000000">
                      <w14:alpha w14:val="100000"/>
                    </w14:srgbClr>
                  </w14:solidFill>
                </w14:textFill>
              </w:rPr>
              <w:t xml:space="preserve">　</w:t>
            </w:r>
            <w:r w:rsidRPr="00CE016F">
              <w:rPr>
                <w:iCs/>
                <w:color w:val="000000"/>
                <w:w w:val="15"/>
                <w:shd w:val="solid" w:color="000000" w:fill="000000"/>
                <w:fitText w:val="40" w:id="-762139902"/>
                <w14:textFill>
                  <w14:solidFill>
                    <w14:srgbClr w14:val="000000">
                      <w14:alpha w14:val="100000"/>
                    </w14:srgbClr>
                  </w14:solidFill>
                </w14:textFill>
              </w:rPr>
              <w:t>|</w:t>
            </w:r>
            <w:r w:rsidRPr="00CE016F">
              <w:rPr>
                <w:rFonts w:hint="eastAsia"/>
                <w:iCs/>
                <w:color w:val="000000"/>
                <w:spacing w:val="-25"/>
                <w:w w:val="15"/>
                <w:shd w:val="solid" w:color="000000" w:fill="000000"/>
                <w:fitText w:val="40" w:id="-762139902"/>
                <w14:textFill>
                  <w14:solidFill>
                    <w14:srgbClr w14:val="000000">
                      <w14:alpha w14:val="100000"/>
                    </w14:srgbClr>
                  </w14:solidFill>
                </w14:textFill>
              </w:rPr>
              <w:t xml:space="preserve">　</w:t>
            </w:r>
            <w:r w:rsidR="00EB4155">
              <w:rPr>
                <w:iCs/>
              </w:rPr>
              <w:t xml:space="preserve"> </w:t>
            </w:r>
          </w:p>
        </w:tc>
      </w:tr>
    </w:tbl>
    <w:p w14:paraId="7BB327DA" w14:textId="77777777" w:rsidR="00765141" w:rsidRPr="008272D0" w:rsidRDefault="00765141" w:rsidP="00765141">
      <w:pPr>
        <w:keepLines/>
        <w:spacing w:after="120"/>
        <w:contextualSpacing/>
        <w:jc w:val="left"/>
        <w:rPr>
          <w:rFonts w:ascii="Arial Narrow" w:hAnsi="Arial Narrow"/>
          <w:iCs/>
          <w:snapToGrid w:val="0"/>
          <w:sz w:val="18"/>
        </w:rPr>
      </w:pPr>
      <w:r w:rsidRPr="000C3A58">
        <w:rPr>
          <w:rFonts w:ascii="Arial Narrow" w:hAnsi="Arial Narrow"/>
          <w:snapToGrid w:val="0"/>
          <w:sz w:val="18"/>
        </w:rPr>
        <w:t>Source: Table 3.35, pp 199-200 of the submission</w:t>
      </w:r>
      <w:r>
        <w:rPr>
          <w:rFonts w:ascii="Arial Narrow" w:hAnsi="Arial Narrow"/>
          <w:snapToGrid w:val="0"/>
          <w:sz w:val="18"/>
        </w:rPr>
        <w:t xml:space="preserve"> </w:t>
      </w:r>
      <w:r w:rsidRPr="008272D0">
        <w:rPr>
          <w:rFonts w:ascii="Arial Narrow" w:hAnsi="Arial Narrow"/>
          <w:iCs/>
          <w:snapToGrid w:val="0"/>
          <w:sz w:val="18"/>
        </w:rPr>
        <w:t>and added to during the evaluation</w:t>
      </w:r>
    </w:p>
    <w:p w14:paraId="230CCED5" w14:textId="7E0BC208" w:rsidR="00765141" w:rsidRDefault="00765141" w:rsidP="00765141">
      <w:pPr>
        <w:keepLines/>
        <w:spacing w:after="120"/>
        <w:contextualSpacing/>
        <w:jc w:val="left"/>
        <w:rPr>
          <w:rFonts w:ascii="Arial Narrow" w:hAnsi="Arial Narrow"/>
          <w:snapToGrid w:val="0"/>
          <w:sz w:val="18"/>
        </w:rPr>
      </w:pPr>
      <w:r w:rsidRPr="000C3A58">
        <w:rPr>
          <w:rFonts w:ascii="Arial Narrow" w:hAnsi="Arial Narrow"/>
          <w:snapToGrid w:val="0"/>
          <w:sz w:val="18"/>
        </w:rPr>
        <w:t xml:space="preserve">Abbreviations: ACP, amivantamab plus carboplatin/ pemetrexed; </w:t>
      </w:r>
      <w:r w:rsidR="00BD1D49">
        <w:rPr>
          <w:rFonts w:ascii="Arial Narrow" w:hAnsi="Arial Narrow"/>
          <w:snapToGrid w:val="0"/>
          <w:sz w:val="18"/>
        </w:rPr>
        <w:t xml:space="preserve">AE, adverse event; </w:t>
      </w:r>
      <w:r w:rsidRPr="000C3A58">
        <w:rPr>
          <w:rFonts w:ascii="Arial Narrow" w:hAnsi="Arial Narrow"/>
          <w:snapToGrid w:val="0"/>
          <w:sz w:val="18"/>
        </w:rPr>
        <w:t xml:space="preserve">AIC, Akaike information criterion; BIC Bayesian information criterion; CP, carboplatin/ pemetrexed; FAS, full analysis set; ICER, incremental cost effectiveness ratio; IPCW, inverse probability of censoring weight; KM, Kaplan-Meier, </w:t>
      </w:r>
      <w:r w:rsidR="00FF08CD">
        <w:rPr>
          <w:rFonts w:ascii="Arial Narrow" w:hAnsi="Arial Narrow"/>
          <w:snapToGrid w:val="0"/>
          <w:sz w:val="18"/>
        </w:rPr>
        <w:t xml:space="preserve">PSD, public summary document; </w:t>
      </w:r>
      <w:r w:rsidRPr="000C3A58">
        <w:rPr>
          <w:rFonts w:ascii="Arial Narrow" w:hAnsi="Arial Narrow"/>
          <w:snapToGrid w:val="0"/>
          <w:sz w:val="18"/>
        </w:rPr>
        <w:t>OS, overall survival; QALY</w:t>
      </w:r>
      <w:r w:rsidR="007C5C41">
        <w:rPr>
          <w:rFonts w:ascii="Arial Narrow" w:hAnsi="Arial Narrow"/>
          <w:snapToGrid w:val="0"/>
          <w:sz w:val="18"/>
        </w:rPr>
        <w:t>s</w:t>
      </w:r>
      <w:r w:rsidRPr="000C3A58">
        <w:rPr>
          <w:rFonts w:ascii="Arial Narrow" w:hAnsi="Arial Narrow"/>
          <w:snapToGrid w:val="0"/>
          <w:sz w:val="18"/>
        </w:rPr>
        <w:t>, quality-adjusted life-years; RPSFT, rank-preserving structural failure time; TSE, two stage estimation.</w:t>
      </w:r>
    </w:p>
    <w:p w14:paraId="19A5C284" w14:textId="585E8BB1" w:rsidR="00684F1A" w:rsidRDefault="00684F1A" w:rsidP="00765141">
      <w:pPr>
        <w:keepLines/>
        <w:spacing w:after="120"/>
        <w:contextualSpacing/>
        <w:jc w:val="left"/>
        <w:rPr>
          <w:rFonts w:ascii="Arial Narrow" w:hAnsi="Arial Narrow"/>
          <w:snapToGrid w:val="0"/>
          <w:sz w:val="18"/>
        </w:rPr>
      </w:pPr>
      <w:proofErr w:type="spellStart"/>
      <w:r>
        <w:rPr>
          <w:rFonts w:ascii="Arial Narrow" w:hAnsi="Arial Narrow"/>
          <w:snapToGrid w:val="0"/>
          <w:sz w:val="18"/>
          <w:vertAlign w:val="superscript"/>
        </w:rPr>
        <w:t>a</w:t>
      </w:r>
      <w:proofErr w:type="spellEnd"/>
      <w:r>
        <w:rPr>
          <w:rFonts w:ascii="Arial Narrow" w:hAnsi="Arial Narrow"/>
          <w:snapToGrid w:val="0"/>
          <w:sz w:val="18"/>
        </w:rPr>
        <w:t xml:space="preserve"> </w:t>
      </w:r>
      <w:r w:rsidR="006A013A">
        <w:rPr>
          <w:rFonts w:ascii="Arial Narrow" w:hAnsi="Arial Narrow"/>
          <w:snapToGrid w:val="0"/>
          <w:sz w:val="18"/>
        </w:rPr>
        <w:t xml:space="preserve">Costs applied include </w:t>
      </w:r>
      <w:r w:rsidR="006A013A" w:rsidRPr="006A013A">
        <w:rPr>
          <w:rFonts w:ascii="Arial Narrow" w:hAnsi="Arial Narrow"/>
          <w:snapToGrid w:val="0"/>
          <w:sz w:val="18"/>
        </w:rPr>
        <w:t>($3,974.10 for asthenia based on DRGX63 for minor complexity admission, $461.44 for neutropenia based on PBS item 2784L filgrastim 480 microgram/0.5 mL injection, $3,245 for paronychia, based on DRG J68B, major skin disorder, minor complexity, and $25.35 for hypokalaemia based on PBS item 3012M</w:t>
      </w:r>
      <w:r w:rsidR="004B5B46">
        <w:rPr>
          <w:rFonts w:ascii="Arial Narrow" w:hAnsi="Arial Narrow"/>
          <w:snapToGrid w:val="0"/>
          <w:sz w:val="18"/>
        </w:rPr>
        <w:t>.</w:t>
      </w:r>
    </w:p>
    <w:p w14:paraId="633BE4C1" w14:textId="50A98E82" w:rsidR="004149D8" w:rsidRDefault="004149D8" w:rsidP="00765141">
      <w:pPr>
        <w:keepLines/>
        <w:spacing w:after="120"/>
        <w:contextualSpacing/>
        <w:jc w:val="left"/>
        <w:rPr>
          <w:rFonts w:ascii="Arial Narrow" w:hAnsi="Arial Narrow"/>
          <w:snapToGrid w:val="0"/>
          <w:sz w:val="18"/>
        </w:rPr>
      </w:pPr>
      <w:r>
        <w:rPr>
          <w:rFonts w:ascii="Arial Narrow" w:hAnsi="Arial Narrow"/>
          <w:snapToGrid w:val="0"/>
          <w:sz w:val="18"/>
          <w:vertAlign w:val="superscript"/>
        </w:rPr>
        <w:t>b</w:t>
      </w:r>
      <w:r>
        <w:rPr>
          <w:rFonts w:ascii="Arial Narrow" w:hAnsi="Arial Narrow"/>
          <w:snapToGrid w:val="0"/>
          <w:sz w:val="18"/>
        </w:rPr>
        <w:t xml:space="preserve"> </w:t>
      </w:r>
      <w:r w:rsidR="00290421">
        <w:rPr>
          <w:rFonts w:ascii="Arial Narrow" w:hAnsi="Arial Narrow"/>
          <w:snapToGrid w:val="0"/>
          <w:sz w:val="18"/>
        </w:rPr>
        <w:t>Reported incorrectly in the commentary and ESC Advice. Corrected prior to the finalisations of the PBAC minutes.</w:t>
      </w:r>
    </w:p>
    <w:p w14:paraId="61F9B6A3" w14:textId="691261DB" w:rsidR="00AB31A5" w:rsidRPr="00AB31A5" w:rsidRDefault="00AB31A5" w:rsidP="00154879">
      <w:pPr>
        <w:keepLines/>
        <w:contextualSpacing/>
        <w:jc w:val="left"/>
        <w:rPr>
          <w:rFonts w:ascii="Arial Narrow" w:hAnsi="Arial Narrow"/>
          <w:i/>
          <w:iCs/>
          <w:snapToGrid w:val="0"/>
          <w:sz w:val="18"/>
          <w:szCs w:val="18"/>
        </w:rPr>
      </w:pPr>
      <w:r w:rsidRPr="00AB31A5">
        <w:rPr>
          <w:rFonts w:ascii="Arial Narrow" w:hAnsi="Arial Narrow"/>
          <w:i/>
          <w:iCs/>
          <w:snapToGrid w:val="0"/>
          <w:sz w:val="18"/>
          <w:szCs w:val="18"/>
        </w:rPr>
        <w:t>The redacted values correspond to the following ranges:</w:t>
      </w:r>
    </w:p>
    <w:p w14:paraId="43E063B5" w14:textId="29752EA8" w:rsidR="00AB31A5" w:rsidRPr="00AB31A5" w:rsidRDefault="00AB31A5" w:rsidP="00154879">
      <w:pPr>
        <w:keepLines/>
        <w:contextualSpacing/>
        <w:jc w:val="left"/>
        <w:rPr>
          <w:rFonts w:ascii="Arial Narrow" w:hAnsi="Arial Narrow"/>
          <w:i/>
          <w:iCs/>
          <w:snapToGrid w:val="0"/>
          <w:sz w:val="18"/>
          <w:szCs w:val="18"/>
        </w:rPr>
      </w:pPr>
      <w:r w:rsidRPr="00AB31A5">
        <w:rPr>
          <w:rFonts w:ascii="Arial Narrow" w:hAnsi="Arial Narrow"/>
          <w:i/>
          <w:iCs/>
          <w:snapToGrid w:val="0"/>
          <w:sz w:val="18"/>
          <w:szCs w:val="18"/>
          <w:vertAlign w:val="superscript"/>
        </w:rPr>
        <w:t>1</w:t>
      </w:r>
      <w:r w:rsidRPr="00CE0D5C">
        <w:rPr>
          <w:rFonts w:ascii="Arial Narrow" w:hAnsi="Arial Narrow"/>
          <w:i/>
          <w:iCs/>
          <w:snapToGrid w:val="0"/>
          <w:sz w:val="18"/>
          <w:szCs w:val="18"/>
        </w:rPr>
        <w:t xml:space="preserve"> </w:t>
      </w:r>
      <w:r w:rsidR="001706B1" w:rsidRPr="00CE0D5C">
        <w:rPr>
          <w:rFonts w:ascii="Arial Narrow" w:hAnsi="Arial Narrow"/>
          <w:i/>
          <w:iCs/>
          <w:snapToGrid w:val="0"/>
          <w:sz w:val="18"/>
          <w:szCs w:val="18"/>
        </w:rPr>
        <w:t>$75,000 to &lt; $95,000</w:t>
      </w:r>
    </w:p>
    <w:p w14:paraId="125DDE17" w14:textId="2B345FDA" w:rsidR="00AB31A5" w:rsidRPr="00AB31A5" w:rsidRDefault="00AB31A5" w:rsidP="00154879">
      <w:pPr>
        <w:keepLines/>
        <w:contextualSpacing/>
        <w:jc w:val="left"/>
        <w:rPr>
          <w:rFonts w:ascii="Arial Narrow" w:hAnsi="Arial Narrow"/>
          <w:i/>
          <w:iCs/>
          <w:snapToGrid w:val="0"/>
          <w:sz w:val="18"/>
          <w:szCs w:val="18"/>
        </w:rPr>
      </w:pPr>
      <w:r w:rsidRPr="00AB31A5">
        <w:rPr>
          <w:rFonts w:ascii="Arial Narrow" w:hAnsi="Arial Narrow"/>
          <w:i/>
          <w:iCs/>
          <w:snapToGrid w:val="0"/>
          <w:sz w:val="18"/>
          <w:szCs w:val="18"/>
          <w:vertAlign w:val="superscript"/>
        </w:rPr>
        <w:t>2</w:t>
      </w:r>
      <w:r w:rsidRPr="00CE0D5C">
        <w:rPr>
          <w:rFonts w:ascii="Arial Narrow" w:hAnsi="Arial Narrow"/>
          <w:i/>
          <w:iCs/>
          <w:snapToGrid w:val="0"/>
          <w:sz w:val="18"/>
          <w:szCs w:val="18"/>
        </w:rPr>
        <w:t xml:space="preserve"> </w:t>
      </w:r>
      <w:r w:rsidR="001706B1" w:rsidRPr="00CE0D5C">
        <w:rPr>
          <w:rFonts w:ascii="Arial Narrow" w:hAnsi="Arial Narrow"/>
          <w:i/>
          <w:iCs/>
          <w:snapToGrid w:val="0"/>
          <w:sz w:val="18"/>
          <w:szCs w:val="18"/>
        </w:rPr>
        <w:t>$55,000 to &lt; $75,000</w:t>
      </w:r>
    </w:p>
    <w:p w14:paraId="361DC8D6" w14:textId="1D7D2450" w:rsidR="00AB31A5" w:rsidRPr="00AB31A5" w:rsidRDefault="00AB31A5" w:rsidP="00154879">
      <w:pPr>
        <w:keepLines/>
        <w:contextualSpacing/>
        <w:jc w:val="left"/>
        <w:rPr>
          <w:rFonts w:ascii="Arial Narrow" w:hAnsi="Arial Narrow"/>
          <w:i/>
          <w:iCs/>
          <w:snapToGrid w:val="0"/>
          <w:sz w:val="18"/>
          <w:szCs w:val="18"/>
        </w:rPr>
      </w:pPr>
      <w:r w:rsidRPr="00AB31A5">
        <w:rPr>
          <w:rFonts w:ascii="Arial Narrow" w:hAnsi="Arial Narrow"/>
          <w:i/>
          <w:iCs/>
          <w:snapToGrid w:val="0"/>
          <w:sz w:val="18"/>
          <w:szCs w:val="18"/>
          <w:vertAlign w:val="superscript"/>
        </w:rPr>
        <w:t>3</w:t>
      </w:r>
      <w:r w:rsidRPr="00CE0D5C">
        <w:rPr>
          <w:rFonts w:ascii="Arial Narrow" w:hAnsi="Arial Narrow"/>
          <w:i/>
          <w:iCs/>
          <w:snapToGrid w:val="0"/>
          <w:sz w:val="18"/>
          <w:szCs w:val="18"/>
        </w:rPr>
        <w:t xml:space="preserve"> </w:t>
      </w:r>
      <w:r w:rsidR="001568C9">
        <w:rPr>
          <w:rFonts w:ascii="Arial Narrow" w:hAnsi="Arial Narrow"/>
          <w:i/>
          <w:iCs/>
          <w:snapToGrid w:val="0"/>
          <w:sz w:val="18"/>
          <w:szCs w:val="18"/>
        </w:rPr>
        <w:t>$45,000 to &lt; $55.000</w:t>
      </w:r>
    </w:p>
    <w:p w14:paraId="0DC6710A" w14:textId="37DF4C02" w:rsidR="00AB31A5" w:rsidRPr="00CE0D5C" w:rsidRDefault="00AB31A5" w:rsidP="00154879">
      <w:pPr>
        <w:keepLines/>
        <w:contextualSpacing/>
        <w:jc w:val="left"/>
        <w:rPr>
          <w:rFonts w:ascii="Arial Narrow" w:hAnsi="Arial Narrow"/>
          <w:i/>
          <w:iCs/>
          <w:snapToGrid w:val="0"/>
          <w:sz w:val="18"/>
          <w:szCs w:val="18"/>
          <w:vertAlign w:val="superscript"/>
        </w:rPr>
      </w:pPr>
      <w:r w:rsidRPr="00CE0D5C">
        <w:rPr>
          <w:rFonts w:ascii="Arial Narrow" w:hAnsi="Arial Narrow"/>
          <w:i/>
          <w:iCs/>
          <w:snapToGrid w:val="0"/>
          <w:sz w:val="18"/>
          <w:szCs w:val="18"/>
          <w:vertAlign w:val="superscript"/>
        </w:rPr>
        <w:t xml:space="preserve">4 </w:t>
      </w:r>
      <w:r w:rsidR="00D6304D" w:rsidRPr="00D6304D">
        <w:rPr>
          <w:rFonts w:ascii="Arial Narrow" w:hAnsi="Arial Narrow"/>
          <w:i/>
          <w:iCs/>
          <w:snapToGrid w:val="0"/>
          <w:sz w:val="18"/>
          <w:szCs w:val="18"/>
        </w:rPr>
        <w:t>$115,000</w:t>
      </w:r>
      <w:r w:rsidR="007E7723">
        <w:rPr>
          <w:rFonts w:ascii="Arial" w:hAnsi="Arial"/>
          <w:i/>
          <w:iCs/>
          <w:snapToGrid w:val="0"/>
          <w:sz w:val="18"/>
          <w:szCs w:val="18"/>
        </w:rPr>
        <w:t> </w:t>
      </w:r>
      <w:r w:rsidR="00D6304D" w:rsidRPr="00D6304D">
        <w:rPr>
          <w:rFonts w:ascii="Arial Narrow" w:hAnsi="Arial Narrow"/>
          <w:i/>
          <w:iCs/>
          <w:snapToGrid w:val="0"/>
          <w:sz w:val="18"/>
          <w:szCs w:val="18"/>
        </w:rPr>
        <w:t>to</w:t>
      </w:r>
      <w:r w:rsidR="007E7723">
        <w:rPr>
          <w:rFonts w:ascii="Arial" w:hAnsi="Arial"/>
          <w:i/>
          <w:iCs/>
          <w:snapToGrid w:val="0"/>
          <w:sz w:val="18"/>
          <w:szCs w:val="18"/>
        </w:rPr>
        <w:t> </w:t>
      </w:r>
      <w:r w:rsidR="00D6304D" w:rsidRPr="00D6304D">
        <w:rPr>
          <w:rFonts w:ascii="Arial Narrow" w:hAnsi="Arial Narrow"/>
          <w:i/>
          <w:iCs/>
          <w:snapToGrid w:val="0"/>
          <w:sz w:val="18"/>
          <w:szCs w:val="18"/>
        </w:rPr>
        <w:t>&lt;</w:t>
      </w:r>
      <w:r w:rsidR="007E7723">
        <w:rPr>
          <w:rFonts w:ascii="Arial" w:hAnsi="Arial"/>
          <w:i/>
          <w:iCs/>
          <w:snapToGrid w:val="0"/>
          <w:sz w:val="18"/>
          <w:szCs w:val="18"/>
        </w:rPr>
        <w:t> </w:t>
      </w:r>
      <w:r w:rsidR="00D6304D" w:rsidRPr="00D6304D">
        <w:rPr>
          <w:rFonts w:ascii="Arial Narrow" w:hAnsi="Arial Narrow"/>
          <w:i/>
          <w:iCs/>
          <w:snapToGrid w:val="0"/>
          <w:sz w:val="18"/>
          <w:szCs w:val="18"/>
        </w:rPr>
        <w:t>$135,000</w:t>
      </w:r>
    </w:p>
    <w:p w14:paraId="4EDF67FF" w14:textId="721E1DAF" w:rsidR="00AB31A5" w:rsidRPr="00B42A24" w:rsidRDefault="00AB31A5" w:rsidP="00154879">
      <w:pPr>
        <w:keepLines/>
        <w:contextualSpacing/>
        <w:jc w:val="left"/>
        <w:rPr>
          <w:rFonts w:ascii="Arial Narrow" w:hAnsi="Arial Narrow"/>
          <w:i/>
          <w:iCs/>
          <w:snapToGrid w:val="0"/>
          <w:sz w:val="18"/>
          <w:szCs w:val="18"/>
        </w:rPr>
      </w:pPr>
      <w:r w:rsidRPr="00CE0D5C">
        <w:rPr>
          <w:rFonts w:ascii="Arial Narrow" w:hAnsi="Arial Narrow"/>
          <w:i/>
          <w:iCs/>
          <w:snapToGrid w:val="0"/>
          <w:sz w:val="18"/>
          <w:szCs w:val="18"/>
          <w:vertAlign w:val="superscript"/>
        </w:rPr>
        <w:t>5</w:t>
      </w:r>
      <w:r w:rsidR="00B42A24">
        <w:rPr>
          <w:rFonts w:ascii="Arial Narrow" w:hAnsi="Arial Narrow"/>
          <w:i/>
          <w:iCs/>
          <w:snapToGrid w:val="0"/>
          <w:sz w:val="18"/>
          <w:szCs w:val="18"/>
        </w:rPr>
        <w:t xml:space="preserve"> $35,000 to &lt; $45,000</w:t>
      </w:r>
    </w:p>
    <w:p w14:paraId="389880FC" w14:textId="04E68634" w:rsidR="00AB31A5" w:rsidRPr="004134C9" w:rsidRDefault="00AB31A5" w:rsidP="00154879">
      <w:pPr>
        <w:keepLines/>
        <w:contextualSpacing/>
        <w:jc w:val="left"/>
        <w:rPr>
          <w:rFonts w:ascii="Arial Narrow" w:hAnsi="Arial Narrow"/>
          <w:i/>
          <w:iCs/>
          <w:snapToGrid w:val="0"/>
          <w:sz w:val="18"/>
          <w:szCs w:val="18"/>
        </w:rPr>
      </w:pPr>
      <w:r w:rsidRPr="00CE0D5C">
        <w:rPr>
          <w:rFonts w:ascii="Arial Narrow" w:hAnsi="Arial Narrow"/>
          <w:i/>
          <w:iCs/>
          <w:snapToGrid w:val="0"/>
          <w:sz w:val="18"/>
          <w:szCs w:val="18"/>
          <w:vertAlign w:val="superscript"/>
        </w:rPr>
        <w:t>6</w:t>
      </w:r>
      <w:r w:rsidR="004134C9">
        <w:rPr>
          <w:rFonts w:ascii="Arial Narrow" w:hAnsi="Arial Narrow"/>
          <w:i/>
          <w:iCs/>
          <w:snapToGrid w:val="0"/>
          <w:sz w:val="18"/>
          <w:szCs w:val="18"/>
          <w:vertAlign w:val="superscript"/>
        </w:rPr>
        <w:t xml:space="preserve"> </w:t>
      </w:r>
      <w:r w:rsidR="004134C9" w:rsidRPr="004134C9">
        <w:rPr>
          <w:rFonts w:ascii="Arial Narrow" w:hAnsi="Arial Narrow"/>
          <w:i/>
          <w:iCs/>
          <w:snapToGrid w:val="0"/>
          <w:sz w:val="18"/>
          <w:szCs w:val="18"/>
        </w:rPr>
        <w:t>$155,000</w:t>
      </w:r>
      <w:r w:rsidR="004134C9">
        <w:rPr>
          <w:rFonts w:ascii="Arial Narrow" w:hAnsi="Arial Narrow"/>
          <w:i/>
          <w:iCs/>
          <w:snapToGrid w:val="0"/>
          <w:sz w:val="18"/>
          <w:szCs w:val="18"/>
        </w:rPr>
        <w:t> </w:t>
      </w:r>
      <w:r w:rsidR="004134C9" w:rsidRPr="004134C9">
        <w:rPr>
          <w:rFonts w:ascii="Arial Narrow" w:hAnsi="Arial Narrow"/>
          <w:i/>
          <w:iCs/>
          <w:snapToGrid w:val="0"/>
          <w:sz w:val="18"/>
          <w:szCs w:val="18"/>
        </w:rPr>
        <w:t>to</w:t>
      </w:r>
      <w:r w:rsidR="004134C9">
        <w:rPr>
          <w:rFonts w:ascii="Arial Narrow" w:hAnsi="Arial Narrow"/>
          <w:i/>
          <w:iCs/>
          <w:snapToGrid w:val="0"/>
          <w:sz w:val="18"/>
          <w:szCs w:val="18"/>
        </w:rPr>
        <w:t> </w:t>
      </w:r>
      <w:r w:rsidR="004134C9" w:rsidRPr="004134C9">
        <w:rPr>
          <w:rFonts w:ascii="Arial Narrow" w:hAnsi="Arial Narrow"/>
          <w:i/>
          <w:iCs/>
          <w:snapToGrid w:val="0"/>
          <w:sz w:val="18"/>
          <w:szCs w:val="18"/>
        </w:rPr>
        <w:t>&lt;</w:t>
      </w:r>
      <w:r w:rsidR="004134C9">
        <w:rPr>
          <w:rFonts w:ascii="Arial Narrow" w:hAnsi="Arial Narrow"/>
          <w:i/>
          <w:iCs/>
          <w:snapToGrid w:val="0"/>
          <w:sz w:val="18"/>
          <w:szCs w:val="18"/>
        </w:rPr>
        <w:t> </w:t>
      </w:r>
      <w:r w:rsidR="004134C9" w:rsidRPr="004134C9">
        <w:rPr>
          <w:rFonts w:ascii="Arial Narrow" w:hAnsi="Arial Narrow"/>
          <w:i/>
          <w:iCs/>
          <w:snapToGrid w:val="0"/>
          <w:sz w:val="18"/>
          <w:szCs w:val="18"/>
        </w:rPr>
        <w:t>$255,000</w:t>
      </w:r>
    </w:p>
    <w:p w14:paraId="157A88E5" w14:textId="3B3B3944" w:rsidR="00AB31A5" w:rsidRPr="00CE0D5C" w:rsidRDefault="00AB31A5" w:rsidP="00765141">
      <w:pPr>
        <w:keepLines/>
        <w:spacing w:after="120"/>
        <w:contextualSpacing/>
        <w:jc w:val="left"/>
        <w:rPr>
          <w:rFonts w:ascii="Arial Narrow" w:hAnsi="Arial Narrow"/>
          <w:i/>
          <w:iCs/>
          <w:snapToGrid w:val="0"/>
          <w:sz w:val="18"/>
          <w:szCs w:val="18"/>
          <w:vertAlign w:val="superscript"/>
        </w:rPr>
      </w:pPr>
      <w:r w:rsidRPr="00CE0D5C">
        <w:rPr>
          <w:rFonts w:ascii="Arial Narrow" w:hAnsi="Arial Narrow"/>
          <w:i/>
          <w:iCs/>
          <w:snapToGrid w:val="0"/>
          <w:sz w:val="18"/>
          <w:szCs w:val="18"/>
          <w:vertAlign w:val="superscript"/>
        </w:rPr>
        <w:t>7</w:t>
      </w:r>
      <w:r w:rsidR="00AA18F9">
        <w:rPr>
          <w:rFonts w:ascii="Arial Narrow" w:hAnsi="Arial Narrow"/>
          <w:i/>
          <w:iCs/>
          <w:snapToGrid w:val="0"/>
          <w:sz w:val="18"/>
          <w:szCs w:val="18"/>
          <w:vertAlign w:val="superscript"/>
        </w:rPr>
        <w:t xml:space="preserve"> </w:t>
      </w:r>
      <w:r w:rsidR="00AA18F9" w:rsidRPr="00AA18F9">
        <w:rPr>
          <w:rFonts w:ascii="Arial Narrow" w:hAnsi="Arial Narrow"/>
          <w:i/>
          <w:iCs/>
          <w:snapToGrid w:val="0"/>
          <w:sz w:val="18"/>
          <w:szCs w:val="18"/>
        </w:rPr>
        <w:t>$95,000</w:t>
      </w:r>
      <w:r w:rsidR="00AA18F9">
        <w:rPr>
          <w:rFonts w:ascii="Arial Narrow" w:hAnsi="Arial Narrow"/>
          <w:i/>
          <w:iCs/>
          <w:snapToGrid w:val="0"/>
          <w:sz w:val="18"/>
          <w:szCs w:val="18"/>
        </w:rPr>
        <w:t> </w:t>
      </w:r>
      <w:r w:rsidR="00AA18F9" w:rsidRPr="00AA18F9">
        <w:rPr>
          <w:rFonts w:ascii="Arial Narrow" w:hAnsi="Arial Narrow"/>
          <w:i/>
          <w:iCs/>
          <w:snapToGrid w:val="0"/>
          <w:sz w:val="18"/>
          <w:szCs w:val="18"/>
        </w:rPr>
        <w:t>to</w:t>
      </w:r>
      <w:r w:rsidR="00AA18F9">
        <w:rPr>
          <w:rFonts w:ascii="Arial Narrow" w:hAnsi="Arial Narrow"/>
          <w:i/>
          <w:iCs/>
          <w:snapToGrid w:val="0"/>
          <w:sz w:val="18"/>
          <w:szCs w:val="18"/>
        </w:rPr>
        <w:t> </w:t>
      </w:r>
      <w:r w:rsidR="00AA18F9" w:rsidRPr="00AA18F9">
        <w:rPr>
          <w:rFonts w:ascii="Arial Narrow" w:hAnsi="Arial Narrow"/>
          <w:i/>
          <w:iCs/>
          <w:snapToGrid w:val="0"/>
          <w:sz w:val="18"/>
          <w:szCs w:val="18"/>
        </w:rPr>
        <w:t>&lt;</w:t>
      </w:r>
      <w:r w:rsidR="00AA18F9">
        <w:rPr>
          <w:rFonts w:ascii="Arial Narrow" w:hAnsi="Arial Narrow"/>
          <w:i/>
          <w:iCs/>
          <w:snapToGrid w:val="0"/>
          <w:sz w:val="18"/>
          <w:szCs w:val="18"/>
        </w:rPr>
        <w:t> </w:t>
      </w:r>
      <w:r w:rsidR="00AA18F9" w:rsidRPr="00AA18F9">
        <w:rPr>
          <w:rFonts w:ascii="Arial Narrow" w:hAnsi="Arial Narrow"/>
          <w:i/>
          <w:iCs/>
          <w:snapToGrid w:val="0"/>
          <w:sz w:val="18"/>
          <w:szCs w:val="18"/>
        </w:rPr>
        <w:t>$115,000</w:t>
      </w:r>
    </w:p>
    <w:p w14:paraId="06FB2EE7" w14:textId="0C73C258" w:rsidR="00EC68D4" w:rsidRPr="00620E0B" w:rsidRDefault="00BA0A0A" w:rsidP="00EF4C49">
      <w:pPr>
        <w:pStyle w:val="3-BodyText"/>
        <w:rPr>
          <w:snapToGrid w:val="0"/>
        </w:rPr>
      </w:pPr>
      <w:r>
        <w:rPr>
          <w:snapToGrid w:val="0"/>
        </w:rPr>
        <w:t>The PBAC recalled it had previously recommended targeted therapies for NSCLC w</w:t>
      </w:r>
      <w:r w:rsidR="00AC4C2D">
        <w:rPr>
          <w:snapToGrid w:val="0"/>
        </w:rPr>
        <w:t>ith</w:t>
      </w:r>
      <w:r>
        <w:rPr>
          <w:snapToGrid w:val="0"/>
        </w:rPr>
        <w:t xml:space="preserve"> an ICER of &lt;</w:t>
      </w:r>
      <w:r w:rsidR="00D418DC">
        <w:rPr>
          <w:snapToGrid w:val="0"/>
        </w:rPr>
        <w:t> </w:t>
      </w:r>
      <w:r w:rsidR="00D418DC" w:rsidRPr="00D418DC">
        <w:rPr>
          <w:snapToGrid w:val="0"/>
        </w:rPr>
        <w:t>$55,000</w:t>
      </w:r>
      <w:r w:rsidR="00D418DC">
        <w:rPr>
          <w:snapToGrid w:val="0"/>
        </w:rPr>
        <w:t> </w:t>
      </w:r>
      <w:r w:rsidR="00D418DC" w:rsidRPr="00D418DC">
        <w:rPr>
          <w:snapToGrid w:val="0"/>
        </w:rPr>
        <w:t>to</w:t>
      </w:r>
      <w:r w:rsidR="00D418DC">
        <w:rPr>
          <w:snapToGrid w:val="0"/>
        </w:rPr>
        <w:t> </w:t>
      </w:r>
      <w:r w:rsidR="00D418DC" w:rsidRPr="00D418DC">
        <w:rPr>
          <w:snapToGrid w:val="0"/>
        </w:rPr>
        <w:t>&lt;</w:t>
      </w:r>
      <w:r w:rsidR="00D418DC">
        <w:rPr>
          <w:snapToGrid w:val="0"/>
        </w:rPr>
        <w:t> </w:t>
      </w:r>
      <w:r w:rsidR="00D418DC" w:rsidRPr="00D418DC">
        <w:rPr>
          <w:snapToGrid w:val="0"/>
        </w:rPr>
        <w:t>$75,000</w:t>
      </w:r>
      <w:r w:rsidR="00D418DC" w:rsidRPr="00D418DC" w:rsidDel="00D418DC">
        <w:rPr>
          <w:snapToGrid w:val="0"/>
        </w:rPr>
        <w:t xml:space="preserve"> </w:t>
      </w:r>
      <w:r>
        <w:rPr>
          <w:snapToGrid w:val="0"/>
        </w:rPr>
        <w:t>per QALY (</w:t>
      </w:r>
      <w:r w:rsidR="00D74010">
        <w:rPr>
          <w:snapToGrid w:val="0"/>
        </w:rPr>
        <w:t xml:space="preserve">paragraph 7.13, selpercatinib PSD, July 2024 PBAC meeting). </w:t>
      </w:r>
    </w:p>
    <w:p w14:paraId="3D6785F0" w14:textId="5409E1E2" w:rsidR="00765141" w:rsidRPr="0098262F" w:rsidRDefault="00765141" w:rsidP="00765141">
      <w:pPr>
        <w:pStyle w:val="4-SubsectionHeading"/>
      </w:pPr>
      <w:bookmarkStart w:id="103" w:name="_Toc22897646"/>
      <w:bookmarkStart w:id="104" w:name="_Toc174628142"/>
      <w:bookmarkStart w:id="105" w:name="_Toc177532586"/>
      <w:bookmarkStart w:id="106" w:name="_Toc177548284"/>
      <w:r>
        <w:lastRenderedPageBreak/>
        <w:t>Drug</w:t>
      </w:r>
      <w:r w:rsidRPr="0098262F">
        <w:t xml:space="preserve"> cost/patient/</w:t>
      </w:r>
      <w:bookmarkEnd w:id="103"/>
      <w:r w:rsidR="00E22F6E">
        <w:t>course</w:t>
      </w:r>
      <w:bookmarkEnd w:id="104"/>
      <w:bookmarkEnd w:id="105"/>
      <w:bookmarkEnd w:id="106"/>
    </w:p>
    <w:p w14:paraId="478A29BE" w14:textId="5DB2A468" w:rsidR="00765141" w:rsidRDefault="00765141" w:rsidP="00455FC1">
      <w:pPr>
        <w:pStyle w:val="Caption"/>
        <w:rPr>
          <w:rStyle w:val="CommentReference"/>
          <w:b/>
          <w:szCs w:val="24"/>
        </w:rPr>
      </w:pPr>
      <w:bookmarkStart w:id="107" w:name="_Ref104805102"/>
      <w:r w:rsidRPr="0098262F">
        <w:t xml:space="preserve">Table </w:t>
      </w:r>
      <w:r w:rsidR="002C794C">
        <w:fldChar w:fldCharType="begin"/>
      </w:r>
      <w:r w:rsidR="002C794C">
        <w:instrText xml:space="preserve"> SEQ Table \* ARABIC </w:instrText>
      </w:r>
      <w:r w:rsidR="002C794C">
        <w:fldChar w:fldCharType="separate"/>
      </w:r>
      <w:r w:rsidR="00372107">
        <w:rPr>
          <w:noProof/>
        </w:rPr>
        <w:t>14</w:t>
      </w:r>
      <w:r w:rsidR="002C794C">
        <w:rPr>
          <w:noProof/>
        </w:rPr>
        <w:fldChar w:fldCharType="end"/>
      </w:r>
      <w:bookmarkEnd w:id="107"/>
      <w:r w:rsidRPr="0098262F">
        <w:t>:</w:t>
      </w:r>
      <w:r w:rsidRPr="0098262F">
        <w:rPr>
          <w:rStyle w:val="CommentReference"/>
          <w:b/>
          <w:szCs w:val="24"/>
        </w:rPr>
        <w:t xml:space="preserve"> Drug cost per patient for </w:t>
      </w:r>
      <w:r>
        <w:rPr>
          <w:rStyle w:val="CommentReference"/>
          <w:b/>
          <w:szCs w:val="24"/>
        </w:rPr>
        <w:t>amivantamab</w:t>
      </w:r>
      <w:r w:rsidR="00D9234F">
        <w:rPr>
          <w:rStyle w:val="CommentReference"/>
          <w:b/>
          <w:szCs w:val="24"/>
        </w:rPr>
        <w:t xml:space="preserve"> when used in combination with PBC</w:t>
      </w:r>
      <w:r w:rsidR="00CC0E86">
        <w:rPr>
          <w:rStyle w:val="CommentReference"/>
          <w:b/>
          <w:szCs w:val="24"/>
        </w:rPr>
        <w:t xml:space="preserve"> (using </w:t>
      </w:r>
      <w:r w:rsidR="00AA28DE">
        <w:rPr>
          <w:rStyle w:val="CommentReference"/>
          <w:b/>
          <w:szCs w:val="24"/>
        </w:rPr>
        <w:t>requested effective price)</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275"/>
        <w:gridCol w:w="1276"/>
        <w:gridCol w:w="1276"/>
        <w:gridCol w:w="1276"/>
        <w:gridCol w:w="1134"/>
        <w:gridCol w:w="1223"/>
      </w:tblGrid>
      <w:tr w:rsidR="00C60F7D" w14:paraId="1AED4C1D" w14:textId="77777777" w:rsidTr="00455FC1">
        <w:trPr>
          <w:cantSplit/>
          <w:tblHeader/>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14:paraId="11616FAE" w14:textId="77777777" w:rsidR="00C60F7D" w:rsidRDefault="00C60F7D" w:rsidP="00455FC1">
            <w:pPr>
              <w:pStyle w:val="In-tableHeading"/>
              <w:rPr>
                <w:lang w:eastAsia="en-US"/>
              </w:rPr>
            </w:pP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62062081" w14:textId="4C0E9B4A" w:rsidR="00C60F7D" w:rsidRDefault="005047C7" w:rsidP="00455FC1">
            <w:pPr>
              <w:pStyle w:val="In-tableHeading"/>
              <w:rPr>
                <w:lang w:eastAsia="en-US"/>
              </w:rPr>
            </w:pPr>
            <w:r>
              <w:rPr>
                <w:lang w:eastAsia="en-US"/>
              </w:rPr>
              <w:t xml:space="preserve">ACP </w:t>
            </w:r>
          </w:p>
        </w:tc>
        <w:tc>
          <w:tcPr>
            <w:tcW w:w="3633" w:type="dxa"/>
            <w:gridSpan w:val="3"/>
            <w:tcBorders>
              <w:top w:val="single" w:sz="4" w:space="0" w:color="auto"/>
              <w:left w:val="single" w:sz="4" w:space="0" w:color="auto"/>
              <w:bottom w:val="single" w:sz="4" w:space="0" w:color="auto"/>
              <w:right w:val="single" w:sz="4" w:space="0" w:color="auto"/>
            </w:tcBorders>
            <w:vAlign w:val="center"/>
            <w:hideMark/>
          </w:tcPr>
          <w:p w14:paraId="2019DAD8" w14:textId="77777777" w:rsidR="00C60F7D" w:rsidRDefault="00C60F7D" w:rsidP="00455FC1">
            <w:pPr>
              <w:pStyle w:val="In-tableHeading"/>
              <w:rPr>
                <w:lang w:eastAsia="en-US"/>
              </w:rPr>
            </w:pPr>
            <w:r>
              <w:rPr>
                <w:lang w:eastAsia="en-US"/>
              </w:rPr>
              <w:t>CP</w:t>
            </w:r>
          </w:p>
        </w:tc>
      </w:tr>
      <w:tr w:rsidR="00C60F7D" w14:paraId="5B4C4753" w14:textId="77777777" w:rsidTr="00455FC1">
        <w:trPr>
          <w:cantSplit/>
          <w:tblHeader/>
          <w:jc w:val="center"/>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C8DBE7E" w14:textId="77777777" w:rsidR="00C60F7D" w:rsidRDefault="00C60F7D" w:rsidP="00455FC1">
            <w:pPr>
              <w:keepNext/>
              <w:spacing w:line="256" w:lineRule="auto"/>
              <w:jc w:val="left"/>
              <w:rPr>
                <w:rFonts w:ascii="Arial Narrow" w:eastAsiaTheme="majorEastAsia" w:hAnsi="Arial Narrow" w:cs="Times New Roman"/>
                <w:b/>
                <w:kern w:val="2"/>
                <w:sz w:val="20"/>
                <w:lang w:val="en-US" w:eastAsia="en-US"/>
                <w14:ligatures w14:val="standardContextual"/>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04D1A5F8" w14:textId="1C84F987" w:rsidR="00C60F7D" w:rsidRDefault="00C60F7D" w:rsidP="00455FC1">
            <w:pPr>
              <w:pStyle w:val="In-tableHeading"/>
              <w:rPr>
                <w:lang w:eastAsia="en-US"/>
              </w:rPr>
            </w:pPr>
            <w:r>
              <w:rPr>
                <w:lang w:eastAsia="en-US"/>
              </w:rPr>
              <w:t xml:space="preserve">Trial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D8C56D" w14:textId="77777777" w:rsidR="00C60F7D" w:rsidRDefault="00C60F7D" w:rsidP="00455FC1">
            <w:pPr>
              <w:pStyle w:val="In-tableHeading"/>
              <w:rPr>
                <w:lang w:eastAsia="en-US"/>
              </w:rPr>
            </w:pPr>
            <w:r>
              <w:rPr>
                <w:lang w:eastAsia="en-US"/>
              </w:rPr>
              <w:t>Model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C1AD87E" w14:textId="77777777" w:rsidR="00C60F7D" w:rsidRDefault="00C60F7D" w:rsidP="00455FC1">
            <w:pPr>
              <w:pStyle w:val="In-tableHeading"/>
              <w:rPr>
                <w:lang w:eastAsia="en-US"/>
              </w:rPr>
            </w:pPr>
            <w:r>
              <w:rPr>
                <w:lang w:eastAsia="en-US"/>
              </w:rPr>
              <w:t>Financial estimates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010D8" w14:textId="346562EC" w:rsidR="00C60F7D" w:rsidRDefault="00C60F7D" w:rsidP="00455FC1">
            <w:pPr>
              <w:pStyle w:val="In-tableHeading"/>
              <w:rPr>
                <w:lang w:eastAsia="en-US"/>
              </w:rPr>
            </w:pPr>
            <w:r>
              <w:rPr>
                <w:lang w:eastAsia="en-US"/>
              </w:rPr>
              <w:t xml:space="preserve">Trial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C31BB7" w14:textId="77777777" w:rsidR="00C60F7D" w:rsidRDefault="00C60F7D" w:rsidP="00455FC1">
            <w:pPr>
              <w:pStyle w:val="In-tableHeading"/>
              <w:rPr>
                <w:lang w:eastAsia="en-US"/>
              </w:rPr>
            </w:pPr>
            <w:r>
              <w:rPr>
                <w:lang w:eastAsia="en-US"/>
              </w:rPr>
              <w:t>Model</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80B0F06" w14:textId="77777777" w:rsidR="00C60F7D" w:rsidRDefault="00C60F7D" w:rsidP="00455FC1">
            <w:pPr>
              <w:pStyle w:val="In-tableHeading"/>
              <w:rPr>
                <w:lang w:eastAsia="en-US"/>
              </w:rPr>
            </w:pPr>
            <w:r>
              <w:rPr>
                <w:lang w:eastAsia="en-US"/>
              </w:rPr>
              <w:t>Financial estimates</w:t>
            </w:r>
          </w:p>
        </w:tc>
      </w:tr>
      <w:tr w:rsidR="00C60F7D" w14:paraId="4EF568E8" w14:textId="77777777" w:rsidTr="00455FC1">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8591598" w14:textId="77777777" w:rsidR="00C60F7D" w:rsidRDefault="00C60F7D" w:rsidP="00455FC1">
            <w:pPr>
              <w:pStyle w:val="TableText0"/>
              <w:spacing w:line="256" w:lineRule="auto"/>
              <w:rPr>
                <w:kern w:val="2"/>
                <w:lang w:eastAsia="en-US"/>
                <w14:ligatures w14:val="standardContextual"/>
              </w:rPr>
            </w:pPr>
            <w:r>
              <w:rPr>
                <w:kern w:val="2"/>
                <w:lang w:eastAsia="en-US"/>
                <w14:ligatures w14:val="standardContextual"/>
              </w:rPr>
              <w:t>Mean duration (months)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C9E24EA"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10.19</w:t>
            </w:r>
            <w:r>
              <w:rPr>
                <w:kern w:val="2"/>
                <w:vertAlign w:val="superscript"/>
                <w:lang w:eastAsia="en-US"/>
                <w14:ligatures w14:val="standardContextual"/>
              </w:rPr>
              <w:t xml:space="preserve"> 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9FADD6E"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15.42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0D962F"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15.38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75F03" w14:textId="18E0E4FC"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 2.17</w:t>
            </w:r>
          </w:p>
          <w:p w14:paraId="59150367"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P: 7.32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307670" w14:textId="5A79FFDE"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 2.8</w:t>
            </w:r>
          </w:p>
          <w:p w14:paraId="5C3C6F5E" w14:textId="77777777" w:rsidR="00C60F7D" w:rsidRDefault="00C60F7D" w:rsidP="00455FC1">
            <w:pPr>
              <w:pStyle w:val="TableText0"/>
              <w:spacing w:line="256" w:lineRule="auto"/>
              <w:jc w:val="center"/>
              <w:rPr>
                <w:kern w:val="2"/>
                <w:vertAlign w:val="superscript"/>
                <w:lang w:eastAsia="en-US"/>
                <w14:ligatures w14:val="standardContextual"/>
              </w:rPr>
            </w:pPr>
            <w:r>
              <w:rPr>
                <w:kern w:val="2"/>
                <w:lang w:eastAsia="en-US"/>
                <w14:ligatures w14:val="standardContextual"/>
              </w:rPr>
              <w:t>P: 8.16</w:t>
            </w:r>
            <w:r>
              <w:rPr>
                <w:kern w:val="2"/>
                <w:vertAlign w:val="superscript"/>
                <w:lang w:eastAsia="en-US"/>
                <w14:ligatures w14:val="standardContextual"/>
              </w:rPr>
              <w:t>e</w:t>
            </w:r>
          </w:p>
        </w:tc>
        <w:tc>
          <w:tcPr>
            <w:tcW w:w="1223" w:type="dxa"/>
            <w:tcBorders>
              <w:top w:val="single" w:sz="4" w:space="0" w:color="auto"/>
              <w:left w:val="single" w:sz="4" w:space="0" w:color="auto"/>
              <w:bottom w:val="single" w:sz="4" w:space="0" w:color="auto"/>
              <w:right w:val="single" w:sz="4" w:space="0" w:color="auto"/>
            </w:tcBorders>
            <w:vAlign w:val="center"/>
            <w:hideMark/>
          </w:tcPr>
          <w:p w14:paraId="15894A55"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NI</w:t>
            </w:r>
          </w:p>
        </w:tc>
      </w:tr>
      <w:tr w:rsidR="00C60F7D" w14:paraId="5A29E9B5" w14:textId="77777777" w:rsidTr="00455FC1">
        <w:trPr>
          <w:cantSplit/>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7C677CE" w14:textId="77777777" w:rsidR="00C60F7D" w:rsidRDefault="00C60F7D" w:rsidP="00455FC1">
            <w:pPr>
              <w:pStyle w:val="TableText0"/>
              <w:spacing w:line="256" w:lineRule="auto"/>
              <w:rPr>
                <w:kern w:val="2"/>
                <w:lang w:eastAsia="en-US"/>
                <w14:ligatures w14:val="standardContextual"/>
              </w:rPr>
            </w:pPr>
            <w:r>
              <w:rPr>
                <w:kern w:val="2"/>
                <w:lang w:eastAsia="en-US"/>
                <w14:ligatures w14:val="standardContextual"/>
              </w:rPr>
              <w:t xml:space="preserve">Cost/patient/cycle [Initiating]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5F6825" w14:textId="228A76A6" w:rsidR="00AA3E0F"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r>
              <w:rPr>
                <w:kern w:val="2"/>
                <w:lang w:eastAsia="en-US"/>
                <w14:ligatures w14:val="standardContextual"/>
              </w:rPr>
              <w:t xml:space="preserve"> </w:t>
            </w:r>
          </w:p>
          <w:p w14:paraId="53EEE669" w14:textId="6FE167FE"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(Cycle 1)</w:t>
            </w:r>
          </w:p>
          <w:p w14:paraId="25B8C88C" w14:textId="6BBB06B4" w:rsidR="00EA64D6"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r>
              <w:rPr>
                <w:kern w:val="2"/>
                <w:lang w:eastAsia="en-US"/>
                <w14:ligatures w14:val="standardContextual"/>
              </w:rPr>
              <w:t xml:space="preserve"> </w:t>
            </w:r>
          </w:p>
          <w:p w14:paraId="0F0A3C6A" w14:textId="2297698B"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(Cycle 2-4)</w:t>
            </w:r>
            <w:r>
              <w:rPr>
                <w:kern w:val="2"/>
                <w:vertAlign w:val="superscript"/>
                <w:lang w:eastAsia="en-US"/>
                <w14:ligatures w14:val="standardContextual"/>
              </w:rPr>
              <w:t>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286E68" w14:textId="5C572021" w:rsidR="00AA3E0F"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r>
              <w:rPr>
                <w:kern w:val="2"/>
                <w:lang w:eastAsia="en-US"/>
                <w14:ligatures w14:val="standardContextual"/>
              </w:rPr>
              <w:t xml:space="preserve"> </w:t>
            </w:r>
          </w:p>
          <w:p w14:paraId="16BC6210" w14:textId="1257D238"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(Cycle 1)</w:t>
            </w:r>
          </w:p>
          <w:p w14:paraId="6A9BC1B9" w14:textId="72AB7201" w:rsidR="00EA64D6"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r>
              <w:rPr>
                <w:kern w:val="2"/>
                <w:lang w:eastAsia="en-US"/>
                <w14:ligatures w14:val="standardContextual"/>
              </w:rPr>
              <w:t xml:space="preserve"> </w:t>
            </w:r>
          </w:p>
          <w:p w14:paraId="540AB217" w14:textId="24945C0A"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(Cycle 2-4)</w:t>
            </w:r>
            <w:r>
              <w:rPr>
                <w:kern w:val="2"/>
                <w:vertAlign w:val="superscript"/>
                <w:lang w:eastAsia="en-US"/>
                <w14:ligatures w14:val="standardContextual"/>
              </w:rPr>
              <w:t>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5EF1A0" w14:textId="1A14B4C4" w:rsidR="00C60F7D" w:rsidRDefault="00C60F7D" w:rsidP="00455FC1">
            <w:pPr>
              <w:pStyle w:val="TableText0"/>
              <w:spacing w:line="256" w:lineRule="auto"/>
              <w:jc w:val="center"/>
              <w:rPr>
                <w:kern w:val="2"/>
                <w:vertAlign w:val="superscript"/>
                <w:lang w:eastAsia="en-US"/>
                <w14:ligatures w14:val="standardContextual"/>
              </w:rPr>
            </w:pPr>
            <w:r>
              <w:rPr>
                <w:kern w:val="2"/>
                <w:lang w:eastAsia="en-US"/>
                <w14:ligatures w14:val="standardContextual"/>
              </w:rPr>
              <w:t>$</w:t>
            </w:r>
            <w:r w:rsidR="00CE016F" w:rsidRPr="00372107">
              <w:rPr>
                <w:rFonts w:hint="eastAsia"/>
                <w:color w:val="000000"/>
                <w:w w:val="15"/>
                <w:shd w:val="solid" w:color="000000" w:fill="000000"/>
                <w:fitText w:val="14" w:id="-762139901"/>
                <w:lang w:eastAsia="en-US"/>
                <w14:textFill>
                  <w14:solidFill>
                    <w14:srgbClr w14:val="000000">
                      <w14:alpha w14:val="100000"/>
                    </w14:srgbClr>
                  </w14:solidFill>
                </w14:textFill>
                <w14:ligatures w14:val="standardContextual"/>
              </w:rPr>
              <w:t xml:space="preserve">　</w:t>
            </w:r>
            <w:r w:rsidR="00CE016F" w:rsidRPr="00372107">
              <w:rPr>
                <w:color w:val="000000"/>
                <w:w w:val="15"/>
                <w:shd w:val="solid" w:color="000000" w:fill="000000"/>
                <w:fitText w:val="14" w:id="-762139901"/>
                <w:lang w:eastAsia="en-US"/>
                <w14:textFill>
                  <w14:solidFill>
                    <w14:srgbClr w14:val="000000">
                      <w14:alpha w14:val="100000"/>
                    </w14:srgbClr>
                  </w14:solidFill>
                </w14:textFill>
                <w14:ligatures w14:val="standardContextual"/>
              </w:rPr>
              <w:t>|</w:t>
            </w:r>
            <w:r w:rsidR="00CE016F" w:rsidRPr="00372107">
              <w:rPr>
                <w:rFonts w:hint="eastAsia"/>
                <w:color w:val="000000"/>
                <w:spacing w:val="-51"/>
                <w:w w:val="15"/>
                <w:shd w:val="solid" w:color="000000" w:fill="000000"/>
                <w:fitText w:val="14" w:id="-762139901"/>
                <w:lang w:eastAsia="en-US"/>
                <w14:textFill>
                  <w14:solidFill>
                    <w14:srgbClr w14:val="000000">
                      <w14:alpha w14:val="100000"/>
                    </w14:srgbClr>
                  </w14:solidFill>
                </w14:textFill>
                <w14:ligatures w14:val="standardContextual"/>
              </w:rPr>
              <w:t xml:space="preserve">　</w:t>
            </w:r>
            <w:r w:rsidRPr="00D41F00">
              <w:rPr>
                <w:kern w:val="2"/>
                <w:vertAlign w:val="superscript"/>
                <w:lang w:eastAsia="en-US"/>
                <w14:ligatures w14:val="standardContextual"/>
              </w:rPr>
              <w:t>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6855BA" w14:textId="24D5A975"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 $149</w:t>
            </w:r>
            <w:r>
              <w:rPr>
                <w:kern w:val="2"/>
                <w:vertAlign w:val="superscript"/>
                <w:lang w:eastAsia="en-US"/>
                <w14:ligatures w14:val="standardContextual"/>
              </w:rPr>
              <w:t>b</w:t>
            </w:r>
          </w:p>
          <w:p w14:paraId="5FAD88CD" w14:textId="77777777" w:rsidR="00C60F7D" w:rsidRDefault="00C60F7D" w:rsidP="00455FC1">
            <w:pPr>
              <w:pStyle w:val="TableText0"/>
              <w:spacing w:line="256" w:lineRule="auto"/>
              <w:jc w:val="center"/>
              <w:rPr>
                <w:kern w:val="2"/>
                <w:highlight w:val="yellow"/>
                <w:lang w:eastAsia="en-US"/>
                <w14:ligatures w14:val="standardContextual"/>
              </w:rPr>
            </w:pPr>
            <w:r>
              <w:rPr>
                <w:kern w:val="2"/>
                <w:lang w:eastAsia="en-US"/>
                <w14:ligatures w14:val="standardContextual"/>
              </w:rPr>
              <w:t>P: $141</w:t>
            </w:r>
            <w:r>
              <w:rPr>
                <w:kern w:val="2"/>
                <w:vertAlign w:val="superscript"/>
                <w:lang w:eastAsia="en-US"/>
                <w14:ligatures w14:val="standardContextual"/>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65FE36" w14:textId="310FD6AF"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 $149</w:t>
            </w:r>
            <w:r>
              <w:rPr>
                <w:kern w:val="2"/>
                <w:vertAlign w:val="superscript"/>
                <w:lang w:eastAsia="en-US"/>
                <w14:ligatures w14:val="standardContextual"/>
              </w:rPr>
              <w:t xml:space="preserve"> b</w:t>
            </w:r>
          </w:p>
          <w:p w14:paraId="26D61A03"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P: $141</w:t>
            </w:r>
            <w:r>
              <w:rPr>
                <w:kern w:val="2"/>
                <w:vertAlign w:val="superscript"/>
                <w:lang w:eastAsia="en-US"/>
                <w14:ligatures w14:val="standardContextual"/>
              </w:rPr>
              <w:t xml:space="preserve"> b</w:t>
            </w:r>
          </w:p>
        </w:tc>
        <w:tc>
          <w:tcPr>
            <w:tcW w:w="1223" w:type="dxa"/>
            <w:tcBorders>
              <w:top w:val="single" w:sz="4" w:space="0" w:color="auto"/>
              <w:left w:val="single" w:sz="4" w:space="0" w:color="auto"/>
              <w:bottom w:val="single" w:sz="4" w:space="0" w:color="auto"/>
              <w:right w:val="single" w:sz="4" w:space="0" w:color="auto"/>
            </w:tcBorders>
            <w:vAlign w:val="center"/>
            <w:hideMark/>
          </w:tcPr>
          <w:p w14:paraId="7EB0A7FF"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NI</w:t>
            </w:r>
          </w:p>
        </w:tc>
      </w:tr>
      <w:tr w:rsidR="00C60F7D" w14:paraId="0A694CC9" w14:textId="77777777" w:rsidTr="00455FC1">
        <w:trPr>
          <w:cantSplit/>
          <w:trHeight w:val="52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4F79933" w14:textId="77777777" w:rsidR="00C60F7D" w:rsidRDefault="00C60F7D" w:rsidP="00455FC1">
            <w:pPr>
              <w:pStyle w:val="TableText0"/>
              <w:spacing w:line="256" w:lineRule="auto"/>
              <w:rPr>
                <w:kern w:val="2"/>
                <w:lang w:eastAsia="en-US"/>
                <w14:ligatures w14:val="standardContextual"/>
              </w:rPr>
            </w:pPr>
            <w:r>
              <w:rPr>
                <w:kern w:val="2"/>
                <w:lang w:eastAsia="en-US"/>
                <w14:ligatures w14:val="standardContextual"/>
              </w:rPr>
              <w:t xml:space="preserve">Cost/patient/cycle [Continuing]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BD0833" w14:textId="41D90FE2"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r>
              <w:rPr>
                <w:kern w:val="2"/>
                <w:vertAlign w:val="superscript"/>
                <w:lang w:eastAsia="en-US"/>
                <w14:ligatures w14:val="standardContextual"/>
              </w:rPr>
              <w:t>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F08217" w14:textId="11E2587D" w:rsidR="00C60F7D" w:rsidRDefault="00C60F7D" w:rsidP="00455FC1">
            <w:pPr>
              <w:pStyle w:val="TableText0"/>
              <w:spacing w:line="256" w:lineRule="auto"/>
              <w:jc w:val="center"/>
              <w:rPr>
                <w:kern w:val="2"/>
                <w:vertAlign w:val="superscript"/>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r>
              <w:rPr>
                <w:kern w:val="2"/>
                <w:vertAlign w:val="superscript"/>
                <w:lang w:eastAsia="en-US"/>
                <w14:ligatures w14:val="standardContextual"/>
              </w:rPr>
              <w:t>b</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BB860C" w14:textId="0A0F8B20"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r>
              <w:rPr>
                <w:kern w:val="2"/>
                <w:vertAlign w:val="superscript"/>
                <w:lang w:eastAsia="en-US"/>
                <w14:ligatures w14:val="standardContextual"/>
              </w:rPr>
              <w:t>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123E18" w14:textId="77777777" w:rsidR="00C60F7D" w:rsidRDefault="00C60F7D" w:rsidP="00455FC1">
            <w:pPr>
              <w:pStyle w:val="TableText0"/>
              <w:spacing w:line="256" w:lineRule="auto"/>
              <w:jc w:val="center"/>
              <w:rPr>
                <w:kern w:val="2"/>
                <w:highlight w:val="yellow"/>
                <w:lang w:eastAsia="en-US"/>
                <w14:ligatures w14:val="standardContextual"/>
              </w:rPr>
            </w:pPr>
            <w:r>
              <w:rPr>
                <w:kern w:val="2"/>
                <w:lang w:eastAsia="en-US"/>
                <w14:ligatures w14:val="standardContextual"/>
              </w:rPr>
              <w:t>P: $141</w:t>
            </w:r>
            <w:r>
              <w:rPr>
                <w:kern w:val="2"/>
                <w:vertAlign w:val="superscript"/>
                <w:lang w:eastAsia="en-US"/>
                <w14:ligatures w14:val="standardContextual"/>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E5005A"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P: $141</w:t>
            </w:r>
            <w:r>
              <w:rPr>
                <w:kern w:val="2"/>
                <w:vertAlign w:val="superscript"/>
                <w:lang w:eastAsia="en-US"/>
                <w14:ligatures w14:val="standardContextual"/>
              </w:rPr>
              <w:t>b</w:t>
            </w:r>
          </w:p>
        </w:tc>
        <w:tc>
          <w:tcPr>
            <w:tcW w:w="1223" w:type="dxa"/>
            <w:tcBorders>
              <w:top w:val="single" w:sz="4" w:space="0" w:color="auto"/>
              <w:left w:val="single" w:sz="4" w:space="0" w:color="auto"/>
              <w:bottom w:val="single" w:sz="4" w:space="0" w:color="auto"/>
              <w:right w:val="single" w:sz="4" w:space="0" w:color="auto"/>
            </w:tcBorders>
            <w:vAlign w:val="center"/>
            <w:hideMark/>
          </w:tcPr>
          <w:p w14:paraId="534B4A2C"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NI</w:t>
            </w:r>
          </w:p>
        </w:tc>
      </w:tr>
      <w:tr w:rsidR="00C60F7D" w14:paraId="47FEC71C" w14:textId="77777777" w:rsidTr="00455FC1">
        <w:trPr>
          <w:cantSplit/>
          <w:trHeight w:val="465"/>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4B3637C" w14:textId="77777777" w:rsidR="00C60F7D" w:rsidRDefault="00C60F7D" w:rsidP="00455FC1">
            <w:pPr>
              <w:pStyle w:val="TableText0"/>
              <w:spacing w:line="256" w:lineRule="auto"/>
              <w:rPr>
                <w:kern w:val="2"/>
                <w:lang w:eastAsia="en-US"/>
                <w14:ligatures w14:val="standardContextual"/>
              </w:rPr>
            </w:pPr>
            <w:r>
              <w:rPr>
                <w:kern w:val="2"/>
                <w:lang w:eastAsia="en-US"/>
                <w14:ligatures w14:val="standardContextual"/>
              </w:rPr>
              <w:t>Cost/patient/course</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FC42D1" w14:textId="090DEB39"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9C43AA" w14:textId="71CA85F8" w:rsidR="00C60F7D" w:rsidRPr="00290421" w:rsidRDefault="00C60F7D" w:rsidP="00455FC1">
            <w:pPr>
              <w:pStyle w:val="TableText0"/>
              <w:spacing w:line="256" w:lineRule="auto"/>
              <w:jc w:val="center"/>
              <w:rPr>
                <w:kern w:val="2"/>
                <w:highlight w:val="yellow"/>
                <w:vertAlign w:val="superscript"/>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r w:rsidR="00290421">
              <w:rPr>
                <w:kern w:val="2"/>
                <w:vertAlign w:val="superscript"/>
                <w:lang w:eastAsia="en-US"/>
                <w14:ligatures w14:val="standardContextual"/>
              </w:rPr>
              <w:t>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DC8E6D" w14:textId="6B7FDF9A" w:rsidR="00C60F7D" w:rsidRDefault="00C60F7D" w:rsidP="00455FC1">
            <w:pPr>
              <w:pStyle w:val="TableText0"/>
              <w:spacing w:line="256" w:lineRule="auto"/>
              <w:jc w:val="center"/>
              <w:rPr>
                <w:kern w:val="2"/>
                <w:highlight w:val="yellow"/>
                <w:lang w:eastAsia="en-US"/>
                <w14:ligatures w14:val="standardContextual"/>
              </w:rPr>
            </w:pPr>
            <w:r>
              <w:rPr>
                <w:kern w:val="2"/>
                <w:lang w:eastAsia="en-US"/>
                <w14:ligatures w14:val="standardContextual"/>
              </w:rPr>
              <w:t>$</w:t>
            </w:r>
            <w:r w:rsidR="00CE016F" w:rsidRPr="00CE016F">
              <w:rPr>
                <w:color w:val="000000"/>
                <w:kern w:val="2"/>
                <w:shd w:val="solid" w:color="000000" w:fill="000000"/>
                <w:lang w:eastAsia="en-US"/>
                <w14:textFill>
                  <w14:solidFill>
                    <w14:srgbClr w14:val="000000">
                      <w14:alpha w14:val="100000"/>
                    </w14:srgbClr>
                  </w14:solidFill>
                </w14:textFill>
                <w14:ligatures w14:val="standardContextual"/>
              </w:rPr>
              <w:t>|</w:t>
            </w:r>
            <w:r>
              <w:rPr>
                <w:kern w:val="2"/>
                <w:lang w:eastAsia="en-US"/>
                <w14:ligatures w14:val="standardContextual"/>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50B1E1" w14:textId="376D15B2"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 $580</w:t>
            </w:r>
          </w:p>
          <w:p w14:paraId="1FC4ED1E" w14:textId="77777777" w:rsidR="00C60F7D" w:rsidRDefault="00C60F7D" w:rsidP="00455FC1">
            <w:pPr>
              <w:pStyle w:val="TableText0"/>
              <w:spacing w:line="256" w:lineRule="auto"/>
              <w:jc w:val="center"/>
              <w:rPr>
                <w:kern w:val="2"/>
                <w:highlight w:val="yellow"/>
                <w:lang w:eastAsia="en-US"/>
                <w14:ligatures w14:val="standardContextual"/>
              </w:rPr>
            </w:pPr>
            <w:r>
              <w:rPr>
                <w:kern w:val="2"/>
                <w:lang w:eastAsia="en-US"/>
                <w14:ligatures w14:val="standardContextual"/>
              </w:rPr>
              <w:t>P: $1,489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C94C59" w14:textId="724EAA9E"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C: $5</w:t>
            </w:r>
            <w:r w:rsidR="00B5172F">
              <w:rPr>
                <w:kern w:val="2"/>
                <w:lang w:eastAsia="en-US"/>
                <w14:ligatures w14:val="standardContextual"/>
              </w:rPr>
              <w:t>7</w:t>
            </w:r>
            <w:r>
              <w:rPr>
                <w:kern w:val="2"/>
                <w:lang w:eastAsia="en-US"/>
                <w14:ligatures w14:val="standardContextual"/>
              </w:rPr>
              <w:t>4</w:t>
            </w:r>
          </w:p>
          <w:p w14:paraId="2582D1DE" w14:textId="631CE7CC" w:rsidR="00C60F7D" w:rsidRDefault="00C60F7D" w:rsidP="00455FC1">
            <w:pPr>
              <w:pStyle w:val="TableText0"/>
              <w:spacing w:line="256" w:lineRule="auto"/>
              <w:jc w:val="center"/>
              <w:rPr>
                <w:kern w:val="2"/>
                <w:vertAlign w:val="superscript"/>
                <w:lang w:eastAsia="en-US"/>
                <w14:ligatures w14:val="standardContextual"/>
              </w:rPr>
            </w:pPr>
            <w:r>
              <w:rPr>
                <w:kern w:val="2"/>
                <w:lang w:eastAsia="en-US"/>
                <w14:ligatures w14:val="standardContextual"/>
              </w:rPr>
              <w:t>P: $1,888</w:t>
            </w:r>
            <w:r w:rsidR="00290421">
              <w:rPr>
                <w:kern w:val="2"/>
                <w:vertAlign w:val="superscript"/>
                <w:lang w:eastAsia="en-US"/>
                <w14:ligatures w14:val="standardContextual"/>
              </w:rPr>
              <w:t>g</w:t>
            </w:r>
          </w:p>
        </w:tc>
        <w:tc>
          <w:tcPr>
            <w:tcW w:w="1223" w:type="dxa"/>
            <w:tcBorders>
              <w:top w:val="single" w:sz="4" w:space="0" w:color="auto"/>
              <w:left w:val="single" w:sz="4" w:space="0" w:color="auto"/>
              <w:bottom w:val="single" w:sz="4" w:space="0" w:color="auto"/>
              <w:right w:val="single" w:sz="4" w:space="0" w:color="auto"/>
            </w:tcBorders>
            <w:vAlign w:val="center"/>
            <w:hideMark/>
          </w:tcPr>
          <w:p w14:paraId="26B9FBD4" w14:textId="77777777" w:rsidR="00C60F7D" w:rsidRDefault="00C60F7D" w:rsidP="00455FC1">
            <w:pPr>
              <w:pStyle w:val="TableText0"/>
              <w:spacing w:line="256" w:lineRule="auto"/>
              <w:jc w:val="center"/>
              <w:rPr>
                <w:kern w:val="2"/>
                <w:lang w:eastAsia="en-US"/>
                <w14:ligatures w14:val="standardContextual"/>
              </w:rPr>
            </w:pPr>
            <w:r>
              <w:rPr>
                <w:kern w:val="2"/>
                <w:lang w:eastAsia="en-US"/>
                <w14:ligatures w14:val="standardContextual"/>
              </w:rPr>
              <w:t>NI</w:t>
            </w:r>
          </w:p>
        </w:tc>
      </w:tr>
    </w:tbl>
    <w:p w14:paraId="142967DF" w14:textId="77777777" w:rsidR="00C60F7D" w:rsidRDefault="00C60F7D" w:rsidP="00455FC1">
      <w:pPr>
        <w:pStyle w:val="FooterTableFigure"/>
        <w:keepNext/>
      </w:pPr>
      <w:r>
        <w:t xml:space="preserve">Source: Compiled based on PAPILLON trial data (CSR), Attachment 3.1 (economic model) and Attachment 4.1 (financial estimates) of the submission </w:t>
      </w:r>
    </w:p>
    <w:p w14:paraId="1382A2AB" w14:textId="1184430B" w:rsidR="00C60F7D" w:rsidRDefault="00C60F7D" w:rsidP="00455FC1">
      <w:pPr>
        <w:pStyle w:val="FooterTableFigure"/>
        <w:keepNext/>
      </w:pPr>
      <w:r>
        <w:t xml:space="preserve">Abbreviations: </w:t>
      </w:r>
      <w:r w:rsidR="005047C7" w:rsidRPr="000C3A58">
        <w:t xml:space="preserve">ACP, amivantamab plus carboplatin/ pemetrexed; </w:t>
      </w:r>
      <w:r w:rsidR="008608CF" w:rsidRPr="000C3A58">
        <w:t>CP, carboplatin/ pemetrexed</w:t>
      </w:r>
      <w:r w:rsidR="008608CF">
        <w:t>;</w:t>
      </w:r>
      <w:r w:rsidR="008608CF" w:rsidDel="0050013E">
        <w:t xml:space="preserve"> </w:t>
      </w:r>
      <w:r>
        <w:t xml:space="preserve">C, carboplatin; </w:t>
      </w:r>
      <w:r w:rsidR="0059656D">
        <w:t xml:space="preserve">DPMQ, </w:t>
      </w:r>
      <w:r w:rsidR="009E0C60">
        <w:t>dispensed price for maximum quantity;</w:t>
      </w:r>
      <w:r w:rsidR="0059656D">
        <w:t xml:space="preserve"> EFC, </w:t>
      </w:r>
      <w:r w:rsidR="0059656D" w:rsidRPr="0059656D">
        <w:t>Efficient Funding of Chemotherapy</w:t>
      </w:r>
      <w:r w:rsidR="0059656D">
        <w:t>;</w:t>
      </w:r>
      <w:r w:rsidR="0059656D" w:rsidRPr="0059656D">
        <w:t xml:space="preserve"> </w:t>
      </w:r>
      <w:r>
        <w:t>NI, not included; P, pemetrexed</w:t>
      </w:r>
      <w:r w:rsidR="0059656D">
        <w:t xml:space="preserve">; PBC, </w:t>
      </w:r>
      <w:r w:rsidR="0059656D" w:rsidRPr="002A3B1C">
        <w:t>platinum-based chemotherapy</w:t>
      </w:r>
      <w:r w:rsidR="000E7B91">
        <w:t>; PFS, progression free survival</w:t>
      </w:r>
      <w:r w:rsidR="0059656D">
        <w:t>.</w:t>
      </w:r>
    </w:p>
    <w:p w14:paraId="15A726A2" w14:textId="77777777" w:rsidR="00C60F7D" w:rsidRDefault="00C60F7D" w:rsidP="00455FC1">
      <w:pPr>
        <w:pStyle w:val="FooterTableFigure"/>
        <w:keepNext/>
      </w:pPr>
      <w:r>
        <w:rPr>
          <w:vertAlign w:val="superscript"/>
        </w:rPr>
        <w:t>a</w:t>
      </w:r>
      <w:r>
        <w:t xml:space="preserve"> Based on the amivantamab component only as reported in the PAPILLON trial</w:t>
      </w:r>
    </w:p>
    <w:p w14:paraId="4881C448" w14:textId="000FB64F" w:rsidR="00C60F7D" w:rsidRDefault="00C60F7D" w:rsidP="00455FC1">
      <w:pPr>
        <w:pStyle w:val="FooterTableFigure"/>
        <w:keepNext/>
      </w:pPr>
      <w:r>
        <w:rPr>
          <w:vertAlign w:val="superscript"/>
        </w:rPr>
        <w:t>b</w:t>
      </w:r>
      <w:r>
        <w:t xml:space="preserve"> Calculated based on the recommended doses as product information adjusted to proportion of patients above and below 80 kg, skipped doses and dose reduction as per PAPILLON trial, relevant EFC fees and adjusted for private/public split. As per </w:t>
      </w:r>
      <w:r w:rsidR="009C2D20">
        <w:t xml:space="preserve">undiscounted </w:t>
      </w:r>
      <w:r>
        <w:t>costs presented in the economic model.</w:t>
      </w:r>
    </w:p>
    <w:p w14:paraId="3553D72C" w14:textId="18231BF1" w:rsidR="00C60F7D" w:rsidRDefault="00C60F7D" w:rsidP="00455FC1">
      <w:pPr>
        <w:pStyle w:val="FooterTableFigure"/>
        <w:keepNext/>
      </w:pPr>
      <w:r>
        <w:rPr>
          <w:vertAlign w:val="superscript"/>
        </w:rPr>
        <w:t xml:space="preserve">c </w:t>
      </w:r>
      <w:r>
        <w:t>Based on the number per year of 20.92 this was multiplied by (12/52) to get the number of scripts for the initiating period, multiplied by the DPMQ effective price for initiating treatment, divided by 4 to get the per cycle cost. The number of scripts per year is adjusted to capture the proportion of patients over/under 80kg of 84.4%/15.6%,</w:t>
      </w:r>
      <w:r w:rsidR="00573987">
        <w:t>non</w:t>
      </w:r>
      <w:r w:rsidR="00573987" w:rsidRPr="009D4989">
        <w:t>-</w:t>
      </w:r>
      <w:r w:rsidRPr="009D4989">
        <w:t xml:space="preserve"> skipped </w:t>
      </w:r>
      <w:r>
        <w:t>doses (85.5% in the under 80kg group and 88.1% in the above 80kg group) a private/public split of 61%/39% and dose reduction (93.7% for patients below 80kg, 93.5% for patient above 80kg)</w:t>
      </w:r>
    </w:p>
    <w:p w14:paraId="6C7284BB" w14:textId="77777777" w:rsidR="00C60F7D" w:rsidRPr="00290421" w:rsidRDefault="00C60F7D" w:rsidP="00455FC1">
      <w:pPr>
        <w:pStyle w:val="FooterTableFigure"/>
        <w:keepNext/>
        <w:spacing w:after="0"/>
        <w:rPr>
          <w:szCs w:val="18"/>
        </w:rPr>
      </w:pPr>
      <w:r>
        <w:rPr>
          <w:vertAlign w:val="superscript"/>
        </w:rPr>
        <w:t>d</w:t>
      </w:r>
      <w:r>
        <w:t xml:space="preserve"> Based on number of doses per year 13.95 for continuing treatment, multiplied by continuing treatment period of 54.84 weeks and DPMQ </w:t>
      </w:r>
      <w:r w:rsidRPr="00290421">
        <w:rPr>
          <w:szCs w:val="18"/>
        </w:rPr>
        <w:t>cell’J273’ of impact proposed eff tab of financial model. Divided by 18.28 to get the price per cycle, adjustments include those outlined in footnote c.</w:t>
      </w:r>
    </w:p>
    <w:p w14:paraId="005ADA4C" w14:textId="77777777" w:rsidR="00C60F7D" w:rsidRPr="00290421" w:rsidRDefault="00C60F7D" w:rsidP="00455FC1">
      <w:pPr>
        <w:pStyle w:val="FooterTableFigure"/>
        <w:keepNext/>
        <w:spacing w:after="0"/>
        <w:rPr>
          <w:szCs w:val="18"/>
        </w:rPr>
      </w:pPr>
      <w:r w:rsidRPr="00290421">
        <w:rPr>
          <w:szCs w:val="18"/>
          <w:vertAlign w:val="superscript"/>
        </w:rPr>
        <w:t>e</w:t>
      </w:r>
      <w:r w:rsidRPr="00290421">
        <w:rPr>
          <w:szCs w:val="18"/>
        </w:rPr>
        <w:t xml:space="preserve"> Based on treatment to progression (mean PFS in the CP arm of the economic model 0.68 years)</w:t>
      </w:r>
    </w:p>
    <w:p w14:paraId="66CC6762" w14:textId="4FF366BC" w:rsidR="00290421" w:rsidRPr="00290421" w:rsidRDefault="00C60F7D" w:rsidP="00455FC1">
      <w:pPr>
        <w:keepNext/>
        <w:keepLines/>
        <w:contextualSpacing/>
        <w:jc w:val="left"/>
        <w:rPr>
          <w:rFonts w:ascii="Arial Narrow" w:hAnsi="Arial Narrow"/>
          <w:snapToGrid w:val="0"/>
          <w:sz w:val="18"/>
          <w:szCs w:val="18"/>
        </w:rPr>
      </w:pPr>
      <w:r w:rsidRPr="00290421">
        <w:rPr>
          <w:rFonts w:ascii="Arial Narrow" w:hAnsi="Arial Narrow"/>
          <w:sz w:val="18"/>
          <w:szCs w:val="18"/>
          <w:vertAlign w:val="superscript"/>
        </w:rPr>
        <w:t xml:space="preserve">f </w:t>
      </w:r>
      <w:r w:rsidR="00290421" w:rsidRPr="00290421">
        <w:rPr>
          <w:rFonts w:ascii="Arial Narrow" w:hAnsi="Arial Narrow"/>
          <w:snapToGrid w:val="0"/>
          <w:sz w:val="18"/>
          <w:szCs w:val="18"/>
        </w:rPr>
        <w:t>Reported incorrectly in the commentary and ESC Advice. Corrected prior to the finalisations of the PBAC minutes.</w:t>
      </w:r>
    </w:p>
    <w:p w14:paraId="06DE7158" w14:textId="02C2BBCE" w:rsidR="003233CF" w:rsidRDefault="00290421" w:rsidP="00F0139A">
      <w:pPr>
        <w:pStyle w:val="FooterTableFigure"/>
      </w:pPr>
      <w:r w:rsidRPr="00290421">
        <w:rPr>
          <w:szCs w:val="18"/>
          <w:vertAlign w:val="superscript"/>
        </w:rPr>
        <w:t xml:space="preserve">g </w:t>
      </w:r>
      <w:r w:rsidR="00C60F7D" w:rsidRPr="00290421">
        <w:rPr>
          <w:szCs w:val="18"/>
        </w:rPr>
        <w:t>Based on an</w:t>
      </w:r>
      <w:r w:rsidR="00C60F7D">
        <w:t xml:space="preserve"> adjustment of 98.4% non-skipped doses and a dose reduction of 99.1%</w:t>
      </w:r>
    </w:p>
    <w:p w14:paraId="77BD0101" w14:textId="50091D21" w:rsidR="008748C5" w:rsidRPr="0080021D" w:rsidRDefault="001A0FC4" w:rsidP="00EF4C49">
      <w:pPr>
        <w:pStyle w:val="3-BodyText"/>
      </w:pPr>
      <w:r>
        <w:t xml:space="preserve">The cost </w:t>
      </w:r>
      <w:r w:rsidR="0015252D">
        <w:t>per patient on amivantamab second-line monothe</w:t>
      </w:r>
      <w:r w:rsidR="00A578C9">
        <w:t xml:space="preserve">rapy </w:t>
      </w:r>
      <w:r w:rsidR="00FA0B28">
        <w:t>would be differen</w:t>
      </w:r>
      <w:r w:rsidR="005B3F6A">
        <w:t>t</w:t>
      </w:r>
      <w:r w:rsidR="00EA63E8">
        <w:t xml:space="preserve"> as the</w:t>
      </w:r>
      <w:r w:rsidR="00196F9E">
        <w:t xml:space="preserve"> (truncated)</w:t>
      </w:r>
      <w:r w:rsidR="00EA63E8">
        <w:t xml:space="preserve"> </w:t>
      </w:r>
      <w:r w:rsidR="00305F89">
        <w:t>mean treatment duration with amivantamab monotherapy is shorter (5.66 months)</w:t>
      </w:r>
      <w:r w:rsidR="00D37B8D">
        <w:t xml:space="preserve"> in the PAPILLON crossover phase</w:t>
      </w:r>
      <w:r w:rsidR="00BD1D49">
        <w:t>.</w:t>
      </w:r>
      <w:r w:rsidR="00120E72">
        <w:t xml:space="preserve"> </w:t>
      </w:r>
      <w:r w:rsidR="001B5F96" w:rsidRPr="008272D0">
        <w:t xml:space="preserve">Based on </w:t>
      </w:r>
      <w:r w:rsidR="003A2665" w:rsidRPr="008272D0">
        <w:t xml:space="preserve">a </w:t>
      </w:r>
      <w:r w:rsidR="00F00FF3" w:rsidRPr="008272D0">
        <w:t xml:space="preserve">mean duration of treatment </w:t>
      </w:r>
      <w:r w:rsidR="0023050F" w:rsidRPr="008272D0">
        <w:t>(</w:t>
      </w:r>
      <w:r w:rsidR="003A2665" w:rsidRPr="008272D0">
        <w:t>median follow-up of 11.9 months</w:t>
      </w:r>
      <w:r w:rsidR="0023050F" w:rsidRPr="008272D0">
        <w:t>)</w:t>
      </w:r>
      <w:r w:rsidR="003A2665" w:rsidRPr="008272D0">
        <w:t xml:space="preserve"> </w:t>
      </w:r>
      <w:r w:rsidR="00890097" w:rsidRPr="008272D0">
        <w:t>and adjusting for dose reduction (87.7%) and treatment interruptions (66.2%)</w:t>
      </w:r>
      <w:r w:rsidR="003A2665" w:rsidRPr="008272D0">
        <w:t xml:space="preserve">, </w:t>
      </w:r>
      <w:r w:rsidR="008C6F94" w:rsidRPr="008272D0">
        <w:t>the course per treatment is estimated to be $</w:t>
      </w:r>
      <w:r w:rsidR="00CE016F" w:rsidRPr="00372107">
        <w:rPr>
          <w:color w:val="000000"/>
          <w:w w:val="15"/>
          <w:shd w:val="solid" w:color="000000" w:fill="000000"/>
          <w:fitText w:val="-20" w:id="-762139900"/>
          <w14:textFill>
            <w14:solidFill>
              <w14:srgbClr w14:val="000000">
                <w14:alpha w14:val="100000"/>
              </w14:srgbClr>
            </w14:solidFill>
          </w14:textFill>
        </w:rPr>
        <w:t xml:space="preserve">|  </w:t>
      </w:r>
      <w:r w:rsidR="00CE016F" w:rsidRPr="00372107">
        <w:rPr>
          <w:color w:val="000000"/>
          <w:spacing w:val="-69"/>
          <w:w w:val="15"/>
          <w:shd w:val="solid" w:color="000000" w:fill="000000"/>
          <w:fitText w:val="-20" w:id="-762139900"/>
          <w14:textFill>
            <w14:solidFill>
              <w14:srgbClr w14:val="000000">
                <w14:alpha w14:val="100000"/>
              </w14:srgbClr>
            </w14:solidFill>
          </w14:textFill>
        </w:rPr>
        <w:t>|</w:t>
      </w:r>
      <w:r w:rsidR="001E7040" w:rsidRPr="008272D0">
        <w:t xml:space="preserve"> per patient</w:t>
      </w:r>
      <w:r w:rsidR="001E7040">
        <w:t xml:space="preserve">. </w:t>
      </w:r>
    </w:p>
    <w:p w14:paraId="1656DEB6" w14:textId="77777777" w:rsidR="00765141" w:rsidRPr="0098262F" w:rsidRDefault="00765141" w:rsidP="00765141">
      <w:pPr>
        <w:pStyle w:val="4-SubsectionHeading"/>
      </w:pPr>
      <w:bookmarkStart w:id="108" w:name="_Toc22897647"/>
      <w:bookmarkStart w:id="109" w:name="_Toc174628143"/>
      <w:bookmarkStart w:id="110" w:name="_Toc177532587"/>
      <w:bookmarkStart w:id="111" w:name="_Toc177548285"/>
      <w:r w:rsidRPr="0098262F">
        <w:t>Estimated PBS usage &amp; financial implications</w:t>
      </w:r>
      <w:bookmarkEnd w:id="108"/>
      <w:bookmarkEnd w:id="109"/>
      <w:bookmarkEnd w:id="110"/>
      <w:bookmarkEnd w:id="111"/>
    </w:p>
    <w:p w14:paraId="6A8B94BB" w14:textId="3374A537" w:rsidR="00ED2A13" w:rsidRPr="00ED2A13" w:rsidRDefault="00ED2A13" w:rsidP="00EF4C49">
      <w:pPr>
        <w:pStyle w:val="3-BodyText"/>
      </w:pPr>
      <w:r w:rsidRPr="00ED2A13">
        <w:t>This submission w</w:t>
      </w:r>
      <w:r>
        <w:t>as</w:t>
      </w:r>
      <w:r w:rsidRPr="00ED2A13">
        <w:t xml:space="preserve"> considered by DUSC. </w:t>
      </w:r>
    </w:p>
    <w:p w14:paraId="07D5B0F7" w14:textId="77777777" w:rsidR="00ED2A13" w:rsidRPr="00ED2A13" w:rsidRDefault="00ED2A13" w:rsidP="00EF4C49">
      <w:pPr>
        <w:pStyle w:val="3-BodyText"/>
      </w:pPr>
      <w:r w:rsidRPr="00ED2A13">
        <w:t xml:space="preserve">The submission used an epidemiological approach to estimate the financial implications associated with proposed listing of amivantamab. The epidemiological model estimated the number of patients with </w:t>
      </w:r>
      <w:r w:rsidRPr="00211E1C">
        <w:rPr>
          <w:i/>
        </w:rPr>
        <w:t>EGFR</w:t>
      </w:r>
      <w:r w:rsidRPr="00ED2A13">
        <w:t xml:space="preserve"> ex20ins NSCLC likely to receive amivantamab based on Australian lung cancer incidence, prevalence of exon20ins mutations, and uptake rates for first line therapy.</w:t>
      </w:r>
    </w:p>
    <w:p w14:paraId="2BF29DD7" w14:textId="3BC00275" w:rsidR="00ED2A13" w:rsidRPr="00ED2A13" w:rsidRDefault="00ED2A13" w:rsidP="00EF4C49">
      <w:pPr>
        <w:pStyle w:val="3-BodyText"/>
      </w:pPr>
      <w:r w:rsidRPr="00ED2A13">
        <w:lastRenderedPageBreak/>
        <w:t xml:space="preserve">A summary of the key inputs in the financial analysis are </w:t>
      </w:r>
      <w:r w:rsidRPr="00252B9A">
        <w:t xml:space="preserve">presented in </w:t>
      </w:r>
      <w:r w:rsidR="00252B9A" w:rsidRPr="00252B9A">
        <w:fldChar w:fldCharType="begin"/>
      </w:r>
      <w:r w:rsidR="00252B9A" w:rsidRPr="00252B9A">
        <w:instrText xml:space="preserve"> REF _Ref104805262 \h  \* MERGEFORMAT </w:instrText>
      </w:r>
      <w:r w:rsidR="00252B9A" w:rsidRPr="00252B9A">
        <w:fldChar w:fldCharType="separate"/>
      </w:r>
      <w:r w:rsidR="00372107" w:rsidRPr="00372107">
        <w:t>Table 15</w:t>
      </w:r>
      <w:r w:rsidR="00252B9A" w:rsidRPr="00252B9A">
        <w:fldChar w:fldCharType="end"/>
      </w:r>
      <w:r w:rsidRPr="00252B9A">
        <w:t>.</w:t>
      </w:r>
    </w:p>
    <w:p w14:paraId="159E1E18" w14:textId="583EBBB9" w:rsidR="00ED2A13" w:rsidRPr="00ED2A13" w:rsidRDefault="00ED2A13" w:rsidP="00ED2A13">
      <w:pPr>
        <w:rPr>
          <w:rStyle w:val="CommentReference"/>
        </w:rPr>
      </w:pPr>
      <w:bookmarkStart w:id="112" w:name="_Ref104805262"/>
      <w:r w:rsidRPr="00ED2A13">
        <w:rPr>
          <w:rStyle w:val="CommentReference"/>
        </w:rPr>
        <w:t xml:space="preserve">Table </w:t>
      </w:r>
      <w:r w:rsidRPr="00ED2A13">
        <w:rPr>
          <w:rStyle w:val="CommentReference"/>
        </w:rPr>
        <w:fldChar w:fldCharType="begin"/>
      </w:r>
      <w:r w:rsidRPr="00ED2A13">
        <w:rPr>
          <w:rStyle w:val="CommentReference"/>
        </w:rPr>
        <w:instrText xml:space="preserve"> SEQ Table \* ARABIC </w:instrText>
      </w:r>
      <w:r w:rsidRPr="00ED2A13">
        <w:rPr>
          <w:rStyle w:val="CommentReference"/>
        </w:rPr>
        <w:fldChar w:fldCharType="separate"/>
      </w:r>
      <w:r w:rsidR="00372107">
        <w:rPr>
          <w:rStyle w:val="CommentReference"/>
          <w:noProof/>
        </w:rPr>
        <w:t>15</w:t>
      </w:r>
      <w:r w:rsidRPr="00ED2A13">
        <w:rPr>
          <w:rStyle w:val="CommentReference"/>
        </w:rPr>
        <w:fldChar w:fldCharType="end"/>
      </w:r>
      <w:bookmarkEnd w:id="112"/>
      <w:r w:rsidRPr="00ED2A13">
        <w:rPr>
          <w:rStyle w:val="CommentReference"/>
        </w:rPr>
        <w:t>: Key inputs for financial estimates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8"/>
        <w:gridCol w:w="1988"/>
        <w:gridCol w:w="3918"/>
      </w:tblGrid>
      <w:tr w:rsidR="00ED2A13" w:rsidRPr="00ED2A13" w14:paraId="0E10E2E1" w14:textId="77777777" w:rsidTr="0034550D">
        <w:trPr>
          <w:tblHeader/>
        </w:trPr>
        <w:tc>
          <w:tcPr>
            <w:tcW w:w="862" w:type="pct"/>
          </w:tcPr>
          <w:p w14:paraId="6DF54227" w14:textId="77777777" w:rsidR="00ED2A13" w:rsidRPr="00ED2A13" w:rsidRDefault="00ED2A13" w:rsidP="00B94038">
            <w:pPr>
              <w:jc w:val="left"/>
              <w:rPr>
                <w:rFonts w:ascii="Arial Narrow" w:hAnsi="Arial Narrow"/>
                <w:b/>
                <w:sz w:val="20"/>
                <w:szCs w:val="20"/>
                <w:lang w:val="en-US"/>
              </w:rPr>
            </w:pPr>
            <w:r w:rsidRPr="00ED2A13">
              <w:rPr>
                <w:rFonts w:ascii="Arial Narrow" w:hAnsi="Arial Narrow"/>
                <w:b/>
                <w:sz w:val="20"/>
                <w:szCs w:val="20"/>
                <w:lang w:val="en-US"/>
              </w:rPr>
              <w:t>Data</w:t>
            </w:r>
          </w:p>
        </w:tc>
        <w:tc>
          <w:tcPr>
            <w:tcW w:w="864" w:type="pct"/>
          </w:tcPr>
          <w:p w14:paraId="74F7BE49" w14:textId="77777777" w:rsidR="00ED2A13" w:rsidRPr="00ED2A13" w:rsidRDefault="00ED2A13" w:rsidP="00B94038">
            <w:pPr>
              <w:jc w:val="left"/>
              <w:rPr>
                <w:rFonts w:ascii="Arial Narrow" w:hAnsi="Arial Narrow"/>
                <w:b/>
                <w:sz w:val="20"/>
                <w:szCs w:val="20"/>
                <w:lang w:val="en-US"/>
              </w:rPr>
            </w:pPr>
            <w:r w:rsidRPr="00ED2A13">
              <w:rPr>
                <w:rFonts w:ascii="Arial Narrow" w:hAnsi="Arial Narrow"/>
                <w:b/>
                <w:sz w:val="20"/>
                <w:szCs w:val="20"/>
                <w:lang w:val="en-US"/>
              </w:rPr>
              <w:t>Value</w:t>
            </w:r>
          </w:p>
        </w:tc>
        <w:tc>
          <w:tcPr>
            <w:tcW w:w="1102" w:type="pct"/>
          </w:tcPr>
          <w:p w14:paraId="5F4BFAEB" w14:textId="77777777" w:rsidR="00ED2A13" w:rsidRPr="00ED2A13" w:rsidRDefault="00ED2A13" w:rsidP="00B94038">
            <w:pPr>
              <w:jc w:val="left"/>
              <w:rPr>
                <w:rFonts w:ascii="Arial Narrow" w:hAnsi="Arial Narrow"/>
                <w:b/>
                <w:sz w:val="20"/>
                <w:szCs w:val="20"/>
                <w:lang w:val="en-US"/>
              </w:rPr>
            </w:pPr>
            <w:r w:rsidRPr="00ED2A13">
              <w:rPr>
                <w:rFonts w:ascii="Arial Narrow" w:hAnsi="Arial Narrow"/>
                <w:b/>
                <w:sz w:val="20"/>
                <w:szCs w:val="20"/>
                <w:lang w:val="en-US"/>
              </w:rPr>
              <w:t>Source</w:t>
            </w:r>
          </w:p>
        </w:tc>
        <w:tc>
          <w:tcPr>
            <w:tcW w:w="2172" w:type="pct"/>
          </w:tcPr>
          <w:p w14:paraId="00E5E1B7" w14:textId="77777777" w:rsidR="00ED2A13" w:rsidRPr="00ED2A13" w:rsidRDefault="00ED2A13" w:rsidP="00B94038">
            <w:pPr>
              <w:jc w:val="left"/>
              <w:rPr>
                <w:rFonts w:ascii="Arial Narrow" w:hAnsi="Arial Narrow"/>
                <w:b/>
                <w:sz w:val="20"/>
                <w:szCs w:val="20"/>
                <w:lang w:val="en-US"/>
              </w:rPr>
            </w:pPr>
            <w:r w:rsidRPr="00ED2A13">
              <w:rPr>
                <w:rFonts w:ascii="Arial Narrow" w:hAnsi="Arial Narrow"/>
                <w:b/>
                <w:sz w:val="20"/>
                <w:szCs w:val="20"/>
                <w:lang w:val="en-US"/>
              </w:rPr>
              <w:t>Comment</w:t>
            </w:r>
          </w:p>
        </w:tc>
      </w:tr>
      <w:tr w:rsidR="00ED2A13" w:rsidRPr="00ED2A13" w14:paraId="0375B75B" w14:textId="77777777" w:rsidTr="0034550D">
        <w:tc>
          <w:tcPr>
            <w:tcW w:w="862" w:type="pct"/>
          </w:tcPr>
          <w:p w14:paraId="38DC8A76"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Proportions of NSCLC and Stage IIIB/IV disease</w:t>
            </w:r>
            <w:r w:rsidRPr="00ED2A13" w:rsidDel="00E55413">
              <w:rPr>
                <w:rFonts w:ascii="Arial Narrow" w:hAnsi="Arial Narrow"/>
                <w:bCs/>
                <w:sz w:val="20"/>
                <w:szCs w:val="20"/>
              </w:rPr>
              <w:t xml:space="preserve"> </w:t>
            </w:r>
          </w:p>
        </w:tc>
        <w:tc>
          <w:tcPr>
            <w:tcW w:w="864" w:type="pct"/>
          </w:tcPr>
          <w:p w14:paraId="7FB8A319"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 xml:space="preserve">86.6% &amp; 65.5% </w:t>
            </w:r>
          </w:p>
        </w:tc>
        <w:tc>
          <w:tcPr>
            <w:tcW w:w="1102" w:type="pct"/>
          </w:tcPr>
          <w:p w14:paraId="6955F083"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Mitchell et al., 2013; mobocertinib PSD.</w:t>
            </w:r>
          </w:p>
        </w:tc>
        <w:tc>
          <w:tcPr>
            <w:tcW w:w="2172" w:type="pct"/>
          </w:tcPr>
          <w:p w14:paraId="20F8CA4D" w14:textId="1DC39543"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Th</w:t>
            </w:r>
            <w:r w:rsidR="00CC5738">
              <w:rPr>
                <w:rFonts w:ascii="Arial Narrow" w:hAnsi="Arial Narrow"/>
                <w:bCs/>
                <w:sz w:val="20"/>
                <w:szCs w:val="20"/>
              </w:rPr>
              <w:t>e evaluation considered this</w:t>
            </w:r>
            <w:r w:rsidRPr="00ED2A13">
              <w:rPr>
                <w:rFonts w:ascii="Arial Narrow" w:hAnsi="Arial Narrow"/>
                <w:bCs/>
                <w:sz w:val="20"/>
                <w:szCs w:val="20"/>
              </w:rPr>
              <w:t xml:space="preserve"> was reasonable and consistent with </w:t>
            </w:r>
            <w:r w:rsidR="00412846">
              <w:rPr>
                <w:rFonts w:ascii="Arial Narrow" w:hAnsi="Arial Narrow"/>
                <w:bCs/>
                <w:sz w:val="20"/>
                <w:szCs w:val="20"/>
              </w:rPr>
              <w:t xml:space="preserve">that </w:t>
            </w:r>
            <w:r w:rsidRPr="00ED2A13">
              <w:rPr>
                <w:rFonts w:ascii="Arial Narrow" w:hAnsi="Arial Narrow"/>
                <w:bCs/>
                <w:sz w:val="20"/>
                <w:szCs w:val="20"/>
              </w:rPr>
              <w:t>previously accepted for mobocertinib (mobocertinib PSD July 2023 PBAC meeting), and entrectinib (</w:t>
            </w:r>
            <w:r w:rsidR="008F7080">
              <w:rPr>
                <w:rFonts w:ascii="Arial Narrow" w:hAnsi="Arial Narrow"/>
                <w:bCs/>
                <w:sz w:val="20"/>
                <w:szCs w:val="20"/>
              </w:rPr>
              <w:t>e</w:t>
            </w:r>
            <w:r w:rsidRPr="00ED2A13">
              <w:rPr>
                <w:rFonts w:ascii="Arial Narrow" w:hAnsi="Arial Narrow"/>
                <w:bCs/>
                <w:sz w:val="20"/>
                <w:szCs w:val="20"/>
              </w:rPr>
              <w:t>ntrectinib PSD, March 2020 PBAC meeting).</w:t>
            </w:r>
          </w:p>
        </w:tc>
      </w:tr>
      <w:tr w:rsidR="00ED2A13" w:rsidRPr="00ED2A13" w14:paraId="3CF065A0" w14:textId="77777777" w:rsidTr="0034550D">
        <w:tc>
          <w:tcPr>
            <w:tcW w:w="862" w:type="pct"/>
          </w:tcPr>
          <w:p w14:paraId="5607C731"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Proportions with Stage IIIA disease and those who would progress to Stage IIIB or Stage IV</w:t>
            </w:r>
          </w:p>
        </w:tc>
        <w:tc>
          <w:tcPr>
            <w:tcW w:w="864" w:type="pct"/>
          </w:tcPr>
          <w:p w14:paraId="0371984B"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11.8% &amp; 60%</w:t>
            </w:r>
          </w:p>
        </w:tc>
        <w:tc>
          <w:tcPr>
            <w:tcW w:w="1102" w:type="pct"/>
          </w:tcPr>
          <w:p w14:paraId="37EC2188" w14:textId="32BE7FD4"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 xml:space="preserve">Mitchell et al., 2013. Aligned to mobocertinib submission, which was based on Table 17, </w:t>
            </w:r>
            <w:r w:rsidR="007D2C6E">
              <w:rPr>
                <w:rFonts w:ascii="Arial Narrow" w:hAnsi="Arial Narrow"/>
                <w:bCs/>
                <w:sz w:val="20"/>
                <w:szCs w:val="20"/>
              </w:rPr>
              <w:t>p</w:t>
            </w:r>
            <w:r w:rsidRPr="00ED2A13">
              <w:rPr>
                <w:rFonts w:ascii="Arial Narrow" w:hAnsi="Arial Narrow"/>
                <w:bCs/>
                <w:sz w:val="20"/>
                <w:szCs w:val="20"/>
              </w:rPr>
              <w:t>embrolizumab PSD, November 2018 PBAC meeting.</w:t>
            </w:r>
          </w:p>
        </w:tc>
        <w:tc>
          <w:tcPr>
            <w:tcW w:w="2172" w:type="pct"/>
          </w:tcPr>
          <w:p w14:paraId="78CF1F4A" w14:textId="513AC06E" w:rsidR="00ED2A13" w:rsidRPr="00ED2A13" w:rsidRDefault="00ED2A13" w:rsidP="00B94038">
            <w:pPr>
              <w:jc w:val="left"/>
              <w:rPr>
                <w:rFonts w:ascii="Arial Narrow" w:hAnsi="Arial Narrow"/>
                <w:b/>
                <w:bCs/>
                <w:sz w:val="20"/>
                <w:szCs w:val="20"/>
              </w:rPr>
            </w:pPr>
            <w:r w:rsidRPr="00ED2A13">
              <w:rPr>
                <w:rFonts w:ascii="Arial Narrow" w:hAnsi="Arial Narrow"/>
                <w:bCs/>
                <w:sz w:val="20"/>
                <w:szCs w:val="20"/>
              </w:rPr>
              <w:t>Th</w:t>
            </w:r>
            <w:r w:rsidR="00615494">
              <w:rPr>
                <w:rFonts w:ascii="Arial Narrow" w:hAnsi="Arial Narrow"/>
                <w:bCs/>
                <w:sz w:val="20"/>
                <w:szCs w:val="20"/>
              </w:rPr>
              <w:t>e evaluation considered this</w:t>
            </w:r>
            <w:r w:rsidRPr="00ED2A13">
              <w:rPr>
                <w:rFonts w:ascii="Arial Narrow" w:hAnsi="Arial Narrow"/>
                <w:bCs/>
                <w:sz w:val="20"/>
                <w:szCs w:val="20"/>
              </w:rPr>
              <w:t xml:space="preserve"> was reasonable and consistent with </w:t>
            </w:r>
            <w:r w:rsidR="00615494">
              <w:rPr>
                <w:rFonts w:ascii="Arial Narrow" w:hAnsi="Arial Narrow"/>
                <w:bCs/>
                <w:sz w:val="20"/>
                <w:szCs w:val="20"/>
              </w:rPr>
              <w:t xml:space="preserve">that </w:t>
            </w:r>
            <w:r w:rsidRPr="00ED2A13">
              <w:rPr>
                <w:rFonts w:ascii="Arial Narrow" w:hAnsi="Arial Narrow"/>
                <w:bCs/>
                <w:sz w:val="20"/>
                <w:szCs w:val="20"/>
              </w:rPr>
              <w:t>previously accepted for mobocertinib (mobocertinib PSD</w:t>
            </w:r>
            <w:r w:rsidR="005E6379">
              <w:rPr>
                <w:rFonts w:ascii="Arial Narrow" w:hAnsi="Arial Narrow"/>
                <w:bCs/>
                <w:sz w:val="20"/>
                <w:szCs w:val="20"/>
              </w:rPr>
              <w:t>,</w:t>
            </w:r>
            <w:r w:rsidRPr="00ED2A13">
              <w:rPr>
                <w:rFonts w:ascii="Arial Narrow" w:hAnsi="Arial Narrow"/>
                <w:bCs/>
                <w:sz w:val="20"/>
                <w:szCs w:val="20"/>
              </w:rPr>
              <w:t xml:space="preserve"> July 2023 PBAC meeting),</w:t>
            </w:r>
          </w:p>
        </w:tc>
      </w:tr>
      <w:tr w:rsidR="00ED2A13" w:rsidRPr="00ED2A13" w14:paraId="10D34EE8" w14:textId="77777777" w:rsidTr="0034550D">
        <w:tc>
          <w:tcPr>
            <w:tcW w:w="862" w:type="pct"/>
          </w:tcPr>
          <w:p w14:paraId="6D777BD2"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Proportion of patients diagnosed at stage I-II disease and those who would progress to Stage IIIB or Stage IV</w:t>
            </w:r>
          </w:p>
        </w:tc>
        <w:tc>
          <w:tcPr>
            <w:tcW w:w="864" w:type="pct"/>
          </w:tcPr>
          <w:p w14:paraId="1BD6192F"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22.7% &amp; 10%</w:t>
            </w:r>
          </w:p>
        </w:tc>
        <w:tc>
          <w:tcPr>
            <w:tcW w:w="1102" w:type="pct"/>
          </w:tcPr>
          <w:p w14:paraId="7F90D725" w14:textId="240F5FD3"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Mitchell et al. 2013</w:t>
            </w:r>
            <w:r w:rsidR="00BA7D55">
              <w:rPr>
                <w:rFonts w:ascii="Arial Narrow" w:hAnsi="Arial Narrow"/>
                <w:bCs/>
                <w:sz w:val="20"/>
                <w:szCs w:val="20"/>
              </w:rPr>
              <w:t>;</w:t>
            </w:r>
          </w:p>
          <w:p w14:paraId="729A93AF" w14:textId="13EAD3D6" w:rsidR="00ED2A13" w:rsidRPr="00ED2A13" w:rsidRDefault="007D2C6E" w:rsidP="00B94038">
            <w:pPr>
              <w:jc w:val="left"/>
              <w:rPr>
                <w:rFonts w:ascii="Arial Narrow" w:hAnsi="Arial Narrow"/>
                <w:bCs/>
                <w:sz w:val="20"/>
                <w:szCs w:val="20"/>
              </w:rPr>
            </w:pPr>
            <w:r>
              <w:rPr>
                <w:rFonts w:ascii="Arial Narrow" w:hAnsi="Arial Narrow"/>
                <w:bCs/>
                <w:sz w:val="20"/>
                <w:szCs w:val="20"/>
              </w:rPr>
              <w:t>o</w:t>
            </w:r>
            <w:r w:rsidR="00ED2A13" w:rsidRPr="00ED2A13">
              <w:rPr>
                <w:rFonts w:ascii="Arial Narrow" w:hAnsi="Arial Narrow"/>
                <w:bCs/>
                <w:sz w:val="20"/>
                <w:szCs w:val="20"/>
              </w:rPr>
              <w:t>simertinib PSD, November 2023 PBAC Meeting, Figure 2.</w:t>
            </w:r>
          </w:p>
        </w:tc>
        <w:tc>
          <w:tcPr>
            <w:tcW w:w="2172" w:type="pct"/>
          </w:tcPr>
          <w:p w14:paraId="2F209A7C" w14:textId="32CD6912" w:rsidR="00366D08" w:rsidRPr="00ED2A13" w:rsidRDefault="00ED2A13" w:rsidP="00B94038">
            <w:pPr>
              <w:jc w:val="left"/>
              <w:rPr>
                <w:rFonts w:ascii="Arial Narrow" w:hAnsi="Arial Narrow"/>
                <w:bCs/>
                <w:sz w:val="20"/>
                <w:szCs w:val="20"/>
              </w:rPr>
            </w:pPr>
            <w:r w:rsidRPr="00ED2A13">
              <w:rPr>
                <w:rFonts w:ascii="Arial Narrow" w:hAnsi="Arial Narrow"/>
                <w:bCs/>
                <w:sz w:val="20"/>
                <w:szCs w:val="20"/>
              </w:rPr>
              <w:t xml:space="preserve">Although Mitchell et al. 2013 is now more than 10-years old, </w:t>
            </w:r>
            <w:r w:rsidR="003E6783">
              <w:rPr>
                <w:rFonts w:ascii="Arial Narrow" w:hAnsi="Arial Narrow"/>
                <w:bCs/>
                <w:sz w:val="20"/>
                <w:szCs w:val="20"/>
              </w:rPr>
              <w:t xml:space="preserve">the evaluation considered </w:t>
            </w:r>
            <w:r w:rsidRPr="00ED2A13">
              <w:rPr>
                <w:rFonts w:ascii="Arial Narrow" w:hAnsi="Arial Narrow"/>
                <w:bCs/>
                <w:sz w:val="20"/>
                <w:szCs w:val="20"/>
              </w:rPr>
              <w:t xml:space="preserve">it </w:t>
            </w:r>
            <w:r w:rsidR="003E6783">
              <w:rPr>
                <w:rFonts w:ascii="Arial Narrow" w:hAnsi="Arial Narrow"/>
                <w:bCs/>
                <w:sz w:val="20"/>
                <w:szCs w:val="20"/>
              </w:rPr>
              <w:t>was</w:t>
            </w:r>
            <w:r w:rsidR="003E6783" w:rsidRPr="00ED2A13">
              <w:rPr>
                <w:rFonts w:ascii="Arial Narrow" w:hAnsi="Arial Narrow"/>
                <w:bCs/>
                <w:sz w:val="20"/>
                <w:szCs w:val="20"/>
              </w:rPr>
              <w:t xml:space="preserve"> </w:t>
            </w:r>
            <w:r w:rsidRPr="00ED2A13">
              <w:rPr>
                <w:rFonts w:ascii="Arial Narrow" w:hAnsi="Arial Narrow"/>
                <w:bCs/>
                <w:sz w:val="20"/>
                <w:szCs w:val="20"/>
              </w:rPr>
              <w:t xml:space="preserve">likely a reasonable source for Australian data. A more recent Editorial by John et al. 2020 estimated that the proportion of patients diagnosed with Stage I-II disease was 19%. </w:t>
            </w:r>
          </w:p>
        </w:tc>
      </w:tr>
      <w:tr w:rsidR="00ED2A13" w:rsidRPr="00ED2A13" w14:paraId="499EA19C" w14:textId="77777777" w:rsidTr="0034550D">
        <w:tc>
          <w:tcPr>
            <w:tcW w:w="862" w:type="pct"/>
          </w:tcPr>
          <w:p w14:paraId="1586D52E"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 xml:space="preserve">Patients with </w:t>
            </w:r>
            <w:r w:rsidRPr="00ED2A13">
              <w:rPr>
                <w:rFonts w:ascii="Arial Narrow" w:hAnsi="Arial Narrow"/>
                <w:bCs/>
                <w:i/>
                <w:sz w:val="20"/>
                <w:szCs w:val="20"/>
              </w:rPr>
              <w:t>EGFR</w:t>
            </w:r>
            <w:r w:rsidRPr="00ED2A13">
              <w:rPr>
                <w:rFonts w:ascii="Arial Narrow" w:hAnsi="Arial Narrow"/>
                <w:bCs/>
                <w:sz w:val="20"/>
                <w:szCs w:val="20"/>
              </w:rPr>
              <w:t xml:space="preserve"> mutations </w:t>
            </w:r>
          </w:p>
        </w:tc>
        <w:tc>
          <w:tcPr>
            <w:tcW w:w="864" w:type="pct"/>
          </w:tcPr>
          <w:p w14:paraId="70ACF058"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17.90%</w:t>
            </w:r>
          </w:p>
        </w:tc>
        <w:tc>
          <w:tcPr>
            <w:tcW w:w="1102" w:type="pct"/>
          </w:tcPr>
          <w:p w14:paraId="358D475F" w14:textId="453C4908"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DUSC review on erlotinib and gefitinib (2017)</w:t>
            </w:r>
            <w:r w:rsidR="00D0504E">
              <w:rPr>
                <w:rFonts w:ascii="Arial Narrow" w:hAnsi="Arial Narrow"/>
                <w:bCs/>
                <w:sz w:val="20"/>
                <w:szCs w:val="20"/>
              </w:rPr>
              <w:t>.</w:t>
            </w:r>
          </w:p>
        </w:tc>
        <w:tc>
          <w:tcPr>
            <w:tcW w:w="2172" w:type="pct"/>
          </w:tcPr>
          <w:p w14:paraId="07F7D478" w14:textId="4D79C990" w:rsidR="0034394C" w:rsidRPr="00ED2A13" w:rsidRDefault="00ED2A13" w:rsidP="00B94038">
            <w:pPr>
              <w:jc w:val="left"/>
              <w:rPr>
                <w:rFonts w:ascii="Arial Narrow" w:hAnsi="Arial Narrow"/>
                <w:bCs/>
                <w:sz w:val="20"/>
                <w:szCs w:val="20"/>
              </w:rPr>
            </w:pPr>
            <w:r w:rsidRPr="00ED2A13">
              <w:rPr>
                <w:rFonts w:ascii="Arial Narrow" w:hAnsi="Arial Narrow"/>
                <w:bCs/>
                <w:sz w:val="20"/>
                <w:szCs w:val="20"/>
              </w:rPr>
              <w:t>Th</w:t>
            </w:r>
            <w:r w:rsidR="003E6783">
              <w:rPr>
                <w:rFonts w:ascii="Arial Narrow" w:hAnsi="Arial Narrow"/>
                <w:bCs/>
                <w:sz w:val="20"/>
                <w:szCs w:val="20"/>
              </w:rPr>
              <w:t>e evaluation considered that this</w:t>
            </w:r>
            <w:r w:rsidRPr="00ED2A13">
              <w:rPr>
                <w:rFonts w:ascii="Arial Narrow" w:hAnsi="Arial Narrow"/>
                <w:bCs/>
                <w:sz w:val="20"/>
                <w:szCs w:val="20"/>
              </w:rPr>
              <w:t xml:space="preserve"> was reasonable and consistent with the mobocertinib </w:t>
            </w:r>
            <w:r w:rsidR="00426164">
              <w:rPr>
                <w:rFonts w:ascii="Arial Narrow" w:hAnsi="Arial Narrow"/>
                <w:bCs/>
                <w:sz w:val="20"/>
                <w:szCs w:val="20"/>
              </w:rPr>
              <w:t xml:space="preserve">submission </w:t>
            </w:r>
            <w:r w:rsidRPr="00ED2A13">
              <w:rPr>
                <w:rFonts w:ascii="Arial Narrow" w:hAnsi="Arial Narrow"/>
                <w:bCs/>
                <w:sz w:val="20"/>
                <w:szCs w:val="20"/>
              </w:rPr>
              <w:t>(Table 14, mobocertinib PSD, July 2023 PBAC meeting)</w:t>
            </w:r>
            <w:r w:rsidR="00D0504E">
              <w:rPr>
                <w:rFonts w:ascii="Arial Narrow" w:hAnsi="Arial Narrow"/>
                <w:bCs/>
                <w:sz w:val="20"/>
                <w:szCs w:val="20"/>
              </w:rPr>
              <w:t>.</w:t>
            </w:r>
          </w:p>
        </w:tc>
      </w:tr>
      <w:tr w:rsidR="00ED2A13" w:rsidRPr="00ED2A13" w14:paraId="73F20F77" w14:textId="77777777" w:rsidTr="0034550D">
        <w:tc>
          <w:tcPr>
            <w:tcW w:w="862" w:type="pct"/>
          </w:tcPr>
          <w:p w14:paraId="65AAC958" w14:textId="17F37EB3"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 xml:space="preserve">Proportion of </w:t>
            </w:r>
            <w:r w:rsidR="00F54438" w:rsidRPr="00F54438">
              <w:rPr>
                <w:rFonts w:ascii="Arial Narrow" w:hAnsi="Arial Narrow"/>
                <w:bCs/>
                <w:i/>
                <w:sz w:val="20"/>
                <w:szCs w:val="20"/>
              </w:rPr>
              <w:t>EGFR</w:t>
            </w:r>
            <w:r w:rsidRPr="00ED2A13">
              <w:rPr>
                <w:rFonts w:ascii="Arial Narrow" w:hAnsi="Arial Narrow"/>
                <w:bCs/>
                <w:sz w:val="20"/>
                <w:szCs w:val="20"/>
              </w:rPr>
              <w:t xml:space="preserve">-positive NSCLC patients with </w:t>
            </w:r>
            <w:r w:rsidR="00D0504E">
              <w:rPr>
                <w:rFonts w:ascii="Arial Narrow" w:hAnsi="Arial Narrow"/>
                <w:bCs/>
                <w:sz w:val="20"/>
                <w:szCs w:val="20"/>
              </w:rPr>
              <w:t>e</w:t>
            </w:r>
            <w:r w:rsidRPr="00ED2A13">
              <w:rPr>
                <w:rFonts w:ascii="Arial Narrow" w:hAnsi="Arial Narrow"/>
                <w:bCs/>
                <w:sz w:val="20"/>
                <w:szCs w:val="20"/>
              </w:rPr>
              <w:t>x20ins</w:t>
            </w:r>
          </w:p>
        </w:tc>
        <w:tc>
          <w:tcPr>
            <w:tcW w:w="864" w:type="pct"/>
          </w:tcPr>
          <w:p w14:paraId="63FB0F7B"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8.96%</w:t>
            </w:r>
          </w:p>
        </w:tc>
        <w:tc>
          <w:tcPr>
            <w:tcW w:w="1102" w:type="pct"/>
          </w:tcPr>
          <w:p w14:paraId="318DCBB5"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fldChar w:fldCharType="begin">
                <w:fldData xml:space="preserve">PEVuZE5vdGU+PENpdGU+PEF1dGhvcj5Nb29yZTwvQXV0aG9yPjxZZWFyPjIwMTg8L1llYXI+PFJl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</w:fldData>
              </w:fldChar>
            </w:r>
            <w:r w:rsidRPr="00ED2A13">
              <w:rPr>
                <w:rFonts w:ascii="Arial Narrow" w:hAnsi="Arial Narrow"/>
                <w:bCs/>
                <w:sz w:val="20"/>
                <w:szCs w:val="20"/>
              </w:rPr>
              <w:instrText xml:space="preserve"> ADDIN EN.CITE </w:instrText>
            </w:r>
            <w:r w:rsidRPr="00ED2A13">
              <w:rPr>
                <w:rFonts w:ascii="Arial Narrow" w:hAnsi="Arial Narrow"/>
                <w:bCs/>
                <w:sz w:val="20"/>
                <w:szCs w:val="20"/>
              </w:rPr>
              <w:fldChar w:fldCharType="begin">
                <w:fldData xml:space="preserve">PEVuZE5vdGU+PENpdGU+PEF1dGhvcj5Nb29yZTwvQXV0aG9yPjxZZWFyPjIwMTg8L1llYXI+PFJl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</w:fldData>
              </w:fldChar>
            </w:r>
            <w:r w:rsidRPr="00ED2A13">
              <w:rPr>
                <w:rFonts w:ascii="Arial Narrow" w:hAnsi="Arial Narrow"/>
                <w:bCs/>
                <w:sz w:val="20"/>
                <w:szCs w:val="20"/>
              </w:rPr>
              <w:instrText xml:space="preserve"> ADDIN EN.CITE.DATA </w:instrText>
            </w:r>
            <w:r w:rsidRPr="00ED2A13">
              <w:rPr>
                <w:rFonts w:ascii="Arial Narrow" w:hAnsi="Arial Narrow"/>
                <w:sz w:val="20"/>
                <w:szCs w:val="20"/>
              </w:rPr>
            </w:r>
            <w:r w:rsidRPr="00ED2A13">
              <w:rPr>
                <w:rFonts w:ascii="Arial Narrow" w:hAnsi="Arial Narrow"/>
                <w:sz w:val="20"/>
                <w:szCs w:val="20"/>
              </w:rPr>
              <w:fldChar w:fldCharType="end"/>
            </w:r>
            <w:r w:rsidRPr="00ED2A13">
              <w:rPr>
                <w:rFonts w:ascii="Arial Narrow" w:hAnsi="Arial Narrow"/>
                <w:bCs/>
                <w:sz w:val="20"/>
                <w:szCs w:val="20"/>
              </w:rPr>
            </w:r>
            <w:r w:rsidRPr="00ED2A13">
              <w:rPr>
                <w:rFonts w:ascii="Arial Narrow" w:hAnsi="Arial Narrow"/>
                <w:bCs/>
                <w:sz w:val="20"/>
                <w:szCs w:val="20"/>
              </w:rPr>
              <w:fldChar w:fldCharType="separate"/>
            </w:r>
            <w:r w:rsidRPr="00ED2A13">
              <w:rPr>
                <w:rFonts w:ascii="Arial Narrow" w:hAnsi="Arial Narrow"/>
                <w:bCs/>
                <w:sz w:val="20"/>
                <w:szCs w:val="20"/>
              </w:rPr>
              <w:t>Moore et al., 2018</w:t>
            </w:r>
            <w:r w:rsidRPr="00ED2A13">
              <w:rPr>
                <w:rFonts w:ascii="Arial Narrow" w:hAnsi="Arial Narrow"/>
                <w:sz w:val="20"/>
                <w:szCs w:val="20"/>
              </w:rPr>
              <w:fldChar w:fldCharType="end"/>
            </w:r>
          </w:p>
        </w:tc>
        <w:tc>
          <w:tcPr>
            <w:tcW w:w="2172" w:type="pct"/>
          </w:tcPr>
          <w:p w14:paraId="13063D0B" w14:textId="73505EEF" w:rsidR="00ED2A13" w:rsidRDefault="00ED2A13" w:rsidP="00B94038">
            <w:pPr>
              <w:jc w:val="left"/>
              <w:rPr>
                <w:rFonts w:ascii="Arial Narrow" w:hAnsi="Arial Narrow"/>
                <w:bCs/>
                <w:sz w:val="20"/>
                <w:szCs w:val="20"/>
              </w:rPr>
            </w:pPr>
            <w:r w:rsidRPr="00ED2A13">
              <w:rPr>
                <w:rFonts w:ascii="Arial Narrow" w:hAnsi="Arial Narrow"/>
                <w:bCs/>
                <w:sz w:val="20"/>
                <w:szCs w:val="20"/>
              </w:rPr>
              <w:t>Th</w:t>
            </w:r>
            <w:r w:rsidR="003E6783">
              <w:rPr>
                <w:rFonts w:ascii="Arial Narrow" w:hAnsi="Arial Narrow"/>
                <w:bCs/>
                <w:sz w:val="20"/>
                <w:szCs w:val="20"/>
              </w:rPr>
              <w:t>e evaluation considered that this</w:t>
            </w:r>
            <w:r w:rsidRPr="00ED2A13">
              <w:rPr>
                <w:rFonts w:ascii="Arial Narrow" w:hAnsi="Arial Narrow"/>
                <w:bCs/>
                <w:sz w:val="20"/>
                <w:szCs w:val="20"/>
              </w:rPr>
              <w:t xml:space="preserve"> was reasonable and consistent with the mobocertinib </w:t>
            </w:r>
            <w:r w:rsidR="00426164">
              <w:rPr>
                <w:rFonts w:ascii="Arial Narrow" w:hAnsi="Arial Narrow"/>
                <w:bCs/>
                <w:sz w:val="20"/>
                <w:szCs w:val="20"/>
              </w:rPr>
              <w:t xml:space="preserve">submission </w:t>
            </w:r>
            <w:r w:rsidRPr="00ED2A13">
              <w:rPr>
                <w:rFonts w:ascii="Arial Narrow" w:hAnsi="Arial Narrow"/>
                <w:bCs/>
                <w:sz w:val="20"/>
                <w:szCs w:val="20"/>
              </w:rPr>
              <w:t>(Table 14, mobocertinib PSD, July 2023 PBAC meeting). The financial estimates were highly sensitive to this parameter. Decreasing the proportion to 7% decreased the financial estimates by 21%.</w:t>
            </w:r>
          </w:p>
          <w:p w14:paraId="27CCB96B" w14:textId="5A245690" w:rsidR="001A4EDD" w:rsidRPr="00ED2A13" w:rsidRDefault="00265967" w:rsidP="00B94038">
            <w:pPr>
              <w:jc w:val="left"/>
              <w:rPr>
                <w:rFonts w:ascii="Arial Narrow" w:hAnsi="Arial Narrow"/>
                <w:bCs/>
                <w:sz w:val="20"/>
                <w:szCs w:val="20"/>
              </w:rPr>
            </w:pPr>
            <w:r>
              <w:rPr>
                <w:rFonts w:ascii="Arial Narrow" w:hAnsi="Arial Narrow"/>
                <w:bCs/>
                <w:sz w:val="20"/>
                <w:szCs w:val="20"/>
              </w:rPr>
              <w:t>Given</w:t>
            </w:r>
            <w:r w:rsidR="00C30F37">
              <w:rPr>
                <w:rFonts w:ascii="Arial Narrow" w:hAnsi="Arial Narrow"/>
                <w:bCs/>
                <w:sz w:val="20"/>
                <w:szCs w:val="20"/>
              </w:rPr>
              <w:t xml:space="preserve"> that</w:t>
            </w:r>
            <w:r w:rsidR="0034394C" w:rsidRPr="0034394C">
              <w:rPr>
                <w:rFonts w:ascii="Arial Narrow" w:hAnsi="Arial Narrow"/>
                <w:bCs/>
                <w:sz w:val="20"/>
                <w:szCs w:val="20"/>
              </w:rPr>
              <w:t xml:space="preserve"> diagnosis</w:t>
            </w:r>
            <w:r>
              <w:rPr>
                <w:rFonts w:ascii="Arial Narrow" w:hAnsi="Arial Narrow"/>
                <w:bCs/>
                <w:sz w:val="20"/>
                <w:szCs w:val="20"/>
              </w:rPr>
              <w:t xml:space="preserve"> techniques have improved recently,</w:t>
            </w:r>
            <w:r w:rsidR="00C30F37">
              <w:rPr>
                <w:rFonts w:ascii="Arial Narrow" w:hAnsi="Arial Narrow"/>
                <w:bCs/>
                <w:sz w:val="20"/>
                <w:szCs w:val="20"/>
              </w:rPr>
              <w:t xml:space="preserve"> the DUSC considered that</w:t>
            </w:r>
            <w:r>
              <w:rPr>
                <w:rFonts w:ascii="Arial Narrow" w:hAnsi="Arial Narrow"/>
                <w:bCs/>
                <w:sz w:val="20"/>
                <w:szCs w:val="20"/>
              </w:rPr>
              <w:t xml:space="preserve"> </w:t>
            </w:r>
            <w:r w:rsidR="0034394C" w:rsidRPr="0034394C">
              <w:rPr>
                <w:rFonts w:ascii="Arial Narrow" w:hAnsi="Arial Narrow"/>
                <w:bCs/>
                <w:sz w:val="20"/>
                <w:szCs w:val="20"/>
              </w:rPr>
              <w:t xml:space="preserve">8.96% </w:t>
            </w:r>
            <w:r w:rsidR="00C30F37">
              <w:rPr>
                <w:rFonts w:ascii="Arial Narrow" w:hAnsi="Arial Narrow"/>
                <w:bCs/>
                <w:sz w:val="20"/>
                <w:szCs w:val="20"/>
              </w:rPr>
              <w:t xml:space="preserve">was likely </w:t>
            </w:r>
            <w:r w:rsidR="00185E37">
              <w:rPr>
                <w:rFonts w:ascii="Arial Narrow" w:hAnsi="Arial Narrow"/>
                <w:bCs/>
                <w:sz w:val="20"/>
                <w:szCs w:val="20"/>
              </w:rPr>
              <w:t xml:space="preserve">to be a </w:t>
            </w:r>
            <w:r w:rsidR="00C30F37">
              <w:rPr>
                <w:rFonts w:ascii="Arial Narrow" w:hAnsi="Arial Narrow"/>
                <w:bCs/>
                <w:sz w:val="20"/>
                <w:szCs w:val="20"/>
              </w:rPr>
              <w:t>reasonable</w:t>
            </w:r>
            <w:r w:rsidR="00185E37">
              <w:rPr>
                <w:rFonts w:ascii="Arial Narrow" w:hAnsi="Arial Narrow"/>
                <w:bCs/>
                <w:sz w:val="20"/>
                <w:szCs w:val="20"/>
              </w:rPr>
              <w:t xml:space="preserve"> estimate</w:t>
            </w:r>
            <w:r w:rsidR="00C30F37">
              <w:rPr>
                <w:rFonts w:ascii="Arial Narrow" w:hAnsi="Arial Narrow"/>
                <w:bCs/>
                <w:sz w:val="20"/>
                <w:szCs w:val="20"/>
              </w:rPr>
              <w:t>.</w:t>
            </w:r>
          </w:p>
        </w:tc>
      </w:tr>
      <w:tr w:rsidR="00ED2A13" w:rsidRPr="00ED2A13" w14:paraId="35AE9088" w14:textId="77777777" w:rsidTr="0034550D">
        <w:tc>
          <w:tcPr>
            <w:tcW w:w="862" w:type="pct"/>
          </w:tcPr>
          <w:p w14:paraId="28484104"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Proportion with ECOG performance status of 0-2 in 1L</w:t>
            </w:r>
          </w:p>
        </w:tc>
        <w:tc>
          <w:tcPr>
            <w:tcW w:w="864" w:type="pct"/>
          </w:tcPr>
          <w:p w14:paraId="76F308CC"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80.1%</w:t>
            </w:r>
          </w:p>
        </w:tc>
        <w:tc>
          <w:tcPr>
            <w:tcW w:w="1102" w:type="pct"/>
          </w:tcPr>
          <w:p w14:paraId="64A56BD9"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fldChar w:fldCharType="begin">
                <w:fldData xml:space="preserve">PEVuZE5vdGU+PENpdGU+PEF1dGhvcj5NaXRjaGVsbDwvQXV0aG9yPjxZZWFyPjIwMTM8L1llYXI+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</w:fldData>
              </w:fldChar>
            </w:r>
            <w:r w:rsidRPr="00ED2A13">
              <w:rPr>
                <w:rFonts w:ascii="Arial Narrow" w:hAnsi="Arial Narrow"/>
                <w:bCs/>
                <w:sz w:val="20"/>
                <w:szCs w:val="20"/>
              </w:rPr>
              <w:instrText xml:space="preserve"> ADDIN EN.CITE </w:instrText>
            </w:r>
            <w:r w:rsidRPr="00ED2A13">
              <w:rPr>
                <w:rFonts w:ascii="Arial Narrow" w:hAnsi="Arial Narrow"/>
                <w:bCs/>
                <w:sz w:val="20"/>
                <w:szCs w:val="20"/>
              </w:rPr>
              <w:fldChar w:fldCharType="begin">
                <w:fldData xml:space="preserve">PEVuZE5vdGU+PENpdGU+PEF1dGhvcj5NaXRjaGVsbDwvQXV0aG9yPjxZZWFyPjIwMTM8L1llYXI+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</w:fldData>
              </w:fldChar>
            </w:r>
            <w:r w:rsidRPr="00ED2A13">
              <w:rPr>
                <w:rFonts w:ascii="Arial Narrow" w:hAnsi="Arial Narrow"/>
                <w:bCs/>
                <w:sz w:val="20"/>
                <w:szCs w:val="20"/>
              </w:rPr>
              <w:instrText xml:space="preserve"> ADDIN EN.CITE.DATA </w:instrText>
            </w:r>
            <w:r w:rsidRPr="00ED2A13">
              <w:rPr>
                <w:rFonts w:ascii="Arial Narrow" w:hAnsi="Arial Narrow"/>
                <w:sz w:val="20"/>
                <w:szCs w:val="20"/>
              </w:rPr>
            </w:r>
            <w:r w:rsidRPr="00ED2A13">
              <w:rPr>
                <w:rFonts w:ascii="Arial Narrow" w:hAnsi="Arial Narrow"/>
                <w:sz w:val="20"/>
                <w:szCs w:val="20"/>
              </w:rPr>
              <w:fldChar w:fldCharType="end"/>
            </w:r>
            <w:r w:rsidRPr="00ED2A13">
              <w:rPr>
                <w:rFonts w:ascii="Arial Narrow" w:hAnsi="Arial Narrow"/>
                <w:bCs/>
                <w:sz w:val="20"/>
                <w:szCs w:val="20"/>
              </w:rPr>
            </w:r>
            <w:r w:rsidRPr="00ED2A13">
              <w:rPr>
                <w:rFonts w:ascii="Arial Narrow" w:hAnsi="Arial Narrow"/>
                <w:bCs/>
                <w:sz w:val="20"/>
                <w:szCs w:val="20"/>
              </w:rPr>
              <w:fldChar w:fldCharType="separate"/>
            </w:r>
            <w:r w:rsidRPr="00ED2A13">
              <w:rPr>
                <w:rFonts w:ascii="Arial Narrow" w:hAnsi="Arial Narrow"/>
                <w:bCs/>
                <w:sz w:val="20"/>
                <w:szCs w:val="20"/>
              </w:rPr>
              <w:t>Mitchell et al., 2013</w:t>
            </w:r>
            <w:r w:rsidRPr="00ED2A13">
              <w:rPr>
                <w:rFonts w:ascii="Arial Narrow" w:hAnsi="Arial Narrow"/>
                <w:sz w:val="20"/>
                <w:szCs w:val="20"/>
              </w:rPr>
              <w:fldChar w:fldCharType="end"/>
            </w:r>
          </w:p>
        </w:tc>
        <w:tc>
          <w:tcPr>
            <w:tcW w:w="2172" w:type="pct"/>
          </w:tcPr>
          <w:p w14:paraId="392759D8" w14:textId="6D56E2B8"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Th</w:t>
            </w:r>
            <w:r w:rsidR="00DA0322">
              <w:rPr>
                <w:rFonts w:ascii="Arial Narrow" w:hAnsi="Arial Narrow"/>
                <w:bCs/>
                <w:sz w:val="20"/>
                <w:szCs w:val="20"/>
              </w:rPr>
              <w:t>e evaluation considered that this</w:t>
            </w:r>
            <w:r w:rsidRPr="00ED2A13">
              <w:rPr>
                <w:rFonts w:ascii="Arial Narrow" w:hAnsi="Arial Narrow"/>
                <w:bCs/>
                <w:sz w:val="20"/>
                <w:szCs w:val="20"/>
              </w:rPr>
              <w:t xml:space="preserve"> was reasonable and consistent with the mobocertinib</w:t>
            </w:r>
            <w:r w:rsidR="000C478A">
              <w:rPr>
                <w:rFonts w:ascii="Arial Narrow" w:hAnsi="Arial Narrow"/>
                <w:bCs/>
                <w:sz w:val="20"/>
                <w:szCs w:val="20"/>
              </w:rPr>
              <w:t xml:space="preserve"> submission</w:t>
            </w:r>
            <w:r w:rsidRPr="00ED2A13">
              <w:rPr>
                <w:rFonts w:ascii="Arial Narrow" w:hAnsi="Arial Narrow"/>
                <w:bCs/>
                <w:sz w:val="20"/>
                <w:szCs w:val="20"/>
              </w:rPr>
              <w:t xml:space="preserve"> (Table 14, mobocertinib PSD, July 2023 PBAC meeting)</w:t>
            </w:r>
          </w:p>
        </w:tc>
      </w:tr>
      <w:tr w:rsidR="00ED2A13" w:rsidRPr="00ED2A13" w14:paraId="039A0846" w14:textId="77777777" w:rsidTr="001C2FAD">
        <w:trPr>
          <w:cantSplit/>
        </w:trPr>
        <w:tc>
          <w:tcPr>
            <w:tcW w:w="862" w:type="pct"/>
          </w:tcPr>
          <w:p w14:paraId="04EB7BD0" w14:textId="0367BB30"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Proportion who elect 1L systemic therapy</w:t>
            </w:r>
            <w:r w:rsidR="003B5340">
              <w:rPr>
                <w:rFonts w:ascii="Arial Narrow" w:hAnsi="Arial Narrow"/>
                <w:bCs/>
                <w:sz w:val="20"/>
                <w:szCs w:val="20"/>
              </w:rPr>
              <w:t xml:space="preserve"> (2025</w:t>
            </w:r>
            <w:r w:rsidR="00791195">
              <w:rPr>
                <w:rFonts w:cstheme="minorHAnsi"/>
                <w:lang w:val="en-GB" w:eastAsia="en-US"/>
              </w:rPr>
              <w:t>−</w:t>
            </w:r>
            <w:r w:rsidR="00FE6AF4">
              <w:rPr>
                <w:rFonts w:ascii="Arial Narrow" w:hAnsi="Arial Narrow"/>
                <w:bCs/>
                <w:sz w:val="20"/>
                <w:szCs w:val="20"/>
              </w:rPr>
              <w:t>2030</w:t>
            </w:r>
            <w:r w:rsidR="00D41F00">
              <w:rPr>
                <w:rFonts w:ascii="Arial Narrow" w:hAnsi="Arial Narrow"/>
                <w:bCs/>
                <w:sz w:val="20"/>
                <w:szCs w:val="20"/>
              </w:rPr>
              <w:t>)</w:t>
            </w:r>
          </w:p>
        </w:tc>
        <w:tc>
          <w:tcPr>
            <w:tcW w:w="864" w:type="pct"/>
          </w:tcPr>
          <w:p w14:paraId="58F99C33"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100%</w:t>
            </w:r>
          </w:p>
        </w:tc>
        <w:tc>
          <w:tcPr>
            <w:tcW w:w="1102" w:type="pct"/>
          </w:tcPr>
          <w:p w14:paraId="7AEA2EDC" w14:textId="77777777" w:rsidR="00ED2A13" w:rsidRPr="00ED2A13" w:rsidRDefault="00ED2A13" w:rsidP="00B94038">
            <w:pPr>
              <w:jc w:val="left"/>
              <w:rPr>
                <w:rFonts w:ascii="Arial Narrow" w:hAnsi="Arial Narrow"/>
                <w:bCs/>
                <w:sz w:val="20"/>
                <w:szCs w:val="20"/>
              </w:rPr>
            </w:pPr>
            <w:r w:rsidRPr="00ED2A13">
              <w:rPr>
                <w:rFonts w:ascii="Arial Narrow" w:hAnsi="Arial Narrow"/>
                <w:bCs/>
                <w:sz w:val="20"/>
                <w:szCs w:val="20"/>
              </w:rPr>
              <w:t>Assumption</w:t>
            </w:r>
          </w:p>
        </w:tc>
        <w:tc>
          <w:tcPr>
            <w:tcW w:w="2172" w:type="pct"/>
          </w:tcPr>
          <w:p w14:paraId="4F5B0E31" w14:textId="5D2BF633" w:rsidR="002A45C0" w:rsidRDefault="00ED2A13" w:rsidP="002E0463">
            <w:pPr>
              <w:jc w:val="left"/>
              <w:rPr>
                <w:rFonts w:ascii="Arial Narrow" w:hAnsi="Arial Narrow"/>
                <w:bCs/>
                <w:sz w:val="20"/>
                <w:szCs w:val="20"/>
              </w:rPr>
            </w:pPr>
            <w:r w:rsidRPr="00ED2A13">
              <w:rPr>
                <w:rFonts w:ascii="Arial Narrow" w:hAnsi="Arial Narrow"/>
                <w:bCs/>
                <w:sz w:val="20"/>
                <w:szCs w:val="20"/>
              </w:rPr>
              <w:t>Th</w:t>
            </w:r>
            <w:r w:rsidR="00DA0322">
              <w:rPr>
                <w:rFonts w:ascii="Arial Narrow" w:hAnsi="Arial Narrow"/>
                <w:bCs/>
                <w:sz w:val="20"/>
                <w:szCs w:val="20"/>
              </w:rPr>
              <w:t>e evaluation considered that this</w:t>
            </w:r>
            <w:r w:rsidRPr="00ED2A13">
              <w:rPr>
                <w:rFonts w:ascii="Arial Narrow" w:hAnsi="Arial Narrow"/>
                <w:bCs/>
                <w:sz w:val="20"/>
                <w:szCs w:val="20"/>
              </w:rPr>
              <w:t xml:space="preserve"> input was uncertain and an overestimate as, some patients with Stage IIIB/IV disease may elect for best-supportive care, particularly given the adverse event profile of amivantamab. </w:t>
            </w:r>
          </w:p>
          <w:p w14:paraId="189E1356" w14:textId="77777777" w:rsidR="002A45C0" w:rsidRDefault="002A45C0" w:rsidP="002E0463">
            <w:pPr>
              <w:jc w:val="left"/>
              <w:rPr>
                <w:rFonts w:ascii="Arial Narrow" w:hAnsi="Arial Narrow"/>
                <w:bCs/>
                <w:sz w:val="20"/>
                <w:szCs w:val="20"/>
              </w:rPr>
            </w:pPr>
          </w:p>
          <w:p w14:paraId="0514A211" w14:textId="58165B00" w:rsidR="00ED2A13" w:rsidRPr="002A45C0" w:rsidRDefault="002A45C0" w:rsidP="002A45C0">
            <w:pPr>
              <w:widowControl w:val="0"/>
              <w:jc w:val="left"/>
              <w:rPr>
                <w:rFonts w:ascii="Arial Narrow" w:eastAsiaTheme="majorEastAsia" w:hAnsi="Arial Narrow" w:cstheme="majorBidi"/>
                <w:bCs/>
                <w:iCs/>
                <w:sz w:val="20"/>
              </w:rPr>
            </w:pPr>
            <w:r w:rsidRPr="002A45C0">
              <w:rPr>
                <w:rFonts w:ascii="Arial Narrow" w:eastAsiaTheme="majorEastAsia" w:hAnsi="Arial Narrow" w:cstheme="majorBidi"/>
                <w:bCs/>
                <w:iCs/>
                <w:sz w:val="20"/>
              </w:rPr>
              <w:t xml:space="preserve">The DUSC noted that the mobocertinib submission estimated 85% of patients would elect </w:t>
            </w:r>
            <w:r w:rsidR="00966BE6">
              <w:rPr>
                <w:rFonts w:ascii="Arial Narrow" w:eastAsiaTheme="majorEastAsia" w:hAnsi="Arial Narrow" w:cstheme="majorBidi"/>
                <w:bCs/>
                <w:iCs/>
                <w:sz w:val="20"/>
              </w:rPr>
              <w:t>first-line</w:t>
            </w:r>
            <w:r w:rsidRPr="002A45C0">
              <w:rPr>
                <w:rFonts w:ascii="Arial Narrow" w:eastAsiaTheme="majorEastAsia" w:hAnsi="Arial Narrow" w:cstheme="majorBidi"/>
                <w:bCs/>
                <w:iCs/>
                <w:sz w:val="20"/>
              </w:rPr>
              <w:t xml:space="preserve"> PBC.</w:t>
            </w:r>
            <w:r>
              <w:rPr>
                <w:rFonts w:ascii="Arial Narrow" w:eastAsiaTheme="majorEastAsia" w:hAnsi="Arial Narrow" w:cstheme="majorBidi"/>
                <w:bCs/>
                <w:iCs/>
                <w:sz w:val="20"/>
              </w:rPr>
              <w:t xml:space="preserve"> </w:t>
            </w:r>
            <w:r w:rsidR="00F63C91">
              <w:rPr>
                <w:rFonts w:ascii="Arial Narrow" w:hAnsi="Arial Narrow"/>
                <w:bCs/>
                <w:sz w:val="20"/>
                <w:szCs w:val="20"/>
              </w:rPr>
              <w:t xml:space="preserve">The </w:t>
            </w:r>
            <w:r w:rsidR="002E0463" w:rsidRPr="002E0463">
              <w:rPr>
                <w:rFonts w:ascii="Arial Narrow" w:hAnsi="Arial Narrow"/>
                <w:bCs/>
                <w:sz w:val="20"/>
                <w:szCs w:val="20"/>
              </w:rPr>
              <w:t>DUSC considered this input was overestimated and would likely range between 80</w:t>
            </w:r>
            <w:r w:rsidR="000C7B87">
              <w:rPr>
                <w:rFonts w:ascii="Arial Narrow" w:hAnsi="Arial Narrow"/>
                <w:bCs/>
                <w:sz w:val="20"/>
                <w:szCs w:val="20"/>
              </w:rPr>
              <w:t>−</w:t>
            </w:r>
            <w:r w:rsidR="002E0463" w:rsidRPr="002E0463">
              <w:rPr>
                <w:rFonts w:ascii="Arial Narrow" w:hAnsi="Arial Narrow"/>
                <w:bCs/>
                <w:sz w:val="20"/>
                <w:szCs w:val="20"/>
              </w:rPr>
              <w:t>85%.</w:t>
            </w:r>
          </w:p>
        </w:tc>
      </w:tr>
      <w:tr w:rsidR="00A43ED3" w:rsidRPr="00ED2A13" w14:paraId="185D4095" w14:textId="0F7FA4ED" w:rsidTr="00D6242F">
        <w:tc>
          <w:tcPr>
            <w:tcW w:w="862" w:type="pct"/>
          </w:tcPr>
          <w:p w14:paraId="6F931FE8" w14:textId="51D1EAEA" w:rsidR="00A43ED3" w:rsidRPr="00ED2A13" w:rsidRDefault="00A43ED3" w:rsidP="00D6242F">
            <w:pPr>
              <w:jc w:val="left"/>
              <w:rPr>
                <w:rFonts w:ascii="Arial Narrow" w:hAnsi="Arial Narrow"/>
                <w:bCs/>
                <w:sz w:val="20"/>
                <w:szCs w:val="20"/>
              </w:rPr>
            </w:pPr>
            <w:r w:rsidRPr="00C238C6">
              <w:rPr>
                <w:rFonts w:ascii="Arial Narrow" w:eastAsiaTheme="majorEastAsia" w:hAnsi="Arial Narrow" w:cstheme="majorBidi"/>
                <w:bCs/>
                <w:sz w:val="20"/>
              </w:rPr>
              <w:t xml:space="preserve">Proportion who elect 1L systemic </w:t>
            </w:r>
            <w:r w:rsidRPr="00C238C6">
              <w:rPr>
                <w:rFonts w:ascii="Arial Narrow" w:eastAsiaTheme="majorEastAsia" w:hAnsi="Arial Narrow" w:cstheme="majorBidi"/>
                <w:bCs/>
                <w:sz w:val="20"/>
              </w:rPr>
              <w:lastRenderedPageBreak/>
              <w:t>therapy (</w:t>
            </w:r>
            <w:r w:rsidR="00FE6AF4">
              <w:rPr>
                <w:rFonts w:ascii="Arial Narrow" w:eastAsiaTheme="majorEastAsia" w:hAnsi="Arial Narrow" w:cstheme="majorBidi"/>
                <w:bCs/>
                <w:sz w:val="20"/>
              </w:rPr>
              <w:t>2023</w:t>
            </w:r>
            <w:r w:rsidR="00791195">
              <w:rPr>
                <w:rFonts w:cstheme="minorHAnsi"/>
                <w:lang w:val="en-GB" w:eastAsia="en-US"/>
              </w:rPr>
              <w:t>−</w:t>
            </w:r>
            <w:r w:rsidR="00FE6AF4">
              <w:rPr>
                <w:rFonts w:ascii="Arial Narrow" w:eastAsiaTheme="majorEastAsia" w:hAnsi="Arial Narrow" w:cstheme="majorBidi"/>
                <w:bCs/>
                <w:sz w:val="20"/>
              </w:rPr>
              <w:t>2024)</w:t>
            </w:r>
          </w:p>
        </w:tc>
        <w:tc>
          <w:tcPr>
            <w:tcW w:w="864" w:type="pct"/>
          </w:tcPr>
          <w:p w14:paraId="7A3C0D40" w14:textId="29E7143A" w:rsidR="00A43ED3" w:rsidRPr="00ED2A13" w:rsidRDefault="00A43ED3" w:rsidP="00D6242F">
            <w:pPr>
              <w:jc w:val="left"/>
              <w:rPr>
                <w:rFonts w:ascii="Arial Narrow" w:hAnsi="Arial Narrow"/>
                <w:bCs/>
                <w:sz w:val="20"/>
                <w:szCs w:val="20"/>
              </w:rPr>
            </w:pPr>
            <w:r w:rsidRPr="00C238C6">
              <w:rPr>
                <w:rFonts w:ascii="Arial Narrow" w:eastAsiaTheme="majorEastAsia" w:hAnsi="Arial Narrow" w:cstheme="majorBidi"/>
                <w:bCs/>
                <w:sz w:val="20"/>
              </w:rPr>
              <w:lastRenderedPageBreak/>
              <w:t>84%</w:t>
            </w:r>
          </w:p>
        </w:tc>
        <w:tc>
          <w:tcPr>
            <w:tcW w:w="1102" w:type="pct"/>
          </w:tcPr>
          <w:p w14:paraId="6CD547C2" w14:textId="20FFAC38" w:rsidR="00A43ED3" w:rsidRPr="00ED2A13" w:rsidRDefault="00A43ED3" w:rsidP="00D6242F">
            <w:pPr>
              <w:jc w:val="left"/>
              <w:rPr>
                <w:rFonts w:ascii="Arial Narrow" w:hAnsi="Arial Narrow"/>
                <w:bCs/>
                <w:sz w:val="20"/>
                <w:szCs w:val="20"/>
              </w:rPr>
            </w:pPr>
            <w:r w:rsidRPr="00C238C6">
              <w:rPr>
                <w:rFonts w:ascii="Arial Narrow" w:eastAsiaTheme="majorEastAsia" w:hAnsi="Arial Narrow" w:cstheme="majorBidi"/>
                <w:bCs/>
                <w:sz w:val="20"/>
              </w:rPr>
              <w:t>AURORA registry</w:t>
            </w:r>
          </w:p>
        </w:tc>
        <w:tc>
          <w:tcPr>
            <w:tcW w:w="2172" w:type="pct"/>
            <w:vAlign w:val="center"/>
          </w:tcPr>
          <w:p w14:paraId="2EE6BF49" w14:textId="6323070A" w:rsidR="00A43ED3" w:rsidRPr="006811EC" w:rsidRDefault="00321C15" w:rsidP="00A43ED3">
            <w:pPr>
              <w:jc w:val="left"/>
              <w:rPr>
                <w:iCs/>
              </w:rPr>
            </w:pPr>
            <w:r>
              <w:rPr>
                <w:rFonts w:ascii="Arial Narrow" w:eastAsiaTheme="majorEastAsia" w:hAnsi="Arial Narrow" w:cstheme="majorBidi"/>
                <w:bCs/>
                <w:iCs/>
                <w:sz w:val="20"/>
              </w:rPr>
              <w:t xml:space="preserve">The </w:t>
            </w:r>
            <w:r w:rsidR="00A43ED3" w:rsidRPr="006811EC">
              <w:rPr>
                <w:rFonts w:ascii="Arial Narrow" w:eastAsiaTheme="majorEastAsia" w:hAnsi="Arial Narrow" w:cstheme="majorBidi"/>
                <w:bCs/>
                <w:iCs/>
                <w:sz w:val="20"/>
              </w:rPr>
              <w:t xml:space="preserve">DUSC considered that if </w:t>
            </w:r>
            <w:r w:rsidR="00716E0C">
              <w:rPr>
                <w:rFonts w:ascii="Arial Narrow" w:eastAsiaTheme="majorEastAsia" w:hAnsi="Arial Narrow" w:cstheme="majorBidi"/>
                <w:bCs/>
                <w:iCs/>
                <w:sz w:val="20"/>
              </w:rPr>
              <w:t xml:space="preserve">an alternative </w:t>
            </w:r>
            <w:r w:rsidR="00A43ED3" w:rsidRPr="006811EC">
              <w:rPr>
                <w:rFonts w:ascii="Arial Narrow" w:eastAsiaTheme="majorEastAsia" w:hAnsi="Arial Narrow" w:cstheme="majorBidi"/>
                <w:bCs/>
                <w:iCs/>
                <w:sz w:val="20"/>
              </w:rPr>
              <w:t>listing</w:t>
            </w:r>
            <w:r w:rsidR="008651C9">
              <w:rPr>
                <w:rFonts w:ascii="Arial Narrow" w:eastAsiaTheme="majorEastAsia" w:hAnsi="Arial Narrow" w:cstheme="majorBidi"/>
                <w:bCs/>
                <w:iCs/>
                <w:sz w:val="20"/>
              </w:rPr>
              <w:t xml:space="preserve"> </w:t>
            </w:r>
            <w:r w:rsidR="008651C9" w:rsidRPr="008651C9">
              <w:rPr>
                <w:rFonts w:ascii="Arial Narrow" w:eastAsiaTheme="majorEastAsia" w:hAnsi="Arial Narrow" w:cstheme="majorBidi"/>
                <w:bCs/>
                <w:iCs/>
                <w:sz w:val="20"/>
              </w:rPr>
              <w:t xml:space="preserve">that allowed patient to receive treatment in the </w:t>
            </w:r>
            <w:r w:rsidR="008651C9" w:rsidRPr="008651C9">
              <w:rPr>
                <w:rFonts w:ascii="Arial Narrow" w:eastAsiaTheme="majorEastAsia" w:hAnsi="Arial Narrow" w:cstheme="majorBidi"/>
                <w:bCs/>
                <w:iCs/>
                <w:sz w:val="20"/>
              </w:rPr>
              <w:lastRenderedPageBreak/>
              <w:t xml:space="preserve">first- or second-line setting </w:t>
            </w:r>
            <w:r w:rsidR="00A43ED3" w:rsidRPr="006811EC">
              <w:rPr>
                <w:rFonts w:ascii="Arial Narrow" w:eastAsiaTheme="majorEastAsia" w:hAnsi="Arial Narrow" w:cstheme="majorBidi"/>
                <w:bCs/>
                <w:iCs/>
                <w:sz w:val="20"/>
              </w:rPr>
              <w:t xml:space="preserve">was recommended, the proportion </w:t>
            </w:r>
            <w:r w:rsidR="00AA4C93">
              <w:rPr>
                <w:rFonts w:ascii="Arial Narrow" w:eastAsiaTheme="majorEastAsia" w:hAnsi="Arial Narrow" w:cstheme="majorBidi"/>
                <w:bCs/>
                <w:iCs/>
                <w:sz w:val="20"/>
              </w:rPr>
              <w:t xml:space="preserve">of patients </w:t>
            </w:r>
            <w:r w:rsidR="00A43ED3" w:rsidRPr="006811EC">
              <w:rPr>
                <w:rFonts w:ascii="Arial Narrow" w:eastAsiaTheme="majorEastAsia" w:hAnsi="Arial Narrow" w:cstheme="majorBidi"/>
                <w:bCs/>
                <w:iCs/>
                <w:sz w:val="20"/>
              </w:rPr>
              <w:t>who</w:t>
            </w:r>
            <w:r w:rsidR="00CE7EDD">
              <w:rPr>
                <w:rFonts w:ascii="Arial Narrow" w:eastAsiaTheme="majorEastAsia" w:hAnsi="Arial Narrow" w:cstheme="majorBidi"/>
                <w:bCs/>
                <w:iCs/>
                <w:sz w:val="20"/>
              </w:rPr>
              <w:t xml:space="preserve"> would</w:t>
            </w:r>
            <w:r w:rsidR="00A43ED3" w:rsidRPr="006811EC">
              <w:rPr>
                <w:rFonts w:ascii="Arial Narrow" w:eastAsiaTheme="majorEastAsia" w:hAnsi="Arial Narrow" w:cstheme="majorBidi"/>
                <w:bCs/>
                <w:iCs/>
                <w:sz w:val="20"/>
              </w:rPr>
              <w:t xml:space="preserve"> elect </w:t>
            </w:r>
            <w:r w:rsidR="00966BE6">
              <w:rPr>
                <w:rFonts w:ascii="Arial Narrow" w:eastAsiaTheme="majorEastAsia" w:hAnsi="Arial Narrow" w:cstheme="majorBidi"/>
                <w:bCs/>
                <w:iCs/>
                <w:sz w:val="20"/>
              </w:rPr>
              <w:t>first-line</w:t>
            </w:r>
            <w:r w:rsidR="00A43ED3" w:rsidRPr="006811EC">
              <w:rPr>
                <w:rFonts w:ascii="Arial Narrow" w:eastAsiaTheme="majorEastAsia" w:hAnsi="Arial Narrow" w:cstheme="majorBidi"/>
                <w:bCs/>
                <w:iCs/>
                <w:sz w:val="20"/>
              </w:rPr>
              <w:t xml:space="preserve"> PBC may be lower than 80-85%</w:t>
            </w:r>
            <w:r w:rsidR="008408F8">
              <w:rPr>
                <w:rFonts w:ascii="Arial Narrow" w:eastAsiaTheme="majorEastAsia" w:hAnsi="Arial Narrow" w:cstheme="majorBidi"/>
                <w:bCs/>
                <w:iCs/>
                <w:sz w:val="20"/>
              </w:rPr>
              <w:t>,</w:t>
            </w:r>
            <w:r w:rsidR="00A43ED3" w:rsidRPr="006811EC">
              <w:rPr>
                <w:rFonts w:ascii="Arial Narrow" w:eastAsiaTheme="majorEastAsia" w:hAnsi="Arial Narrow" w:cstheme="majorBidi"/>
                <w:bCs/>
                <w:iCs/>
                <w:sz w:val="20"/>
              </w:rPr>
              <w:t xml:space="preserve"> if some patients elect to preserve amivantamab for later line treatment.</w:t>
            </w:r>
          </w:p>
        </w:tc>
      </w:tr>
      <w:tr w:rsidR="00A43ED3" w:rsidRPr="00ED2A13" w14:paraId="17B1B652" w14:textId="77777777" w:rsidTr="0034550D">
        <w:tc>
          <w:tcPr>
            <w:tcW w:w="862" w:type="pct"/>
            <w:shd w:val="clear" w:color="auto" w:fill="auto"/>
          </w:tcPr>
          <w:p w14:paraId="473C0B58" w14:textId="77777777" w:rsidR="00A43ED3" w:rsidRPr="00ED2A13" w:rsidRDefault="00A43ED3" w:rsidP="00A43ED3">
            <w:pPr>
              <w:jc w:val="left"/>
              <w:rPr>
                <w:rFonts w:ascii="Arial Narrow" w:hAnsi="Arial Narrow"/>
                <w:bCs/>
                <w:sz w:val="20"/>
                <w:szCs w:val="20"/>
              </w:rPr>
            </w:pPr>
            <w:r w:rsidRPr="00ED2A13">
              <w:rPr>
                <w:rFonts w:ascii="Arial Narrow" w:hAnsi="Arial Narrow"/>
                <w:bCs/>
                <w:sz w:val="20"/>
                <w:szCs w:val="20"/>
              </w:rPr>
              <w:lastRenderedPageBreak/>
              <w:t>Uptake rate</w:t>
            </w:r>
          </w:p>
        </w:tc>
        <w:tc>
          <w:tcPr>
            <w:tcW w:w="864" w:type="pct"/>
            <w:shd w:val="clear" w:color="auto" w:fill="auto"/>
          </w:tcPr>
          <w:p w14:paraId="658C055C" w14:textId="77777777" w:rsidR="00A43ED3" w:rsidRPr="00ED2A13" w:rsidRDefault="00A43ED3" w:rsidP="00A43ED3">
            <w:pPr>
              <w:jc w:val="left"/>
              <w:rPr>
                <w:rFonts w:ascii="Arial Narrow" w:hAnsi="Arial Narrow"/>
                <w:bCs/>
                <w:sz w:val="20"/>
                <w:szCs w:val="20"/>
              </w:rPr>
            </w:pPr>
            <w:r w:rsidRPr="00ED2A13">
              <w:rPr>
                <w:rFonts w:ascii="Arial Narrow" w:hAnsi="Arial Narrow"/>
                <w:bCs/>
                <w:sz w:val="20"/>
                <w:szCs w:val="20"/>
              </w:rPr>
              <w:t>95%</w:t>
            </w:r>
          </w:p>
        </w:tc>
        <w:tc>
          <w:tcPr>
            <w:tcW w:w="1102" w:type="pct"/>
            <w:shd w:val="clear" w:color="auto" w:fill="auto"/>
          </w:tcPr>
          <w:p w14:paraId="47B684D2" w14:textId="371131C3" w:rsidR="00A43ED3" w:rsidRPr="00ED2A13" w:rsidRDefault="00A43ED3" w:rsidP="00A43ED3">
            <w:pPr>
              <w:jc w:val="left"/>
              <w:rPr>
                <w:rFonts w:ascii="Arial Narrow" w:hAnsi="Arial Narrow"/>
                <w:bCs/>
                <w:sz w:val="20"/>
                <w:szCs w:val="20"/>
              </w:rPr>
            </w:pPr>
            <w:r w:rsidRPr="00ED2A13">
              <w:rPr>
                <w:rFonts w:ascii="Arial Narrow" w:hAnsi="Arial Narrow"/>
                <w:bCs/>
                <w:sz w:val="20"/>
                <w:szCs w:val="20"/>
              </w:rPr>
              <w:t xml:space="preserve">Daratumumab PSD, November 2021 PBAC Meeting with May 2022 Addendum </w:t>
            </w:r>
          </w:p>
        </w:tc>
        <w:tc>
          <w:tcPr>
            <w:tcW w:w="2172" w:type="pct"/>
            <w:shd w:val="clear" w:color="auto" w:fill="auto"/>
          </w:tcPr>
          <w:p w14:paraId="4012436E" w14:textId="33F3ACE0" w:rsidR="00A43ED3" w:rsidRPr="00ED2A13" w:rsidRDefault="00A43ED3" w:rsidP="00A43ED3">
            <w:pPr>
              <w:jc w:val="left"/>
              <w:rPr>
                <w:rFonts w:ascii="Arial Narrow" w:hAnsi="Arial Narrow"/>
                <w:bCs/>
                <w:sz w:val="20"/>
                <w:szCs w:val="20"/>
              </w:rPr>
            </w:pPr>
            <w:r w:rsidRPr="00ED2A13">
              <w:rPr>
                <w:rFonts w:ascii="Arial Narrow" w:hAnsi="Arial Narrow"/>
                <w:bCs/>
                <w:sz w:val="20"/>
                <w:szCs w:val="20"/>
              </w:rPr>
              <w:t xml:space="preserve">The submission claimed that the uptake rate applied in the </w:t>
            </w:r>
            <w:r>
              <w:rPr>
                <w:rFonts w:ascii="Arial Narrow" w:hAnsi="Arial Narrow"/>
                <w:bCs/>
                <w:sz w:val="20"/>
                <w:szCs w:val="20"/>
              </w:rPr>
              <w:t>d</w:t>
            </w:r>
            <w:r w:rsidRPr="00ED2A13">
              <w:rPr>
                <w:rFonts w:ascii="Arial Narrow" w:hAnsi="Arial Narrow"/>
                <w:bCs/>
                <w:sz w:val="20"/>
                <w:szCs w:val="20"/>
              </w:rPr>
              <w:t>aratumumab amyloidosis submission was reasonable as it was a condition with high unmet need. The</w:t>
            </w:r>
            <w:r>
              <w:rPr>
                <w:rFonts w:ascii="Arial Narrow" w:hAnsi="Arial Narrow"/>
                <w:bCs/>
                <w:sz w:val="20"/>
                <w:szCs w:val="20"/>
              </w:rPr>
              <w:t xml:space="preserve"> evaluation considered that the</w:t>
            </w:r>
            <w:r w:rsidRPr="00ED2A13">
              <w:rPr>
                <w:rFonts w:ascii="Arial Narrow" w:hAnsi="Arial Narrow"/>
                <w:bCs/>
                <w:sz w:val="20"/>
                <w:szCs w:val="20"/>
              </w:rPr>
              <w:t xml:space="preserve"> uptake </w:t>
            </w:r>
            <w:r>
              <w:rPr>
                <w:rFonts w:ascii="Arial Narrow" w:hAnsi="Arial Narrow"/>
                <w:bCs/>
                <w:sz w:val="20"/>
                <w:szCs w:val="20"/>
              </w:rPr>
              <w:t xml:space="preserve">assumed </w:t>
            </w:r>
            <w:r w:rsidRPr="00ED2A13">
              <w:rPr>
                <w:rFonts w:ascii="Arial Narrow" w:hAnsi="Arial Narrow"/>
                <w:bCs/>
                <w:sz w:val="20"/>
                <w:szCs w:val="20"/>
              </w:rPr>
              <w:t>was uncertain; given the inferior safety profile. However, it might be reasonable to assume that the rate will be high due to the lack of effective therapies available within this cohort. The model was sensitive to this parameter, decreasing the proportion to 80% decreased the financial estimates by 16%.</w:t>
            </w:r>
            <w:r w:rsidR="00D04058">
              <w:rPr>
                <w:rFonts w:ascii="Arial Narrow" w:hAnsi="Arial Narrow"/>
                <w:bCs/>
                <w:sz w:val="20"/>
                <w:szCs w:val="20"/>
              </w:rPr>
              <w:t xml:space="preserve"> </w:t>
            </w:r>
            <w:r w:rsidR="00D04058" w:rsidRPr="00D04058">
              <w:rPr>
                <w:rFonts w:ascii="Arial Narrow" w:hAnsi="Arial Narrow"/>
                <w:bCs/>
                <w:sz w:val="20"/>
                <w:szCs w:val="20"/>
              </w:rPr>
              <w:t xml:space="preserve">The </w:t>
            </w:r>
            <w:r w:rsidR="00D04058" w:rsidRPr="00D04058">
              <w:rPr>
                <w:rFonts w:ascii="Arial Narrow" w:eastAsiaTheme="majorEastAsia" w:hAnsi="Arial Narrow" w:cstheme="majorBidi"/>
                <w:bCs/>
                <w:sz w:val="20"/>
              </w:rPr>
              <w:t>DUSC considered there would be a proportion of patients who would be too frail to attempt treatment with amivantamab plus PBC and a more reasonable estimate would be 80%.</w:t>
            </w:r>
          </w:p>
        </w:tc>
      </w:tr>
      <w:tr w:rsidR="00A43ED3" w:rsidRPr="00ED2A13" w14:paraId="18204654" w14:textId="77777777" w:rsidTr="0034550D">
        <w:tc>
          <w:tcPr>
            <w:tcW w:w="862" w:type="pct"/>
            <w:shd w:val="clear" w:color="auto" w:fill="auto"/>
          </w:tcPr>
          <w:p w14:paraId="17AC15B9" w14:textId="77777777" w:rsidR="00A43ED3" w:rsidRPr="00ED2A13" w:rsidRDefault="00A43ED3" w:rsidP="00A43ED3">
            <w:pPr>
              <w:jc w:val="left"/>
              <w:rPr>
                <w:rFonts w:ascii="Arial Narrow" w:hAnsi="Arial Narrow"/>
                <w:bCs/>
                <w:sz w:val="20"/>
                <w:szCs w:val="20"/>
              </w:rPr>
            </w:pPr>
            <w:r w:rsidRPr="00ED2A13">
              <w:rPr>
                <w:rFonts w:ascii="Arial Narrow" w:hAnsi="Arial Narrow"/>
                <w:bCs/>
                <w:sz w:val="20"/>
                <w:szCs w:val="20"/>
              </w:rPr>
              <w:t>Treatment duration</w:t>
            </w:r>
          </w:p>
        </w:tc>
        <w:tc>
          <w:tcPr>
            <w:tcW w:w="864" w:type="pct"/>
            <w:shd w:val="clear" w:color="auto" w:fill="auto"/>
          </w:tcPr>
          <w:p w14:paraId="3FCA1AF2" w14:textId="77777777" w:rsidR="00A43ED3" w:rsidRPr="00ED2A13" w:rsidRDefault="00A43ED3" w:rsidP="00A43ED3">
            <w:pPr>
              <w:jc w:val="left"/>
              <w:rPr>
                <w:rFonts w:ascii="Arial Narrow" w:hAnsi="Arial Narrow"/>
                <w:bCs/>
                <w:sz w:val="20"/>
                <w:szCs w:val="20"/>
              </w:rPr>
            </w:pPr>
            <w:r w:rsidRPr="00ED2A13">
              <w:rPr>
                <w:rFonts w:ascii="Arial Narrow" w:hAnsi="Arial Narrow"/>
                <w:bCs/>
                <w:sz w:val="20"/>
                <w:szCs w:val="20"/>
              </w:rPr>
              <w:t>1L: 66.84 weeks</w:t>
            </w:r>
          </w:p>
          <w:p w14:paraId="47788D5B" w14:textId="68954145" w:rsidR="00A43ED3" w:rsidRPr="00ED2A13" w:rsidRDefault="00A43ED3" w:rsidP="00A43ED3">
            <w:pPr>
              <w:jc w:val="left"/>
              <w:rPr>
                <w:rFonts w:ascii="Arial Narrow" w:hAnsi="Arial Narrow"/>
                <w:bCs/>
                <w:sz w:val="20"/>
                <w:szCs w:val="20"/>
              </w:rPr>
            </w:pPr>
            <w:r w:rsidRPr="00ED2A13">
              <w:rPr>
                <w:rFonts w:ascii="Arial Narrow" w:hAnsi="Arial Narrow"/>
                <w:bCs/>
                <w:sz w:val="20"/>
                <w:szCs w:val="20"/>
              </w:rPr>
              <w:t>GF: 54.84 weeks</w:t>
            </w:r>
          </w:p>
          <w:p w14:paraId="76D3B4EC" w14:textId="77777777" w:rsidR="00A43ED3" w:rsidRPr="00ED2A13" w:rsidRDefault="00A43ED3" w:rsidP="00A43ED3">
            <w:pPr>
              <w:jc w:val="left"/>
              <w:rPr>
                <w:rFonts w:ascii="Arial Narrow" w:hAnsi="Arial Narrow"/>
                <w:bCs/>
                <w:sz w:val="20"/>
                <w:szCs w:val="20"/>
              </w:rPr>
            </w:pPr>
            <w:r w:rsidRPr="00ED2A13">
              <w:rPr>
                <w:rFonts w:ascii="Arial Narrow" w:hAnsi="Arial Narrow"/>
                <w:bCs/>
                <w:sz w:val="20"/>
                <w:szCs w:val="20"/>
              </w:rPr>
              <w:t>2L: 40.08 weeks</w:t>
            </w:r>
          </w:p>
        </w:tc>
        <w:tc>
          <w:tcPr>
            <w:tcW w:w="1102" w:type="pct"/>
            <w:shd w:val="clear" w:color="auto" w:fill="auto"/>
          </w:tcPr>
          <w:p w14:paraId="32D0ABE9" w14:textId="77777777" w:rsidR="00A43ED3" w:rsidRPr="00ED2A13" w:rsidRDefault="00A43ED3" w:rsidP="00A43ED3">
            <w:pPr>
              <w:jc w:val="left"/>
              <w:rPr>
                <w:rFonts w:ascii="Arial Narrow" w:hAnsi="Arial Narrow"/>
                <w:bCs/>
                <w:sz w:val="20"/>
                <w:szCs w:val="20"/>
              </w:rPr>
            </w:pPr>
            <w:r w:rsidRPr="00ED2A13">
              <w:rPr>
                <w:rFonts w:ascii="Arial Narrow" w:hAnsi="Arial Narrow"/>
                <w:bCs/>
                <w:sz w:val="20"/>
                <w:szCs w:val="20"/>
              </w:rPr>
              <w:t>Based on PFS curves from the economic model.</w:t>
            </w:r>
          </w:p>
        </w:tc>
        <w:tc>
          <w:tcPr>
            <w:tcW w:w="2172" w:type="pct"/>
            <w:shd w:val="clear" w:color="auto" w:fill="auto"/>
          </w:tcPr>
          <w:p w14:paraId="3E076B6A" w14:textId="5E30AA8F" w:rsidR="008879A2" w:rsidRPr="008879A2" w:rsidRDefault="00A43ED3" w:rsidP="008879A2">
            <w:pPr>
              <w:widowControl w:val="0"/>
              <w:jc w:val="left"/>
              <w:rPr>
                <w:rFonts w:ascii="Arial Narrow" w:eastAsiaTheme="majorEastAsia" w:hAnsi="Arial Narrow" w:cstheme="majorBidi"/>
                <w:bCs/>
                <w:sz w:val="20"/>
              </w:rPr>
            </w:pPr>
            <w:r w:rsidRPr="00ED2A13">
              <w:rPr>
                <w:rFonts w:ascii="Arial Narrow" w:hAnsi="Arial Narrow"/>
                <w:bCs/>
                <w:sz w:val="20"/>
                <w:szCs w:val="20"/>
              </w:rPr>
              <w:t>The submission indicated that the treatment duration for 2L treatment was based on a lognormal extrapolation of PFS in the crossover phase of PAPILLON, however this could not be verified during the evaluation. For grandfathered patients the submission assumed patients would have completed initial treatment prior to PBS listing, thus the treatment duration was an estimate.</w:t>
            </w:r>
            <w:r w:rsidR="00F27231">
              <w:rPr>
                <w:rFonts w:ascii="Arial Narrow" w:hAnsi="Arial Narrow"/>
                <w:bCs/>
                <w:sz w:val="20"/>
                <w:szCs w:val="20"/>
              </w:rPr>
              <w:t xml:space="preserve"> The</w:t>
            </w:r>
            <w:r w:rsidRPr="00ED2A13">
              <w:rPr>
                <w:rFonts w:ascii="Arial Narrow" w:hAnsi="Arial Narrow"/>
                <w:bCs/>
                <w:sz w:val="20"/>
                <w:szCs w:val="20"/>
              </w:rPr>
              <w:t xml:space="preserve"> </w:t>
            </w:r>
            <w:r w:rsidR="008879A2" w:rsidRPr="008879A2">
              <w:rPr>
                <w:rFonts w:ascii="Arial Narrow" w:eastAsiaTheme="majorEastAsia" w:hAnsi="Arial Narrow" w:cstheme="majorBidi"/>
                <w:bCs/>
                <w:sz w:val="20"/>
              </w:rPr>
              <w:t>DUSC considered that PBS patients were likely to have shorter treatment durations than patients treated in the pivotal trial, due to the toxicity of amivantamab, and considered the treatment duration was likely overestimated.</w:t>
            </w:r>
          </w:p>
          <w:p w14:paraId="3DB0A0E4" w14:textId="77777777" w:rsidR="008879A2" w:rsidRPr="008879A2" w:rsidRDefault="008879A2" w:rsidP="008879A2">
            <w:pPr>
              <w:widowControl w:val="0"/>
              <w:jc w:val="left"/>
              <w:rPr>
                <w:rFonts w:ascii="Arial Narrow" w:eastAsiaTheme="majorEastAsia" w:hAnsi="Arial Narrow" w:cstheme="majorBidi"/>
                <w:bCs/>
                <w:sz w:val="20"/>
              </w:rPr>
            </w:pPr>
          </w:p>
          <w:p w14:paraId="0A5FCBF6" w14:textId="35811301" w:rsidR="00A43ED3" w:rsidRPr="00ED2A13" w:rsidRDefault="00F27231" w:rsidP="008879A2">
            <w:pPr>
              <w:jc w:val="left"/>
              <w:rPr>
                <w:rFonts w:ascii="Arial Narrow" w:hAnsi="Arial Narrow"/>
                <w:bCs/>
                <w:sz w:val="20"/>
                <w:szCs w:val="20"/>
              </w:rPr>
            </w:pPr>
            <w:r>
              <w:rPr>
                <w:rFonts w:ascii="Arial Narrow" w:eastAsiaTheme="majorEastAsia" w:hAnsi="Arial Narrow" w:cstheme="majorBidi"/>
                <w:bCs/>
                <w:sz w:val="20"/>
              </w:rPr>
              <w:t xml:space="preserve">The </w:t>
            </w:r>
            <w:r w:rsidR="008879A2" w:rsidRPr="008879A2">
              <w:rPr>
                <w:rFonts w:ascii="Arial Narrow" w:eastAsiaTheme="majorEastAsia" w:hAnsi="Arial Narrow" w:cstheme="majorBidi"/>
                <w:bCs/>
                <w:sz w:val="20"/>
              </w:rPr>
              <w:t xml:space="preserve">DUSC agreed that it was reasonable for a shorter duration </w:t>
            </w:r>
            <w:r w:rsidR="00665225">
              <w:rPr>
                <w:rFonts w:ascii="Arial Narrow" w:eastAsiaTheme="majorEastAsia" w:hAnsi="Arial Narrow" w:cstheme="majorBidi"/>
                <w:bCs/>
                <w:sz w:val="20"/>
              </w:rPr>
              <w:t>to</w:t>
            </w:r>
            <w:r w:rsidR="008879A2" w:rsidRPr="008879A2">
              <w:rPr>
                <w:rFonts w:ascii="Arial Narrow" w:eastAsiaTheme="majorEastAsia" w:hAnsi="Arial Narrow" w:cstheme="majorBidi"/>
                <w:bCs/>
                <w:sz w:val="20"/>
              </w:rPr>
              <w:t xml:space="preserve"> be applied to grandfathered patients</w:t>
            </w:r>
            <w:r w:rsidR="00665225">
              <w:rPr>
                <w:rFonts w:ascii="Arial Narrow" w:eastAsiaTheme="majorEastAsia" w:hAnsi="Arial Narrow" w:cstheme="majorBidi"/>
                <w:bCs/>
                <w:sz w:val="20"/>
              </w:rPr>
              <w:t xml:space="preserve">, however </w:t>
            </w:r>
            <w:r w:rsidR="008879A2" w:rsidRPr="008879A2">
              <w:rPr>
                <w:rFonts w:ascii="Arial Narrow" w:eastAsiaTheme="majorEastAsia" w:hAnsi="Arial Narrow" w:cstheme="majorBidi"/>
                <w:bCs/>
                <w:sz w:val="20"/>
              </w:rPr>
              <w:t xml:space="preserve">considered this duration </w:t>
            </w:r>
            <w:r w:rsidR="005C277B">
              <w:rPr>
                <w:rFonts w:ascii="Arial Narrow" w:eastAsiaTheme="majorEastAsia" w:hAnsi="Arial Narrow" w:cstheme="majorBidi"/>
                <w:bCs/>
                <w:sz w:val="20"/>
              </w:rPr>
              <w:t xml:space="preserve">may </w:t>
            </w:r>
            <w:r w:rsidR="00665225">
              <w:rPr>
                <w:rFonts w:ascii="Arial Narrow" w:eastAsiaTheme="majorEastAsia" w:hAnsi="Arial Narrow" w:cstheme="majorBidi"/>
                <w:bCs/>
                <w:sz w:val="20"/>
              </w:rPr>
              <w:t>remain</w:t>
            </w:r>
            <w:r w:rsidR="008879A2" w:rsidRPr="008879A2">
              <w:rPr>
                <w:rFonts w:ascii="Arial Narrow" w:eastAsiaTheme="majorEastAsia" w:hAnsi="Arial Narrow" w:cstheme="majorBidi"/>
                <w:bCs/>
                <w:sz w:val="20"/>
              </w:rPr>
              <w:t xml:space="preserve"> overestimated.</w:t>
            </w:r>
          </w:p>
        </w:tc>
      </w:tr>
      <w:tr w:rsidR="00A4786F" w:rsidRPr="00ED2A13" w14:paraId="4E1F2375" w14:textId="77777777" w:rsidTr="001C2FAD">
        <w:trPr>
          <w:cantSplit/>
        </w:trPr>
        <w:tc>
          <w:tcPr>
            <w:tcW w:w="862" w:type="pct"/>
            <w:shd w:val="clear" w:color="auto" w:fill="auto"/>
          </w:tcPr>
          <w:p w14:paraId="3C964116" w14:textId="2FEADC98" w:rsidR="00A4786F" w:rsidRPr="00602A99" w:rsidRDefault="00A4786F" w:rsidP="00D6242F">
            <w:pPr>
              <w:jc w:val="left"/>
              <w:rPr>
                <w:rFonts w:ascii="Arial Narrow" w:hAnsi="Arial Narrow"/>
                <w:bCs/>
                <w:sz w:val="20"/>
                <w:szCs w:val="20"/>
              </w:rPr>
            </w:pPr>
            <w:r w:rsidRPr="00602A99">
              <w:rPr>
                <w:rFonts w:ascii="Arial Narrow" w:eastAsiaTheme="majorEastAsia" w:hAnsi="Arial Narrow" w:cstheme="majorBidi"/>
                <w:bCs/>
                <w:sz w:val="20"/>
              </w:rPr>
              <w:t>Average vials per script</w:t>
            </w:r>
          </w:p>
        </w:tc>
        <w:tc>
          <w:tcPr>
            <w:tcW w:w="864" w:type="pct"/>
            <w:shd w:val="clear" w:color="auto" w:fill="auto"/>
          </w:tcPr>
          <w:p w14:paraId="601D6D70" w14:textId="77777777" w:rsidR="00A4786F" w:rsidRPr="00602A99" w:rsidRDefault="00A4786F" w:rsidP="00D6242F">
            <w:pPr>
              <w:widowControl w:val="0"/>
              <w:jc w:val="left"/>
              <w:rPr>
                <w:rFonts w:ascii="Arial Narrow" w:eastAsiaTheme="majorEastAsia" w:hAnsi="Arial Narrow" w:cstheme="majorBidi"/>
                <w:bCs/>
                <w:sz w:val="20"/>
              </w:rPr>
            </w:pPr>
            <w:r w:rsidRPr="00602A99">
              <w:rPr>
                <w:rFonts w:ascii="Arial Narrow" w:eastAsiaTheme="majorEastAsia" w:hAnsi="Arial Narrow" w:cstheme="majorBidi"/>
                <w:bCs/>
                <w:sz w:val="20"/>
              </w:rPr>
              <w:t>Initial 4.5</w:t>
            </w:r>
          </w:p>
          <w:p w14:paraId="6B4BC381" w14:textId="63FC40B2" w:rsidR="00A4786F" w:rsidRPr="00602A99" w:rsidRDefault="00A4786F" w:rsidP="00D6242F">
            <w:pPr>
              <w:jc w:val="left"/>
              <w:rPr>
                <w:rFonts w:ascii="Arial Narrow" w:hAnsi="Arial Narrow"/>
                <w:bCs/>
                <w:sz w:val="20"/>
                <w:szCs w:val="20"/>
              </w:rPr>
            </w:pPr>
            <w:r w:rsidRPr="00602A99">
              <w:rPr>
                <w:rFonts w:ascii="Arial Narrow" w:eastAsiaTheme="majorEastAsia" w:hAnsi="Arial Narrow" w:cstheme="majorBidi"/>
                <w:bCs/>
                <w:sz w:val="20"/>
              </w:rPr>
              <w:t>Continuing 5.2</w:t>
            </w:r>
          </w:p>
        </w:tc>
        <w:tc>
          <w:tcPr>
            <w:tcW w:w="1102" w:type="pct"/>
            <w:shd w:val="clear" w:color="auto" w:fill="auto"/>
          </w:tcPr>
          <w:p w14:paraId="549815E3" w14:textId="1578C0C9" w:rsidR="00A4786F" w:rsidRPr="00602A99" w:rsidRDefault="00A4786F" w:rsidP="00D6242F">
            <w:pPr>
              <w:jc w:val="left"/>
              <w:rPr>
                <w:rFonts w:ascii="Arial Narrow" w:hAnsi="Arial Narrow"/>
                <w:bCs/>
                <w:sz w:val="20"/>
                <w:szCs w:val="20"/>
              </w:rPr>
            </w:pPr>
            <w:r w:rsidRPr="00602A99">
              <w:rPr>
                <w:rFonts w:ascii="Arial Narrow" w:eastAsiaTheme="majorEastAsia" w:hAnsi="Arial Narrow" w:cstheme="majorBidi"/>
                <w:bCs/>
                <w:sz w:val="20"/>
              </w:rPr>
              <w:t>Product of the recommended dose, the average weight of patients from the PAPILLON trial, and the proportion of skipped/reduced doses</w:t>
            </w:r>
            <w:r w:rsidR="00D6242F" w:rsidRPr="00602A99">
              <w:rPr>
                <w:rFonts w:ascii="Arial Narrow" w:eastAsiaTheme="majorEastAsia" w:hAnsi="Arial Narrow" w:cstheme="majorBidi"/>
                <w:bCs/>
                <w:sz w:val="20"/>
              </w:rPr>
              <w:t>.</w:t>
            </w:r>
          </w:p>
        </w:tc>
        <w:tc>
          <w:tcPr>
            <w:tcW w:w="2172" w:type="pct"/>
            <w:shd w:val="clear" w:color="auto" w:fill="auto"/>
          </w:tcPr>
          <w:p w14:paraId="698C8033" w14:textId="784534AA" w:rsidR="00A4786F" w:rsidRPr="00602A99" w:rsidRDefault="00222109" w:rsidP="00A4786F">
            <w:pPr>
              <w:widowControl w:val="0"/>
              <w:jc w:val="left"/>
              <w:rPr>
                <w:rFonts w:ascii="Arial Narrow" w:hAnsi="Arial Narrow"/>
                <w:bCs/>
                <w:sz w:val="20"/>
                <w:szCs w:val="20"/>
              </w:rPr>
            </w:pPr>
            <w:r w:rsidRPr="00602A99">
              <w:rPr>
                <w:rFonts w:ascii="Arial Narrow" w:eastAsiaTheme="majorEastAsia" w:hAnsi="Arial Narrow" w:cstheme="majorBidi"/>
                <w:bCs/>
                <w:sz w:val="20"/>
              </w:rPr>
              <w:t xml:space="preserve">The DUSC considered that dose reductions may be more likely </w:t>
            </w:r>
            <w:r w:rsidR="00756858" w:rsidRPr="00602A99">
              <w:rPr>
                <w:rFonts w:ascii="Arial Narrow" w:eastAsiaTheme="majorEastAsia" w:hAnsi="Arial Narrow" w:cstheme="majorBidi"/>
                <w:bCs/>
                <w:sz w:val="20"/>
              </w:rPr>
              <w:t>in</w:t>
            </w:r>
            <w:r w:rsidRPr="00602A99">
              <w:rPr>
                <w:rFonts w:ascii="Arial Narrow" w:eastAsiaTheme="majorEastAsia" w:hAnsi="Arial Narrow" w:cstheme="majorBidi"/>
                <w:bCs/>
                <w:sz w:val="20"/>
              </w:rPr>
              <w:t xml:space="preserve"> the PBS </w:t>
            </w:r>
            <w:r w:rsidR="00756858" w:rsidRPr="00602A99">
              <w:rPr>
                <w:rFonts w:ascii="Arial Narrow" w:eastAsiaTheme="majorEastAsia" w:hAnsi="Arial Narrow" w:cstheme="majorBidi"/>
                <w:bCs/>
                <w:sz w:val="20"/>
              </w:rPr>
              <w:t xml:space="preserve">population </w:t>
            </w:r>
            <w:r w:rsidRPr="00602A99">
              <w:rPr>
                <w:rFonts w:ascii="Arial Narrow" w:eastAsiaTheme="majorEastAsia" w:hAnsi="Arial Narrow" w:cstheme="majorBidi"/>
                <w:bCs/>
                <w:sz w:val="20"/>
              </w:rPr>
              <w:t>and the average vials per script may be overestimated.</w:t>
            </w:r>
          </w:p>
        </w:tc>
      </w:tr>
    </w:tbl>
    <w:p w14:paraId="2936D391" w14:textId="77777777" w:rsidR="00ED2A13" w:rsidRPr="00ED2A13" w:rsidRDefault="00ED2A13" w:rsidP="00AD07E3">
      <w:pPr>
        <w:pStyle w:val="TableFigureFooter"/>
      </w:pPr>
      <w:r w:rsidRPr="00ED2A13">
        <w:t>Source: Table 4.1, pp208-209 of the submission</w:t>
      </w:r>
    </w:p>
    <w:p w14:paraId="375F2D5B" w14:textId="32476E70" w:rsidR="00ED2A13" w:rsidRPr="001C2FAD" w:rsidRDefault="00ED2A13" w:rsidP="00AD07E3">
      <w:pPr>
        <w:pStyle w:val="TableFigureFooter"/>
      </w:pPr>
      <w:r w:rsidRPr="001C2FAD">
        <w:t xml:space="preserve">Abbreviations: 1L, first line; 2L, second line; </w:t>
      </w:r>
      <w:r w:rsidR="00A04785" w:rsidRPr="001C2FAD">
        <w:t xml:space="preserve">DUSC, </w:t>
      </w:r>
      <w:r w:rsidR="005F4ED8" w:rsidRPr="001C2FAD">
        <w:t xml:space="preserve">Drug Utilisation Sub-Committee; </w:t>
      </w:r>
      <w:r w:rsidR="003C13F6" w:rsidRPr="001C2FAD">
        <w:t xml:space="preserve">ECOG, </w:t>
      </w:r>
      <w:r w:rsidR="0057584F" w:rsidRPr="001C2FAD">
        <w:t>Eastern Cooperative Oncology Group</w:t>
      </w:r>
      <w:r w:rsidR="003C13F6" w:rsidRPr="001C2FAD">
        <w:t>;</w:t>
      </w:r>
      <w:r w:rsidR="0057584F" w:rsidRPr="001C2FAD">
        <w:t xml:space="preserve"> </w:t>
      </w:r>
      <w:r w:rsidR="00F54438" w:rsidRPr="001C2FAD">
        <w:rPr>
          <w:bCs/>
          <w:i/>
        </w:rPr>
        <w:t>EGFR</w:t>
      </w:r>
      <w:r w:rsidR="005F1C55" w:rsidRPr="001C2FAD">
        <w:rPr>
          <w:bCs/>
        </w:rPr>
        <w:t>,</w:t>
      </w:r>
      <w:r w:rsidR="00A04785" w:rsidRPr="001C2FAD">
        <w:t xml:space="preserve"> </w:t>
      </w:r>
      <w:r w:rsidR="005F1C55" w:rsidRPr="001C2FAD">
        <w:t>epidermal growth factor receptor</w:t>
      </w:r>
      <w:r w:rsidR="00A04785" w:rsidRPr="001C2FAD">
        <w:t xml:space="preserve">; </w:t>
      </w:r>
      <w:r w:rsidR="005B640F" w:rsidRPr="001C2FAD">
        <w:rPr>
          <w:bCs/>
        </w:rPr>
        <w:t>e</w:t>
      </w:r>
      <w:r w:rsidR="00A04785" w:rsidRPr="001C2FAD">
        <w:rPr>
          <w:bCs/>
        </w:rPr>
        <w:t>x20in</w:t>
      </w:r>
      <w:r w:rsidR="00A04785" w:rsidRPr="001C2FAD">
        <w:t xml:space="preserve">, </w:t>
      </w:r>
      <w:r w:rsidR="00F54438" w:rsidRPr="001C2FAD">
        <w:t>exon 20 insertion</w:t>
      </w:r>
      <w:r w:rsidR="00A04785" w:rsidRPr="001C2FAD">
        <w:t>;</w:t>
      </w:r>
      <w:r w:rsidR="00C470CA" w:rsidRPr="001C2FAD">
        <w:t xml:space="preserve"> </w:t>
      </w:r>
      <w:r w:rsidRPr="001C2FAD">
        <w:t>GF, grandfathered;</w:t>
      </w:r>
      <w:r w:rsidR="00F628F6" w:rsidRPr="001C2FAD">
        <w:t xml:space="preserve"> NSCLC, </w:t>
      </w:r>
      <w:r w:rsidR="00C01F89" w:rsidRPr="001C2FAD">
        <w:t>non-small cell lung cancer</w:t>
      </w:r>
      <w:r w:rsidR="00F628F6" w:rsidRPr="001C2FAD">
        <w:t>;</w:t>
      </w:r>
      <w:r w:rsidR="00C01F89" w:rsidRPr="001C2FAD">
        <w:t xml:space="preserve"> </w:t>
      </w:r>
      <w:r w:rsidRPr="001C2FAD">
        <w:t>PBAC, Pharmaceutical Benefits Advisory Committee; PBS, Pharmaceutical Benefits Scheme; PFS, progression free survival; PSD, public summary document</w:t>
      </w:r>
      <w:r w:rsidR="00F628F6" w:rsidRPr="001C2FAD">
        <w:t>; RPBS, Repatriation Pharmaceutical Benefits Scheme.</w:t>
      </w:r>
    </w:p>
    <w:p w14:paraId="595BC111" w14:textId="3763665F" w:rsidR="00ED2A13" w:rsidRPr="00ED2A13" w:rsidRDefault="00ED2A13" w:rsidP="00EF4C49">
      <w:pPr>
        <w:pStyle w:val="3-BodyText"/>
      </w:pPr>
      <w:r w:rsidRPr="00ED2A13">
        <w:t xml:space="preserve">The number of patients </w:t>
      </w:r>
      <w:proofErr w:type="gramStart"/>
      <w:r w:rsidRPr="00ED2A13">
        <w:t>treated,</w:t>
      </w:r>
      <w:proofErr w:type="gramEnd"/>
      <w:r w:rsidRPr="00ED2A13">
        <w:t xml:space="preserve"> the estimated use and the financial implications for the proposed PBS listing of amivantamab are </w:t>
      </w:r>
      <w:r w:rsidRPr="006A238E">
        <w:t xml:space="preserve">summarised in </w:t>
      </w:r>
      <w:r w:rsidRPr="006A238E">
        <w:fldChar w:fldCharType="begin"/>
      </w:r>
      <w:r w:rsidRPr="006A238E">
        <w:instrText xml:space="preserve"> REF _Ref104805295 \h </w:instrText>
      </w:r>
      <w:r w:rsidR="006A238E" w:rsidRPr="006A238E">
        <w:instrText xml:space="preserve"> \* MERGEFORMAT </w:instrText>
      </w:r>
      <w:r w:rsidRPr="006A238E">
        <w:fldChar w:fldCharType="separate"/>
      </w:r>
      <w:r w:rsidR="00372107" w:rsidRPr="00372107">
        <w:t>Table 16</w:t>
      </w:r>
      <w:r w:rsidRPr="006A238E">
        <w:fldChar w:fldCharType="end"/>
      </w:r>
      <w:r w:rsidRPr="006A238E">
        <w:t>.</w:t>
      </w:r>
    </w:p>
    <w:p w14:paraId="300A8E2E" w14:textId="4E28D2EA" w:rsidR="00ED2A13" w:rsidRPr="00ED2A13" w:rsidRDefault="00ED2A13" w:rsidP="00CB5300">
      <w:pPr>
        <w:keepNext/>
        <w:rPr>
          <w:rStyle w:val="CommentReference"/>
        </w:rPr>
      </w:pPr>
      <w:bookmarkStart w:id="113" w:name="_Ref104805295"/>
      <w:r w:rsidRPr="00ED2A13">
        <w:rPr>
          <w:rStyle w:val="CommentReference"/>
        </w:rPr>
        <w:lastRenderedPageBreak/>
        <w:t xml:space="preserve">Table </w:t>
      </w:r>
      <w:r w:rsidRPr="00ED2A13">
        <w:rPr>
          <w:rStyle w:val="CommentReference"/>
        </w:rPr>
        <w:fldChar w:fldCharType="begin"/>
      </w:r>
      <w:r w:rsidRPr="00ED2A13">
        <w:rPr>
          <w:rStyle w:val="CommentReference"/>
        </w:rPr>
        <w:instrText xml:space="preserve"> SEQ Table \* ARABIC </w:instrText>
      </w:r>
      <w:r w:rsidRPr="00ED2A13">
        <w:rPr>
          <w:rStyle w:val="CommentReference"/>
        </w:rPr>
        <w:fldChar w:fldCharType="separate"/>
      </w:r>
      <w:r w:rsidR="00372107">
        <w:rPr>
          <w:rStyle w:val="CommentReference"/>
          <w:noProof/>
        </w:rPr>
        <w:t>16</w:t>
      </w:r>
      <w:r w:rsidRPr="00ED2A13">
        <w:rPr>
          <w:rStyle w:val="CommentReference"/>
        </w:rPr>
        <w:fldChar w:fldCharType="end"/>
      </w:r>
      <w:bookmarkEnd w:id="113"/>
      <w:r w:rsidRPr="00ED2A13">
        <w:rPr>
          <w:rStyle w:val="CommentReference"/>
        </w:rPr>
        <w:t>: Estimated use and financial implications (using proposed effective prices for amivantamab)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6"/>
        <w:gridCol w:w="959"/>
        <w:gridCol w:w="1102"/>
        <w:gridCol w:w="1102"/>
        <w:gridCol w:w="1102"/>
        <w:gridCol w:w="1102"/>
        <w:gridCol w:w="1104"/>
      </w:tblGrid>
      <w:tr w:rsidR="00ED2A13" w:rsidRPr="00ED2A13" w14:paraId="39A849D1" w14:textId="77777777">
        <w:trPr>
          <w:tblHeader/>
        </w:trPr>
        <w:tc>
          <w:tcPr>
            <w:tcW w:w="1412" w:type="pct"/>
            <w:shd w:val="clear" w:color="auto" w:fill="auto"/>
            <w:vAlign w:val="center"/>
          </w:tcPr>
          <w:p w14:paraId="1FFD4EDC" w14:textId="77777777" w:rsidR="00ED2A13" w:rsidRPr="00ED2A13" w:rsidRDefault="00ED2A13" w:rsidP="00ED2A13">
            <w:pPr>
              <w:jc w:val="left"/>
              <w:rPr>
                <w:rFonts w:ascii="Arial Narrow" w:hAnsi="Arial Narrow"/>
                <w:b/>
                <w:sz w:val="20"/>
                <w:szCs w:val="20"/>
                <w:lang w:val="en-US"/>
              </w:rPr>
            </w:pPr>
          </w:p>
        </w:tc>
        <w:tc>
          <w:tcPr>
            <w:tcW w:w="532" w:type="pct"/>
            <w:shd w:val="clear" w:color="auto" w:fill="auto"/>
            <w:vAlign w:val="center"/>
          </w:tcPr>
          <w:p w14:paraId="53C700B9" w14:textId="77777777" w:rsidR="00ED2A13" w:rsidRPr="00ED2A13" w:rsidRDefault="00ED2A13" w:rsidP="00ED2A13">
            <w:pPr>
              <w:jc w:val="center"/>
              <w:rPr>
                <w:rFonts w:ascii="Arial Narrow" w:hAnsi="Arial Narrow"/>
                <w:b/>
                <w:sz w:val="20"/>
                <w:szCs w:val="20"/>
                <w:lang w:val="en-US"/>
              </w:rPr>
            </w:pPr>
            <w:r w:rsidRPr="00ED2A13">
              <w:rPr>
                <w:rFonts w:ascii="Arial Narrow" w:hAnsi="Arial Narrow"/>
                <w:b/>
                <w:sz w:val="20"/>
                <w:szCs w:val="20"/>
                <w:lang w:val="en-US"/>
              </w:rPr>
              <w:t>Year 1</w:t>
            </w:r>
          </w:p>
        </w:tc>
        <w:tc>
          <w:tcPr>
            <w:tcW w:w="611" w:type="pct"/>
            <w:shd w:val="clear" w:color="auto" w:fill="auto"/>
            <w:vAlign w:val="center"/>
          </w:tcPr>
          <w:p w14:paraId="147398E5" w14:textId="77777777" w:rsidR="00ED2A13" w:rsidRPr="00ED2A13" w:rsidRDefault="00ED2A13" w:rsidP="00ED2A13">
            <w:pPr>
              <w:jc w:val="center"/>
              <w:rPr>
                <w:rFonts w:ascii="Arial Narrow" w:hAnsi="Arial Narrow"/>
                <w:b/>
                <w:sz w:val="20"/>
                <w:szCs w:val="20"/>
                <w:lang w:val="en-US"/>
              </w:rPr>
            </w:pPr>
            <w:r w:rsidRPr="00ED2A13">
              <w:rPr>
                <w:rFonts w:ascii="Arial Narrow" w:hAnsi="Arial Narrow"/>
                <w:b/>
                <w:sz w:val="20"/>
                <w:szCs w:val="20"/>
                <w:lang w:val="en-US"/>
              </w:rPr>
              <w:t>Year 2</w:t>
            </w:r>
          </w:p>
        </w:tc>
        <w:tc>
          <w:tcPr>
            <w:tcW w:w="611" w:type="pct"/>
            <w:shd w:val="clear" w:color="auto" w:fill="auto"/>
            <w:vAlign w:val="center"/>
          </w:tcPr>
          <w:p w14:paraId="31BD3AF2" w14:textId="77777777" w:rsidR="00ED2A13" w:rsidRPr="00ED2A13" w:rsidRDefault="00ED2A13" w:rsidP="00ED2A13">
            <w:pPr>
              <w:jc w:val="center"/>
              <w:rPr>
                <w:rFonts w:ascii="Arial Narrow" w:hAnsi="Arial Narrow"/>
                <w:b/>
                <w:sz w:val="20"/>
                <w:szCs w:val="20"/>
                <w:lang w:val="en-US"/>
              </w:rPr>
            </w:pPr>
            <w:r w:rsidRPr="00ED2A13">
              <w:rPr>
                <w:rFonts w:ascii="Arial Narrow" w:hAnsi="Arial Narrow"/>
                <w:b/>
                <w:sz w:val="20"/>
                <w:szCs w:val="20"/>
                <w:lang w:val="en-US"/>
              </w:rPr>
              <w:t>Year 3</w:t>
            </w:r>
          </w:p>
        </w:tc>
        <w:tc>
          <w:tcPr>
            <w:tcW w:w="611" w:type="pct"/>
            <w:shd w:val="clear" w:color="auto" w:fill="auto"/>
            <w:vAlign w:val="center"/>
          </w:tcPr>
          <w:p w14:paraId="438B20C4" w14:textId="77777777" w:rsidR="00ED2A13" w:rsidRPr="00ED2A13" w:rsidRDefault="00ED2A13" w:rsidP="00ED2A13">
            <w:pPr>
              <w:jc w:val="center"/>
              <w:rPr>
                <w:rFonts w:ascii="Arial Narrow" w:hAnsi="Arial Narrow"/>
                <w:b/>
                <w:sz w:val="20"/>
                <w:szCs w:val="20"/>
                <w:lang w:val="en-US"/>
              </w:rPr>
            </w:pPr>
            <w:r w:rsidRPr="00ED2A13">
              <w:rPr>
                <w:rFonts w:ascii="Arial Narrow" w:hAnsi="Arial Narrow"/>
                <w:b/>
                <w:sz w:val="20"/>
                <w:szCs w:val="20"/>
                <w:lang w:val="en-US"/>
              </w:rPr>
              <w:t>Year 4</w:t>
            </w:r>
          </w:p>
        </w:tc>
        <w:tc>
          <w:tcPr>
            <w:tcW w:w="611" w:type="pct"/>
            <w:shd w:val="clear" w:color="auto" w:fill="auto"/>
            <w:vAlign w:val="center"/>
          </w:tcPr>
          <w:p w14:paraId="4B74EAA6" w14:textId="77777777" w:rsidR="00ED2A13" w:rsidRPr="00ED2A13" w:rsidRDefault="00ED2A13" w:rsidP="00ED2A13">
            <w:pPr>
              <w:jc w:val="center"/>
              <w:rPr>
                <w:rFonts w:ascii="Arial Narrow" w:hAnsi="Arial Narrow"/>
                <w:b/>
                <w:sz w:val="20"/>
                <w:szCs w:val="20"/>
                <w:lang w:val="en-US"/>
              </w:rPr>
            </w:pPr>
            <w:r w:rsidRPr="00ED2A13">
              <w:rPr>
                <w:rFonts w:ascii="Arial Narrow" w:hAnsi="Arial Narrow"/>
                <w:b/>
                <w:sz w:val="20"/>
                <w:szCs w:val="20"/>
                <w:lang w:val="en-US"/>
              </w:rPr>
              <w:t>Year 5</w:t>
            </w:r>
          </w:p>
        </w:tc>
        <w:tc>
          <w:tcPr>
            <w:tcW w:w="611" w:type="pct"/>
          </w:tcPr>
          <w:p w14:paraId="5F5ACE46" w14:textId="77777777" w:rsidR="00ED2A13" w:rsidRPr="00ED2A13" w:rsidRDefault="00ED2A13" w:rsidP="00ED2A13">
            <w:pPr>
              <w:jc w:val="center"/>
              <w:rPr>
                <w:rFonts w:ascii="Arial Narrow" w:hAnsi="Arial Narrow"/>
                <w:b/>
                <w:sz w:val="20"/>
                <w:szCs w:val="20"/>
                <w:lang w:val="en-US"/>
              </w:rPr>
            </w:pPr>
            <w:r w:rsidRPr="00ED2A13">
              <w:rPr>
                <w:rFonts w:ascii="Arial Narrow" w:hAnsi="Arial Narrow"/>
                <w:b/>
                <w:sz w:val="20"/>
                <w:szCs w:val="20"/>
                <w:lang w:val="en-US"/>
              </w:rPr>
              <w:t>Year 6</w:t>
            </w:r>
          </w:p>
        </w:tc>
      </w:tr>
      <w:tr w:rsidR="00ED2A13" w:rsidRPr="00ED2A13" w14:paraId="0292A165" w14:textId="77777777">
        <w:tc>
          <w:tcPr>
            <w:tcW w:w="5000" w:type="pct"/>
            <w:gridSpan w:val="7"/>
            <w:shd w:val="clear" w:color="auto" w:fill="auto"/>
            <w:vAlign w:val="center"/>
          </w:tcPr>
          <w:p w14:paraId="0824B078" w14:textId="77777777" w:rsidR="00ED2A13" w:rsidRPr="00ED2A13" w:rsidRDefault="00ED2A13" w:rsidP="00ED2A13">
            <w:pPr>
              <w:jc w:val="left"/>
              <w:rPr>
                <w:rFonts w:ascii="Arial Narrow" w:hAnsi="Arial Narrow"/>
                <w:b/>
                <w:sz w:val="20"/>
                <w:szCs w:val="20"/>
                <w:lang w:val="en-US"/>
              </w:rPr>
            </w:pPr>
            <w:r w:rsidRPr="00ED2A13">
              <w:rPr>
                <w:rFonts w:ascii="Arial Narrow" w:hAnsi="Arial Narrow"/>
                <w:b/>
                <w:sz w:val="20"/>
                <w:szCs w:val="20"/>
                <w:lang w:val="en-US"/>
              </w:rPr>
              <w:t>Estimated extent of use</w:t>
            </w:r>
          </w:p>
        </w:tc>
      </w:tr>
      <w:tr w:rsidR="00ED2A13" w:rsidRPr="00ED2A13" w14:paraId="10DDBD7F" w14:textId="77777777">
        <w:tc>
          <w:tcPr>
            <w:tcW w:w="1412" w:type="pct"/>
            <w:shd w:val="clear" w:color="auto" w:fill="auto"/>
            <w:vAlign w:val="center"/>
          </w:tcPr>
          <w:p w14:paraId="4E466334" w14:textId="77777777" w:rsidR="00ED2A13" w:rsidRPr="00ED2A13" w:rsidRDefault="00ED2A13" w:rsidP="00ED2A13">
            <w:pPr>
              <w:jc w:val="left"/>
              <w:rPr>
                <w:rFonts w:ascii="Arial Narrow" w:hAnsi="Arial Narrow"/>
                <w:bCs/>
                <w:sz w:val="20"/>
                <w:szCs w:val="20"/>
              </w:rPr>
            </w:pPr>
            <w:r w:rsidRPr="00ED2A13">
              <w:rPr>
                <w:rFonts w:ascii="Arial Narrow" w:hAnsi="Arial Narrow"/>
                <w:bCs/>
                <w:sz w:val="20"/>
                <w:szCs w:val="20"/>
              </w:rPr>
              <w:t>Number of patients 1L</w:t>
            </w:r>
          </w:p>
        </w:tc>
        <w:tc>
          <w:tcPr>
            <w:tcW w:w="532" w:type="pct"/>
            <w:shd w:val="clear" w:color="auto" w:fill="auto"/>
            <w:vAlign w:val="center"/>
          </w:tcPr>
          <w:p w14:paraId="7D588E9E" w14:textId="70314769" w:rsidR="00ED2A13" w:rsidRPr="0062343B" w:rsidRDefault="00CE016F" w:rsidP="00ED2A13">
            <w:pPr>
              <w:jc w:val="center"/>
              <w:rPr>
                <w:rFonts w:ascii="Arial Narrow" w:hAnsi="Arial Narrow"/>
                <w:bCs/>
                <w:sz w:val="20"/>
                <w:szCs w:val="20"/>
                <w:vertAlign w:val="superscript"/>
              </w:rPr>
            </w:pPr>
            <w:r w:rsidRPr="00CE016F">
              <w:rPr>
                <w:rFonts w:ascii="Arial Narrow" w:hAnsi="Arial Narrow" w:hint="eastAsia"/>
                <w:bCs/>
                <w:color w:val="000000"/>
                <w:w w:val="30"/>
                <w:sz w:val="20"/>
                <w:szCs w:val="20"/>
                <w:shd w:val="solid" w:color="000000" w:fill="000000"/>
                <w:fitText w:val="133" w:id="-762139899"/>
                <w14:textFill>
                  <w14:solidFill>
                    <w14:srgbClr w14:val="000000">
                      <w14:alpha w14:val="100000"/>
                    </w14:srgbClr>
                  </w14:solidFill>
                </w14:textFill>
              </w:rPr>
              <w:t xml:space="preserve">　</w:t>
            </w:r>
            <w:r w:rsidRPr="00CE016F">
              <w:rPr>
                <w:rFonts w:ascii="Arial Narrow" w:hAnsi="Arial Narrow"/>
                <w:bCs/>
                <w:color w:val="000000"/>
                <w:w w:val="30"/>
                <w:sz w:val="20"/>
                <w:szCs w:val="20"/>
                <w:shd w:val="solid" w:color="000000" w:fill="000000"/>
                <w:fitText w:val="133" w:id="-762139899"/>
                <w14:textFill>
                  <w14:solidFill>
                    <w14:srgbClr w14:val="000000">
                      <w14:alpha w14:val="100000"/>
                    </w14:srgbClr>
                  </w14:solidFill>
                </w14:textFill>
              </w:rPr>
              <w:t>|</w:t>
            </w:r>
            <w:r w:rsidRPr="00CE016F">
              <w:rPr>
                <w:rFonts w:ascii="Arial Narrow" w:hAnsi="Arial Narrow" w:hint="eastAsia"/>
                <w:bCs/>
                <w:color w:val="000000"/>
                <w:spacing w:val="1"/>
                <w:w w:val="30"/>
                <w:sz w:val="20"/>
                <w:szCs w:val="20"/>
                <w:shd w:val="solid" w:color="000000" w:fill="000000"/>
                <w:fitText w:val="133" w:id="-762139899"/>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4964343D" w14:textId="3E8B6BE2"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8"/>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8"/>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8"/>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2434F748" w14:textId="3DCF28B8"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7"/>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7"/>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7"/>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1EFF46F2" w14:textId="266306EB"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6"/>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6"/>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6"/>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425177D3" w14:textId="6468480F"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5"/>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5"/>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5"/>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vAlign w:val="center"/>
          </w:tcPr>
          <w:p w14:paraId="4A6E9F2F" w14:textId="4E07DFCA"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4"/>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4"/>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4"/>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r>
      <w:tr w:rsidR="00ED2A13" w:rsidRPr="00ED2A13" w14:paraId="0A882826" w14:textId="77777777">
        <w:tc>
          <w:tcPr>
            <w:tcW w:w="1412" w:type="pct"/>
            <w:shd w:val="clear" w:color="auto" w:fill="auto"/>
            <w:vAlign w:val="center"/>
          </w:tcPr>
          <w:p w14:paraId="25BB6870" w14:textId="77777777" w:rsidR="00ED2A13" w:rsidRPr="00ED2A13" w:rsidRDefault="00ED2A13" w:rsidP="00ED2A13">
            <w:pPr>
              <w:jc w:val="left"/>
              <w:rPr>
                <w:rFonts w:ascii="Arial Narrow" w:hAnsi="Arial Narrow"/>
                <w:bCs/>
                <w:sz w:val="20"/>
                <w:szCs w:val="20"/>
              </w:rPr>
            </w:pPr>
            <w:r w:rsidRPr="00ED2A13">
              <w:rPr>
                <w:rFonts w:ascii="Arial Narrow" w:hAnsi="Arial Narrow"/>
                <w:bCs/>
                <w:sz w:val="20"/>
                <w:szCs w:val="20"/>
              </w:rPr>
              <w:t>Number of patients 1L (grandfathered)</w:t>
            </w:r>
          </w:p>
        </w:tc>
        <w:tc>
          <w:tcPr>
            <w:tcW w:w="532" w:type="pct"/>
            <w:shd w:val="clear" w:color="auto" w:fill="auto"/>
            <w:vAlign w:val="center"/>
          </w:tcPr>
          <w:p w14:paraId="21A2461D" w14:textId="4304680E" w:rsidR="00ED2A13" w:rsidRPr="00ED2A13" w:rsidRDefault="00CE016F" w:rsidP="00ED2A13">
            <w:pPr>
              <w:jc w:val="center"/>
              <w:rPr>
                <w:rFonts w:ascii="Arial Narrow" w:hAnsi="Arial Narrow"/>
                <w:bCs/>
                <w:sz w:val="20"/>
                <w:szCs w:val="20"/>
                <w:vertAlign w:val="superscript"/>
              </w:rPr>
            </w:pPr>
            <w:r w:rsidRPr="00CE016F">
              <w:rPr>
                <w:rFonts w:ascii="Arial Narrow" w:hAnsi="Arial Narrow"/>
                <w:bCs/>
                <w:color w:val="000000"/>
                <w:spacing w:val="87"/>
                <w:sz w:val="20"/>
                <w:szCs w:val="20"/>
                <w:shd w:val="solid" w:color="000000" w:fill="000000"/>
                <w:fitText w:val="173" w:id="-762139893"/>
                <w14:textFill>
                  <w14:solidFill>
                    <w14:srgbClr w14:val="000000">
                      <w14:alpha w14:val="100000"/>
                    </w14:srgbClr>
                  </w14:solidFill>
                </w14:textFill>
              </w:rPr>
              <w:t>|</w:t>
            </w:r>
            <w:r w:rsidRPr="00CE016F">
              <w:rPr>
                <w:rFonts w:ascii="Arial Narrow" w:hAnsi="Arial Narrow"/>
                <w:bCs/>
                <w:color w:val="000000"/>
                <w:spacing w:val="1"/>
                <w:sz w:val="20"/>
                <w:szCs w:val="20"/>
                <w:shd w:val="solid" w:color="000000" w:fill="000000"/>
                <w:fitText w:val="173" w:id="-762139893"/>
                <w14:textFill>
                  <w14:solidFill>
                    <w14:srgbClr w14:val="000000">
                      <w14:alpha w14:val="100000"/>
                    </w14:srgbClr>
                  </w14:solidFill>
                </w14:textFill>
              </w:rPr>
              <w:t>|</w:t>
            </w:r>
            <w:r w:rsidR="00ED2A13" w:rsidRPr="00ED2A13">
              <w:rPr>
                <w:rFonts w:ascii="Arial Narrow" w:hAnsi="Arial Narrow"/>
                <w:bCs/>
                <w:sz w:val="20"/>
                <w:szCs w:val="20"/>
                <w:vertAlign w:val="superscript"/>
              </w:rPr>
              <w:t>b</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69688D91" w14:textId="32AF083B"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2"/>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2"/>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2"/>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6B0BD501" w14:textId="629B567F"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1"/>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1"/>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1"/>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3FF785B1" w14:textId="124BBDC1"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0"/>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0"/>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0"/>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15D0BABC" w14:textId="453FED37"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89"/>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89"/>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89"/>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vAlign w:val="center"/>
          </w:tcPr>
          <w:p w14:paraId="03987333" w14:textId="796ACACA"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88"/>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88"/>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88"/>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r>
      <w:tr w:rsidR="00ED2A13" w:rsidRPr="00ED2A13" w14:paraId="6A6D9F63" w14:textId="77777777">
        <w:tc>
          <w:tcPr>
            <w:tcW w:w="1412" w:type="pct"/>
            <w:shd w:val="clear" w:color="auto" w:fill="auto"/>
            <w:vAlign w:val="center"/>
          </w:tcPr>
          <w:p w14:paraId="2478EB42" w14:textId="77777777" w:rsidR="00ED2A13" w:rsidRPr="00ED2A13" w:rsidRDefault="00ED2A13" w:rsidP="00ED2A13">
            <w:pPr>
              <w:jc w:val="left"/>
              <w:rPr>
                <w:rFonts w:ascii="Arial Narrow" w:hAnsi="Arial Narrow"/>
                <w:bCs/>
                <w:sz w:val="20"/>
                <w:szCs w:val="20"/>
              </w:rPr>
            </w:pPr>
            <w:r w:rsidRPr="00ED2A13">
              <w:rPr>
                <w:rFonts w:ascii="Arial Narrow" w:hAnsi="Arial Narrow"/>
                <w:bCs/>
                <w:sz w:val="20"/>
                <w:szCs w:val="20"/>
              </w:rPr>
              <w:t>Number of patients 2L</w:t>
            </w:r>
          </w:p>
        </w:tc>
        <w:tc>
          <w:tcPr>
            <w:tcW w:w="532" w:type="pct"/>
            <w:shd w:val="clear" w:color="auto" w:fill="auto"/>
            <w:vAlign w:val="center"/>
          </w:tcPr>
          <w:p w14:paraId="4DE61852" w14:textId="790BB178"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30"/>
                <w:sz w:val="20"/>
                <w:szCs w:val="20"/>
                <w:shd w:val="solid" w:color="000000" w:fill="000000"/>
                <w:fitText w:val="133" w:id="-762139904"/>
                <w14:textFill>
                  <w14:solidFill>
                    <w14:srgbClr w14:val="000000">
                      <w14:alpha w14:val="100000"/>
                    </w14:srgbClr>
                  </w14:solidFill>
                </w14:textFill>
              </w:rPr>
              <w:t xml:space="preserve">　</w:t>
            </w:r>
            <w:r w:rsidRPr="00CE016F">
              <w:rPr>
                <w:rFonts w:ascii="Arial Narrow" w:hAnsi="Arial Narrow"/>
                <w:bCs/>
                <w:color w:val="000000"/>
                <w:w w:val="30"/>
                <w:sz w:val="20"/>
                <w:szCs w:val="20"/>
                <w:shd w:val="solid" w:color="000000" w:fill="000000"/>
                <w:fitText w:val="133" w:id="-762139904"/>
                <w14:textFill>
                  <w14:solidFill>
                    <w14:srgbClr w14:val="000000">
                      <w14:alpha w14:val="100000"/>
                    </w14:srgbClr>
                  </w14:solidFill>
                </w14:textFill>
              </w:rPr>
              <w:t>|</w:t>
            </w:r>
            <w:r w:rsidRPr="00CE016F">
              <w:rPr>
                <w:rFonts w:ascii="Arial Narrow" w:hAnsi="Arial Narrow" w:hint="eastAsia"/>
                <w:bCs/>
                <w:color w:val="000000"/>
                <w:spacing w:val="1"/>
                <w:w w:val="30"/>
                <w:sz w:val="20"/>
                <w:szCs w:val="20"/>
                <w:shd w:val="solid" w:color="000000" w:fill="000000"/>
                <w:fitText w:val="133" w:id="-762139904"/>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0F3FD75C" w14:textId="6F706545"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903"/>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903"/>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903"/>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1F35A889" w14:textId="3A2D388C"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902"/>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902"/>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902"/>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688F4784" w14:textId="005180AE"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901"/>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901"/>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901"/>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5BB77230" w14:textId="16A62A57"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900"/>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900"/>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900"/>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vAlign w:val="center"/>
          </w:tcPr>
          <w:p w14:paraId="27A4701C" w14:textId="6B064C85"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9"/>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9"/>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9"/>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r>
      <w:tr w:rsidR="00ED2A13" w:rsidRPr="00ED2A13" w14:paraId="531F8369" w14:textId="77777777">
        <w:tc>
          <w:tcPr>
            <w:tcW w:w="1412" w:type="pct"/>
            <w:shd w:val="clear" w:color="auto" w:fill="auto"/>
            <w:vAlign w:val="center"/>
          </w:tcPr>
          <w:p w14:paraId="0A88822B" w14:textId="77777777" w:rsidR="00ED2A13" w:rsidRPr="00ED2A13" w:rsidRDefault="00ED2A13" w:rsidP="00ED2A13">
            <w:pPr>
              <w:jc w:val="left"/>
              <w:rPr>
                <w:rFonts w:ascii="Arial Narrow" w:hAnsi="Arial Narrow"/>
                <w:bCs/>
                <w:sz w:val="20"/>
                <w:szCs w:val="20"/>
              </w:rPr>
            </w:pPr>
            <w:r w:rsidRPr="00ED2A13">
              <w:rPr>
                <w:rFonts w:ascii="Arial Narrow" w:hAnsi="Arial Narrow"/>
                <w:bCs/>
                <w:sz w:val="20"/>
                <w:szCs w:val="20"/>
              </w:rPr>
              <w:t>Number of patients treated 1L</w:t>
            </w:r>
          </w:p>
        </w:tc>
        <w:tc>
          <w:tcPr>
            <w:tcW w:w="532" w:type="pct"/>
            <w:shd w:val="clear" w:color="auto" w:fill="auto"/>
            <w:vAlign w:val="center"/>
          </w:tcPr>
          <w:p w14:paraId="31F65FFF" w14:textId="47A2DE9A"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30"/>
                <w:sz w:val="20"/>
                <w:szCs w:val="20"/>
                <w:shd w:val="solid" w:color="000000" w:fill="000000"/>
                <w:fitText w:val="133" w:id="-762139898"/>
                <w14:textFill>
                  <w14:solidFill>
                    <w14:srgbClr w14:val="000000">
                      <w14:alpha w14:val="100000"/>
                    </w14:srgbClr>
                  </w14:solidFill>
                </w14:textFill>
              </w:rPr>
              <w:t xml:space="preserve">　</w:t>
            </w:r>
            <w:r w:rsidRPr="00CE016F">
              <w:rPr>
                <w:rFonts w:ascii="Arial Narrow" w:hAnsi="Arial Narrow"/>
                <w:bCs/>
                <w:color w:val="000000"/>
                <w:w w:val="30"/>
                <w:sz w:val="20"/>
                <w:szCs w:val="20"/>
                <w:shd w:val="solid" w:color="000000" w:fill="000000"/>
                <w:fitText w:val="133" w:id="-762139898"/>
                <w14:textFill>
                  <w14:solidFill>
                    <w14:srgbClr w14:val="000000">
                      <w14:alpha w14:val="100000"/>
                    </w14:srgbClr>
                  </w14:solidFill>
                </w14:textFill>
              </w:rPr>
              <w:t>|</w:t>
            </w:r>
            <w:r w:rsidRPr="00CE016F">
              <w:rPr>
                <w:rFonts w:ascii="Arial Narrow" w:hAnsi="Arial Narrow" w:hint="eastAsia"/>
                <w:bCs/>
                <w:color w:val="000000"/>
                <w:spacing w:val="1"/>
                <w:w w:val="30"/>
                <w:sz w:val="20"/>
                <w:szCs w:val="20"/>
                <w:shd w:val="solid" w:color="000000" w:fill="000000"/>
                <w:fitText w:val="133" w:id="-762139898"/>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53CD9233" w14:textId="16A36869"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7"/>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7"/>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7"/>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106EA332" w14:textId="04F0D04F"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6"/>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6"/>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6"/>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7F776185" w14:textId="527B2A9C"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5"/>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5"/>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5"/>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21E5198A" w14:textId="11430496"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4"/>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4"/>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4"/>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vAlign w:val="center"/>
          </w:tcPr>
          <w:p w14:paraId="6D117E19" w14:textId="75081D90"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3"/>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3"/>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3"/>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r>
      <w:tr w:rsidR="00ED2A13" w:rsidRPr="00ED2A13" w14:paraId="4731554A" w14:textId="77777777">
        <w:tc>
          <w:tcPr>
            <w:tcW w:w="1412" w:type="pct"/>
            <w:shd w:val="clear" w:color="auto" w:fill="auto"/>
            <w:vAlign w:val="center"/>
          </w:tcPr>
          <w:p w14:paraId="7B013692" w14:textId="77777777" w:rsidR="00ED2A13" w:rsidRPr="00ED2A13" w:rsidRDefault="00ED2A13" w:rsidP="00ED2A13">
            <w:pPr>
              <w:jc w:val="left"/>
              <w:rPr>
                <w:rFonts w:ascii="Arial Narrow" w:hAnsi="Arial Narrow"/>
                <w:bCs/>
                <w:sz w:val="20"/>
                <w:szCs w:val="20"/>
              </w:rPr>
            </w:pPr>
            <w:r w:rsidRPr="00ED2A13">
              <w:rPr>
                <w:rFonts w:ascii="Arial Narrow" w:hAnsi="Arial Narrow"/>
                <w:bCs/>
                <w:sz w:val="20"/>
                <w:szCs w:val="20"/>
              </w:rPr>
              <w:t>Number of patients treated total</w:t>
            </w:r>
          </w:p>
        </w:tc>
        <w:tc>
          <w:tcPr>
            <w:tcW w:w="532" w:type="pct"/>
            <w:shd w:val="clear" w:color="auto" w:fill="auto"/>
            <w:vAlign w:val="center"/>
          </w:tcPr>
          <w:p w14:paraId="789780A9" w14:textId="0485F352"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30"/>
                <w:sz w:val="20"/>
                <w:szCs w:val="20"/>
                <w:shd w:val="solid" w:color="000000" w:fill="000000"/>
                <w:fitText w:val="133" w:id="-762139892"/>
                <w14:textFill>
                  <w14:solidFill>
                    <w14:srgbClr w14:val="000000">
                      <w14:alpha w14:val="100000"/>
                    </w14:srgbClr>
                  </w14:solidFill>
                </w14:textFill>
              </w:rPr>
              <w:t xml:space="preserve">　</w:t>
            </w:r>
            <w:r w:rsidRPr="00CE016F">
              <w:rPr>
                <w:rFonts w:ascii="Arial Narrow" w:hAnsi="Arial Narrow"/>
                <w:bCs/>
                <w:color w:val="000000"/>
                <w:w w:val="30"/>
                <w:sz w:val="20"/>
                <w:szCs w:val="20"/>
                <w:shd w:val="solid" w:color="000000" w:fill="000000"/>
                <w:fitText w:val="133" w:id="-762139892"/>
                <w14:textFill>
                  <w14:solidFill>
                    <w14:srgbClr w14:val="000000">
                      <w14:alpha w14:val="100000"/>
                    </w14:srgbClr>
                  </w14:solidFill>
                </w14:textFill>
              </w:rPr>
              <w:t>|</w:t>
            </w:r>
            <w:r w:rsidRPr="00CE016F">
              <w:rPr>
                <w:rFonts w:ascii="Arial Narrow" w:hAnsi="Arial Narrow" w:hint="eastAsia"/>
                <w:bCs/>
                <w:color w:val="000000"/>
                <w:spacing w:val="1"/>
                <w:w w:val="30"/>
                <w:sz w:val="20"/>
                <w:szCs w:val="20"/>
                <w:shd w:val="solid" w:color="000000" w:fill="000000"/>
                <w:fitText w:val="133" w:id="-762139892"/>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672FDCE3" w14:textId="1165BB57"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1"/>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1"/>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1"/>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3239D64B" w14:textId="0E69B86D"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90"/>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90"/>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90"/>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6FDECF50" w14:textId="14118256"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89"/>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89"/>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89"/>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shd w:val="clear" w:color="auto" w:fill="auto"/>
            <w:vAlign w:val="center"/>
          </w:tcPr>
          <w:p w14:paraId="51C4289F" w14:textId="6A50DCEE"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888"/>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888"/>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888"/>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c>
          <w:tcPr>
            <w:tcW w:w="611" w:type="pct"/>
            <w:vAlign w:val="center"/>
          </w:tcPr>
          <w:p w14:paraId="6D573FA4" w14:textId="3B35F5A4"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904"/>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904"/>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904"/>
                <w14:textFill>
                  <w14:solidFill>
                    <w14:srgbClr w14:val="000000">
                      <w14:alpha w14:val="100000"/>
                    </w14:srgbClr>
                  </w14:solidFill>
                </w14:textFill>
              </w:rPr>
              <w:t xml:space="preserve">　</w:t>
            </w:r>
            <w:r w:rsidR="0062343B">
              <w:rPr>
                <w:rFonts w:ascii="Arial Narrow" w:hAnsi="Arial Narrow"/>
                <w:bCs/>
                <w:sz w:val="20"/>
                <w:szCs w:val="20"/>
              </w:rPr>
              <w:t xml:space="preserve"> </w:t>
            </w:r>
            <w:r w:rsidR="0062343B">
              <w:rPr>
                <w:rFonts w:ascii="Arial Narrow" w:hAnsi="Arial Narrow"/>
                <w:bCs/>
                <w:sz w:val="20"/>
                <w:szCs w:val="20"/>
                <w:vertAlign w:val="superscript"/>
              </w:rPr>
              <w:t>1</w:t>
            </w:r>
          </w:p>
        </w:tc>
      </w:tr>
      <w:tr w:rsidR="00ED2A13" w:rsidRPr="00ED2A13" w14:paraId="69B1F8A6" w14:textId="77777777">
        <w:tc>
          <w:tcPr>
            <w:tcW w:w="1412" w:type="pct"/>
            <w:shd w:val="clear" w:color="auto" w:fill="auto"/>
            <w:vAlign w:val="center"/>
          </w:tcPr>
          <w:p w14:paraId="4AA1C223" w14:textId="77777777" w:rsidR="00ED2A13" w:rsidRPr="00ED2A13" w:rsidRDefault="00ED2A13" w:rsidP="00ED2A13">
            <w:pPr>
              <w:jc w:val="left"/>
              <w:rPr>
                <w:rFonts w:ascii="Arial Narrow" w:hAnsi="Arial Narrow"/>
                <w:bCs/>
                <w:sz w:val="20"/>
                <w:szCs w:val="20"/>
              </w:rPr>
            </w:pPr>
            <w:r w:rsidRPr="00ED2A13">
              <w:rPr>
                <w:rFonts w:ascii="Arial Narrow" w:hAnsi="Arial Narrow"/>
                <w:bCs/>
                <w:sz w:val="20"/>
                <w:szCs w:val="20"/>
              </w:rPr>
              <w:t xml:space="preserve">Number of scripts dispensed 1L </w:t>
            </w:r>
            <w:r w:rsidRPr="00ED2A13">
              <w:rPr>
                <w:rFonts w:ascii="Arial Narrow" w:hAnsi="Arial Narrow"/>
                <w:bCs/>
                <w:sz w:val="20"/>
                <w:szCs w:val="20"/>
                <w:vertAlign w:val="superscript"/>
              </w:rPr>
              <w:t>a</w:t>
            </w:r>
            <w:r w:rsidRPr="00ED2A13">
              <w:rPr>
                <w:rFonts w:ascii="Arial Narrow" w:hAnsi="Arial Narrow"/>
                <w:bCs/>
                <w:sz w:val="20"/>
                <w:szCs w:val="20"/>
              </w:rPr>
              <w:t xml:space="preserve"> </w:t>
            </w:r>
          </w:p>
        </w:tc>
        <w:tc>
          <w:tcPr>
            <w:tcW w:w="532" w:type="pct"/>
            <w:shd w:val="clear" w:color="auto" w:fill="auto"/>
            <w:vAlign w:val="bottom"/>
          </w:tcPr>
          <w:p w14:paraId="3AA192C8" w14:textId="38406E1A"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30"/>
                <w:sz w:val="20"/>
                <w:szCs w:val="20"/>
                <w:shd w:val="solid" w:color="000000" w:fill="000000"/>
                <w:fitText w:val="133" w:id="-762139648"/>
                <w14:textFill>
                  <w14:solidFill>
                    <w14:srgbClr w14:val="000000">
                      <w14:alpha w14:val="100000"/>
                    </w14:srgbClr>
                  </w14:solidFill>
                </w14:textFill>
              </w:rPr>
              <w:t xml:space="preserve">　</w:t>
            </w:r>
            <w:r w:rsidRPr="00CE016F">
              <w:rPr>
                <w:rFonts w:ascii="Arial Narrow" w:hAnsi="Arial Narrow"/>
                <w:bCs/>
                <w:color w:val="000000"/>
                <w:w w:val="30"/>
                <w:sz w:val="20"/>
                <w:szCs w:val="20"/>
                <w:shd w:val="solid" w:color="000000" w:fill="000000"/>
                <w:fitText w:val="133" w:id="-762139648"/>
                <w14:textFill>
                  <w14:solidFill>
                    <w14:srgbClr w14:val="000000">
                      <w14:alpha w14:val="100000"/>
                    </w14:srgbClr>
                  </w14:solidFill>
                </w14:textFill>
              </w:rPr>
              <w:t>|</w:t>
            </w:r>
            <w:r w:rsidRPr="00CE016F">
              <w:rPr>
                <w:rFonts w:ascii="Arial Narrow" w:hAnsi="Arial Narrow" w:hint="eastAsia"/>
                <w:bCs/>
                <w:color w:val="000000"/>
                <w:spacing w:val="1"/>
                <w:w w:val="30"/>
                <w:sz w:val="20"/>
                <w:szCs w:val="20"/>
                <w:shd w:val="solid" w:color="000000" w:fill="000000"/>
                <w:fitText w:val="133" w:id="-762139648"/>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2</w:t>
            </w:r>
          </w:p>
        </w:tc>
        <w:tc>
          <w:tcPr>
            <w:tcW w:w="611" w:type="pct"/>
            <w:shd w:val="clear" w:color="auto" w:fill="auto"/>
            <w:vAlign w:val="bottom"/>
          </w:tcPr>
          <w:p w14:paraId="6388C2DE" w14:textId="5ADE0050"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47"/>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47"/>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47"/>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2</w:t>
            </w:r>
          </w:p>
        </w:tc>
        <w:tc>
          <w:tcPr>
            <w:tcW w:w="611" w:type="pct"/>
            <w:shd w:val="clear" w:color="auto" w:fill="auto"/>
            <w:vAlign w:val="bottom"/>
          </w:tcPr>
          <w:p w14:paraId="10A8B20B" w14:textId="4B355D84"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46"/>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46"/>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46"/>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2</w:t>
            </w:r>
          </w:p>
        </w:tc>
        <w:tc>
          <w:tcPr>
            <w:tcW w:w="611" w:type="pct"/>
            <w:shd w:val="clear" w:color="auto" w:fill="auto"/>
            <w:vAlign w:val="bottom"/>
          </w:tcPr>
          <w:p w14:paraId="32C2F8FC" w14:textId="24AF564B"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45"/>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45"/>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45"/>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2</w:t>
            </w:r>
          </w:p>
        </w:tc>
        <w:tc>
          <w:tcPr>
            <w:tcW w:w="611" w:type="pct"/>
            <w:shd w:val="clear" w:color="auto" w:fill="auto"/>
            <w:vAlign w:val="bottom"/>
          </w:tcPr>
          <w:p w14:paraId="7CD69CBB" w14:textId="2A401991"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44"/>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44"/>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44"/>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2</w:t>
            </w:r>
          </w:p>
        </w:tc>
        <w:tc>
          <w:tcPr>
            <w:tcW w:w="611" w:type="pct"/>
            <w:vAlign w:val="bottom"/>
          </w:tcPr>
          <w:p w14:paraId="5047B32F" w14:textId="421D387E"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43"/>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43"/>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43"/>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2</w:t>
            </w:r>
          </w:p>
        </w:tc>
      </w:tr>
      <w:tr w:rsidR="00ED2A13" w:rsidRPr="00ED2A13" w14:paraId="45248FC4" w14:textId="77777777">
        <w:tc>
          <w:tcPr>
            <w:tcW w:w="1412" w:type="pct"/>
            <w:shd w:val="clear" w:color="auto" w:fill="auto"/>
            <w:vAlign w:val="center"/>
          </w:tcPr>
          <w:p w14:paraId="6B9CEBB1" w14:textId="77777777" w:rsidR="00ED2A13" w:rsidRPr="00ED2A13" w:rsidRDefault="00ED2A13" w:rsidP="00ED2A13">
            <w:pPr>
              <w:jc w:val="left"/>
              <w:rPr>
                <w:rFonts w:ascii="Arial Narrow" w:hAnsi="Arial Narrow"/>
                <w:bCs/>
                <w:sz w:val="20"/>
                <w:szCs w:val="20"/>
                <w:vertAlign w:val="superscript"/>
              </w:rPr>
            </w:pPr>
            <w:r w:rsidRPr="00ED2A13">
              <w:rPr>
                <w:rFonts w:ascii="Arial Narrow" w:hAnsi="Arial Narrow"/>
                <w:bCs/>
                <w:sz w:val="20"/>
                <w:szCs w:val="20"/>
              </w:rPr>
              <w:t>Number of scripts dispensed grandfathered</w:t>
            </w:r>
            <w:r w:rsidRPr="00ED2A13">
              <w:rPr>
                <w:rFonts w:ascii="Arial Narrow" w:hAnsi="Arial Narrow"/>
                <w:bCs/>
                <w:sz w:val="20"/>
                <w:szCs w:val="20"/>
                <w:vertAlign w:val="superscript"/>
              </w:rPr>
              <w:t xml:space="preserve"> a</w:t>
            </w:r>
          </w:p>
        </w:tc>
        <w:tc>
          <w:tcPr>
            <w:tcW w:w="532" w:type="pct"/>
            <w:shd w:val="clear" w:color="auto" w:fill="auto"/>
            <w:vAlign w:val="center"/>
          </w:tcPr>
          <w:p w14:paraId="7E0ADB02" w14:textId="684E59A3"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30"/>
                <w:sz w:val="20"/>
                <w:szCs w:val="20"/>
                <w:shd w:val="solid" w:color="000000" w:fill="000000"/>
                <w:fitText w:val="133" w:id="-762139642"/>
                <w14:textFill>
                  <w14:solidFill>
                    <w14:srgbClr w14:val="000000">
                      <w14:alpha w14:val="100000"/>
                    </w14:srgbClr>
                  </w14:solidFill>
                </w14:textFill>
              </w:rPr>
              <w:t xml:space="preserve">　</w:t>
            </w:r>
            <w:r w:rsidRPr="00CE016F">
              <w:rPr>
                <w:rFonts w:ascii="Arial Narrow" w:hAnsi="Arial Narrow"/>
                <w:bCs/>
                <w:color w:val="000000"/>
                <w:w w:val="30"/>
                <w:sz w:val="20"/>
                <w:szCs w:val="20"/>
                <w:shd w:val="solid" w:color="000000" w:fill="000000"/>
                <w:fitText w:val="133" w:id="-762139642"/>
                <w14:textFill>
                  <w14:solidFill>
                    <w14:srgbClr w14:val="000000">
                      <w14:alpha w14:val="100000"/>
                    </w14:srgbClr>
                  </w14:solidFill>
                </w14:textFill>
              </w:rPr>
              <w:t>|</w:t>
            </w:r>
            <w:r w:rsidRPr="00CE016F">
              <w:rPr>
                <w:rFonts w:ascii="Arial Narrow" w:hAnsi="Arial Narrow" w:hint="eastAsia"/>
                <w:bCs/>
                <w:color w:val="000000"/>
                <w:spacing w:val="1"/>
                <w:w w:val="30"/>
                <w:sz w:val="20"/>
                <w:szCs w:val="20"/>
                <w:shd w:val="solid" w:color="000000" w:fill="000000"/>
                <w:fitText w:val="133" w:id="-762139642"/>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shd w:val="clear" w:color="auto" w:fill="auto"/>
            <w:vAlign w:val="center"/>
          </w:tcPr>
          <w:p w14:paraId="0180E9B8" w14:textId="5B941355"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41"/>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41"/>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41"/>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shd w:val="clear" w:color="auto" w:fill="auto"/>
            <w:vAlign w:val="center"/>
          </w:tcPr>
          <w:p w14:paraId="4992F369" w14:textId="6EEDAEBA"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40"/>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40"/>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40"/>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shd w:val="clear" w:color="auto" w:fill="auto"/>
            <w:vAlign w:val="center"/>
          </w:tcPr>
          <w:p w14:paraId="2590EC7F" w14:textId="4BE437B1"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39"/>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39"/>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39"/>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shd w:val="clear" w:color="auto" w:fill="auto"/>
            <w:vAlign w:val="center"/>
          </w:tcPr>
          <w:p w14:paraId="43CD91EA" w14:textId="0AB5A43A"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38"/>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38"/>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38"/>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vAlign w:val="center"/>
          </w:tcPr>
          <w:p w14:paraId="40638650" w14:textId="3D46F5FA"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37"/>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37"/>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37"/>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r>
      <w:tr w:rsidR="00ED2A13" w:rsidRPr="00ED2A13" w14:paraId="34126A76" w14:textId="77777777">
        <w:tc>
          <w:tcPr>
            <w:tcW w:w="1412" w:type="pct"/>
            <w:shd w:val="clear" w:color="auto" w:fill="auto"/>
            <w:vAlign w:val="center"/>
          </w:tcPr>
          <w:p w14:paraId="26AC30D7" w14:textId="77777777" w:rsidR="00ED2A13" w:rsidRPr="00ED2A13" w:rsidRDefault="00ED2A13" w:rsidP="00ED2A13">
            <w:pPr>
              <w:jc w:val="left"/>
              <w:rPr>
                <w:rFonts w:ascii="Arial Narrow" w:hAnsi="Arial Narrow"/>
                <w:bCs/>
                <w:sz w:val="20"/>
                <w:szCs w:val="20"/>
                <w:vertAlign w:val="superscript"/>
              </w:rPr>
            </w:pPr>
            <w:r w:rsidRPr="00ED2A13">
              <w:rPr>
                <w:rFonts w:ascii="Arial Narrow" w:hAnsi="Arial Narrow"/>
                <w:bCs/>
                <w:sz w:val="20"/>
                <w:szCs w:val="20"/>
              </w:rPr>
              <w:t>Number of scripts dispensed 2L</w:t>
            </w:r>
            <w:r w:rsidRPr="00ED2A13">
              <w:rPr>
                <w:rFonts w:ascii="Arial Narrow" w:hAnsi="Arial Narrow"/>
                <w:bCs/>
                <w:sz w:val="20"/>
                <w:szCs w:val="20"/>
                <w:vertAlign w:val="superscript"/>
              </w:rPr>
              <w:t xml:space="preserve"> a</w:t>
            </w:r>
          </w:p>
        </w:tc>
        <w:tc>
          <w:tcPr>
            <w:tcW w:w="532" w:type="pct"/>
            <w:shd w:val="clear" w:color="auto" w:fill="auto"/>
            <w:vAlign w:val="center"/>
          </w:tcPr>
          <w:p w14:paraId="36DA6B64" w14:textId="19E7626D"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30"/>
                <w:sz w:val="20"/>
                <w:szCs w:val="20"/>
                <w:shd w:val="solid" w:color="000000" w:fill="000000"/>
                <w:fitText w:val="133" w:id="-762139636"/>
                <w14:textFill>
                  <w14:solidFill>
                    <w14:srgbClr w14:val="000000">
                      <w14:alpha w14:val="100000"/>
                    </w14:srgbClr>
                  </w14:solidFill>
                </w14:textFill>
              </w:rPr>
              <w:t xml:space="preserve">　</w:t>
            </w:r>
            <w:r w:rsidRPr="00CE016F">
              <w:rPr>
                <w:rFonts w:ascii="Arial Narrow" w:hAnsi="Arial Narrow"/>
                <w:bCs/>
                <w:color w:val="000000"/>
                <w:w w:val="30"/>
                <w:sz w:val="20"/>
                <w:szCs w:val="20"/>
                <w:shd w:val="solid" w:color="000000" w:fill="000000"/>
                <w:fitText w:val="133" w:id="-762139636"/>
                <w14:textFill>
                  <w14:solidFill>
                    <w14:srgbClr w14:val="000000">
                      <w14:alpha w14:val="100000"/>
                    </w14:srgbClr>
                  </w14:solidFill>
                </w14:textFill>
              </w:rPr>
              <w:t>|</w:t>
            </w:r>
            <w:r w:rsidRPr="00CE016F">
              <w:rPr>
                <w:rFonts w:ascii="Arial Narrow" w:hAnsi="Arial Narrow" w:hint="eastAsia"/>
                <w:bCs/>
                <w:color w:val="000000"/>
                <w:spacing w:val="1"/>
                <w:w w:val="30"/>
                <w:sz w:val="20"/>
                <w:szCs w:val="20"/>
                <w:shd w:val="solid" w:color="000000" w:fill="000000"/>
                <w:fitText w:val="133" w:id="-762139636"/>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shd w:val="clear" w:color="auto" w:fill="auto"/>
            <w:vAlign w:val="center"/>
          </w:tcPr>
          <w:p w14:paraId="7456B983" w14:textId="6417E75A"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35"/>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35"/>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35"/>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shd w:val="clear" w:color="auto" w:fill="auto"/>
            <w:vAlign w:val="center"/>
          </w:tcPr>
          <w:p w14:paraId="3E17BCCB" w14:textId="22B46A24"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34"/>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34"/>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34"/>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shd w:val="clear" w:color="auto" w:fill="auto"/>
            <w:vAlign w:val="center"/>
          </w:tcPr>
          <w:p w14:paraId="2FB2884C" w14:textId="77DA6945"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33"/>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33"/>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33"/>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shd w:val="clear" w:color="auto" w:fill="auto"/>
            <w:vAlign w:val="center"/>
          </w:tcPr>
          <w:p w14:paraId="6F238933" w14:textId="225B49E8"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32"/>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32"/>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32"/>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c>
          <w:tcPr>
            <w:tcW w:w="611" w:type="pct"/>
            <w:vAlign w:val="center"/>
          </w:tcPr>
          <w:p w14:paraId="41534F35" w14:textId="230F112C" w:rsidR="00ED2A13" w:rsidRPr="00ED2A13" w:rsidRDefault="00CE016F" w:rsidP="00ED2A13">
            <w:pPr>
              <w:jc w:val="center"/>
              <w:rPr>
                <w:rFonts w:ascii="Arial Narrow" w:hAnsi="Arial Narrow"/>
                <w:bCs/>
                <w:sz w:val="20"/>
                <w:szCs w:val="20"/>
              </w:rPr>
            </w:pPr>
            <w:r w:rsidRPr="00CE016F">
              <w:rPr>
                <w:rFonts w:ascii="Arial Narrow" w:hAnsi="Arial Narrow" w:hint="eastAsia"/>
                <w:bCs/>
                <w:color w:val="000000"/>
                <w:w w:val="18"/>
                <w:sz w:val="20"/>
                <w:szCs w:val="20"/>
                <w:shd w:val="solid" w:color="000000" w:fill="000000"/>
                <w:fitText w:val="80" w:id="-762139648"/>
                <w14:textFill>
                  <w14:solidFill>
                    <w14:srgbClr w14:val="000000">
                      <w14:alpha w14:val="100000"/>
                    </w14:srgbClr>
                  </w14:solidFill>
                </w14:textFill>
              </w:rPr>
              <w:t xml:space="preserve">　</w:t>
            </w:r>
            <w:r w:rsidRPr="00CE016F">
              <w:rPr>
                <w:rFonts w:ascii="Arial Narrow" w:hAnsi="Arial Narrow"/>
                <w:bCs/>
                <w:color w:val="000000"/>
                <w:w w:val="18"/>
                <w:sz w:val="20"/>
                <w:szCs w:val="20"/>
                <w:shd w:val="solid" w:color="000000" w:fill="000000"/>
                <w:fitText w:val="80" w:id="-762139648"/>
                <w14:textFill>
                  <w14:solidFill>
                    <w14:srgbClr w14:val="000000">
                      <w14:alpha w14:val="100000"/>
                    </w14:srgbClr>
                  </w14:solidFill>
                </w14:textFill>
              </w:rPr>
              <w:t>|</w:t>
            </w:r>
            <w:r w:rsidRPr="00CE016F">
              <w:rPr>
                <w:rFonts w:ascii="Arial Narrow" w:hAnsi="Arial Narrow" w:hint="eastAsia"/>
                <w:bCs/>
                <w:color w:val="000000"/>
                <w:w w:val="18"/>
                <w:sz w:val="20"/>
                <w:szCs w:val="20"/>
                <w:shd w:val="solid" w:color="000000" w:fill="000000"/>
                <w:fitText w:val="80" w:id="-762139648"/>
                <w14:textFill>
                  <w14:solidFill>
                    <w14:srgbClr w14:val="000000">
                      <w14:alpha w14:val="100000"/>
                    </w14:srgbClr>
                  </w14:solidFill>
                </w14:textFill>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1</w:t>
            </w:r>
          </w:p>
        </w:tc>
      </w:tr>
      <w:tr w:rsidR="00ED2A13" w:rsidRPr="00ED2A13" w14:paraId="0F48E65E" w14:textId="77777777">
        <w:tc>
          <w:tcPr>
            <w:tcW w:w="5000" w:type="pct"/>
            <w:gridSpan w:val="7"/>
            <w:shd w:val="clear" w:color="auto" w:fill="auto"/>
            <w:vAlign w:val="center"/>
          </w:tcPr>
          <w:p w14:paraId="418B1246" w14:textId="77777777" w:rsidR="00ED2A13" w:rsidRPr="00ED2A13" w:rsidRDefault="00ED2A13" w:rsidP="00ED2A13">
            <w:pPr>
              <w:jc w:val="left"/>
              <w:rPr>
                <w:rFonts w:ascii="Arial Narrow" w:hAnsi="Arial Narrow"/>
                <w:b/>
                <w:sz w:val="20"/>
                <w:szCs w:val="20"/>
              </w:rPr>
            </w:pPr>
            <w:r w:rsidRPr="00ED2A13">
              <w:rPr>
                <w:rFonts w:ascii="Arial Narrow" w:hAnsi="Arial Narrow"/>
                <w:b/>
                <w:sz w:val="20"/>
                <w:szCs w:val="20"/>
              </w:rPr>
              <w:t>Estimated financial implications of amivantamab</w:t>
            </w:r>
          </w:p>
        </w:tc>
      </w:tr>
      <w:tr w:rsidR="00ED2A13" w:rsidRPr="00ED2A13" w14:paraId="64495FDE" w14:textId="77777777">
        <w:tc>
          <w:tcPr>
            <w:tcW w:w="1412" w:type="pct"/>
            <w:shd w:val="clear" w:color="auto" w:fill="auto"/>
            <w:vAlign w:val="center"/>
          </w:tcPr>
          <w:p w14:paraId="7ABA5CF1" w14:textId="77777777" w:rsidR="00ED2A13" w:rsidRPr="00ED2A13" w:rsidRDefault="00ED2A13" w:rsidP="00ED2A13">
            <w:pPr>
              <w:jc w:val="left"/>
              <w:rPr>
                <w:rFonts w:ascii="Arial Narrow" w:hAnsi="Arial Narrow"/>
                <w:b/>
                <w:sz w:val="20"/>
                <w:szCs w:val="20"/>
              </w:rPr>
            </w:pPr>
            <w:r w:rsidRPr="00ED2A13">
              <w:rPr>
                <w:rFonts w:ascii="Arial Narrow" w:hAnsi="Arial Narrow"/>
                <w:b/>
                <w:sz w:val="20"/>
                <w:szCs w:val="20"/>
              </w:rPr>
              <w:t xml:space="preserve">Cost to PBS/RPBS less copayments 1L </w:t>
            </w:r>
          </w:p>
        </w:tc>
        <w:tc>
          <w:tcPr>
            <w:tcW w:w="532" w:type="pct"/>
            <w:shd w:val="clear" w:color="auto" w:fill="auto"/>
            <w:vAlign w:val="center"/>
          </w:tcPr>
          <w:p w14:paraId="5A8C7D9D" w14:textId="72847E64"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161"/>
                <w:sz w:val="20"/>
                <w:szCs w:val="20"/>
                <w:shd w:val="solid" w:color="000000" w:fill="000000"/>
                <w:fitText w:val="253" w:id="-762139647"/>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253" w:id="-762139647"/>
                <w14:textFill>
                  <w14:solidFill>
                    <w14:srgbClr w14:val="000000">
                      <w14:alpha w14:val="100000"/>
                    </w14:srgbClr>
                  </w14:solidFill>
                </w14:textFill>
              </w:rPr>
              <w:t>|</w:t>
            </w:r>
            <w:r w:rsidR="00837E95">
              <w:rPr>
                <w:rFonts w:ascii="Arial Narrow" w:hAnsi="Arial Narrow"/>
                <w:b/>
                <w:sz w:val="20"/>
                <w:szCs w:val="20"/>
              </w:rPr>
              <w:t xml:space="preserve"> </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5ABBD7CF" w14:textId="384C0721"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46"/>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46"/>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73530FFD" w14:textId="5ABAB8BD"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45"/>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45"/>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54995D69" w14:textId="400ED930"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44"/>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44"/>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1AA172C4" w14:textId="425668F7"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43"/>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43"/>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vAlign w:val="center"/>
          </w:tcPr>
          <w:p w14:paraId="3EBC9914" w14:textId="6FECD5B8"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81"/>
                <w:sz w:val="20"/>
                <w:szCs w:val="20"/>
                <w:shd w:val="solid" w:color="000000" w:fill="000000"/>
                <w:fitText w:val="173" w:id="-762139642"/>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73" w:id="-762139642"/>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r>
      <w:tr w:rsidR="00ED2A13" w:rsidRPr="00ED2A13" w14:paraId="233CEA9E" w14:textId="77777777">
        <w:tc>
          <w:tcPr>
            <w:tcW w:w="1412" w:type="pct"/>
            <w:shd w:val="clear" w:color="auto" w:fill="auto"/>
            <w:vAlign w:val="center"/>
          </w:tcPr>
          <w:p w14:paraId="6DEFAC0D" w14:textId="77777777" w:rsidR="00ED2A13" w:rsidRPr="00ED2A13" w:rsidRDefault="00ED2A13" w:rsidP="00ED2A13">
            <w:pPr>
              <w:jc w:val="left"/>
              <w:rPr>
                <w:rFonts w:ascii="Arial Narrow" w:hAnsi="Arial Narrow"/>
                <w:b/>
                <w:sz w:val="20"/>
                <w:szCs w:val="20"/>
                <w:vertAlign w:val="superscript"/>
              </w:rPr>
            </w:pPr>
            <w:r w:rsidRPr="00ED2A13">
              <w:rPr>
                <w:rFonts w:ascii="Arial Narrow" w:hAnsi="Arial Narrow"/>
                <w:b/>
                <w:sz w:val="20"/>
                <w:szCs w:val="20"/>
              </w:rPr>
              <w:t xml:space="preserve">Cost to PBS/RPBS less copayments 1L (including grandfathered) </w:t>
            </w:r>
          </w:p>
        </w:tc>
        <w:tc>
          <w:tcPr>
            <w:tcW w:w="532" w:type="pct"/>
            <w:shd w:val="clear" w:color="auto" w:fill="auto"/>
            <w:vAlign w:val="center"/>
          </w:tcPr>
          <w:p w14:paraId="1EA857D9" w14:textId="3729246C"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148"/>
                <w:sz w:val="20"/>
                <w:szCs w:val="20"/>
                <w:shd w:val="solid" w:color="000000" w:fill="000000"/>
                <w:fitText w:val="240" w:id="-762139641"/>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240" w:id="-762139641"/>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3B3EF3AD" w14:textId="1E2B6B19"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40"/>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40"/>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79171780" w14:textId="5D9847A0"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39"/>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39"/>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05ED79AC" w14:textId="3D2FE0EA"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38"/>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38"/>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02616BD1" w14:textId="70B4E848"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37"/>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37"/>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vAlign w:val="center"/>
          </w:tcPr>
          <w:p w14:paraId="6E71EA78" w14:textId="067DD390"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81"/>
                <w:sz w:val="20"/>
                <w:szCs w:val="20"/>
                <w:shd w:val="solid" w:color="000000" w:fill="000000"/>
                <w:fitText w:val="173" w:id="-762139636"/>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73" w:id="-762139636"/>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r>
      <w:tr w:rsidR="00ED2A13" w:rsidRPr="00ED2A13" w14:paraId="27CF8D2B" w14:textId="77777777">
        <w:tc>
          <w:tcPr>
            <w:tcW w:w="1412" w:type="pct"/>
            <w:shd w:val="clear" w:color="auto" w:fill="auto"/>
            <w:vAlign w:val="center"/>
          </w:tcPr>
          <w:p w14:paraId="730184E4" w14:textId="77777777" w:rsidR="00ED2A13" w:rsidRPr="00ED2A13" w:rsidRDefault="00ED2A13" w:rsidP="00ED2A13">
            <w:pPr>
              <w:jc w:val="left"/>
              <w:rPr>
                <w:rFonts w:ascii="Arial Narrow" w:hAnsi="Arial Narrow"/>
                <w:bCs/>
                <w:sz w:val="20"/>
                <w:szCs w:val="20"/>
                <w:vertAlign w:val="superscript"/>
              </w:rPr>
            </w:pPr>
            <w:r w:rsidRPr="00ED2A13">
              <w:rPr>
                <w:rFonts w:ascii="Arial Narrow" w:hAnsi="Arial Narrow"/>
                <w:b/>
                <w:sz w:val="20"/>
                <w:szCs w:val="20"/>
              </w:rPr>
              <w:t>Cost to PBS/RPBS less copayments 1L &amp; 2L</w:t>
            </w:r>
          </w:p>
        </w:tc>
        <w:tc>
          <w:tcPr>
            <w:tcW w:w="532" w:type="pct"/>
            <w:shd w:val="clear" w:color="auto" w:fill="auto"/>
            <w:vAlign w:val="center"/>
          </w:tcPr>
          <w:p w14:paraId="1C540256" w14:textId="0E2ADD56"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148"/>
                <w:sz w:val="20"/>
                <w:szCs w:val="20"/>
                <w:shd w:val="solid" w:color="000000" w:fill="000000"/>
                <w:fitText w:val="240" w:id="-762139635"/>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240" w:id="-762139635"/>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5DEA591C" w14:textId="588A80E1"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34"/>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34"/>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02696609" w14:textId="26616A70"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33"/>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33"/>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207C1919" w14:textId="70CEF7F9"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32"/>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32"/>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shd w:val="clear" w:color="auto" w:fill="auto"/>
            <w:vAlign w:val="center"/>
          </w:tcPr>
          <w:p w14:paraId="53DBA5E8" w14:textId="3562607B"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sidRPr="00CE016F">
              <w:rPr>
                <w:rFonts w:ascii="Arial Narrow" w:hAnsi="Arial Narrow"/>
                <w:b/>
                <w:color w:val="000000"/>
                <w:spacing w:val="68"/>
                <w:sz w:val="20"/>
                <w:szCs w:val="20"/>
                <w:shd w:val="solid" w:color="000000" w:fill="000000"/>
                <w:fitText w:val="160" w:id="-762139648"/>
                <w14:textFill>
                  <w14:solidFill>
                    <w14:srgbClr w14:val="000000">
                      <w14:alpha w14:val="100000"/>
                    </w14:srgbClr>
                  </w14:solidFill>
                </w14:textFill>
              </w:rPr>
              <w:t>|</w:t>
            </w:r>
            <w:r w:rsidR="00CE016F" w:rsidRPr="00CE016F">
              <w:rPr>
                <w:rFonts w:ascii="Arial Narrow" w:hAnsi="Arial Narrow"/>
                <w:b/>
                <w:color w:val="000000"/>
                <w:spacing w:val="1"/>
                <w:sz w:val="20"/>
                <w:szCs w:val="20"/>
                <w:shd w:val="solid" w:color="000000" w:fill="000000"/>
                <w:fitText w:val="160" w:id="-762139648"/>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c>
          <w:tcPr>
            <w:tcW w:w="611" w:type="pct"/>
            <w:vAlign w:val="center"/>
          </w:tcPr>
          <w:p w14:paraId="2C788D40" w14:textId="29AB5955" w:rsidR="00ED2A13" w:rsidRPr="00ED2A13" w:rsidRDefault="00ED2A13" w:rsidP="00ED2A13">
            <w:pPr>
              <w:jc w:val="center"/>
              <w:rPr>
                <w:rFonts w:ascii="Arial Narrow" w:hAnsi="Arial Narrow"/>
                <w:b/>
                <w:sz w:val="20"/>
                <w:szCs w:val="20"/>
              </w:rPr>
            </w:pPr>
            <w:r w:rsidRPr="00ED2A13">
              <w:rPr>
                <w:rFonts w:ascii="Arial Narrow" w:hAnsi="Arial Narrow"/>
                <w:b/>
                <w:sz w:val="20"/>
                <w:szCs w:val="20"/>
              </w:rPr>
              <w:t>$</w:t>
            </w:r>
            <w:r w:rsidR="00CE016F">
              <w:rPr>
                <w:rFonts w:ascii="Arial Narrow" w:hAnsi="Arial Narrow"/>
                <w:b/>
                <w:color w:val="000000"/>
                <w:spacing w:val="81"/>
                <w:sz w:val="20"/>
                <w:szCs w:val="20"/>
                <w:shd w:val="solid" w:color="000000" w:fill="000000"/>
                <w:fitText w:val="173" w:id="-762139647"/>
                <w14:textFill>
                  <w14:solidFill>
                    <w14:srgbClr w14:val="000000">
                      <w14:alpha w14:val="100000"/>
                    </w14:srgbClr>
                  </w14:solidFill>
                </w14:textFill>
              </w:rPr>
              <w:t>|</w:t>
            </w:r>
            <w:r w:rsidR="00CE016F">
              <w:rPr>
                <w:rFonts w:ascii="Arial Narrow" w:hAnsi="Arial Narrow"/>
                <w:b/>
                <w:color w:val="000000"/>
                <w:sz w:val="20"/>
                <w:szCs w:val="20"/>
                <w:shd w:val="solid" w:color="000000" w:fill="000000"/>
                <w:fitText w:val="173" w:id="-762139647"/>
                <w14:textFill>
                  <w14:solidFill>
                    <w14:srgbClr w14:val="000000">
                      <w14:alpha w14:val="100000"/>
                    </w14:srgbClr>
                  </w14:solidFill>
                </w14:textFill>
              </w:rPr>
              <w:t>|</w:t>
            </w:r>
            <w:r w:rsidR="00837E95">
              <w:rPr>
                <w:rFonts w:ascii="Arial Narrow" w:hAnsi="Arial Narrow"/>
                <w:bCs/>
                <w:sz w:val="20"/>
                <w:szCs w:val="20"/>
              </w:rPr>
              <w:t xml:space="preserve"> </w:t>
            </w:r>
            <w:r w:rsidR="00837E95">
              <w:rPr>
                <w:rFonts w:ascii="Arial Narrow" w:hAnsi="Arial Narrow"/>
                <w:bCs/>
                <w:sz w:val="20"/>
                <w:szCs w:val="20"/>
                <w:vertAlign w:val="superscript"/>
              </w:rPr>
              <w:t>3</w:t>
            </w:r>
          </w:p>
        </w:tc>
      </w:tr>
    </w:tbl>
    <w:p w14:paraId="606777F2" w14:textId="77777777" w:rsidR="00ED2A13" w:rsidRPr="00ED2A13" w:rsidRDefault="00ED2A13" w:rsidP="00AD07E3">
      <w:pPr>
        <w:pStyle w:val="TableFigureFooter"/>
      </w:pPr>
      <w:r w:rsidRPr="00ED2A13">
        <w:t>Source: Tables 4.5, 4.7 and 4.11, pp217, 219, 220 and 223-224 of the submission.</w:t>
      </w:r>
    </w:p>
    <w:p w14:paraId="7C716A22" w14:textId="77777777" w:rsidR="00ED2A13" w:rsidRPr="00ED2A13" w:rsidRDefault="00ED2A13" w:rsidP="00AD07E3">
      <w:pPr>
        <w:pStyle w:val="TableFigureFooter"/>
        <w:rPr>
          <w:b/>
        </w:rPr>
      </w:pPr>
      <w:r w:rsidRPr="00ED2A13">
        <w:t>Abbreviations: 1L, first-line; 2L, second-line; PBS, Pharmaceutical Benefits Scheme; RPBS, Repatriation Pharmaceutical Benefits Scheme</w:t>
      </w:r>
    </w:p>
    <w:p w14:paraId="260197C9" w14:textId="77777777" w:rsidR="00ED2A13" w:rsidRPr="00ED2A13" w:rsidRDefault="00ED2A13" w:rsidP="00AD07E3">
      <w:pPr>
        <w:pStyle w:val="TableFigureFooter"/>
      </w:pPr>
      <w:proofErr w:type="spellStart"/>
      <w:r w:rsidRPr="00ED2A13">
        <w:rPr>
          <w:vertAlign w:val="superscript"/>
        </w:rPr>
        <w:t>a</w:t>
      </w:r>
      <w:proofErr w:type="spellEnd"/>
      <w:r w:rsidRPr="00ED2A13">
        <w:t xml:space="preserve"> The number of scripts was estimated based on the proportion of patients under and above 80 kg, skipped doses and reduced doses as reported in the PAPILLON trial.</w:t>
      </w:r>
    </w:p>
    <w:p w14:paraId="2628B032" w14:textId="77777777" w:rsidR="00ED2A13" w:rsidRDefault="00ED2A13" w:rsidP="00AD07E3">
      <w:pPr>
        <w:pStyle w:val="TableFigureFooter"/>
      </w:pPr>
      <w:r w:rsidRPr="00ED2A13">
        <w:rPr>
          <w:vertAlign w:val="superscript"/>
        </w:rPr>
        <w:t>b</w:t>
      </w:r>
      <w:r w:rsidRPr="00ED2A13">
        <w:t xml:space="preserve"> Based on submission’s assumptions on the number of patients accessing amivantamab via a patient access program.</w:t>
      </w:r>
    </w:p>
    <w:p w14:paraId="3B08D06C" w14:textId="77777777" w:rsidR="00DA311F" w:rsidRPr="004863D9" w:rsidRDefault="00DA311F" w:rsidP="00AD07E3">
      <w:pPr>
        <w:pStyle w:val="TableFigureFooter"/>
      </w:pPr>
      <w:r w:rsidRPr="004863D9">
        <w:t xml:space="preserve">The redacted values correspond to the following ranges: </w:t>
      </w:r>
    </w:p>
    <w:p w14:paraId="5C309B2C" w14:textId="54A504E3" w:rsidR="00DA311F" w:rsidRPr="00BA5989" w:rsidRDefault="00DA311F" w:rsidP="00AD07E3">
      <w:pPr>
        <w:pStyle w:val="TableFigureFooter"/>
      </w:pPr>
      <w:r w:rsidRPr="004863D9">
        <w:rPr>
          <w:vertAlign w:val="superscript"/>
        </w:rPr>
        <w:t>1</w:t>
      </w:r>
      <w:r w:rsidRPr="004863D9">
        <w:t xml:space="preserve"> </w:t>
      </w:r>
      <w:r w:rsidR="00BA5989" w:rsidRPr="00BA5989">
        <w:t>&lt; 500</w:t>
      </w:r>
    </w:p>
    <w:p w14:paraId="4FBDBBF4" w14:textId="1F1AD2C4" w:rsidR="00DA311F" w:rsidRPr="004863D9" w:rsidRDefault="00DA311F" w:rsidP="00AD07E3">
      <w:pPr>
        <w:pStyle w:val="TableFigureFooter"/>
      </w:pPr>
      <w:r w:rsidRPr="004863D9">
        <w:rPr>
          <w:vertAlign w:val="superscript"/>
        </w:rPr>
        <w:t>2</w:t>
      </w:r>
      <w:r w:rsidRPr="004863D9">
        <w:t xml:space="preserve"> </w:t>
      </w:r>
      <w:r w:rsidR="00ED6633" w:rsidRPr="00ED6633">
        <w:t>500 to &lt; 5,000</w:t>
      </w:r>
    </w:p>
    <w:p w14:paraId="6C252DBE" w14:textId="57AF7652" w:rsidR="00DA311F" w:rsidRPr="004863D9" w:rsidRDefault="00DA311F" w:rsidP="00AD07E3">
      <w:pPr>
        <w:pStyle w:val="TableFigureFooter"/>
      </w:pPr>
      <w:r w:rsidRPr="004863D9">
        <w:rPr>
          <w:vertAlign w:val="superscript"/>
        </w:rPr>
        <w:t>3</w:t>
      </w:r>
      <w:r w:rsidRPr="004863D9">
        <w:t xml:space="preserve">  </w:t>
      </w:r>
      <w:r w:rsidR="00AD07E3" w:rsidRPr="00AD07E3">
        <w:t>$0 to &lt; $10 million</w:t>
      </w:r>
    </w:p>
    <w:p w14:paraId="01FC2E28" w14:textId="214D9805" w:rsidR="00ED2A13" w:rsidRPr="00ED2A13" w:rsidRDefault="00ED2A13" w:rsidP="00EF4C49">
      <w:pPr>
        <w:pStyle w:val="3-BodyText"/>
      </w:pPr>
      <w:r w:rsidRPr="00ED2A13">
        <w:t xml:space="preserve">The total cost to the PBS/RPBS of listing amivantamab was estimated to be </w:t>
      </w:r>
      <w:r w:rsidR="00AD07E3" w:rsidRPr="00AD07E3">
        <w:rPr>
          <w:rFonts w:asciiTheme="minorHAnsi" w:hAnsiTheme="minorHAnsi" w:cstheme="minorHAnsi"/>
          <w:szCs w:val="32"/>
        </w:rPr>
        <w:t>$0 to &lt; $10 million</w:t>
      </w:r>
      <w:r w:rsidR="00AD07E3" w:rsidRPr="00AD07E3" w:rsidDel="00AD07E3">
        <w:rPr>
          <w:sz w:val="28"/>
          <w:szCs w:val="24"/>
        </w:rPr>
        <w:t xml:space="preserve"> </w:t>
      </w:r>
      <w:r w:rsidRPr="00ED2A13">
        <w:t xml:space="preserve">in Year 6, and a total of </w:t>
      </w:r>
      <w:r w:rsidR="00651E77" w:rsidRPr="00651E77">
        <w:rPr>
          <w:rFonts w:asciiTheme="minorHAnsi" w:hAnsiTheme="minorHAnsi" w:cstheme="minorHAnsi"/>
          <w:szCs w:val="32"/>
        </w:rPr>
        <w:t>$40 million to &lt; $50 million</w:t>
      </w:r>
      <w:r w:rsidR="00651E77" w:rsidRPr="00651E77" w:rsidDel="00651E77">
        <w:rPr>
          <w:sz w:val="28"/>
          <w:szCs w:val="24"/>
        </w:rPr>
        <w:t xml:space="preserve"> </w:t>
      </w:r>
      <w:r w:rsidRPr="00ED2A13">
        <w:t xml:space="preserve">in the first 6 years of listing for first line therapy including grandfathered patients. </w:t>
      </w:r>
    </w:p>
    <w:p w14:paraId="42836CA7" w14:textId="463D2CBE" w:rsidR="00ED2A13" w:rsidRPr="005D5F78" w:rsidRDefault="00ED2A13" w:rsidP="00EF4C49">
      <w:pPr>
        <w:pStyle w:val="3-BodyText"/>
      </w:pPr>
      <w:r w:rsidRPr="00ED2A13">
        <w:t xml:space="preserve">The submission applied a treatment duration of 66.84 weeks (15.43 months; 12 weeks initiating followed by 54.84 weeks continuing) based on the mean of the extrapolated PFS curve from the economic model. The financial estimates assume that treatment will continue until disease </w:t>
      </w:r>
      <w:r w:rsidRPr="005D5F78">
        <w:t>progression. The assumed treatment duration for amivantamab was long and uncertain given the adverse event profile of amivantamab and that it was dependent on the extrapolation functions applied in the economic model. This also did not align with the treatment duration of 67.03 weeks from the economic model. Duration of treatment was expected to be an important driver of the financial estimates.</w:t>
      </w:r>
    </w:p>
    <w:p w14:paraId="46EC1E62" w14:textId="681D3443" w:rsidR="00ED2A13" w:rsidRPr="005D5F78" w:rsidRDefault="00ED2A13" w:rsidP="00EF4C49">
      <w:pPr>
        <w:pStyle w:val="3-BodyText"/>
      </w:pPr>
      <w:r w:rsidRPr="00ED2A13">
        <w:t>The submission included additional incident patients with Stage I-II (</w:t>
      </w:r>
      <w:r w:rsidR="003E609B">
        <w:t>&lt; 500</w:t>
      </w:r>
      <w:r w:rsidR="003E609B" w:rsidRPr="00ED2A13">
        <w:t xml:space="preserve"> </w:t>
      </w:r>
      <w:r w:rsidRPr="00ED2A13">
        <w:t>patients over six years) and IIIA (</w:t>
      </w:r>
      <w:r w:rsidR="003E609B">
        <w:t>&lt; 500</w:t>
      </w:r>
      <w:r w:rsidR="003E609B" w:rsidRPr="00ED2A13">
        <w:t xml:space="preserve"> </w:t>
      </w:r>
      <w:r w:rsidRPr="00ED2A13">
        <w:t xml:space="preserve"> patients over six years) disease that were expected to progress to Stage IIIB or Stage IV within the year</w:t>
      </w:r>
      <w:r w:rsidRPr="005D5F78">
        <w:t xml:space="preserve">. While it might be reasonable to assume that a proportion of Stage III A patients might progress within the year, the proportion of patients with Stage I-II disease that might progress remained uncertain. Sensitivity analysis conducted during the evaluation showed that decreasing the proportion of patients who develop later stage disease from Stage I-II disease to 0% </w:t>
      </w:r>
      <w:r w:rsidRPr="005D5F78">
        <w:lastRenderedPageBreak/>
        <w:t xml:space="preserve">decreased the financial impact from </w:t>
      </w:r>
      <w:r w:rsidR="00DA672A" w:rsidRPr="00DA672A">
        <w:rPr>
          <w:rFonts w:asciiTheme="minorHAnsi" w:hAnsiTheme="minorHAnsi" w:cstheme="minorHAnsi"/>
          <w:szCs w:val="32"/>
        </w:rPr>
        <w:t>$50 million to &lt; $60 million</w:t>
      </w:r>
      <w:r w:rsidR="00DA672A" w:rsidRPr="00DA672A" w:rsidDel="00DA672A">
        <w:rPr>
          <w:sz w:val="28"/>
          <w:szCs w:val="24"/>
        </w:rPr>
        <w:t xml:space="preserve"> </w:t>
      </w:r>
      <w:r w:rsidRPr="005D5F78">
        <w:t xml:space="preserve">to </w:t>
      </w:r>
      <w:r w:rsidR="00FC0892" w:rsidRPr="00651E77">
        <w:rPr>
          <w:rFonts w:asciiTheme="minorHAnsi" w:hAnsiTheme="minorHAnsi" w:cstheme="minorHAnsi"/>
          <w:szCs w:val="32"/>
        </w:rPr>
        <w:t>$40 million to &lt; $50 million</w:t>
      </w:r>
      <w:r w:rsidR="00FC0892" w:rsidRPr="00651E77" w:rsidDel="00651E77">
        <w:rPr>
          <w:sz w:val="28"/>
          <w:szCs w:val="24"/>
        </w:rPr>
        <w:t xml:space="preserve"> </w:t>
      </w:r>
      <w:r w:rsidRPr="005D5F78">
        <w:t>(-3%).</w:t>
      </w:r>
    </w:p>
    <w:p w14:paraId="6B566CAA" w14:textId="7D18DDEC" w:rsidR="00ED2A13" w:rsidRPr="005D5F78" w:rsidRDefault="00ED2A13" w:rsidP="00EF4C49">
      <w:pPr>
        <w:pStyle w:val="3-BodyText"/>
      </w:pPr>
      <w:r w:rsidRPr="005D5F78">
        <w:t xml:space="preserve">The submission did not present any changes in the use and financial impact of other medicines claiming that </w:t>
      </w:r>
      <w:r w:rsidRPr="005D5F78">
        <w:rPr>
          <w:lang w:val="en-GB"/>
        </w:rPr>
        <w:t xml:space="preserve">the proposed population does not respond well to </w:t>
      </w:r>
      <w:r w:rsidRPr="005D5F78">
        <w:t>currently available targeted therapies including TKIs and immune checkpoint inhibitors (ICIs</w:t>
      </w:r>
      <w:r w:rsidR="005D14ED">
        <w:t>).</w:t>
      </w:r>
      <w:r w:rsidRPr="005D5F78">
        <w:t xml:space="preserve"> </w:t>
      </w:r>
    </w:p>
    <w:p w14:paraId="6D93B881" w14:textId="77777777" w:rsidR="00ED2A13" w:rsidRPr="005D5F78" w:rsidRDefault="00ED2A13" w:rsidP="00EF4C49">
      <w:pPr>
        <w:pStyle w:val="3-BodyText"/>
        <w:rPr>
          <w:lang w:val="en-GB"/>
        </w:rPr>
      </w:pPr>
      <w:r w:rsidRPr="005D5F78">
        <w:rPr>
          <w:lang w:val="en-US"/>
        </w:rPr>
        <w:t>The submission also did not consider the potential impact on other PBS-listed medications that might be used to manage the adverse events arising from treatment with amivantamab. In the PAPILLON trial, patients</w:t>
      </w:r>
      <w:r w:rsidRPr="005D5F78">
        <w:t xml:space="preserve"> in the ACP arm received more concomitant medications (including antimicrobials, corticosteroids, blood substitutes such as albumin human and antithrombotic agents) during the treatment period. </w:t>
      </w:r>
      <w:r w:rsidRPr="005D5F78">
        <w:rPr>
          <w:lang w:val="en-GB"/>
        </w:rPr>
        <w:t xml:space="preserve">Compared to the proposed unit price of amivantamab, these concomitant medications are of relatively low cost and their exclusion from the financial estimates would likely have a small impact on the financial implications. </w:t>
      </w:r>
    </w:p>
    <w:p w14:paraId="571A2BB7" w14:textId="77777777" w:rsidR="00ED2A13" w:rsidRPr="00ED2A13" w:rsidRDefault="00ED2A13" w:rsidP="00EF4C49">
      <w:pPr>
        <w:pStyle w:val="3-BodyText"/>
      </w:pPr>
      <w:r w:rsidRPr="00ED2A13">
        <w:t>The submission claimed that the listing of amivantamab would not</w:t>
      </w:r>
      <w:r w:rsidRPr="00ED2A13" w:rsidDel="00E732FD">
        <w:t xml:space="preserve"> </w:t>
      </w:r>
      <w:r w:rsidRPr="00ED2A13">
        <w:t xml:space="preserve">have an impact on any MBS items including biomarker testing for NSCLC and chemotherapy administration costs. </w:t>
      </w:r>
    </w:p>
    <w:p w14:paraId="4065EA0F" w14:textId="2D559A07" w:rsidR="00ED2A13" w:rsidRPr="005D5F78" w:rsidRDefault="00ED2A13" w:rsidP="00EF4C49">
      <w:pPr>
        <w:pStyle w:val="3-BodyText"/>
      </w:pPr>
      <w:r w:rsidRPr="00ED2A13">
        <w:t xml:space="preserve">The </w:t>
      </w:r>
      <w:r w:rsidRPr="005D5F78">
        <w:t xml:space="preserve">submission assumed that 100% of patients would elect first-line systemic therapy with an uptake rate of 95%. These estimates appeared high as best supportive care could be a valid option, particularly given the inferior safety profile of amivantamab and the poor prognosis for this patient group. The financial estimates were highly sensitive to the uptake rate. A reduction in uptake rate from 95% to 80% led to a 15% decrease (from </w:t>
      </w:r>
      <w:r w:rsidR="00B93938" w:rsidRPr="00651E77">
        <w:rPr>
          <w:rFonts w:asciiTheme="minorHAnsi" w:hAnsiTheme="minorHAnsi" w:cstheme="minorHAnsi"/>
          <w:szCs w:val="32"/>
        </w:rPr>
        <w:t>$40 million to &lt; $50 million</w:t>
      </w:r>
      <w:r w:rsidR="00B93938" w:rsidRPr="00651E77" w:rsidDel="00651E77">
        <w:rPr>
          <w:sz w:val="28"/>
          <w:szCs w:val="24"/>
        </w:rPr>
        <w:t xml:space="preserve"> </w:t>
      </w:r>
      <w:r w:rsidRPr="005D5F78">
        <w:t xml:space="preserve">to </w:t>
      </w:r>
      <w:r w:rsidR="00B93938" w:rsidRPr="00651E77">
        <w:rPr>
          <w:rFonts w:asciiTheme="minorHAnsi" w:hAnsiTheme="minorHAnsi" w:cstheme="minorHAnsi"/>
          <w:szCs w:val="32"/>
        </w:rPr>
        <w:t>$40 million to &lt; $50 million</w:t>
      </w:r>
      <w:r w:rsidRPr="005D5F78">
        <w:t xml:space="preserve">) in the financial estimates over the 6 years. Revising the proportion of patients electing first-line therapy to 85% and uptake to 80% concurrently, reduced the financial estimates to </w:t>
      </w:r>
      <w:r w:rsidR="006709F1" w:rsidRPr="006709F1">
        <w:rPr>
          <w:rFonts w:asciiTheme="minorHAnsi" w:hAnsiTheme="minorHAnsi" w:cstheme="minorHAnsi"/>
          <w:szCs w:val="32"/>
        </w:rPr>
        <w:t>$30 million to &lt; $40 million</w:t>
      </w:r>
      <w:r w:rsidR="006709F1" w:rsidRPr="006709F1" w:rsidDel="006709F1">
        <w:rPr>
          <w:sz w:val="28"/>
          <w:szCs w:val="24"/>
        </w:rPr>
        <w:t xml:space="preserve"> </w:t>
      </w:r>
      <w:r w:rsidRPr="005D5F78">
        <w:t xml:space="preserve">(28% reduction). </w:t>
      </w:r>
    </w:p>
    <w:p w14:paraId="13721C24" w14:textId="1BBDD19C" w:rsidR="00ED2A13" w:rsidRPr="00ED2A13" w:rsidRDefault="00ED2A13" w:rsidP="00EF4C49">
      <w:pPr>
        <w:pStyle w:val="3-BodyText"/>
      </w:pPr>
      <w:r w:rsidRPr="00ED2A13">
        <w:t xml:space="preserve">To support the submission’s proposal for an alternative PBS restriction (to include amivantamab monotherapy for second-line use after progression on PBC), the submission estimated that an additional </w:t>
      </w:r>
      <w:r w:rsidR="009952BD">
        <w:t>&lt; 500</w:t>
      </w:r>
      <w:r w:rsidR="009952BD" w:rsidRPr="00ED2A13">
        <w:t xml:space="preserve"> </w:t>
      </w:r>
      <w:r w:rsidRPr="00ED2A13">
        <w:t xml:space="preserve"> patients would receive amivantamab across 6 years resulting in an additional </w:t>
      </w:r>
      <w:r w:rsidR="00D72325" w:rsidRPr="00D72325">
        <w:rPr>
          <w:rFonts w:asciiTheme="minorHAnsi" w:hAnsiTheme="minorHAnsi" w:cstheme="minorHAnsi"/>
          <w:szCs w:val="32"/>
        </w:rPr>
        <w:t>$0 to &lt; $10 million</w:t>
      </w:r>
      <w:r w:rsidR="00D72325" w:rsidRPr="00D72325" w:rsidDel="00D72325">
        <w:rPr>
          <w:sz w:val="28"/>
          <w:szCs w:val="24"/>
        </w:rPr>
        <w:t xml:space="preserve"> </w:t>
      </w:r>
      <w:r w:rsidRPr="00ED2A13">
        <w:t xml:space="preserve">(+5%) to the PBS/RPBS. </w:t>
      </w:r>
      <w:r w:rsidRPr="00232E1C">
        <w:t xml:space="preserve">This estimate is based on the dosing frequency of first-line patients which is inconsistent with the TGA PI. When the dosing frequency from the TGA PI the inclusion of the additional </w:t>
      </w:r>
      <w:r w:rsidR="009952BD">
        <w:t>&lt; 500</w:t>
      </w:r>
      <w:r w:rsidR="009952BD" w:rsidRPr="00ED2A13">
        <w:t xml:space="preserve"> </w:t>
      </w:r>
      <w:r w:rsidRPr="00232E1C">
        <w:t xml:space="preserve"> patients increased the financial estimated by </w:t>
      </w:r>
      <w:r w:rsidR="00D72325" w:rsidRPr="00D72325">
        <w:rPr>
          <w:rFonts w:asciiTheme="minorHAnsi" w:hAnsiTheme="minorHAnsi" w:cstheme="minorHAnsi"/>
          <w:szCs w:val="32"/>
        </w:rPr>
        <w:t>$0 to &lt; $10 million</w:t>
      </w:r>
      <w:r w:rsidR="00D72325" w:rsidRPr="00D72325" w:rsidDel="00D72325">
        <w:rPr>
          <w:sz w:val="28"/>
          <w:szCs w:val="24"/>
        </w:rPr>
        <w:t xml:space="preserve"> </w:t>
      </w:r>
      <w:r w:rsidRPr="00232E1C">
        <w:t>(+6%). Some key uncertainties that might impact these estimates include:</w:t>
      </w:r>
      <w:r w:rsidRPr="00ED2A13">
        <w:t xml:space="preserve"> </w:t>
      </w:r>
    </w:p>
    <w:p w14:paraId="1BAE4CCC" w14:textId="77777777" w:rsidR="00ED2A13" w:rsidRPr="00ED2A13" w:rsidRDefault="00ED2A13" w:rsidP="00AF4A63">
      <w:pPr>
        <w:pStyle w:val="ListParagraph"/>
        <w:numPr>
          <w:ilvl w:val="0"/>
          <w:numId w:val="21"/>
        </w:numPr>
      </w:pPr>
      <w:r w:rsidRPr="00ED2A13">
        <w:t xml:space="preserve">The treatment duration in this population was based on parametric extrapolation of the crossover patients in the PAPILLON trial. </w:t>
      </w:r>
      <w:r w:rsidRPr="00232E1C">
        <w:t>This extrapolation was not described in the submission.</w:t>
      </w:r>
    </w:p>
    <w:p w14:paraId="08C4FF09" w14:textId="77777777" w:rsidR="00ED2A13" w:rsidRPr="00ED2A13" w:rsidRDefault="00ED2A13" w:rsidP="00AF4A63">
      <w:pPr>
        <w:pStyle w:val="ListParagraph"/>
        <w:numPr>
          <w:ilvl w:val="0"/>
          <w:numId w:val="21"/>
        </w:numPr>
      </w:pPr>
      <w:r w:rsidRPr="00ED2A13">
        <w:t xml:space="preserve">The submission assumed that 70.3% of patients would progress from first-line treatment to second-line, based on the proportion of patients who received subsequent systemic therapy in the PAPILLON trial. </w:t>
      </w:r>
      <w:r w:rsidRPr="00232E1C">
        <w:t xml:space="preserve">Although 70.3% of patients in </w:t>
      </w:r>
      <w:r w:rsidRPr="00232E1C">
        <w:lastRenderedPageBreak/>
        <w:t>the CP arm of the PAPILLON trial had subsequent therapy, only 41.9% of patients in the CP arm received amivantamab monotherapy. As such, this may be an overestimate as not all patients would opt to be treated with amivantamab or be eligible.</w:t>
      </w:r>
    </w:p>
    <w:p w14:paraId="5AC67AE4" w14:textId="620A495F" w:rsidR="000C265C" w:rsidRPr="00D95190" w:rsidRDefault="000C265C" w:rsidP="00EF4C49">
      <w:pPr>
        <w:pStyle w:val="3-BodyText"/>
      </w:pPr>
      <w:r>
        <w:t>Overall, th</w:t>
      </w:r>
      <w:r w:rsidR="00D95190">
        <w:t xml:space="preserve">e </w:t>
      </w:r>
      <w:r w:rsidR="00212863">
        <w:t>DUSC</w:t>
      </w:r>
      <w:r w:rsidR="00D95190">
        <w:t xml:space="preserve"> considered </w:t>
      </w:r>
      <w:r w:rsidR="00D95190" w:rsidRPr="00D95190">
        <w:t>that</w:t>
      </w:r>
      <w:r w:rsidRPr="00D95190">
        <w:t xml:space="preserve"> the estimates presented in the submission </w:t>
      </w:r>
      <w:r w:rsidR="008C2FC3">
        <w:t>were</w:t>
      </w:r>
      <w:r w:rsidRPr="00D95190">
        <w:t xml:space="preserve"> overestimated. The main issues </w:t>
      </w:r>
      <w:r w:rsidR="00D95190" w:rsidRPr="00D95190">
        <w:t>were</w:t>
      </w:r>
      <w:r w:rsidR="00AD7C3B">
        <w:t xml:space="preserve"> as follows</w:t>
      </w:r>
      <w:r w:rsidRPr="00D95190">
        <w:t>:</w:t>
      </w:r>
    </w:p>
    <w:p w14:paraId="0B655A91" w14:textId="13E5B2E6" w:rsidR="000C265C" w:rsidRPr="00CB299E" w:rsidRDefault="000C265C" w:rsidP="00CB299E">
      <w:pPr>
        <w:pStyle w:val="ListParagraph"/>
      </w:pPr>
      <w:r w:rsidRPr="00CB299E">
        <w:t xml:space="preserve">The </w:t>
      </w:r>
      <w:r w:rsidR="00E16B41" w:rsidRPr="00CB299E">
        <w:t>assumed percentage</w:t>
      </w:r>
      <w:r w:rsidRPr="00CB299E">
        <w:t xml:space="preserve"> of patients who would elect first-line systemic therapy </w:t>
      </w:r>
      <w:r w:rsidR="00E16B41" w:rsidRPr="00CB299E">
        <w:t>(100%</w:t>
      </w:r>
      <w:r w:rsidR="00251426" w:rsidRPr="00CB299E">
        <w:t>;</w:t>
      </w:r>
      <w:r w:rsidR="00121D7A" w:rsidRPr="00CB299E">
        <w:t xml:space="preserve"> 2025</w:t>
      </w:r>
      <w:r w:rsidR="00251426" w:rsidRPr="00CB299E">
        <w:t>−2030</w:t>
      </w:r>
      <w:r w:rsidR="00E16B41" w:rsidRPr="00CB299E">
        <w:t xml:space="preserve">) </w:t>
      </w:r>
      <w:r w:rsidRPr="00CB299E">
        <w:t>was overestimated and a more reasonable estimate would be in the range of 80</w:t>
      </w:r>
      <w:r w:rsidR="003E5C22" w:rsidRPr="00CB299E">
        <w:t>−</w:t>
      </w:r>
      <w:r w:rsidRPr="00CB299E">
        <w:t>85%.</w:t>
      </w:r>
      <w:r w:rsidR="006F5708" w:rsidRPr="00CB299E">
        <w:t xml:space="preserve"> </w:t>
      </w:r>
      <w:r w:rsidR="000A70DA" w:rsidRPr="00CB299E">
        <w:t xml:space="preserve">The Pre-PBAC Response </w:t>
      </w:r>
      <w:r w:rsidR="0020383E" w:rsidRPr="00CB299E">
        <w:t xml:space="preserve">argued that </w:t>
      </w:r>
      <w:r w:rsidR="00786671" w:rsidRPr="00CB299E">
        <w:t xml:space="preserve">ACP will be the first effective targeted therapy for patients with ex20ins mutations and </w:t>
      </w:r>
      <w:r w:rsidR="00143640" w:rsidRPr="00CB299E">
        <w:t xml:space="preserve">therefore </w:t>
      </w:r>
      <w:r w:rsidR="00786671" w:rsidRPr="00CB299E">
        <w:t xml:space="preserve">maintained that </w:t>
      </w:r>
      <w:r w:rsidR="007E405C" w:rsidRPr="00CB299E">
        <w:t xml:space="preserve">nearly </w:t>
      </w:r>
      <w:r w:rsidR="00786671" w:rsidRPr="00CB299E">
        <w:t>all patients would elect to receive first</w:t>
      </w:r>
      <w:r w:rsidR="007735A9" w:rsidRPr="00CB299E">
        <w:t>-</w:t>
      </w:r>
      <w:r w:rsidR="00786671" w:rsidRPr="00CB299E">
        <w:t xml:space="preserve">line systemic therapy. </w:t>
      </w:r>
      <w:r w:rsidR="00207D88" w:rsidRPr="00CB299E">
        <w:t xml:space="preserve">However, </w:t>
      </w:r>
      <w:r w:rsidR="00F52930" w:rsidRPr="00CB299E">
        <w:t xml:space="preserve">the </w:t>
      </w:r>
      <w:r w:rsidR="002A13AB" w:rsidRPr="00CB299E">
        <w:t>Response</w:t>
      </w:r>
      <w:r w:rsidR="00F52930" w:rsidRPr="00CB299E">
        <w:t xml:space="preserve"> </w:t>
      </w:r>
      <w:r w:rsidR="00786671" w:rsidRPr="00CB299E">
        <w:t>present</w:t>
      </w:r>
      <w:r w:rsidR="00615C80" w:rsidRPr="00CB299E">
        <w:t>ed</w:t>
      </w:r>
      <w:r w:rsidR="00786671" w:rsidRPr="00CB299E">
        <w:t xml:space="preserve"> updated</w:t>
      </w:r>
      <w:r w:rsidR="00615C80" w:rsidRPr="00CB299E">
        <w:t xml:space="preserve"> financial estimates</w:t>
      </w:r>
      <w:r w:rsidR="00786671" w:rsidRPr="00CB299E">
        <w:t xml:space="preserve"> that assume</w:t>
      </w:r>
      <w:r w:rsidR="00615C80" w:rsidRPr="00CB299E">
        <w:t>d</w:t>
      </w:r>
      <w:r w:rsidR="00786671" w:rsidRPr="00CB299E">
        <w:t xml:space="preserve"> the proportion of patients who would elect first</w:t>
      </w:r>
      <w:r w:rsidR="007735A9" w:rsidRPr="00CB299E">
        <w:t>-</w:t>
      </w:r>
      <w:r w:rsidR="00786671" w:rsidRPr="00CB299E">
        <w:t xml:space="preserve">line systemic therapy to be 93%, i.e., </w:t>
      </w:r>
      <w:r w:rsidR="00F52930" w:rsidRPr="00CB299E">
        <w:t xml:space="preserve">the </w:t>
      </w:r>
      <w:r w:rsidR="00786671" w:rsidRPr="00CB299E">
        <w:t xml:space="preserve">midpoint of 85% and 100%. The impact of this change is a reduction to the cost for PBS/RPBS of </w:t>
      </w:r>
      <w:r w:rsidR="003B62BF" w:rsidRPr="00D72325">
        <w:rPr>
          <w:rFonts w:cstheme="minorHAnsi"/>
          <w:szCs w:val="32"/>
        </w:rPr>
        <w:t>$0 to &lt; $10 million</w:t>
      </w:r>
      <w:r w:rsidR="003B62BF" w:rsidRPr="00D72325" w:rsidDel="00D72325">
        <w:rPr>
          <w:sz w:val="28"/>
        </w:rPr>
        <w:t xml:space="preserve"> </w:t>
      </w:r>
      <w:r w:rsidR="00786671" w:rsidRPr="00CB299E">
        <w:t>in Year</w:t>
      </w:r>
      <w:r w:rsidR="003B62BF">
        <w:t> </w:t>
      </w:r>
      <w:r w:rsidR="00786671" w:rsidRPr="00CB299E">
        <w:t xml:space="preserve">1, </w:t>
      </w:r>
      <w:r w:rsidR="003E609B" w:rsidRPr="00D72325">
        <w:rPr>
          <w:rFonts w:cstheme="minorHAnsi"/>
          <w:szCs w:val="32"/>
        </w:rPr>
        <w:t>$0 to &lt; $10 million</w:t>
      </w:r>
      <w:r w:rsidR="003E609B" w:rsidRPr="00D72325" w:rsidDel="00D72325">
        <w:rPr>
          <w:sz w:val="28"/>
        </w:rPr>
        <w:t xml:space="preserve"> </w:t>
      </w:r>
      <w:r w:rsidR="00786671" w:rsidRPr="00CB299E">
        <w:t xml:space="preserve">in Year 6, totalling </w:t>
      </w:r>
      <w:r w:rsidR="003E609B" w:rsidRPr="00D72325">
        <w:rPr>
          <w:rFonts w:cstheme="minorHAnsi"/>
          <w:szCs w:val="32"/>
        </w:rPr>
        <w:t>$0 to &lt; $10 million</w:t>
      </w:r>
      <w:r w:rsidR="003E609B" w:rsidRPr="00D72325" w:rsidDel="00D72325">
        <w:rPr>
          <w:sz w:val="28"/>
        </w:rPr>
        <w:t xml:space="preserve"> </w:t>
      </w:r>
      <w:r w:rsidR="00786671" w:rsidRPr="00CB299E">
        <w:t>across 6 years</w:t>
      </w:r>
      <w:r w:rsidR="000E6012" w:rsidRPr="00CB299E">
        <w:t>.</w:t>
      </w:r>
    </w:p>
    <w:p w14:paraId="7AFDAE84" w14:textId="6E0CEF54" w:rsidR="00791CC6" w:rsidRPr="00CB299E" w:rsidRDefault="00DD6CE9" w:rsidP="00CB299E">
      <w:pPr>
        <w:pStyle w:val="ListParagraph"/>
      </w:pPr>
      <w:r w:rsidRPr="00CB299E">
        <w:t xml:space="preserve">The submission assumed that 84% of patients </w:t>
      </w:r>
      <w:r w:rsidR="00DF377C" w:rsidRPr="00CB299E">
        <w:t xml:space="preserve">would </w:t>
      </w:r>
      <w:r w:rsidRPr="00CB299E">
        <w:t>elect</w:t>
      </w:r>
      <w:r w:rsidR="00C41CA4" w:rsidRPr="00CB299E">
        <w:t xml:space="preserve"> first-line</w:t>
      </w:r>
      <w:r w:rsidRPr="00CB299E">
        <w:t xml:space="preserve"> systemic treatment</w:t>
      </w:r>
      <w:r w:rsidR="00DF377C" w:rsidRPr="00CB299E">
        <w:t xml:space="preserve"> (2023−2024)</w:t>
      </w:r>
      <w:r w:rsidRPr="00CB299E">
        <w:t>, based on</w:t>
      </w:r>
      <w:r w:rsidR="00DF377C" w:rsidRPr="00CB299E">
        <w:t xml:space="preserve"> the</w:t>
      </w:r>
      <w:r w:rsidRPr="00CB299E">
        <w:t xml:space="preserve"> AURORA final report ex20ins July 2024, </w:t>
      </w:r>
      <w:r w:rsidR="00DF377C" w:rsidRPr="00CB299E">
        <w:t xml:space="preserve">and that the </w:t>
      </w:r>
      <w:r w:rsidRPr="00CB299E">
        <w:t xml:space="preserve">remaining 16% </w:t>
      </w:r>
      <w:r w:rsidR="00DF377C" w:rsidRPr="00CB299E">
        <w:t xml:space="preserve">would elect to </w:t>
      </w:r>
      <w:r w:rsidRPr="00CB299E">
        <w:t>have radiotherapy or surgery.</w:t>
      </w:r>
      <w:r w:rsidR="00DF377C" w:rsidRPr="00CB299E">
        <w:t xml:space="preserve"> </w:t>
      </w:r>
      <w:r w:rsidR="00791CC6" w:rsidRPr="00CB299E">
        <w:t>If a</w:t>
      </w:r>
      <w:r w:rsidR="002C6A16" w:rsidRPr="00CB299E">
        <w:t xml:space="preserve">n alternative </w:t>
      </w:r>
      <w:r w:rsidR="00791CC6" w:rsidRPr="00CB299E">
        <w:t>listing was recommended</w:t>
      </w:r>
      <w:r w:rsidR="0057540D" w:rsidRPr="00CB299E">
        <w:t xml:space="preserve"> that allows patients to receive treatment in the first- or second-line settin</w:t>
      </w:r>
      <w:r w:rsidR="00774A8B" w:rsidRPr="00CB299E">
        <w:t>g</w:t>
      </w:r>
      <w:r w:rsidR="00791CC6" w:rsidRPr="00CB299E">
        <w:t>, the proportion who would likely elect first-line amivantamab plus PBC may be lower than 80−85%, if some patients elect to preserve amivantamab for later line treatment. The Pre-PBAC Response argued that given the extremely poor prognosis of patients diagnosed with ex20ins, many do not survive to receive second</w:t>
      </w:r>
      <w:r w:rsidR="0073756A" w:rsidRPr="00CB299E">
        <w:t>-</w:t>
      </w:r>
      <w:r w:rsidR="00791CC6" w:rsidRPr="00CB299E">
        <w:t xml:space="preserve">line treatment, and therefore considered that it was unlikely that amivantamab would be preserved for </w:t>
      </w:r>
      <w:r w:rsidR="00B41FD7" w:rsidRPr="00CB299E">
        <w:t xml:space="preserve">a </w:t>
      </w:r>
      <w:r w:rsidR="00791CC6" w:rsidRPr="00CB299E">
        <w:t xml:space="preserve">later line treatment. </w:t>
      </w:r>
    </w:p>
    <w:p w14:paraId="1952A695" w14:textId="02B1E7DB" w:rsidR="0033593D" w:rsidRPr="00CB299E" w:rsidRDefault="000C265C" w:rsidP="00CB299E">
      <w:pPr>
        <w:pStyle w:val="ListParagraph"/>
      </w:pPr>
      <w:r w:rsidRPr="00CB299E">
        <w:t xml:space="preserve">The </w:t>
      </w:r>
      <w:r w:rsidR="00B64758" w:rsidRPr="00CB299E">
        <w:t xml:space="preserve">assumed </w:t>
      </w:r>
      <w:r w:rsidRPr="00CB299E">
        <w:t>uptake of amivantamab</w:t>
      </w:r>
      <w:r w:rsidR="00B64758" w:rsidRPr="00CB299E">
        <w:t xml:space="preserve"> (</w:t>
      </w:r>
      <w:r w:rsidR="00B26839" w:rsidRPr="00CB299E">
        <w:t>95</w:t>
      </w:r>
      <w:r w:rsidR="00B64758" w:rsidRPr="00CB299E">
        <w:t>%)</w:t>
      </w:r>
      <w:r w:rsidRPr="00CB299E">
        <w:t xml:space="preserve"> was overestimated as a proportion of patients would be too frail to attempt treatment with amivantamab plus PBC and a more reasonable estimate would be 80%. </w:t>
      </w:r>
      <w:r w:rsidR="00F84277" w:rsidRPr="00CB299E">
        <w:t>The Pre-PBAC Response maintained that the assumed update was appropriate</w:t>
      </w:r>
      <w:r w:rsidR="00DC0C0F" w:rsidRPr="00CB299E">
        <w:t xml:space="preserve"> as </w:t>
      </w:r>
      <w:r w:rsidR="00F84277" w:rsidRPr="00CB299E">
        <w:t>fra</w:t>
      </w:r>
      <w:r w:rsidR="0030599A" w:rsidRPr="00CB299E">
        <w:t>g</w:t>
      </w:r>
      <w:r w:rsidR="00F84277" w:rsidRPr="00CB299E">
        <w:t>il</w:t>
      </w:r>
      <w:r w:rsidR="0030599A" w:rsidRPr="00CB299E">
        <w:t>i</w:t>
      </w:r>
      <w:r w:rsidR="00F84277" w:rsidRPr="00CB299E">
        <w:t xml:space="preserve">ty </w:t>
      </w:r>
      <w:r w:rsidR="00E029B8" w:rsidRPr="00CB299E">
        <w:t>had already been</w:t>
      </w:r>
      <w:r w:rsidR="00F84277" w:rsidRPr="00CB299E">
        <w:t xml:space="preserve"> accounted for in the financial estimates through the proportion of patients who elect first</w:t>
      </w:r>
      <w:r w:rsidR="00532384" w:rsidRPr="00CB299E">
        <w:t>-</w:t>
      </w:r>
      <w:r w:rsidR="00F84277" w:rsidRPr="00CB299E">
        <w:t>line systemic therapy (as frail patients would not elect treatment), and secondly, through the proportion of patients with an ECOG performance status of 0</w:t>
      </w:r>
      <w:r w:rsidR="00145B11" w:rsidRPr="00CB299E">
        <w:t>−</w:t>
      </w:r>
      <w:r w:rsidR="00F84277" w:rsidRPr="00CB299E">
        <w:t>2</w:t>
      </w:r>
      <w:r w:rsidR="00145B11" w:rsidRPr="00CB299E">
        <w:t>.</w:t>
      </w:r>
    </w:p>
    <w:p w14:paraId="18B12E47" w14:textId="0C523224" w:rsidR="0033593D" w:rsidRPr="00CB299E" w:rsidRDefault="007B4DC7" w:rsidP="00CB299E">
      <w:pPr>
        <w:pStyle w:val="ListParagraph"/>
      </w:pPr>
      <w:r w:rsidRPr="00CB299E">
        <w:t xml:space="preserve">The number of scripts was overestimated as the </w:t>
      </w:r>
      <w:r w:rsidR="007942BF" w:rsidRPr="00CB299E">
        <w:t xml:space="preserve">assumed </w:t>
      </w:r>
      <w:r w:rsidRPr="00CB299E">
        <w:t>treatment duration and dose were overestimated.</w:t>
      </w:r>
      <w:r w:rsidR="007942BF" w:rsidRPr="00CB299E">
        <w:t xml:space="preserve"> </w:t>
      </w:r>
      <w:r w:rsidR="00791B21" w:rsidRPr="00CB299E">
        <w:t xml:space="preserve">The DUSC considered that </w:t>
      </w:r>
      <w:r w:rsidR="000C265C" w:rsidRPr="00CB299E">
        <w:t xml:space="preserve">PBS patients </w:t>
      </w:r>
      <w:r w:rsidR="00F52799" w:rsidRPr="00CB299E">
        <w:t>were</w:t>
      </w:r>
      <w:r w:rsidR="000C265C" w:rsidRPr="00CB299E">
        <w:t xml:space="preserve"> likely to experience</w:t>
      </w:r>
      <w:r w:rsidR="008A4190" w:rsidRPr="00CB299E">
        <w:t xml:space="preserve"> an increased number of</w:t>
      </w:r>
      <w:r w:rsidR="000C265C" w:rsidRPr="00CB299E">
        <w:t xml:space="preserve"> adverse effects and </w:t>
      </w:r>
      <w:r w:rsidR="003E5C22" w:rsidRPr="00CB299E">
        <w:t>are</w:t>
      </w:r>
      <w:r w:rsidR="000C265C" w:rsidRPr="00CB299E">
        <w:t xml:space="preserve"> </w:t>
      </w:r>
      <w:r w:rsidR="008A4190" w:rsidRPr="00CB299E">
        <w:t xml:space="preserve">therefore </w:t>
      </w:r>
      <w:r w:rsidR="000C265C" w:rsidRPr="00CB299E">
        <w:t xml:space="preserve">more likely to be reduced to a lower dose or </w:t>
      </w:r>
      <w:r w:rsidR="00A16B7B" w:rsidRPr="00CB299E">
        <w:t>discontinue</w:t>
      </w:r>
      <w:r w:rsidR="000C265C" w:rsidRPr="00CB299E">
        <w:t xml:space="preserve"> than patients treated in the </w:t>
      </w:r>
      <w:r w:rsidR="00A16B7B" w:rsidRPr="00CB299E">
        <w:t xml:space="preserve">pivotal </w:t>
      </w:r>
      <w:r w:rsidR="000C265C" w:rsidRPr="00CB299E">
        <w:t xml:space="preserve">trial. </w:t>
      </w:r>
      <w:r w:rsidR="007C0E0B" w:rsidRPr="00CB299E">
        <w:t xml:space="preserve">The Pre-PBAC </w:t>
      </w:r>
      <w:r w:rsidR="008748B3" w:rsidRPr="00CB299E">
        <w:t>R</w:t>
      </w:r>
      <w:r w:rsidR="007C0E0B" w:rsidRPr="00CB299E">
        <w:t xml:space="preserve">esponse </w:t>
      </w:r>
      <w:r w:rsidR="00E829F6" w:rsidRPr="00CB299E">
        <w:t xml:space="preserve">maintained that </w:t>
      </w:r>
      <w:r w:rsidR="00D4136C" w:rsidRPr="00CB299E">
        <w:t>data from the</w:t>
      </w:r>
      <w:r w:rsidR="007C0E0B" w:rsidRPr="00CB299E">
        <w:t xml:space="preserve"> PAPILLON </w:t>
      </w:r>
      <w:r w:rsidR="00D4136C" w:rsidRPr="00CB299E">
        <w:t>trial</w:t>
      </w:r>
      <w:r w:rsidR="007C0E0B" w:rsidRPr="00CB299E">
        <w:t xml:space="preserve"> </w:t>
      </w:r>
      <w:r w:rsidR="00E829F6" w:rsidRPr="00CB299E">
        <w:t>were</w:t>
      </w:r>
      <w:r w:rsidR="007C0E0B" w:rsidRPr="00CB299E">
        <w:t xml:space="preserve"> appropriate</w:t>
      </w:r>
      <w:r w:rsidR="006F7E53" w:rsidRPr="00CB299E">
        <w:t xml:space="preserve"> to inform dose and treatment reduction </w:t>
      </w:r>
      <w:r w:rsidR="007C0E0B" w:rsidRPr="00CB299E">
        <w:t xml:space="preserve">and do not overestimate the number of scripts in the financial model. </w:t>
      </w:r>
    </w:p>
    <w:p w14:paraId="668BEA71" w14:textId="77777777" w:rsidR="00765141" w:rsidRPr="0098262F" w:rsidRDefault="00765141" w:rsidP="00765141">
      <w:pPr>
        <w:pStyle w:val="4-SubsectionHeading"/>
      </w:pPr>
      <w:bookmarkStart w:id="114" w:name="_Toc22897648"/>
      <w:bookmarkStart w:id="115" w:name="_Toc174628144"/>
      <w:bookmarkStart w:id="116" w:name="_Toc177532588"/>
      <w:bookmarkStart w:id="117" w:name="_Toc177548286"/>
      <w:bookmarkStart w:id="118" w:name="_Hlk181285054"/>
      <w:r w:rsidRPr="0098262F">
        <w:lastRenderedPageBreak/>
        <w:t>Quality Use of Medicines</w:t>
      </w:r>
      <w:bookmarkEnd w:id="114"/>
      <w:bookmarkEnd w:id="115"/>
      <w:bookmarkEnd w:id="116"/>
      <w:bookmarkEnd w:id="117"/>
    </w:p>
    <w:p w14:paraId="3966B104" w14:textId="71D703CA" w:rsidR="00F64FC7" w:rsidRPr="00655066" w:rsidRDefault="00765141" w:rsidP="00CB299E">
      <w:pPr>
        <w:pStyle w:val="3-BodyText"/>
      </w:pPr>
      <w:r w:rsidRPr="009B1003">
        <w:t xml:space="preserve">The submission acknowledged that the </w:t>
      </w:r>
      <w:r>
        <w:t>quality use of amivantamab</w:t>
      </w:r>
      <w:r w:rsidRPr="00491A6E">
        <w:t xml:space="preserve"> will be </w:t>
      </w:r>
      <w:bookmarkEnd w:id="118"/>
      <w:r w:rsidRPr="00491A6E">
        <w:t>underpinned by ensuring</w:t>
      </w:r>
      <w:r>
        <w:t xml:space="preserve"> that clinicians are aware of the appropriate patient profile and circumstances of use for which amivantamab may be prescribed. The submission outlined four groups of stakeholders who play a fundamental role in the appropriate use of amivantamab: patients, prescribers, nursing staff and dispensers. Each of these stakeholder groups </w:t>
      </w:r>
      <w:r w:rsidRPr="00F64710">
        <w:t xml:space="preserve">will be provided with appropriate education, resources and support from </w:t>
      </w:r>
      <w:r>
        <w:t xml:space="preserve">the sponsor </w:t>
      </w:r>
      <w:r w:rsidRPr="00F64710">
        <w:t xml:space="preserve">to promote appropriate prescribing and use of </w:t>
      </w:r>
      <w:r>
        <w:t>amivantamab</w:t>
      </w:r>
      <w:r w:rsidRPr="00F64710">
        <w:t>.</w:t>
      </w:r>
      <w:r>
        <w:t xml:space="preserve"> T</w:t>
      </w:r>
      <w:r w:rsidRPr="00F64710">
        <w:t xml:space="preserve">he education and resources provided by </w:t>
      </w:r>
      <w:r>
        <w:t xml:space="preserve">the sponsor </w:t>
      </w:r>
      <w:r w:rsidRPr="00F64710">
        <w:t>will focus on key quality use of medication discussion points, including:</w:t>
      </w:r>
      <w:r>
        <w:t xml:space="preserve"> </w:t>
      </w:r>
      <w:r w:rsidRPr="00491A6E">
        <w:t>identifying the appropriate pa</w:t>
      </w:r>
      <w:r>
        <w:t xml:space="preserve">tients for amivantamab therapy; </w:t>
      </w:r>
      <w:r w:rsidRPr="00A30B3C">
        <w:t xml:space="preserve">promoting appropriate level of awareness of </w:t>
      </w:r>
      <w:r>
        <w:t xml:space="preserve">amivantamab </w:t>
      </w:r>
      <w:r w:rsidRPr="00A30B3C">
        <w:t>and relevance to other clinical decisions</w:t>
      </w:r>
      <w:r>
        <w:t xml:space="preserve">; </w:t>
      </w:r>
      <w:r w:rsidRPr="00A30B3C">
        <w:t>education on potential drug-drug interaction</w:t>
      </w:r>
      <w:r>
        <w:t xml:space="preserve">s; </w:t>
      </w:r>
      <w:r w:rsidRPr="00A30B3C">
        <w:t>education on patient assessment prior to dosing, with reference to</w:t>
      </w:r>
      <w:r>
        <w:t xml:space="preserve"> a</w:t>
      </w:r>
      <w:r w:rsidRPr="00A30B3C">
        <w:t xml:space="preserve"> patients</w:t>
      </w:r>
      <w:r>
        <w:t>’</w:t>
      </w:r>
      <w:r w:rsidRPr="00A30B3C">
        <w:t xml:space="preserve"> medical histor</w:t>
      </w:r>
      <w:r>
        <w:t>y</w:t>
      </w:r>
      <w:r w:rsidRPr="00A30B3C">
        <w:t xml:space="preserve"> and comorbidities</w:t>
      </w:r>
      <w:r>
        <w:t xml:space="preserve">; education on the appropriate dosing and IV infusion support as per the recommendations in </w:t>
      </w:r>
      <w:r w:rsidRPr="00B42E36">
        <w:t>the draft</w:t>
      </w:r>
      <w:r>
        <w:t xml:space="preserve"> PI</w:t>
      </w:r>
      <w:r w:rsidRPr="008272D0">
        <w:t>.</w:t>
      </w:r>
    </w:p>
    <w:p w14:paraId="1F4E4786" w14:textId="10C82509" w:rsidR="00B47B09" w:rsidRDefault="00AE1BB8" w:rsidP="00CB299E">
      <w:pPr>
        <w:pStyle w:val="3-BodyText"/>
        <w:numPr>
          <w:ilvl w:val="0"/>
          <w:numId w:val="0"/>
        </w:numPr>
        <w:ind w:left="709"/>
      </w:pPr>
      <w:r w:rsidRPr="0020383E">
        <w:t>For more detail on PBAC’s view, see section 7 PBAC outcome.</w:t>
      </w:r>
      <w:bookmarkStart w:id="119" w:name="_Toc174628146"/>
    </w:p>
    <w:p w14:paraId="511F861D" w14:textId="0113B168" w:rsidR="001654F7" w:rsidRPr="001654F7" w:rsidRDefault="001654F7" w:rsidP="001654F7">
      <w:pPr>
        <w:keepNext/>
        <w:numPr>
          <w:ilvl w:val="0"/>
          <w:numId w:val="5"/>
        </w:numPr>
        <w:spacing w:before="240" w:after="120"/>
        <w:jc w:val="left"/>
        <w:outlineLvl w:val="0"/>
        <w:rPr>
          <w:rFonts w:asciiTheme="minorHAnsi" w:hAnsiTheme="minorHAnsi"/>
          <w:b/>
          <w:snapToGrid w:val="0"/>
          <w:sz w:val="32"/>
          <w:szCs w:val="32"/>
        </w:rPr>
      </w:pPr>
      <w:bookmarkStart w:id="120" w:name="_Hlk76381249"/>
      <w:bookmarkStart w:id="121" w:name="_Toc177532593"/>
      <w:bookmarkStart w:id="122" w:name="_Toc177548291"/>
      <w:bookmarkEnd w:id="119"/>
      <w:r w:rsidRPr="001654F7">
        <w:rPr>
          <w:rFonts w:asciiTheme="minorHAnsi" w:hAnsiTheme="minorHAnsi"/>
          <w:b/>
          <w:snapToGrid w:val="0"/>
          <w:sz w:val="32"/>
          <w:szCs w:val="32"/>
        </w:rPr>
        <w:t>PBAC Outcome</w:t>
      </w:r>
    </w:p>
    <w:p w14:paraId="7BF4065D" w14:textId="03D91423" w:rsidR="002D2735" w:rsidRPr="006B1AE8" w:rsidRDefault="001654F7" w:rsidP="00EF4C49">
      <w:pPr>
        <w:pStyle w:val="3-BodyText"/>
        <w:rPr>
          <w:lang w:val="en-GB" w:eastAsia="en-US"/>
        </w:rPr>
      </w:pPr>
      <w:r w:rsidRPr="006B1AE8">
        <w:rPr>
          <w:snapToGrid w:val="0"/>
          <w:lang w:val="en-GB" w:eastAsia="en-US"/>
        </w:rPr>
        <w:t>The PBAC recommended the listing of</w:t>
      </w:r>
      <w:r w:rsidR="0010774D" w:rsidRPr="006B1AE8">
        <w:rPr>
          <w:snapToGrid w:val="0"/>
          <w:lang w:val="en-GB" w:eastAsia="en-US"/>
        </w:rPr>
        <w:t xml:space="preserve"> amivantamab</w:t>
      </w:r>
      <w:r w:rsidRPr="006B1AE8">
        <w:rPr>
          <w:snapToGrid w:val="0"/>
          <w:lang w:val="en-GB" w:eastAsia="en-US"/>
        </w:rPr>
        <w:t xml:space="preserve">, </w:t>
      </w:r>
      <w:r w:rsidR="00C52B75" w:rsidRPr="006B1AE8">
        <w:rPr>
          <w:snapToGrid w:val="0"/>
          <w:lang w:val="en-GB" w:eastAsia="en-US"/>
        </w:rPr>
        <w:t>for the</w:t>
      </w:r>
      <w:r w:rsidR="178740D9" w:rsidRPr="3CC42F92">
        <w:rPr>
          <w:lang w:val="en-GB" w:eastAsia="en-US"/>
        </w:rPr>
        <w:t xml:space="preserve"> </w:t>
      </w:r>
      <w:r w:rsidR="00C52B75" w:rsidRPr="006B1AE8">
        <w:rPr>
          <w:snapToGrid w:val="0"/>
          <w:lang w:val="en-GB" w:eastAsia="en-US"/>
        </w:rPr>
        <w:t xml:space="preserve">treatment of patients with </w:t>
      </w:r>
      <w:r w:rsidR="00951FA2" w:rsidRPr="006B1AE8">
        <w:rPr>
          <w:snapToGrid w:val="0"/>
          <w:lang w:val="en-GB" w:eastAsia="en-US"/>
        </w:rPr>
        <w:t>epidermal growth factor receptor (</w:t>
      </w:r>
      <w:r w:rsidR="00C52B75" w:rsidRPr="006B1AE8">
        <w:rPr>
          <w:i/>
          <w:snapToGrid w:val="0"/>
          <w:lang w:val="en-GB" w:eastAsia="en-US"/>
        </w:rPr>
        <w:t>EGFR</w:t>
      </w:r>
      <w:r w:rsidR="00951FA2" w:rsidRPr="006B1AE8">
        <w:rPr>
          <w:snapToGrid w:val="0"/>
          <w:lang w:val="en-GB" w:eastAsia="en-US"/>
        </w:rPr>
        <w:t>)</w:t>
      </w:r>
      <w:r w:rsidR="00C52B75" w:rsidRPr="006B1AE8">
        <w:rPr>
          <w:snapToGrid w:val="0"/>
          <w:lang w:val="en-GB" w:eastAsia="en-US"/>
        </w:rPr>
        <w:t xml:space="preserve"> </w:t>
      </w:r>
      <w:r w:rsidR="004B2D14" w:rsidRPr="006B1AE8">
        <w:rPr>
          <w:snapToGrid w:val="0"/>
          <w:lang w:val="en-GB" w:eastAsia="en-US"/>
        </w:rPr>
        <w:t>exon 20 insertion (</w:t>
      </w:r>
      <w:r w:rsidR="00C52B75" w:rsidRPr="006B1AE8">
        <w:rPr>
          <w:snapToGrid w:val="0"/>
          <w:lang w:val="en-GB" w:eastAsia="en-US"/>
        </w:rPr>
        <w:t>ex20ins</w:t>
      </w:r>
      <w:r w:rsidR="004B2D14" w:rsidRPr="006B1AE8">
        <w:rPr>
          <w:snapToGrid w:val="0"/>
          <w:lang w:val="en-GB" w:eastAsia="en-US"/>
        </w:rPr>
        <w:t>)</w:t>
      </w:r>
      <w:r w:rsidR="00C52B75" w:rsidRPr="006B1AE8">
        <w:rPr>
          <w:snapToGrid w:val="0"/>
          <w:lang w:val="en-GB" w:eastAsia="en-US"/>
        </w:rPr>
        <w:t xml:space="preserve"> mutation positive locally advanced or metastatic </w:t>
      </w:r>
      <w:r w:rsidR="00642EED" w:rsidRPr="006B1AE8">
        <w:rPr>
          <w:snapToGrid w:val="0"/>
          <w:lang w:val="en-GB" w:eastAsia="en-US"/>
        </w:rPr>
        <w:t>non-small cell lung cancer (</w:t>
      </w:r>
      <w:r w:rsidR="00C52B75" w:rsidRPr="006B1AE8">
        <w:rPr>
          <w:snapToGrid w:val="0"/>
          <w:lang w:val="en-GB" w:eastAsia="en-US"/>
        </w:rPr>
        <w:t>NSCLC</w:t>
      </w:r>
      <w:r w:rsidR="00642EED" w:rsidRPr="006B1AE8">
        <w:rPr>
          <w:snapToGrid w:val="0"/>
          <w:lang w:val="en-GB" w:eastAsia="en-US"/>
        </w:rPr>
        <w:t>)</w:t>
      </w:r>
      <w:r w:rsidR="00BB3CAE">
        <w:rPr>
          <w:snapToGrid w:val="0"/>
          <w:lang w:val="en-GB" w:eastAsia="en-US"/>
        </w:rPr>
        <w:t>.</w:t>
      </w:r>
      <w:r w:rsidR="13ABE8CA" w:rsidRPr="3F92A79C">
        <w:rPr>
          <w:lang w:val="en-GB" w:eastAsia="en-US"/>
        </w:rPr>
        <w:t xml:space="preserve"> The</w:t>
      </w:r>
      <w:r w:rsidR="00C34337">
        <w:rPr>
          <w:lang w:val="en-GB" w:eastAsia="en-US"/>
        </w:rPr>
        <w:t xml:space="preserve"> PBAC considered it was reasonable for amivantamab</w:t>
      </w:r>
      <w:r w:rsidR="00246F5D">
        <w:rPr>
          <w:lang w:val="en-GB" w:eastAsia="en-US"/>
        </w:rPr>
        <w:t xml:space="preserve"> to be available for patients in the first- and second-line setting</w:t>
      </w:r>
      <w:r w:rsidR="3C8A721F" w:rsidRPr="15F1E1DE">
        <w:rPr>
          <w:lang w:val="en-GB" w:eastAsia="en-US"/>
        </w:rPr>
        <w:t>.</w:t>
      </w:r>
      <w:r w:rsidR="00642EED" w:rsidRPr="006B1AE8">
        <w:rPr>
          <w:lang w:val="en-GB" w:eastAsia="en-US"/>
        </w:rPr>
        <w:t xml:space="preserve"> </w:t>
      </w:r>
      <w:r w:rsidR="00133C0B" w:rsidRPr="29C813D2">
        <w:rPr>
          <w:lang w:val="en-GB" w:eastAsia="en-US"/>
        </w:rPr>
        <w:t>The PBAC recognised there was a high clinical need for additional treatment options for patients with this rare form of EGFR mutation, which has shown to have a limited response to conventional treatments. The PBAC considered the evidence presented demonstrated a progression-free and overall survival (OS) benefit over the comparator (</w:t>
      </w:r>
      <w:r w:rsidR="00302389">
        <w:rPr>
          <w:lang w:val="en-GB" w:eastAsia="en-US"/>
        </w:rPr>
        <w:t>platinum</w:t>
      </w:r>
      <w:r w:rsidR="001D6422">
        <w:rPr>
          <w:lang w:val="en-GB" w:eastAsia="en-US"/>
        </w:rPr>
        <w:t>-</w:t>
      </w:r>
      <w:r w:rsidR="00302389">
        <w:rPr>
          <w:lang w:val="en-GB" w:eastAsia="en-US"/>
        </w:rPr>
        <w:t>based chemotherapy</w:t>
      </w:r>
      <w:r w:rsidR="00133C0B" w:rsidRPr="29C813D2">
        <w:rPr>
          <w:lang w:val="en-GB" w:eastAsia="en-US"/>
        </w:rPr>
        <w:t xml:space="preserve">) but the magnitude of benefit in terms of </w:t>
      </w:r>
      <w:r w:rsidR="008006DC">
        <w:rPr>
          <w:lang w:val="en-GB" w:eastAsia="en-US"/>
        </w:rPr>
        <w:t>OS</w:t>
      </w:r>
      <w:r w:rsidR="00133C0B" w:rsidRPr="29C813D2">
        <w:rPr>
          <w:lang w:val="en-GB" w:eastAsia="en-US"/>
        </w:rPr>
        <w:t xml:space="preserve"> was uncertain</w:t>
      </w:r>
      <w:r w:rsidR="00685FB4" w:rsidRPr="29C813D2">
        <w:rPr>
          <w:lang w:val="en-GB" w:eastAsia="en-US"/>
        </w:rPr>
        <w:t xml:space="preserve">. </w:t>
      </w:r>
      <w:r w:rsidR="002D2735" w:rsidRPr="29C813D2">
        <w:rPr>
          <w:lang w:val="en-GB" w:eastAsia="en-US"/>
        </w:rPr>
        <w:t xml:space="preserve">The PBAC considered </w:t>
      </w:r>
      <w:r w:rsidR="009F48A7" w:rsidRPr="29C813D2">
        <w:rPr>
          <w:lang w:val="en-GB" w:eastAsia="en-US"/>
        </w:rPr>
        <w:t xml:space="preserve">amivantamab </w:t>
      </w:r>
      <w:r w:rsidR="009F48A7">
        <w:rPr>
          <w:lang w:val="en-GB" w:eastAsia="en-US"/>
        </w:rPr>
        <w:t xml:space="preserve">would be cost-effective with </w:t>
      </w:r>
      <w:r w:rsidR="006D1E45">
        <w:rPr>
          <w:lang w:val="en-GB" w:eastAsia="en-US"/>
        </w:rPr>
        <w:t xml:space="preserve">an </w:t>
      </w:r>
      <w:r w:rsidR="002D2735" w:rsidRPr="29C813D2">
        <w:rPr>
          <w:lang w:val="en-GB" w:eastAsia="en-US"/>
        </w:rPr>
        <w:t xml:space="preserve">incremental cost-effectiveness ratio (ICER) </w:t>
      </w:r>
      <w:r w:rsidR="009F48A7">
        <w:rPr>
          <w:lang w:val="en-GB" w:eastAsia="en-US"/>
        </w:rPr>
        <w:t xml:space="preserve">of </w:t>
      </w:r>
      <w:r w:rsidR="00FC6E56">
        <w:rPr>
          <w:lang w:val="en-GB" w:eastAsia="en-US"/>
        </w:rPr>
        <w:t xml:space="preserve">$55,000 to </w:t>
      </w:r>
      <w:r w:rsidR="009F48A7">
        <w:rPr>
          <w:lang w:val="en-GB" w:eastAsia="en-US"/>
        </w:rPr>
        <w:t>&lt;</w:t>
      </w:r>
      <w:r w:rsidR="00CB5300">
        <w:rPr>
          <w:lang w:val="en-GB" w:eastAsia="en-US"/>
        </w:rPr>
        <w:t> </w:t>
      </w:r>
      <w:r w:rsidR="009F48A7">
        <w:rPr>
          <w:lang w:val="en-GB" w:eastAsia="en-US"/>
        </w:rPr>
        <w:t xml:space="preserve">$75,000 </w:t>
      </w:r>
      <w:r w:rsidR="00416454">
        <w:rPr>
          <w:lang w:val="en-GB" w:eastAsia="en-US"/>
        </w:rPr>
        <w:t xml:space="preserve">per quality adjusted life year (QALY) gained. </w:t>
      </w:r>
      <w:r w:rsidR="002D2735" w:rsidRPr="29C813D2">
        <w:rPr>
          <w:lang w:val="en-GB" w:eastAsia="en-US"/>
        </w:rPr>
        <w:t>The PBAC considered the financial estimates remained overestimated and should be revised based on advice provided by the Drug Utilisation Subcommittee (DUSC).</w:t>
      </w:r>
    </w:p>
    <w:p w14:paraId="3F6B6FFA" w14:textId="4966AA84" w:rsidR="00D86AC3" w:rsidRPr="00EE0368" w:rsidRDefault="00BE59A2" w:rsidP="00EF4C49">
      <w:pPr>
        <w:pStyle w:val="3-BodyText"/>
        <w:rPr>
          <w:snapToGrid w:val="0"/>
          <w:lang w:val="en-GB" w:eastAsia="en-US"/>
        </w:rPr>
      </w:pPr>
      <w:r w:rsidRPr="005432B1">
        <w:rPr>
          <w:snapToGrid w:val="0"/>
          <w:lang w:val="en-GB" w:eastAsia="en-US"/>
        </w:rPr>
        <w:t>The PBAC noted the input from individuals, health care professionals, Lung Foundation Australia</w:t>
      </w:r>
      <w:r w:rsidR="00045590">
        <w:rPr>
          <w:snapToGrid w:val="0"/>
          <w:lang w:val="en-GB" w:eastAsia="en-US"/>
        </w:rPr>
        <w:t xml:space="preserve">, </w:t>
      </w:r>
      <w:r w:rsidR="00045590">
        <w:t>the International Cancer Advocacy Network’s Exon 20 Group,</w:t>
      </w:r>
      <w:r w:rsidRPr="005432B1">
        <w:rPr>
          <w:snapToGrid w:val="0"/>
          <w:lang w:val="en-GB" w:eastAsia="en-US"/>
        </w:rPr>
        <w:t xml:space="preserve"> and Rare Cancers Australia </w:t>
      </w:r>
      <w:r w:rsidR="007154F2">
        <w:rPr>
          <w:snapToGrid w:val="0"/>
          <w:lang w:val="en-GB" w:eastAsia="en-US"/>
        </w:rPr>
        <w:t>emphasising</w:t>
      </w:r>
      <w:r w:rsidRPr="005432B1">
        <w:rPr>
          <w:snapToGrid w:val="0"/>
          <w:lang w:val="en-GB" w:eastAsia="en-US"/>
        </w:rPr>
        <w:t xml:space="preserve"> the clinical need for effective treatment options for this population, given that patients have a poor prognosis and there is currently no </w:t>
      </w:r>
      <w:r w:rsidR="00325743">
        <w:rPr>
          <w:snapToGrid w:val="0"/>
          <w:lang w:val="en-GB" w:eastAsia="en-US"/>
        </w:rPr>
        <w:t>other</w:t>
      </w:r>
      <w:r w:rsidRPr="005432B1">
        <w:rPr>
          <w:snapToGrid w:val="0"/>
          <w:lang w:val="en-GB" w:eastAsia="en-US"/>
        </w:rPr>
        <w:t xml:space="preserve"> therapy that targets the </w:t>
      </w:r>
      <w:r w:rsidRPr="00AF5D6B">
        <w:rPr>
          <w:i/>
          <w:snapToGrid w:val="0"/>
          <w:lang w:val="en-GB" w:eastAsia="en-US"/>
        </w:rPr>
        <w:t>EGFR</w:t>
      </w:r>
      <w:r w:rsidRPr="005432B1">
        <w:rPr>
          <w:snapToGrid w:val="0"/>
          <w:lang w:val="en-GB" w:eastAsia="en-US"/>
        </w:rPr>
        <w:t xml:space="preserve"> ex20ins mutation. </w:t>
      </w:r>
      <w:r w:rsidR="00AF2616" w:rsidRPr="002C3702">
        <w:t xml:space="preserve">The PBAC noted the consumer comments outlining the </w:t>
      </w:r>
      <w:r w:rsidR="00AF2616">
        <w:t>clinical</w:t>
      </w:r>
      <w:r w:rsidR="00AF2616" w:rsidRPr="002C3702">
        <w:t xml:space="preserve"> benefits associated with </w:t>
      </w:r>
      <w:r w:rsidR="006C1AC0">
        <w:t>amivantamab</w:t>
      </w:r>
      <w:r w:rsidR="00AF2616" w:rsidRPr="002C3702">
        <w:t xml:space="preserve">, based on the results of the </w:t>
      </w:r>
      <w:r w:rsidR="0015307F" w:rsidRPr="00B4637B">
        <w:rPr>
          <w:snapToGrid w:val="0"/>
          <w:lang w:val="en-GB" w:eastAsia="en-US"/>
        </w:rPr>
        <w:t xml:space="preserve">PAPILLON </w:t>
      </w:r>
      <w:r w:rsidR="00AF2616" w:rsidRPr="002C3702">
        <w:t xml:space="preserve">trial. </w:t>
      </w:r>
      <w:r w:rsidR="00D423FB" w:rsidRPr="002C3702">
        <w:rPr>
          <w:bCs/>
        </w:rPr>
        <w:t xml:space="preserve">The PBAC noted comments stating that the cost of </w:t>
      </w:r>
      <w:r w:rsidR="00057CE8">
        <w:t>amivantamab</w:t>
      </w:r>
      <w:r w:rsidR="00D423FB" w:rsidRPr="002C3702">
        <w:rPr>
          <w:bCs/>
        </w:rPr>
        <w:t xml:space="preserve"> remained a financial burden to patients and that a PBS listing would </w:t>
      </w:r>
      <w:r w:rsidR="00D423FB" w:rsidRPr="002C3702">
        <w:rPr>
          <w:bCs/>
        </w:rPr>
        <w:lastRenderedPageBreak/>
        <w:t>ensure equity of access.</w:t>
      </w:r>
      <w:r w:rsidR="00D423FB">
        <w:rPr>
          <w:bCs/>
        </w:rPr>
        <w:t xml:space="preserve"> </w:t>
      </w:r>
      <w:r w:rsidRPr="005432B1">
        <w:rPr>
          <w:snapToGrid w:val="0"/>
          <w:lang w:val="en-GB" w:eastAsia="en-US"/>
        </w:rPr>
        <w:t>In addition, the PBAC noted the Medical Oncology Group of Australia’s support for the submission</w:t>
      </w:r>
      <w:r w:rsidRPr="001C04F5">
        <w:rPr>
          <w:snapToGrid w:val="0"/>
          <w:lang w:val="en-GB" w:eastAsia="en-US"/>
        </w:rPr>
        <w:t>.</w:t>
      </w:r>
    </w:p>
    <w:p w14:paraId="1EF08B6B" w14:textId="21E50790" w:rsidR="001654F7" w:rsidRPr="00C860C7" w:rsidRDefault="002E7202" w:rsidP="00EF4C49">
      <w:pPr>
        <w:pStyle w:val="3-BodyText"/>
        <w:rPr>
          <w:snapToGrid w:val="0"/>
          <w:lang w:val="en-GB" w:eastAsia="en-US"/>
        </w:rPr>
      </w:pPr>
      <w:r>
        <w:rPr>
          <w:snapToGrid w:val="0"/>
          <w:lang w:val="en-GB" w:eastAsia="en-US"/>
        </w:rPr>
        <w:t xml:space="preserve">With regards to the </w:t>
      </w:r>
      <w:r w:rsidR="00232833" w:rsidRPr="00C860C7">
        <w:rPr>
          <w:snapToGrid w:val="0"/>
          <w:lang w:val="en-GB" w:eastAsia="en-US"/>
        </w:rPr>
        <w:t>r</w:t>
      </w:r>
      <w:r w:rsidR="001654F7" w:rsidRPr="00C860C7">
        <w:rPr>
          <w:snapToGrid w:val="0"/>
          <w:lang w:val="en-GB" w:eastAsia="en-US"/>
        </w:rPr>
        <w:t>equested restriction</w:t>
      </w:r>
      <w:r w:rsidR="00EF18D2">
        <w:rPr>
          <w:snapToGrid w:val="0"/>
          <w:lang w:val="en-GB" w:eastAsia="en-US"/>
        </w:rPr>
        <w:t xml:space="preserve">, the PBAC </w:t>
      </w:r>
      <w:r w:rsidR="0067215A">
        <w:rPr>
          <w:snapToGrid w:val="0"/>
          <w:lang w:val="en-GB" w:eastAsia="en-US"/>
        </w:rPr>
        <w:t>advised</w:t>
      </w:r>
      <w:r w:rsidR="00EF18D2">
        <w:rPr>
          <w:snapToGrid w:val="0"/>
          <w:lang w:val="en-GB" w:eastAsia="en-US"/>
        </w:rPr>
        <w:t xml:space="preserve"> that</w:t>
      </w:r>
      <w:r w:rsidR="001654F7" w:rsidRPr="00C860C7">
        <w:rPr>
          <w:snapToGrid w:val="0"/>
          <w:lang w:val="en-GB" w:eastAsia="en-US"/>
        </w:rPr>
        <w:t>:</w:t>
      </w:r>
    </w:p>
    <w:p w14:paraId="6787D310" w14:textId="4CF75CF5" w:rsidR="009F79DC" w:rsidRPr="00CB299E" w:rsidRDefault="00AD309D" w:rsidP="00CB299E">
      <w:pPr>
        <w:pStyle w:val="ListParagraph"/>
      </w:pPr>
      <w:r w:rsidRPr="00CB299E">
        <w:t xml:space="preserve">The clinical evidence presented </w:t>
      </w:r>
      <w:r w:rsidR="00B91E1C" w:rsidRPr="00CB299E">
        <w:t xml:space="preserve">by the submission </w:t>
      </w:r>
      <w:r w:rsidRPr="00CB299E">
        <w:t>were adequate to confirm the clinical benefit of amivantamab after disease progression on (or after)</w:t>
      </w:r>
      <w:r w:rsidR="006A73B0" w:rsidRPr="00CB299E">
        <w:t xml:space="preserve"> platinum-based chemotherapy</w:t>
      </w:r>
      <w:r w:rsidRPr="00CB299E">
        <w:t xml:space="preserve"> </w:t>
      </w:r>
      <w:r w:rsidR="006A73B0" w:rsidRPr="00CB299E">
        <w:t>(</w:t>
      </w:r>
      <w:r w:rsidRPr="00CB299E">
        <w:t>PBC</w:t>
      </w:r>
      <w:r w:rsidR="006A73B0" w:rsidRPr="00CB299E">
        <w:t>)</w:t>
      </w:r>
      <w:r w:rsidRPr="00CB299E">
        <w:t xml:space="preserve">. The PBAC also noted the high unmet need for this patient population and that the TGA Delegate was inclined to approve </w:t>
      </w:r>
      <w:r w:rsidR="00F53830" w:rsidRPr="00CB299E">
        <w:t>the second-line</w:t>
      </w:r>
      <w:r w:rsidRPr="00CB299E">
        <w:t xml:space="preserve"> indication for full registration (see paragraph </w:t>
      </w:r>
      <w:r w:rsidRPr="00CB299E">
        <w:fldChar w:fldCharType="begin"/>
      </w:r>
      <w:r w:rsidRPr="00CB299E">
        <w:instrText xml:space="preserve"> REF _Ref182469914 \r \h </w:instrText>
      </w:r>
      <w:r w:rsidR="00CB299E">
        <w:instrText xml:space="preserve"> \* MERGEFORMAT </w:instrText>
      </w:r>
      <w:r w:rsidRPr="00CB299E">
        <w:fldChar w:fldCharType="separate"/>
      </w:r>
      <w:r w:rsidR="00372107">
        <w:t>2.4</w:t>
      </w:r>
      <w:r w:rsidRPr="00CB299E">
        <w:fldChar w:fldCharType="end"/>
      </w:r>
      <w:r w:rsidRPr="00CB299E">
        <w:t>). The PBAC agreed with ESC and were supportive of a listing</w:t>
      </w:r>
      <w:r w:rsidR="00F52062" w:rsidRPr="00CB299E">
        <w:t xml:space="preserve"> that allows patients to receive treatment in the first- or second-line setting. </w:t>
      </w:r>
      <w:r w:rsidR="00623749" w:rsidRPr="00CB299E">
        <w:t>The</w:t>
      </w:r>
      <w:r w:rsidR="00920238" w:rsidRPr="00CB299E">
        <w:t>refore, the</w:t>
      </w:r>
      <w:r w:rsidR="00623749" w:rsidRPr="00CB299E">
        <w:t xml:space="preserve"> PBAC </w:t>
      </w:r>
      <w:r w:rsidR="00440B27" w:rsidRPr="00CB299E">
        <w:t xml:space="preserve">considered it reasonable to remove </w:t>
      </w:r>
      <w:r w:rsidR="00565A58" w:rsidRPr="00CB299E">
        <w:t>the</w:t>
      </w:r>
      <w:r w:rsidR="00EA3A14" w:rsidRPr="00CB299E">
        <w:t xml:space="preserve"> </w:t>
      </w:r>
      <w:r w:rsidR="00FD7868" w:rsidRPr="00CB299E">
        <w:t xml:space="preserve">following </w:t>
      </w:r>
      <w:r w:rsidR="26DE65B0" w:rsidRPr="00CB299E">
        <w:t>criteri</w:t>
      </w:r>
      <w:r w:rsidR="2DBEE2FC" w:rsidRPr="00CB299E">
        <w:t>a</w:t>
      </w:r>
      <w:r w:rsidR="00FD7868" w:rsidRPr="00CB299E">
        <w:t>:</w:t>
      </w:r>
      <w:r w:rsidR="00B5329B" w:rsidRPr="00CB299E">
        <w:t xml:space="preserve"> ‘Patients must not</w:t>
      </w:r>
      <w:r w:rsidR="005F1FAF" w:rsidRPr="00CB299E">
        <w:t xml:space="preserve"> have received system</w:t>
      </w:r>
      <w:r w:rsidR="00AB503D" w:rsidRPr="00CB299E">
        <w:t xml:space="preserve">ic therapy for this condition in the metastatic setting </w:t>
      </w:r>
      <w:r w:rsidR="007878E4" w:rsidRPr="00CB299E">
        <w:t>prior to initiation of this drug</w:t>
      </w:r>
      <w:r w:rsidR="005A6E36" w:rsidRPr="00CB299E">
        <w:t>’</w:t>
      </w:r>
      <w:r w:rsidR="00B61E89" w:rsidRPr="00CB299E">
        <w:t xml:space="preserve"> </w:t>
      </w:r>
      <w:r w:rsidR="00513A62" w:rsidRPr="00CB299E">
        <w:t xml:space="preserve">and </w:t>
      </w:r>
      <w:r w:rsidR="003A5608" w:rsidRPr="00CB299E">
        <w:t>‘</w:t>
      </w:r>
      <w:r w:rsidR="00432437" w:rsidRPr="00CB299E">
        <w:t>the treatment must be initiated with platinum-based chemotherapy</w:t>
      </w:r>
      <w:r w:rsidR="00FD7868" w:rsidRPr="00CB299E">
        <w:t>.</w:t>
      </w:r>
      <w:r w:rsidR="00432437" w:rsidRPr="00CB299E">
        <w:t>’</w:t>
      </w:r>
      <w:r w:rsidR="00D77D00" w:rsidRPr="00CB299E">
        <w:t xml:space="preserve"> However, </w:t>
      </w:r>
      <w:r w:rsidR="00CC3686" w:rsidRPr="00CB299E">
        <w:t>noted that to avoid inappropriate use of amivantamab monotherapy</w:t>
      </w:r>
      <w:r w:rsidR="00641BC6" w:rsidRPr="00CB299E">
        <w:t xml:space="preserve"> </w:t>
      </w:r>
      <w:r w:rsidR="00CC3686" w:rsidRPr="00CB299E">
        <w:t xml:space="preserve">in the first-line setting, the </w:t>
      </w:r>
      <w:r w:rsidR="00F02EC9" w:rsidRPr="00CB299E">
        <w:t xml:space="preserve">restriction </w:t>
      </w:r>
      <w:r w:rsidR="00EB1FF1" w:rsidRPr="00CB299E">
        <w:t xml:space="preserve">should </w:t>
      </w:r>
      <w:r w:rsidR="00747FA1" w:rsidRPr="00CB299E">
        <w:t xml:space="preserve">include a criterion </w:t>
      </w:r>
      <w:r w:rsidR="004F14E1" w:rsidRPr="00CB299E">
        <w:t>limit</w:t>
      </w:r>
      <w:r w:rsidR="00747FA1" w:rsidRPr="00CB299E">
        <w:t>ing</w:t>
      </w:r>
      <w:r w:rsidR="004F14E1" w:rsidRPr="00CB299E">
        <w:t xml:space="preserve"> </w:t>
      </w:r>
      <w:r w:rsidR="00CC3686" w:rsidRPr="00CB299E">
        <w:t xml:space="preserve">treatment </w:t>
      </w:r>
      <w:r w:rsidR="004F14E1" w:rsidRPr="00CB299E">
        <w:t>to</w:t>
      </w:r>
      <w:r w:rsidR="00CC3686" w:rsidRPr="00CB299E">
        <w:t xml:space="preserve"> be either</w:t>
      </w:r>
      <w:r w:rsidR="004F14E1" w:rsidRPr="00CB299E">
        <w:t xml:space="preserve"> </w:t>
      </w:r>
      <w:r w:rsidR="00CC3686" w:rsidRPr="00CB299E">
        <w:t xml:space="preserve">in combination with platinum-based chemotherapy where the patient has not previously received systemic therapy for </w:t>
      </w:r>
      <w:r w:rsidR="554A2B1A" w:rsidRPr="00CB299E">
        <w:t>t</w:t>
      </w:r>
      <w:r w:rsidR="2D6FAB1C" w:rsidRPr="00CB299E">
        <w:t>his</w:t>
      </w:r>
      <w:r w:rsidR="00CC3686" w:rsidRPr="00CB299E">
        <w:t xml:space="preserve"> condition in the metastatic setting prior to initiation of this drug</w:t>
      </w:r>
      <w:r w:rsidR="005357D8" w:rsidRPr="00CB299E">
        <w:t xml:space="preserve"> </w:t>
      </w:r>
      <w:r w:rsidR="659BF737" w:rsidRPr="00CB299E">
        <w:t>(i.e. used in combination with PBC in the first line setting</w:t>
      </w:r>
      <w:r w:rsidR="005357D8" w:rsidRPr="00CB299E">
        <w:t>)</w:t>
      </w:r>
      <w:r w:rsidR="659BF737" w:rsidRPr="00CB299E">
        <w:t xml:space="preserve"> </w:t>
      </w:r>
      <w:r w:rsidR="004F14E1" w:rsidRPr="00CB299E">
        <w:t>or</w:t>
      </w:r>
      <w:r w:rsidR="00CC3686" w:rsidRPr="00CB299E">
        <w:t xml:space="preserve"> </w:t>
      </w:r>
      <w:r w:rsidR="004F14E1" w:rsidRPr="00CB299E">
        <w:t>be</w:t>
      </w:r>
      <w:r w:rsidR="00B1458B" w:rsidRPr="00CB299E">
        <w:t xml:space="preserve"> </w:t>
      </w:r>
      <w:r w:rsidR="00CC3686" w:rsidRPr="00CB299E">
        <w:t>the sole PBS subsidised therapy where the condition has progressed following treatment with platinum-based chemotherapy</w:t>
      </w:r>
      <w:r w:rsidR="58A2B74F" w:rsidRPr="00CB299E">
        <w:t xml:space="preserve"> (i.e. used as monotherapy in the second</w:t>
      </w:r>
      <w:r w:rsidR="00245C36" w:rsidRPr="00CB299E">
        <w:t>-</w:t>
      </w:r>
      <w:r w:rsidR="58A2B74F" w:rsidRPr="00CB299E">
        <w:t>line setting)</w:t>
      </w:r>
      <w:r w:rsidR="7A577EC1" w:rsidRPr="00CB299E">
        <w:t>.</w:t>
      </w:r>
    </w:p>
    <w:p w14:paraId="2649A137" w14:textId="28AA6EA4" w:rsidR="1303E8A2" w:rsidRPr="00CB299E" w:rsidRDefault="1303E8A2" w:rsidP="00CB299E">
      <w:pPr>
        <w:pStyle w:val="ListParagraph"/>
      </w:pPr>
      <w:r w:rsidRPr="00CB299E">
        <w:t>Owing to the lack of efficacy of EGFR TKIs in patients with ex20in mutations</w:t>
      </w:r>
      <w:r w:rsidR="16E654AF" w:rsidRPr="00CB299E">
        <w:t xml:space="preserve"> (</w:t>
      </w:r>
      <w:r w:rsidR="16E654AF" w:rsidRPr="00CB299E">
        <w:rPr>
          <w:rFonts w:eastAsia="Calibri"/>
        </w:rPr>
        <w:t>insensitive</w:t>
      </w:r>
      <w:r w:rsidR="16E654AF" w:rsidRPr="00CB299E">
        <w:t xml:space="preserve"> to ex20in mutations)</w:t>
      </w:r>
      <w:r w:rsidRPr="00CB299E">
        <w:t xml:space="preserve">, the PBAC recommended flow-on amendments to the existing </w:t>
      </w:r>
      <w:r w:rsidR="526D9C80" w:rsidRPr="00CB299E">
        <w:t xml:space="preserve">initial </w:t>
      </w:r>
      <w:r w:rsidRPr="00CB299E">
        <w:t xml:space="preserve">PBS </w:t>
      </w:r>
      <w:r w:rsidR="2E9A921C" w:rsidRPr="00CB299E">
        <w:t>listings</w:t>
      </w:r>
      <w:r w:rsidRPr="00CB299E">
        <w:t xml:space="preserve"> items for gefitinib, erlotinib and afatinib for Stage IIIB (locally advanced) </w:t>
      </w:r>
      <w:r w:rsidR="3BDEA59A" w:rsidRPr="00CB299E">
        <w:t>or</w:t>
      </w:r>
      <w:r w:rsidRPr="00CB299E">
        <w:t xml:space="preserve"> Stage IV (metastatic) NSCLC</w:t>
      </w:r>
      <w:r w:rsidR="6D99252E" w:rsidRPr="00CB299E">
        <w:t>. The flow-on amendments are intended</w:t>
      </w:r>
      <w:r w:rsidRPr="00CB299E">
        <w:t xml:space="preserve"> to exclude patients with EGFR ex20ins-positive NSCLC</w:t>
      </w:r>
      <w:r w:rsidR="37AED0EB" w:rsidRPr="00CB299E">
        <w:t xml:space="preserve"> </w:t>
      </w:r>
      <w:r w:rsidRPr="00CB299E">
        <w:t>with the addition of the clinical criterion: ‘Patient must not have evidence in tumour material of an activating epidermal growth factor receptor (EGFR) exon 20 insertion mutation.’ The PBAC noted this would be consistent with the July 2023 PBAC</w:t>
      </w:r>
      <w:r w:rsidR="3DF3D97B" w:rsidRPr="00CB299E">
        <w:t xml:space="preserve"> </w:t>
      </w:r>
      <w:r w:rsidRPr="00CB299E">
        <w:t>recommendation for mobocertinib. The PBAC considered that these flow-on changes should also apply to the initial treatment restrictions of osimertinib in the first</w:t>
      </w:r>
      <w:r w:rsidR="002E28E7" w:rsidRPr="00CB299E">
        <w:t>-</w:t>
      </w:r>
      <w:r w:rsidR="7FFC9A63" w:rsidRPr="00CB299E">
        <w:t>l</w:t>
      </w:r>
      <w:r w:rsidRPr="00CB299E">
        <w:t>ine setting</w:t>
      </w:r>
      <w:r w:rsidR="002E28E7" w:rsidRPr="00CB299E">
        <w:t>. The PBAC considered that it was not necessary for</w:t>
      </w:r>
      <w:r w:rsidR="00BC342D" w:rsidRPr="00CB299E">
        <w:t xml:space="preserve"> the second</w:t>
      </w:r>
      <w:r w:rsidR="002E28E7" w:rsidRPr="00CB299E">
        <w:t>-</w:t>
      </w:r>
      <w:r w:rsidR="00BC342D" w:rsidRPr="00CB299E">
        <w:t>line listing of osimertinib</w:t>
      </w:r>
      <w:r w:rsidR="002E28E7" w:rsidRPr="00CB299E">
        <w:t>, as it</w:t>
      </w:r>
      <w:r w:rsidR="00BC342D" w:rsidRPr="00CB299E">
        <w:t xml:space="preserve"> already specifies the mutation type of T790K.</w:t>
      </w:r>
    </w:p>
    <w:p w14:paraId="485267D6" w14:textId="2773A83B" w:rsidR="3C961244" w:rsidRPr="00CB299E" w:rsidRDefault="3C961244" w:rsidP="00CB299E">
      <w:pPr>
        <w:pStyle w:val="ListParagraph"/>
      </w:pPr>
      <w:r w:rsidRPr="00CB299E">
        <w:t xml:space="preserve">The PBAC considered that the </w:t>
      </w:r>
      <w:r w:rsidR="6697EF1D" w:rsidRPr="00CB299E">
        <w:t>current</w:t>
      </w:r>
      <w:r w:rsidRPr="00CB299E">
        <w:t xml:space="preserve"> </w:t>
      </w:r>
      <w:r w:rsidR="0AC5076B" w:rsidRPr="00CB299E">
        <w:t xml:space="preserve">amended </w:t>
      </w:r>
      <w:r w:rsidRPr="00CB299E">
        <w:t xml:space="preserve">wording in the </w:t>
      </w:r>
      <w:r w:rsidR="65E27E3C" w:rsidRPr="00CB299E">
        <w:t>initial</w:t>
      </w:r>
      <w:r w:rsidRPr="00CB299E">
        <w:t xml:space="preserve"> phase will allow access to both new patients who had not been treated with amivantamab before and grandfathered patients.</w:t>
      </w:r>
    </w:p>
    <w:p w14:paraId="3A661E6D" w14:textId="45A0FD12" w:rsidR="00523442" w:rsidRPr="00523442" w:rsidRDefault="00EF3BFC" w:rsidP="00EF4C49">
      <w:pPr>
        <w:pStyle w:val="3-BodyText"/>
        <w:rPr>
          <w:lang w:val="en-GB"/>
        </w:rPr>
      </w:pPr>
      <w:r>
        <w:rPr>
          <w:lang w:val="en-GB"/>
        </w:rPr>
        <w:t>The PBAC considered the nominated comparator, PBC</w:t>
      </w:r>
      <w:r w:rsidR="00D1095E">
        <w:rPr>
          <w:lang w:val="en-GB"/>
        </w:rPr>
        <w:t xml:space="preserve"> (</w:t>
      </w:r>
      <w:r w:rsidR="00D1095E" w:rsidRPr="008E6D04">
        <w:t>represented in the clinical trial evidence by carboplatin and pemetrexed</w:t>
      </w:r>
      <w:r w:rsidR="00D1095E">
        <w:t>)</w:t>
      </w:r>
      <w:r>
        <w:rPr>
          <w:lang w:val="en-GB"/>
        </w:rPr>
        <w:t xml:space="preserve">, was </w:t>
      </w:r>
      <w:r w:rsidR="00E371AE">
        <w:rPr>
          <w:lang w:val="en-GB"/>
        </w:rPr>
        <w:t>appropriate</w:t>
      </w:r>
      <w:r w:rsidR="00523442">
        <w:rPr>
          <w:lang w:val="en-GB"/>
        </w:rPr>
        <w:t>.</w:t>
      </w:r>
    </w:p>
    <w:p w14:paraId="5556C774" w14:textId="07B4C786" w:rsidR="000C1F4E" w:rsidRPr="000709CD" w:rsidRDefault="00A43940" w:rsidP="00EF4C49">
      <w:pPr>
        <w:pStyle w:val="3-BodyText"/>
        <w:rPr>
          <w:lang w:val="en-GB"/>
        </w:rPr>
      </w:pPr>
      <w:r w:rsidRPr="00523442">
        <w:rPr>
          <w:lang w:val="en-GB"/>
        </w:rPr>
        <w:t xml:space="preserve">The PBAC noted the submission was based on the </w:t>
      </w:r>
      <w:r w:rsidR="00236288" w:rsidRPr="00523442">
        <w:rPr>
          <w:lang w:val="en-GB" w:eastAsia="en-US"/>
        </w:rPr>
        <w:t>PAPILLON tria</w:t>
      </w:r>
      <w:r w:rsidR="006C10C2" w:rsidRPr="00523442">
        <w:rPr>
          <w:lang w:val="en-GB" w:eastAsia="en-US"/>
        </w:rPr>
        <w:t xml:space="preserve">l, </w:t>
      </w:r>
      <w:r w:rsidR="00182EF2" w:rsidRPr="00523442">
        <w:rPr>
          <w:lang w:val="en-GB" w:eastAsia="en-US"/>
        </w:rPr>
        <w:t>a</w:t>
      </w:r>
      <w:r w:rsidR="00C5276D" w:rsidRPr="00523442">
        <w:rPr>
          <w:lang w:val="en-GB" w:eastAsia="en-US"/>
        </w:rPr>
        <w:t>n open</w:t>
      </w:r>
      <w:r w:rsidR="00C36333" w:rsidRPr="00523442">
        <w:rPr>
          <w:lang w:val="en-GB" w:eastAsia="en-US"/>
        </w:rPr>
        <w:t>-</w:t>
      </w:r>
      <w:r w:rsidR="00C5276D" w:rsidRPr="00523442">
        <w:rPr>
          <w:lang w:val="en-GB" w:eastAsia="en-US"/>
        </w:rPr>
        <w:t>labe</w:t>
      </w:r>
      <w:r w:rsidR="006948AF" w:rsidRPr="00523442">
        <w:rPr>
          <w:lang w:val="en-GB" w:eastAsia="en-US"/>
        </w:rPr>
        <w:t>l, randomised</w:t>
      </w:r>
      <w:r w:rsidR="002D4D11" w:rsidRPr="00523442">
        <w:rPr>
          <w:lang w:val="en-GB" w:eastAsia="en-US"/>
        </w:rPr>
        <w:t>, controlled trial comparing</w:t>
      </w:r>
      <w:r w:rsidR="006D452F" w:rsidRPr="00523442">
        <w:rPr>
          <w:lang w:val="en-GB" w:eastAsia="en-US"/>
        </w:rPr>
        <w:t xml:space="preserve"> </w:t>
      </w:r>
      <w:r w:rsidR="00D95A14" w:rsidRPr="00523442">
        <w:rPr>
          <w:lang w:val="en-GB" w:eastAsia="en-US"/>
        </w:rPr>
        <w:t>a</w:t>
      </w:r>
      <w:r w:rsidR="008467BF" w:rsidRPr="00523442">
        <w:rPr>
          <w:lang w:val="en-GB" w:eastAsia="en-US"/>
        </w:rPr>
        <w:t xml:space="preserve">mivantamab and </w:t>
      </w:r>
      <w:r w:rsidR="00D95A14" w:rsidRPr="00523442">
        <w:rPr>
          <w:lang w:val="en-GB" w:eastAsia="en-US"/>
        </w:rPr>
        <w:t>c</w:t>
      </w:r>
      <w:r w:rsidR="008467BF" w:rsidRPr="00523442">
        <w:rPr>
          <w:lang w:val="en-GB" w:eastAsia="en-US"/>
        </w:rPr>
        <w:t>arboplatin-</w:t>
      </w:r>
      <w:r w:rsidR="00D95A14" w:rsidRPr="00523442">
        <w:rPr>
          <w:lang w:val="en-GB" w:eastAsia="en-US"/>
        </w:rPr>
        <w:t>p</w:t>
      </w:r>
      <w:r w:rsidR="008467BF" w:rsidRPr="00523442">
        <w:rPr>
          <w:lang w:val="en-GB" w:eastAsia="en-US"/>
        </w:rPr>
        <w:t xml:space="preserve">emetrexed </w:t>
      </w:r>
      <w:r w:rsidR="00D95A14" w:rsidRPr="00523442">
        <w:rPr>
          <w:lang w:val="en-GB" w:eastAsia="en-US"/>
        </w:rPr>
        <w:t>t</w:t>
      </w:r>
      <w:r w:rsidR="008467BF" w:rsidRPr="00523442">
        <w:rPr>
          <w:lang w:val="en-GB" w:eastAsia="en-US"/>
        </w:rPr>
        <w:t>herapy</w:t>
      </w:r>
      <w:r w:rsidR="00465B29" w:rsidRPr="00523442">
        <w:rPr>
          <w:lang w:val="en-GB" w:eastAsia="en-US"/>
        </w:rPr>
        <w:t xml:space="preserve"> (ACP</w:t>
      </w:r>
      <w:r w:rsidR="00C320E6" w:rsidRPr="00523442">
        <w:rPr>
          <w:lang w:val="en-GB" w:eastAsia="en-US"/>
        </w:rPr>
        <w:t>) (n=153)</w:t>
      </w:r>
      <w:r w:rsidR="00D95A14" w:rsidRPr="00523442">
        <w:rPr>
          <w:lang w:val="en-GB" w:eastAsia="en-US"/>
        </w:rPr>
        <w:t xml:space="preserve"> to c</w:t>
      </w:r>
      <w:r w:rsidR="008467BF" w:rsidRPr="00523442">
        <w:rPr>
          <w:lang w:val="en-GB" w:eastAsia="en-US"/>
        </w:rPr>
        <w:t>arboplatin-</w:t>
      </w:r>
      <w:r w:rsidR="00D95A14" w:rsidRPr="00523442">
        <w:rPr>
          <w:lang w:val="en-GB" w:eastAsia="en-US"/>
        </w:rPr>
        <w:t>p</w:t>
      </w:r>
      <w:r w:rsidR="008467BF" w:rsidRPr="00523442">
        <w:rPr>
          <w:lang w:val="en-GB" w:eastAsia="en-US"/>
        </w:rPr>
        <w:t>emetrexed</w:t>
      </w:r>
      <w:r w:rsidR="00C320E6" w:rsidRPr="00523442">
        <w:rPr>
          <w:lang w:val="en-GB" w:eastAsia="en-US"/>
        </w:rPr>
        <w:t xml:space="preserve"> (CP) (n=155)</w:t>
      </w:r>
      <w:r w:rsidR="008467BF" w:rsidRPr="00523442">
        <w:rPr>
          <w:lang w:val="en-GB" w:eastAsia="en-US"/>
        </w:rPr>
        <w:t xml:space="preserve">, in </w:t>
      </w:r>
      <w:r w:rsidR="00C346B3" w:rsidRPr="00523442">
        <w:rPr>
          <w:lang w:val="en-GB" w:eastAsia="en-US"/>
        </w:rPr>
        <w:t>p</w:t>
      </w:r>
      <w:r w:rsidR="008467BF" w:rsidRPr="00523442">
        <w:rPr>
          <w:lang w:val="en-GB" w:eastAsia="en-US"/>
        </w:rPr>
        <w:t xml:space="preserve">atients with </w:t>
      </w:r>
      <w:r w:rsidR="008467BF" w:rsidRPr="00523442">
        <w:rPr>
          <w:i/>
          <w:lang w:val="en-GB" w:eastAsia="en-US"/>
        </w:rPr>
        <w:t>EGFR</w:t>
      </w:r>
      <w:r w:rsidR="008467BF" w:rsidRPr="00523442">
        <w:rPr>
          <w:lang w:val="en-GB" w:eastAsia="en-US"/>
        </w:rPr>
        <w:t xml:space="preserve"> </w:t>
      </w:r>
      <w:r w:rsidR="00860339" w:rsidRPr="00523442">
        <w:rPr>
          <w:lang w:val="en-GB" w:eastAsia="en-US"/>
        </w:rPr>
        <w:lastRenderedPageBreak/>
        <w:t>e</w:t>
      </w:r>
      <w:r w:rsidR="008467BF" w:rsidRPr="00523442">
        <w:rPr>
          <w:lang w:val="en-GB" w:eastAsia="en-US"/>
        </w:rPr>
        <w:t xml:space="preserve">xon20in </w:t>
      </w:r>
      <w:r w:rsidR="00860339" w:rsidRPr="00523442">
        <w:rPr>
          <w:lang w:val="en-GB" w:eastAsia="en-US"/>
        </w:rPr>
        <w:t>l</w:t>
      </w:r>
      <w:r w:rsidR="008467BF" w:rsidRPr="00523442">
        <w:rPr>
          <w:lang w:val="en-GB" w:eastAsia="en-US"/>
        </w:rPr>
        <w:t xml:space="preserve">ocally </w:t>
      </w:r>
      <w:r w:rsidR="00860339" w:rsidRPr="00523442">
        <w:rPr>
          <w:lang w:val="en-GB" w:eastAsia="en-US"/>
        </w:rPr>
        <w:t>a</w:t>
      </w:r>
      <w:r w:rsidR="008467BF" w:rsidRPr="00523442">
        <w:rPr>
          <w:lang w:val="en-GB" w:eastAsia="en-US"/>
        </w:rPr>
        <w:t xml:space="preserve">dvanced or </w:t>
      </w:r>
      <w:r w:rsidR="00860339" w:rsidRPr="00523442">
        <w:rPr>
          <w:lang w:val="en-GB" w:eastAsia="en-US"/>
        </w:rPr>
        <w:t>m</w:t>
      </w:r>
      <w:r w:rsidR="008467BF" w:rsidRPr="00523442">
        <w:rPr>
          <w:lang w:val="en-GB" w:eastAsia="en-US"/>
        </w:rPr>
        <w:t xml:space="preserve">etastatic </w:t>
      </w:r>
      <w:r w:rsidR="00C346B3" w:rsidRPr="00523442">
        <w:rPr>
          <w:lang w:val="en-GB" w:eastAsia="en-US"/>
        </w:rPr>
        <w:t>NSCLC.</w:t>
      </w:r>
      <w:r w:rsidR="00401FD2" w:rsidRPr="00523442">
        <w:rPr>
          <w:lang w:val="en-GB" w:eastAsia="en-US"/>
        </w:rPr>
        <w:t xml:space="preserve"> </w:t>
      </w:r>
      <w:r w:rsidR="009F1731" w:rsidRPr="00523442">
        <w:rPr>
          <w:lang w:val="en-GB" w:eastAsia="en-US"/>
        </w:rPr>
        <w:t>The PBAC noted the various limitations with the PAPILLON trial</w:t>
      </w:r>
      <w:r w:rsidR="001150A5" w:rsidRPr="00523442">
        <w:rPr>
          <w:lang w:val="en-GB" w:eastAsia="en-US"/>
        </w:rPr>
        <w:t xml:space="preserve"> (paragraph </w:t>
      </w:r>
      <w:r w:rsidR="001150A5" w:rsidRPr="00523442">
        <w:rPr>
          <w:lang w:val="en-GB" w:eastAsia="en-US"/>
        </w:rPr>
        <w:fldChar w:fldCharType="begin"/>
      </w:r>
      <w:r w:rsidR="001150A5" w:rsidRPr="00523442">
        <w:rPr>
          <w:lang w:val="en-GB" w:eastAsia="en-US"/>
        </w:rPr>
        <w:instrText xml:space="preserve"> REF _Ref176953884 \r \h </w:instrText>
      </w:r>
      <w:r w:rsidR="001150A5" w:rsidRPr="00523442">
        <w:rPr>
          <w:lang w:val="en-GB" w:eastAsia="en-US"/>
        </w:rPr>
      </w:r>
      <w:r w:rsidR="001150A5" w:rsidRPr="00523442">
        <w:rPr>
          <w:lang w:val="en-GB" w:eastAsia="en-US"/>
        </w:rPr>
        <w:fldChar w:fldCharType="separate"/>
      </w:r>
      <w:r w:rsidR="00372107">
        <w:rPr>
          <w:lang w:val="en-GB" w:eastAsia="en-US"/>
        </w:rPr>
        <w:t>6.15</w:t>
      </w:r>
      <w:r w:rsidR="001150A5" w:rsidRPr="00523442">
        <w:rPr>
          <w:lang w:val="en-GB" w:eastAsia="en-US"/>
        </w:rPr>
        <w:fldChar w:fldCharType="end"/>
      </w:r>
      <w:r w:rsidR="001150A5" w:rsidRPr="00523442">
        <w:rPr>
          <w:lang w:val="en-GB" w:eastAsia="en-US"/>
        </w:rPr>
        <w:t>).</w:t>
      </w:r>
      <w:r w:rsidR="001150A5" w:rsidRPr="00523442">
        <w:rPr>
          <w:snapToGrid w:val="0"/>
          <w:lang w:val="en-GB" w:eastAsia="en-US"/>
        </w:rPr>
        <w:t xml:space="preserve"> </w:t>
      </w:r>
      <w:r w:rsidR="00B554EE" w:rsidRPr="00523442">
        <w:rPr>
          <w:lang w:val="en-GB" w:eastAsia="en-US"/>
        </w:rPr>
        <w:t xml:space="preserve">While </w:t>
      </w:r>
      <w:r w:rsidR="00D43697" w:rsidRPr="00523442">
        <w:rPr>
          <w:lang w:val="en-GB" w:eastAsia="en-US"/>
        </w:rPr>
        <w:t>acknowledging</w:t>
      </w:r>
      <w:r w:rsidR="00B554EE" w:rsidRPr="00523442">
        <w:rPr>
          <w:lang w:val="en-GB" w:eastAsia="en-US"/>
        </w:rPr>
        <w:t xml:space="preserve"> these limitations, the</w:t>
      </w:r>
      <w:r w:rsidR="00DA4399" w:rsidRPr="00523442">
        <w:rPr>
          <w:lang w:val="en-GB" w:eastAsia="en-US"/>
        </w:rPr>
        <w:t xml:space="preserve"> PBAC considered the trial </w:t>
      </w:r>
      <w:r w:rsidR="005B326C" w:rsidRPr="00523442">
        <w:rPr>
          <w:lang w:val="en-GB" w:eastAsia="en-US"/>
        </w:rPr>
        <w:t xml:space="preserve">adequately </w:t>
      </w:r>
      <w:r w:rsidR="008416ED" w:rsidRPr="00523442">
        <w:rPr>
          <w:lang w:val="en-GB" w:eastAsia="en-US"/>
        </w:rPr>
        <w:t>demonstrated that the addition of amivantamab to first-line chemotherapy increas</w:t>
      </w:r>
      <w:r w:rsidR="00832D8B" w:rsidRPr="00523442">
        <w:rPr>
          <w:lang w:val="en-GB" w:eastAsia="en-US"/>
        </w:rPr>
        <w:t>ed</w:t>
      </w:r>
      <w:r w:rsidR="008416ED" w:rsidRPr="00523442">
        <w:rPr>
          <w:lang w:val="en-GB" w:eastAsia="en-US"/>
        </w:rPr>
        <w:t xml:space="preserve"> progression-free survival </w:t>
      </w:r>
      <w:r w:rsidR="002C6A6B" w:rsidRPr="00523442">
        <w:rPr>
          <w:lang w:val="en-GB" w:eastAsia="en-US"/>
        </w:rPr>
        <w:t>(PFS)</w:t>
      </w:r>
      <w:r w:rsidR="00D07558" w:rsidRPr="00523442">
        <w:rPr>
          <w:lang w:val="en-GB" w:eastAsia="en-US"/>
        </w:rPr>
        <w:t xml:space="preserve"> (hazard ratio [HR] 0.395, 95% CI: 0.296, 0.528)</w:t>
      </w:r>
      <w:r w:rsidR="002C6A6B" w:rsidRPr="00523442">
        <w:rPr>
          <w:lang w:val="en-GB" w:eastAsia="en-US"/>
        </w:rPr>
        <w:t xml:space="preserve"> </w:t>
      </w:r>
      <w:r w:rsidR="008416ED" w:rsidRPr="00523442">
        <w:rPr>
          <w:lang w:val="en-GB" w:eastAsia="en-US"/>
        </w:rPr>
        <w:t>and objective response rate</w:t>
      </w:r>
      <w:r w:rsidR="002C6A6B" w:rsidRPr="00523442">
        <w:rPr>
          <w:lang w:val="en-GB" w:eastAsia="en-US"/>
        </w:rPr>
        <w:t xml:space="preserve"> (ORR)</w:t>
      </w:r>
      <w:r w:rsidR="00D07558" w:rsidRPr="00523442">
        <w:rPr>
          <w:lang w:val="en-GB" w:eastAsia="en-US"/>
        </w:rPr>
        <w:t xml:space="preserve"> (</w:t>
      </w:r>
      <w:r w:rsidR="005C4335" w:rsidRPr="00523442">
        <w:rPr>
          <w:lang w:val="en-GB" w:eastAsia="en-US"/>
        </w:rPr>
        <w:t>o</w:t>
      </w:r>
      <w:r w:rsidR="00AF317E" w:rsidRPr="00523442">
        <w:rPr>
          <w:lang w:val="en-GB" w:eastAsia="en-US"/>
        </w:rPr>
        <w:t xml:space="preserve">dds </w:t>
      </w:r>
      <w:r w:rsidR="005C4335" w:rsidRPr="00523442">
        <w:rPr>
          <w:lang w:val="en-GB" w:eastAsia="en-US"/>
        </w:rPr>
        <w:t>r</w:t>
      </w:r>
      <w:r w:rsidR="00AF317E" w:rsidRPr="00523442">
        <w:rPr>
          <w:lang w:val="en-GB" w:eastAsia="en-US"/>
        </w:rPr>
        <w:t>atio 2.971</w:t>
      </w:r>
      <w:r w:rsidR="005C4335" w:rsidRPr="00523442">
        <w:rPr>
          <w:lang w:val="en-GB" w:eastAsia="en-US"/>
        </w:rPr>
        <w:t>, 95% CI: 1.844, 4.787) (</w:t>
      </w:r>
      <w:r w:rsidR="005C4335">
        <w:t>data cutoff May 2023 with a median follow-up of 14.9 months)</w:t>
      </w:r>
      <w:r w:rsidR="005C4335" w:rsidRPr="00523442">
        <w:rPr>
          <w:lang w:val="en-GB" w:eastAsia="en-US"/>
        </w:rPr>
        <w:t>.</w:t>
      </w:r>
      <w:r w:rsidR="00396CDA" w:rsidRPr="00523442">
        <w:t xml:space="preserve"> Overall, the PBAC considered that</w:t>
      </w:r>
      <w:r w:rsidR="00C23653" w:rsidRPr="00523442">
        <w:t xml:space="preserve"> based on the PFS and ORR </w:t>
      </w:r>
      <w:r w:rsidR="00C6278D">
        <w:t xml:space="preserve">clinical </w:t>
      </w:r>
      <w:r w:rsidR="00C23653" w:rsidRPr="00523442">
        <w:t>outcomes,</w:t>
      </w:r>
      <w:r w:rsidR="00396CDA" w:rsidRPr="00523442">
        <w:t xml:space="preserve"> the claim of superior comparative effectiveness of ACP over CP was supported.</w:t>
      </w:r>
      <w:r w:rsidR="00972D2F" w:rsidRPr="00523442">
        <w:t xml:space="preserve"> </w:t>
      </w:r>
      <w:r w:rsidR="00972D2F" w:rsidRPr="00523442">
        <w:rPr>
          <w:lang w:val="en-GB" w:eastAsia="en-US"/>
        </w:rPr>
        <w:t xml:space="preserve">The PBAC also considered the </w:t>
      </w:r>
      <w:r w:rsidR="00972D2F" w:rsidRPr="00523442">
        <w:t>clinical evidence supported an OS advantage for ACP</w:t>
      </w:r>
      <w:r w:rsidR="00C6278D">
        <w:t xml:space="preserve"> over</w:t>
      </w:r>
      <w:r w:rsidR="00972D2F" w:rsidRPr="00523442">
        <w:t xml:space="preserve"> CP, though due to the limitations of the PAPILLON trial, the magnitude of this benefit remained uncertain.</w:t>
      </w:r>
    </w:p>
    <w:p w14:paraId="726B8824" w14:textId="0673BAA8" w:rsidR="006F7EAC" w:rsidRPr="00E63E27" w:rsidRDefault="007C39C6" w:rsidP="00EF4C49">
      <w:pPr>
        <w:pStyle w:val="3-BodyText"/>
        <w:rPr>
          <w:lang w:val="en-GB"/>
        </w:rPr>
      </w:pPr>
      <w:r>
        <w:rPr>
          <w:lang w:val="en-GB"/>
        </w:rPr>
        <w:t xml:space="preserve">The PBAC noted </w:t>
      </w:r>
      <w:r w:rsidR="00BA56D7">
        <w:rPr>
          <w:lang w:val="en-GB"/>
        </w:rPr>
        <w:t>the submission</w:t>
      </w:r>
      <w:r w:rsidR="00467473">
        <w:rPr>
          <w:lang w:val="en-GB"/>
        </w:rPr>
        <w:t xml:space="preserve"> provided</w:t>
      </w:r>
      <w:r w:rsidR="00CF2A09">
        <w:rPr>
          <w:lang w:val="en-GB"/>
        </w:rPr>
        <w:t xml:space="preserve"> </w:t>
      </w:r>
      <w:r w:rsidR="00A2121D">
        <w:rPr>
          <w:lang w:val="en-GB"/>
        </w:rPr>
        <w:t>additional</w:t>
      </w:r>
      <w:r w:rsidR="00467473">
        <w:rPr>
          <w:lang w:val="en-GB"/>
        </w:rPr>
        <w:t xml:space="preserve"> data</w:t>
      </w:r>
      <w:r w:rsidR="00CF2A09">
        <w:rPr>
          <w:lang w:val="en-GB"/>
        </w:rPr>
        <w:t xml:space="preserve"> to support a listing</w:t>
      </w:r>
      <w:r w:rsidR="002C6A16">
        <w:rPr>
          <w:lang w:val="en-GB"/>
        </w:rPr>
        <w:t xml:space="preserve"> </w:t>
      </w:r>
      <w:r w:rsidR="002C6A16" w:rsidRPr="00C967D6">
        <w:t>that allows patients to receive treatment in the first</w:t>
      </w:r>
      <w:r w:rsidR="002C6A16">
        <w:t>-</w:t>
      </w:r>
      <w:r w:rsidR="002C6A16" w:rsidRPr="00C967D6">
        <w:t xml:space="preserve"> or second</w:t>
      </w:r>
      <w:r w:rsidR="002C6A16">
        <w:t>-</w:t>
      </w:r>
      <w:r w:rsidR="002C6A16" w:rsidRPr="00C967D6">
        <w:t>line settin</w:t>
      </w:r>
      <w:r w:rsidR="002C6A16">
        <w:t>g</w:t>
      </w:r>
      <w:r w:rsidR="00CF2A09">
        <w:rPr>
          <w:lang w:val="en-GB"/>
        </w:rPr>
        <w:t>, including</w:t>
      </w:r>
      <w:r w:rsidR="00C909E2">
        <w:rPr>
          <w:lang w:val="en-GB"/>
        </w:rPr>
        <w:t xml:space="preserve"> data</w:t>
      </w:r>
      <w:r w:rsidR="00467473">
        <w:rPr>
          <w:lang w:val="en-GB"/>
        </w:rPr>
        <w:t xml:space="preserve"> from the PAPILLON crossover phase for amivantamab and </w:t>
      </w:r>
      <w:r w:rsidR="00124BE4">
        <w:rPr>
          <w:lang w:val="en-GB"/>
        </w:rPr>
        <w:t xml:space="preserve">the </w:t>
      </w:r>
      <w:r w:rsidR="00467473">
        <w:rPr>
          <w:lang w:val="en-GB"/>
        </w:rPr>
        <w:t>CHRYSALIS</w:t>
      </w:r>
      <w:r w:rsidR="00124BE4">
        <w:rPr>
          <w:lang w:val="en-GB"/>
        </w:rPr>
        <w:t xml:space="preserve"> study,</w:t>
      </w:r>
      <w:r w:rsidR="00BA56D7">
        <w:rPr>
          <w:lang w:val="en-GB"/>
        </w:rPr>
        <w:t xml:space="preserve"> </w:t>
      </w:r>
      <w:r w:rsidR="00377E26" w:rsidRPr="00377E26">
        <w:rPr>
          <w:lang w:val="en-GB"/>
        </w:rPr>
        <w:t>a phase I, open-label, dose-escalation, and dose-expansion</w:t>
      </w:r>
      <w:r w:rsidR="00D85069">
        <w:rPr>
          <w:lang w:val="en-GB"/>
        </w:rPr>
        <w:t xml:space="preserve"> single-arm</w:t>
      </w:r>
      <w:r w:rsidR="00377E26" w:rsidRPr="00377E26">
        <w:rPr>
          <w:lang w:val="en-GB"/>
        </w:rPr>
        <w:t xml:space="preserve"> study, which included a post-platinum population with </w:t>
      </w:r>
      <w:r w:rsidR="00377E26" w:rsidRPr="00377E26">
        <w:rPr>
          <w:i/>
          <w:lang w:val="en-GB"/>
        </w:rPr>
        <w:t>EGFR</w:t>
      </w:r>
      <w:r w:rsidR="00377E26" w:rsidRPr="00377E26">
        <w:rPr>
          <w:lang w:val="en-GB"/>
        </w:rPr>
        <w:t xml:space="preserve"> exon20ins NSCLC</w:t>
      </w:r>
      <w:r w:rsidR="00B72379">
        <w:rPr>
          <w:lang w:val="en-GB"/>
        </w:rPr>
        <w:t>.</w:t>
      </w:r>
      <w:r w:rsidR="002C10AF">
        <w:rPr>
          <w:lang w:val="en-GB"/>
        </w:rPr>
        <w:t xml:space="preserve"> </w:t>
      </w:r>
      <w:r w:rsidR="00732B3D">
        <w:rPr>
          <w:snapToGrid w:val="0"/>
          <w:lang w:val="en-GB" w:eastAsia="en-US"/>
        </w:rPr>
        <w:t>T</w:t>
      </w:r>
      <w:r w:rsidR="00732B3D" w:rsidRPr="00152A25">
        <w:rPr>
          <w:snapToGrid w:val="0"/>
          <w:lang w:val="en-GB" w:eastAsia="en-US"/>
        </w:rPr>
        <w:t>he</w:t>
      </w:r>
      <w:r w:rsidR="00732B3D">
        <w:rPr>
          <w:snapToGrid w:val="0"/>
          <w:lang w:val="en-GB" w:eastAsia="en-US"/>
        </w:rPr>
        <w:t xml:space="preserve"> PBAC considered these data</w:t>
      </w:r>
      <w:r w:rsidR="00732B3D" w:rsidRPr="00152A25">
        <w:rPr>
          <w:snapToGrid w:val="0"/>
          <w:lang w:val="en-GB" w:eastAsia="en-US"/>
        </w:rPr>
        <w:t xml:space="preserve"> were adequate to confirm the clinical benefit of amivantamab for </w:t>
      </w:r>
      <w:r w:rsidR="00B55667">
        <w:rPr>
          <w:snapToGrid w:val="0"/>
          <w:lang w:val="en-GB" w:eastAsia="en-US"/>
        </w:rPr>
        <w:t>second-line</w:t>
      </w:r>
      <w:r w:rsidR="00732B3D" w:rsidRPr="00152A25">
        <w:rPr>
          <w:snapToGrid w:val="0"/>
          <w:lang w:val="en-GB" w:eastAsia="en-US"/>
        </w:rPr>
        <w:t xml:space="preserve"> treatment, after disease progression on (or after) platinum-based chemotherapy</w:t>
      </w:r>
      <w:r w:rsidR="00732B3D">
        <w:rPr>
          <w:snapToGrid w:val="0"/>
          <w:lang w:val="en-GB" w:eastAsia="en-US"/>
        </w:rPr>
        <w:t>.</w:t>
      </w:r>
    </w:p>
    <w:p w14:paraId="06D28AE3" w14:textId="711B95E9" w:rsidR="001654F7" w:rsidRPr="00305FE0" w:rsidRDefault="00861209" w:rsidP="00EF4C49">
      <w:pPr>
        <w:pStyle w:val="3-BodyText"/>
        <w:rPr>
          <w:snapToGrid w:val="0"/>
          <w:lang w:val="en-GB" w:eastAsia="en-US"/>
        </w:rPr>
      </w:pPr>
      <w:r w:rsidRPr="00E63E27">
        <w:rPr>
          <w:snapToGrid w:val="0"/>
          <w:lang w:val="en-GB" w:eastAsia="en-US"/>
        </w:rPr>
        <w:t xml:space="preserve">The </w:t>
      </w:r>
      <w:r w:rsidR="00596B7F" w:rsidRPr="00E63E27">
        <w:rPr>
          <w:snapToGrid w:val="0"/>
          <w:lang w:val="en-GB" w:eastAsia="en-US"/>
        </w:rPr>
        <w:t xml:space="preserve">PBAC </w:t>
      </w:r>
      <w:r w:rsidR="00A72812" w:rsidRPr="00E63E27">
        <w:rPr>
          <w:snapToGrid w:val="0"/>
          <w:lang w:val="en-GB" w:eastAsia="en-US"/>
        </w:rPr>
        <w:t xml:space="preserve">considered </w:t>
      </w:r>
      <w:r w:rsidR="00862696" w:rsidRPr="00E63E27">
        <w:rPr>
          <w:snapToGrid w:val="0"/>
          <w:lang w:val="en-GB" w:eastAsia="en-US"/>
        </w:rPr>
        <w:t xml:space="preserve">the claim of inferior </w:t>
      </w:r>
      <w:r w:rsidR="00F52C38" w:rsidRPr="00E63E27">
        <w:rPr>
          <w:snapToGrid w:val="0"/>
          <w:lang w:val="en-GB" w:eastAsia="en-US"/>
        </w:rPr>
        <w:t xml:space="preserve">safety of ACP vs. CP </w:t>
      </w:r>
      <w:r w:rsidR="00A413CA">
        <w:rPr>
          <w:snapToGrid w:val="0"/>
          <w:lang w:val="en-GB" w:eastAsia="en-US"/>
        </w:rPr>
        <w:t>was reasonable.</w:t>
      </w:r>
      <w:r w:rsidR="00F52C38" w:rsidRPr="00E63E27">
        <w:rPr>
          <w:snapToGrid w:val="0"/>
          <w:lang w:val="en-GB" w:eastAsia="en-US"/>
        </w:rPr>
        <w:t xml:space="preserve"> </w:t>
      </w:r>
      <w:r w:rsidR="00287488" w:rsidRPr="00E63E27">
        <w:rPr>
          <w:snapToGrid w:val="0"/>
          <w:lang w:val="en-GB" w:eastAsia="en-US"/>
        </w:rPr>
        <w:t>The PBAC noted</w:t>
      </w:r>
      <w:r w:rsidR="00287488">
        <w:rPr>
          <w:snapToGrid w:val="0"/>
          <w:lang w:val="en-GB" w:eastAsia="en-US"/>
        </w:rPr>
        <w:t xml:space="preserve"> </w:t>
      </w:r>
      <w:r w:rsidR="00F94CBF">
        <w:rPr>
          <w:snapToGrid w:val="0"/>
          <w:lang w:val="en-GB" w:eastAsia="en-US"/>
        </w:rPr>
        <w:t xml:space="preserve">patients in the ACP arm experienced </w:t>
      </w:r>
      <w:r w:rsidR="00DB419C">
        <w:rPr>
          <w:snapToGrid w:val="0"/>
          <w:lang w:val="en-GB" w:eastAsia="en-US"/>
        </w:rPr>
        <w:t>approximately twice as many</w:t>
      </w:r>
      <w:r w:rsidR="00F94CBF">
        <w:rPr>
          <w:snapToGrid w:val="0"/>
          <w:lang w:val="en-GB" w:eastAsia="en-US"/>
        </w:rPr>
        <w:t xml:space="preserve"> </w:t>
      </w:r>
      <w:r w:rsidR="00E106B9">
        <w:rPr>
          <w:snapToGrid w:val="0"/>
          <w:lang w:val="en-GB" w:eastAsia="en-US"/>
        </w:rPr>
        <w:t xml:space="preserve">Grade </w:t>
      </w:r>
      <w:r w:rsidR="00E106B9" w:rsidRPr="55E020F4">
        <w:rPr>
          <w:snapToGrid w:val="0"/>
          <w:lang w:val="en-GB" w:eastAsia="en-US"/>
        </w:rPr>
        <w:t>≥</w:t>
      </w:r>
      <w:r w:rsidR="00E106B9">
        <w:rPr>
          <w:snapToGrid w:val="0"/>
          <w:lang w:val="en-GB" w:eastAsia="en-US"/>
        </w:rPr>
        <w:t xml:space="preserve">3 </w:t>
      </w:r>
      <w:r w:rsidR="00AB2AC0" w:rsidRPr="008272D0">
        <w:t xml:space="preserve">treatment emergent adverse events </w:t>
      </w:r>
      <w:r w:rsidR="00AB2AC0">
        <w:t>(</w:t>
      </w:r>
      <w:r w:rsidR="00E106B9">
        <w:rPr>
          <w:snapToGrid w:val="0"/>
          <w:lang w:val="en-GB" w:eastAsia="en-US"/>
        </w:rPr>
        <w:t>TEAEs</w:t>
      </w:r>
      <w:r w:rsidR="00AB2AC0" w:rsidRPr="55E020F4">
        <w:rPr>
          <w:lang w:val="en-GB" w:eastAsia="en-US"/>
        </w:rPr>
        <w:t>)</w:t>
      </w:r>
      <w:r w:rsidR="00DA4258">
        <w:rPr>
          <w:snapToGrid w:val="0"/>
          <w:lang w:val="en-GB" w:eastAsia="en-US"/>
        </w:rPr>
        <w:t xml:space="preserve"> and </w:t>
      </w:r>
      <w:r w:rsidR="0040131F">
        <w:rPr>
          <w:snapToGrid w:val="0"/>
          <w:lang w:val="en-GB" w:eastAsia="en-US"/>
        </w:rPr>
        <w:t xml:space="preserve">TEAEs </w:t>
      </w:r>
      <w:r w:rsidR="00FA4FDF">
        <w:rPr>
          <w:snapToGrid w:val="0"/>
          <w:lang w:val="en-GB" w:eastAsia="en-US"/>
        </w:rPr>
        <w:t>that resulted in</w:t>
      </w:r>
      <w:r w:rsidR="0040131F">
        <w:rPr>
          <w:snapToGrid w:val="0"/>
          <w:lang w:val="en-GB" w:eastAsia="en-US"/>
        </w:rPr>
        <w:t xml:space="preserve"> </w:t>
      </w:r>
      <w:r w:rsidR="00AD2565">
        <w:rPr>
          <w:snapToGrid w:val="0"/>
          <w:lang w:val="en-GB" w:eastAsia="en-US"/>
        </w:rPr>
        <w:t>treatment discontinuation</w:t>
      </w:r>
      <w:r w:rsidR="00812375">
        <w:rPr>
          <w:snapToGrid w:val="0"/>
          <w:lang w:val="en-GB" w:eastAsia="en-US"/>
        </w:rPr>
        <w:t xml:space="preserve"> </w:t>
      </w:r>
      <w:r w:rsidR="00FA4FDF">
        <w:rPr>
          <w:snapToGrid w:val="0"/>
          <w:lang w:val="en-GB" w:eastAsia="en-US"/>
        </w:rPr>
        <w:t>or</w:t>
      </w:r>
      <w:r w:rsidR="00FA358C">
        <w:rPr>
          <w:snapToGrid w:val="0"/>
          <w:lang w:val="en-GB" w:eastAsia="en-US"/>
        </w:rPr>
        <w:t xml:space="preserve"> death </w:t>
      </w:r>
      <w:r w:rsidR="00812375">
        <w:rPr>
          <w:snapToGrid w:val="0"/>
          <w:lang w:val="en-GB" w:eastAsia="en-US"/>
        </w:rPr>
        <w:t>compared to the CP arm</w:t>
      </w:r>
      <w:r w:rsidR="00AD2565">
        <w:rPr>
          <w:snapToGrid w:val="0"/>
          <w:lang w:val="en-GB" w:eastAsia="en-US"/>
        </w:rPr>
        <w:t xml:space="preserve">. </w:t>
      </w:r>
      <w:r w:rsidR="00524B70" w:rsidRPr="0090140B">
        <w:rPr>
          <w:snapToGrid w:val="0"/>
          <w:lang w:val="en-GB" w:eastAsia="en-US"/>
        </w:rPr>
        <w:t>The PBAC</w:t>
      </w:r>
      <w:r w:rsidR="00503B6D">
        <w:rPr>
          <w:snapToGrid w:val="0"/>
          <w:lang w:val="en-GB" w:eastAsia="en-US"/>
        </w:rPr>
        <w:t xml:space="preserve"> also</w:t>
      </w:r>
      <w:r w:rsidR="00524B70" w:rsidRPr="0090140B">
        <w:rPr>
          <w:snapToGrid w:val="0"/>
          <w:lang w:val="en-GB" w:eastAsia="en-US"/>
        </w:rPr>
        <w:t xml:space="preserve"> </w:t>
      </w:r>
      <w:r w:rsidR="00AE0DCF">
        <w:rPr>
          <w:snapToGrid w:val="0"/>
          <w:lang w:val="en-GB" w:eastAsia="en-US"/>
        </w:rPr>
        <w:t xml:space="preserve">considered the </w:t>
      </w:r>
      <w:r w:rsidR="00AE0DCF" w:rsidRPr="00305FE0">
        <w:rPr>
          <w:snapToGrid w:val="0"/>
          <w:lang w:val="en-GB" w:eastAsia="en-US"/>
        </w:rPr>
        <w:t xml:space="preserve">difference </w:t>
      </w:r>
      <w:r w:rsidR="00077FD1" w:rsidRPr="00305FE0">
        <w:rPr>
          <w:snapToGrid w:val="0"/>
          <w:lang w:val="en-GB" w:eastAsia="en-US"/>
        </w:rPr>
        <w:t>in</w:t>
      </w:r>
      <w:r w:rsidR="008204DF" w:rsidRPr="00305FE0">
        <w:rPr>
          <w:snapToGrid w:val="0"/>
          <w:lang w:val="en-GB" w:eastAsia="en-US"/>
        </w:rPr>
        <w:t xml:space="preserve"> </w:t>
      </w:r>
      <w:r w:rsidR="00524B70" w:rsidRPr="00305FE0">
        <w:rPr>
          <w:snapToGrid w:val="0"/>
          <w:lang w:val="en-GB" w:eastAsia="en-US"/>
        </w:rPr>
        <w:t>thro</w:t>
      </w:r>
      <w:r w:rsidR="00D5395C" w:rsidRPr="00305FE0">
        <w:rPr>
          <w:snapToGrid w:val="0"/>
          <w:lang w:val="en-GB" w:eastAsia="en-US"/>
        </w:rPr>
        <w:t xml:space="preserve">mbosis </w:t>
      </w:r>
      <w:r w:rsidR="00077FD1" w:rsidRPr="00305FE0">
        <w:rPr>
          <w:snapToGrid w:val="0"/>
          <w:lang w:val="en-GB" w:eastAsia="en-US"/>
        </w:rPr>
        <w:t xml:space="preserve">incidence </w:t>
      </w:r>
      <w:r w:rsidR="002D5910" w:rsidRPr="00305FE0">
        <w:rPr>
          <w:snapToGrid w:val="0"/>
          <w:lang w:val="en-GB" w:eastAsia="en-US"/>
        </w:rPr>
        <w:t>(</w:t>
      </w:r>
      <w:r w:rsidR="00437C67" w:rsidRPr="00305FE0">
        <w:rPr>
          <w:snapToGrid w:val="0"/>
          <w:lang w:val="en-GB" w:eastAsia="en-US"/>
        </w:rPr>
        <w:t xml:space="preserve">pulmonary embolism 7.9% </w:t>
      </w:r>
      <w:r w:rsidR="00A21EEA" w:rsidRPr="00305FE0">
        <w:rPr>
          <w:snapToGrid w:val="0"/>
          <w:lang w:val="en-GB" w:eastAsia="en-US"/>
        </w:rPr>
        <w:t>ACP vs. 4.5% CP</w:t>
      </w:r>
      <w:r w:rsidR="00981DC3" w:rsidRPr="00305FE0">
        <w:rPr>
          <w:snapToGrid w:val="0"/>
          <w:lang w:val="en-GB" w:eastAsia="en-US"/>
        </w:rPr>
        <w:t>, deep vein thrombosis 6.6% ACP vs. 1.9% CP)</w:t>
      </w:r>
      <w:r w:rsidR="008204DF" w:rsidRPr="00305FE0">
        <w:rPr>
          <w:snapToGrid w:val="0"/>
          <w:lang w:val="en-GB" w:eastAsia="en-US"/>
        </w:rPr>
        <w:t xml:space="preserve"> </w:t>
      </w:r>
      <w:r w:rsidR="008E08D9" w:rsidRPr="00305FE0">
        <w:rPr>
          <w:snapToGrid w:val="0"/>
          <w:lang w:val="en-GB" w:eastAsia="en-US"/>
        </w:rPr>
        <w:t xml:space="preserve">was clinically </w:t>
      </w:r>
      <w:r w:rsidR="00963822" w:rsidRPr="00305FE0">
        <w:rPr>
          <w:snapToGrid w:val="0"/>
          <w:lang w:val="en-GB" w:eastAsia="en-US"/>
        </w:rPr>
        <w:t xml:space="preserve">important and </w:t>
      </w:r>
      <w:r w:rsidR="002D173C" w:rsidRPr="00305FE0">
        <w:rPr>
          <w:snapToGrid w:val="0"/>
          <w:lang w:val="en-GB" w:eastAsia="en-US"/>
        </w:rPr>
        <w:t>raise</w:t>
      </w:r>
      <w:r w:rsidR="003D227D" w:rsidRPr="00305FE0">
        <w:rPr>
          <w:snapToGrid w:val="0"/>
          <w:lang w:val="en-GB" w:eastAsia="en-US"/>
        </w:rPr>
        <w:t>d</w:t>
      </w:r>
      <w:r w:rsidR="002D173C" w:rsidRPr="00305FE0">
        <w:rPr>
          <w:snapToGrid w:val="0"/>
          <w:lang w:val="en-GB" w:eastAsia="en-US"/>
        </w:rPr>
        <w:t xml:space="preserve"> </w:t>
      </w:r>
      <w:r w:rsidR="004F580E" w:rsidRPr="00305FE0">
        <w:rPr>
          <w:snapToGrid w:val="0"/>
          <w:lang w:val="en-GB" w:eastAsia="en-US"/>
        </w:rPr>
        <w:t>potential</w:t>
      </w:r>
      <w:r w:rsidR="002D173C" w:rsidRPr="00305FE0">
        <w:rPr>
          <w:snapToGrid w:val="0"/>
          <w:lang w:val="en-GB" w:eastAsia="en-US"/>
        </w:rPr>
        <w:t xml:space="preserve"> concern</w:t>
      </w:r>
      <w:r w:rsidR="004F580E" w:rsidRPr="00305FE0">
        <w:rPr>
          <w:snapToGrid w:val="0"/>
          <w:lang w:val="en-GB" w:eastAsia="en-US"/>
        </w:rPr>
        <w:t xml:space="preserve"> regarding patient management.</w:t>
      </w:r>
      <w:r w:rsidR="00A00266" w:rsidRPr="00305FE0">
        <w:rPr>
          <w:snapToGrid w:val="0"/>
          <w:lang w:val="en-GB" w:eastAsia="en-US"/>
        </w:rPr>
        <w:t xml:space="preserve"> </w:t>
      </w:r>
    </w:p>
    <w:p w14:paraId="38B09B4A" w14:textId="308121E5" w:rsidR="00527BB3" w:rsidRPr="001F366B" w:rsidRDefault="000E7286" w:rsidP="00EF4C49">
      <w:pPr>
        <w:pStyle w:val="3-BodyText"/>
        <w:rPr>
          <w:snapToGrid w:val="0"/>
          <w:lang w:val="en-GB" w:eastAsia="en-US"/>
        </w:rPr>
      </w:pPr>
      <w:r w:rsidRPr="00305FE0">
        <w:t>The submission presented a cost-utility analysis to support the cost-effectiveness of ACP vs</w:t>
      </w:r>
      <w:r w:rsidR="00F466B4">
        <w:t>.</w:t>
      </w:r>
      <w:r w:rsidRPr="00305FE0">
        <w:t xml:space="preserve"> CP, with the economic model </w:t>
      </w:r>
      <w:r w:rsidR="006A42D9" w:rsidRPr="00305FE0">
        <w:t xml:space="preserve">reporting an ICER of </w:t>
      </w:r>
      <w:r w:rsidR="00F8299B" w:rsidRPr="00703610">
        <w:t>$75,000</w:t>
      </w:r>
      <w:r w:rsidR="00F8299B">
        <w:t> </w:t>
      </w:r>
      <w:r w:rsidR="00F8299B" w:rsidRPr="00703610">
        <w:t>to</w:t>
      </w:r>
      <w:r w:rsidR="00F8299B">
        <w:t> </w:t>
      </w:r>
      <w:r w:rsidR="00F8299B" w:rsidRPr="00703610">
        <w:t>&lt;</w:t>
      </w:r>
      <w:r w:rsidR="00F8299B">
        <w:t> </w:t>
      </w:r>
      <w:r w:rsidR="00F8299B" w:rsidRPr="00703610">
        <w:t>$95,000</w:t>
      </w:r>
      <w:r w:rsidR="00F8299B">
        <w:t xml:space="preserve"> </w:t>
      </w:r>
      <w:r w:rsidR="006A42D9" w:rsidRPr="00305FE0">
        <w:t>per QALY gained</w:t>
      </w:r>
      <w:r w:rsidRPr="00305FE0">
        <w:t>.</w:t>
      </w:r>
      <w:r w:rsidR="00E268FF" w:rsidRPr="00305FE0">
        <w:t xml:space="preserve"> The PBAC noted the ESC considered </w:t>
      </w:r>
      <w:r w:rsidR="00F8504D">
        <w:t>that</w:t>
      </w:r>
      <w:r w:rsidR="00E268FF" w:rsidRPr="00305FE0">
        <w:t xml:space="preserve"> the results of the economic evaluation were associated with </w:t>
      </w:r>
      <w:proofErr w:type="gramStart"/>
      <w:r w:rsidR="00E268FF" w:rsidRPr="00305FE0">
        <w:t>a number of</w:t>
      </w:r>
      <w:proofErr w:type="gramEnd"/>
      <w:r w:rsidR="00E268FF" w:rsidRPr="00305FE0">
        <w:t xml:space="preserve"> uncertainties</w:t>
      </w:r>
      <w:r w:rsidR="00043A63">
        <w:t>,</w:t>
      </w:r>
      <w:r w:rsidR="00E268FF" w:rsidRPr="00305FE0">
        <w:t xml:space="preserve"> as discussed in paragraph</w:t>
      </w:r>
      <w:r w:rsidR="001F366B">
        <w:t>s</w:t>
      </w:r>
      <w:r w:rsidR="00B014C8">
        <w:t xml:space="preserve"> </w:t>
      </w:r>
      <w:r w:rsidR="00B014C8">
        <w:fldChar w:fldCharType="begin"/>
      </w:r>
      <w:r w:rsidR="00B014C8">
        <w:instrText xml:space="preserve"> REF _Ref183434203 \r \h </w:instrText>
      </w:r>
      <w:r w:rsidR="00B014C8">
        <w:fldChar w:fldCharType="separate"/>
      </w:r>
      <w:r w:rsidR="00372107">
        <w:t>6.45</w:t>
      </w:r>
      <w:r w:rsidR="00B014C8">
        <w:fldChar w:fldCharType="end"/>
      </w:r>
      <w:r w:rsidR="001F366B">
        <w:t xml:space="preserve"> and</w:t>
      </w:r>
      <w:r w:rsidR="00E268FF" w:rsidRPr="00305FE0">
        <w:t xml:space="preserve"> </w:t>
      </w:r>
      <w:r w:rsidR="00E268FF" w:rsidRPr="00305FE0">
        <w:fldChar w:fldCharType="begin"/>
      </w:r>
      <w:r w:rsidR="00E268FF" w:rsidRPr="00305FE0">
        <w:instrText xml:space="preserve"> REF _Ref182932662 \r \h </w:instrText>
      </w:r>
      <w:r w:rsidR="00DF0DEF" w:rsidRPr="00305FE0">
        <w:instrText xml:space="preserve"> \* MERGEFORMAT </w:instrText>
      </w:r>
      <w:r w:rsidR="00E268FF" w:rsidRPr="00305FE0">
        <w:fldChar w:fldCharType="separate"/>
      </w:r>
      <w:r w:rsidR="00372107">
        <w:t>6.68</w:t>
      </w:r>
      <w:r w:rsidR="00E268FF" w:rsidRPr="00305FE0">
        <w:fldChar w:fldCharType="end"/>
      </w:r>
      <w:r w:rsidR="001F366B">
        <w:t>.</w:t>
      </w:r>
      <w:r w:rsidR="006857B8">
        <w:t xml:space="preserve"> </w:t>
      </w:r>
      <w:r w:rsidR="001F366B">
        <w:t xml:space="preserve">The PBAC </w:t>
      </w:r>
      <w:r w:rsidR="00BD7944">
        <w:t>also noted</w:t>
      </w:r>
      <w:r w:rsidR="00EF2F5C">
        <w:t xml:space="preserve"> that the</w:t>
      </w:r>
      <w:r w:rsidR="000F18F7">
        <w:t xml:space="preserve"> utilities applied </w:t>
      </w:r>
      <w:r w:rsidR="00EF2F5C">
        <w:t>to</w:t>
      </w:r>
      <w:r w:rsidR="000F18F7">
        <w:t xml:space="preserve"> the model were high</w:t>
      </w:r>
      <w:r w:rsidR="002F6868">
        <w:rPr>
          <w:snapToGrid w:val="0"/>
          <w:lang w:val="en-GB" w:eastAsia="en-US"/>
        </w:rPr>
        <w:t>; however, t</w:t>
      </w:r>
      <w:r w:rsidR="008C075E">
        <w:rPr>
          <w:snapToGrid w:val="0"/>
          <w:lang w:val="en-GB" w:eastAsia="en-US"/>
        </w:rPr>
        <w:t>h</w:t>
      </w:r>
      <w:r w:rsidR="006B1AB9">
        <w:rPr>
          <w:snapToGrid w:val="0"/>
          <w:lang w:val="en-GB" w:eastAsia="en-US"/>
        </w:rPr>
        <w:t>e PBAC noted</w:t>
      </w:r>
      <w:r w:rsidR="00FE006F">
        <w:rPr>
          <w:snapToGrid w:val="0"/>
          <w:lang w:val="en-GB" w:eastAsia="en-US"/>
        </w:rPr>
        <w:t xml:space="preserve"> that</w:t>
      </w:r>
      <w:r w:rsidR="008C075E">
        <w:rPr>
          <w:snapToGrid w:val="0"/>
          <w:lang w:val="en-GB" w:eastAsia="en-US"/>
        </w:rPr>
        <w:t xml:space="preserve"> </w:t>
      </w:r>
      <w:r w:rsidR="00226D70">
        <w:t xml:space="preserve">the </w:t>
      </w:r>
      <w:r w:rsidR="00F01A29">
        <w:t>incremental</w:t>
      </w:r>
      <w:r w:rsidR="00226D70">
        <w:t xml:space="preserve"> QALYs gained</w:t>
      </w:r>
      <w:r w:rsidR="006C25F5">
        <w:t xml:space="preserve"> in the ACP arm vs. CP </w:t>
      </w:r>
      <w:r w:rsidR="00D41421">
        <w:t xml:space="preserve">arm </w:t>
      </w:r>
      <w:r w:rsidR="006C25F5">
        <w:t>(</w:t>
      </w:r>
      <w:r w:rsidR="00E37A49">
        <w:t xml:space="preserve">0.8164) appeared </w:t>
      </w:r>
      <w:r w:rsidR="008D6422">
        <w:t xml:space="preserve">largely </w:t>
      </w:r>
      <w:r w:rsidR="00A84708">
        <w:t>consistent with that observed for other targeted therapies</w:t>
      </w:r>
      <w:r w:rsidR="00E37A49">
        <w:t>.</w:t>
      </w:r>
      <w:r w:rsidR="00E64998">
        <w:t xml:space="preserve"> </w:t>
      </w:r>
      <w:r w:rsidR="005845BF">
        <w:t xml:space="preserve">Further, the PBAC </w:t>
      </w:r>
      <w:r w:rsidR="00572E2C">
        <w:t xml:space="preserve">noted the impact of changing utilities was not large and it was likely amivantamab would remain cost effective if alternative utilities were used. </w:t>
      </w:r>
      <w:r w:rsidR="00D00F6E">
        <w:t>In this context</w:t>
      </w:r>
      <w:r w:rsidR="00E55B8C">
        <w:t xml:space="preserve">, </w:t>
      </w:r>
      <w:r w:rsidR="00F57584">
        <w:t>the</w:t>
      </w:r>
      <w:r w:rsidR="00880BDC">
        <w:t xml:space="preserve"> </w:t>
      </w:r>
      <w:r w:rsidR="00E87A94" w:rsidRPr="001F366B">
        <w:rPr>
          <w:snapToGrid w:val="0"/>
          <w:lang w:val="en-GB" w:eastAsia="en-US"/>
        </w:rPr>
        <w:t xml:space="preserve">PBAC advised </w:t>
      </w:r>
      <w:r w:rsidR="00880BDC">
        <w:rPr>
          <w:snapToGrid w:val="0"/>
          <w:lang w:val="en-GB" w:eastAsia="en-US"/>
        </w:rPr>
        <w:t>that</w:t>
      </w:r>
      <w:r w:rsidR="00E87A94" w:rsidRPr="001F366B">
        <w:rPr>
          <w:snapToGrid w:val="0"/>
          <w:lang w:val="en-GB" w:eastAsia="en-US"/>
        </w:rPr>
        <w:t xml:space="preserve"> an ICER of not more than </w:t>
      </w:r>
      <w:r w:rsidR="00077946" w:rsidRPr="00077946">
        <w:rPr>
          <w:snapToGrid w:val="0"/>
          <w:lang w:val="en-GB" w:eastAsia="en-US"/>
        </w:rPr>
        <w:t>$55,000 to &lt;</w:t>
      </w:r>
      <w:r w:rsidR="00FC6E56">
        <w:rPr>
          <w:snapToGrid w:val="0"/>
          <w:lang w:val="en-GB" w:eastAsia="en-US"/>
        </w:rPr>
        <w:t> </w:t>
      </w:r>
      <w:r w:rsidR="00077946" w:rsidRPr="00077946">
        <w:rPr>
          <w:snapToGrid w:val="0"/>
          <w:lang w:val="en-GB" w:eastAsia="en-US"/>
        </w:rPr>
        <w:t>$75,</w:t>
      </w:r>
      <w:r w:rsidR="00077946" w:rsidRPr="009D4989">
        <w:rPr>
          <w:snapToGrid w:val="0"/>
          <w:lang w:val="en-GB" w:eastAsia="en-US"/>
        </w:rPr>
        <w:t>000</w:t>
      </w:r>
      <w:r w:rsidR="00E87A94" w:rsidRPr="009D4989">
        <w:rPr>
          <w:snapToGrid w:val="0"/>
          <w:lang w:val="en-GB" w:eastAsia="en-US"/>
        </w:rPr>
        <w:t xml:space="preserve"> per</w:t>
      </w:r>
      <w:r w:rsidR="00E87A94" w:rsidRPr="001F366B">
        <w:rPr>
          <w:snapToGrid w:val="0"/>
          <w:lang w:val="en-GB" w:eastAsia="en-US"/>
        </w:rPr>
        <w:t xml:space="preserve"> QALY gained with the exclusion of end-of</w:t>
      </w:r>
      <w:r w:rsidR="00392D00">
        <w:rPr>
          <w:snapToGrid w:val="0"/>
          <w:lang w:val="en-GB" w:eastAsia="en-US"/>
        </w:rPr>
        <w:t>-</w:t>
      </w:r>
      <w:r w:rsidR="00E87A94" w:rsidRPr="001F366B">
        <w:rPr>
          <w:snapToGrid w:val="0"/>
          <w:lang w:val="en-GB" w:eastAsia="en-US"/>
        </w:rPr>
        <w:t xml:space="preserve">life care costs </w:t>
      </w:r>
      <w:r w:rsidR="00D74010">
        <w:rPr>
          <w:snapToGrid w:val="0"/>
          <w:lang w:val="en-GB" w:eastAsia="en-US"/>
        </w:rPr>
        <w:t xml:space="preserve">(as discussed in paragraph </w:t>
      </w:r>
      <w:r w:rsidR="00BE72C4">
        <w:rPr>
          <w:snapToGrid w:val="0"/>
          <w:highlight w:val="yellow"/>
          <w:lang w:val="en-GB" w:eastAsia="en-US"/>
        </w:rPr>
        <w:fldChar w:fldCharType="begin"/>
      </w:r>
      <w:r w:rsidR="00BE72C4">
        <w:rPr>
          <w:snapToGrid w:val="0"/>
          <w:lang w:val="en-GB" w:eastAsia="en-US"/>
        </w:rPr>
        <w:instrText xml:space="preserve"> REF _Ref183440758 \r \h </w:instrText>
      </w:r>
      <w:r w:rsidR="00BE72C4">
        <w:rPr>
          <w:snapToGrid w:val="0"/>
          <w:highlight w:val="yellow"/>
          <w:lang w:val="en-GB" w:eastAsia="en-US"/>
        </w:rPr>
      </w:r>
      <w:r w:rsidR="00BE72C4">
        <w:rPr>
          <w:snapToGrid w:val="0"/>
          <w:highlight w:val="yellow"/>
          <w:lang w:val="en-GB" w:eastAsia="en-US"/>
        </w:rPr>
        <w:fldChar w:fldCharType="separate"/>
      </w:r>
      <w:r w:rsidR="00372107">
        <w:rPr>
          <w:snapToGrid w:val="0"/>
          <w:lang w:val="en-GB" w:eastAsia="en-US"/>
        </w:rPr>
        <w:t>6.64</w:t>
      </w:r>
      <w:r w:rsidR="00BE72C4">
        <w:rPr>
          <w:snapToGrid w:val="0"/>
          <w:highlight w:val="yellow"/>
          <w:lang w:val="en-GB" w:eastAsia="en-US"/>
        </w:rPr>
        <w:fldChar w:fldCharType="end"/>
      </w:r>
      <w:r w:rsidR="00D74010">
        <w:rPr>
          <w:snapToGrid w:val="0"/>
          <w:lang w:val="en-GB" w:eastAsia="en-US"/>
        </w:rPr>
        <w:t xml:space="preserve">) </w:t>
      </w:r>
      <w:r w:rsidR="00E87A94" w:rsidRPr="001F366B">
        <w:rPr>
          <w:snapToGrid w:val="0"/>
          <w:lang w:val="en-GB" w:eastAsia="en-US"/>
        </w:rPr>
        <w:t>would be appropriate and noted that a price reduction would be required for amivantamab to be considered cost-effective.</w:t>
      </w:r>
    </w:p>
    <w:p w14:paraId="7B826DCE" w14:textId="2008B3AD" w:rsidR="00416EC2" w:rsidRPr="00305FE0" w:rsidRDefault="00651124" w:rsidP="00EF4C49">
      <w:pPr>
        <w:pStyle w:val="3-BodyText"/>
        <w:rPr>
          <w:rFonts w:ascii="Times New Roman" w:hAnsi="Times New Roman" w:cs="Times New Roman"/>
          <w:lang w:eastAsia="en-US"/>
        </w:rPr>
      </w:pPr>
      <w:bookmarkStart w:id="123" w:name="_Ref182900504"/>
      <w:r w:rsidRPr="00305FE0">
        <w:rPr>
          <w:snapToGrid w:val="0"/>
          <w:lang w:val="en-GB" w:eastAsia="en-US"/>
        </w:rPr>
        <w:t>The PBAC considered</w:t>
      </w:r>
      <w:r w:rsidR="00127323" w:rsidRPr="00305FE0">
        <w:rPr>
          <w:snapToGrid w:val="0"/>
          <w:lang w:val="en-GB" w:eastAsia="en-US"/>
        </w:rPr>
        <w:t xml:space="preserve"> that</w:t>
      </w:r>
      <w:r w:rsidRPr="00305FE0">
        <w:rPr>
          <w:snapToGrid w:val="0"/>
          <w:lang w:val="en-GB" w:eastAsia="en-US"/>
        </w:rPr>
        <w:t xml:space="preserve"> </w:t>
      </w:r>
      <w:r w:rsidR="001654F7" w:rsidRPr="00305FE0">
        <w:rPr>
          <w:snapToGrid w:val="0"/>
          <w:lang w:val="en-GB" w:eastAsia="en-US"/>
        </w:rPr>
        <w:t xml:space="preserve">the </w:t>
      </w:r>
      <w:r w:rsidR="007E5D06" w:rsidRPr="00305FE0">
        <w:rPr>
          <w:snapToGrid w:val="0"/>
          <w:lang w:val="en-GB" w:eastAsia="en-US"/>
        </w:rPr>
        <w:t xml:space="preserve">financial </w:t>
      </w:r>
      <w:r w:rsidR="001654F7" w:rsidRPr="00305FE0">
        <w:rPr>
          <w:snapToGrid w:val="0"/>
          <w:lang w:val="en-GB" w:eastAsia="en-US"/>
        </w:rPr>
        <w:t xml:space="preserve">estimates </w:t>
      </w:r>
      <w:r w:rsidR="007E5D06" w:rsidRPr="00305FE0">
        <w:rPr>
          <w:snapToGrid w:val="0"/>
          <w:lang w:val="en-GB" w:eastAsia="en-US"/>
        </w:rPr>
        <w:t xml:space="preserve">were </w:t>
      </w:r>
      <w:r w:rsidR="00127323" w:rsidRPr="00305FE0">
        <w:rPr>
          <w:snapToGrid w:val="0"/>
          <w:lang w:val="en-GB" w:eastAsia="en-US"/>
        </w:rPr>
        <w:t xml:space="preserve">likely </w:t>
      </w:r>
      <w:r w:rsidR="001654F7" w:rsidRPr="00305FE0">
        <w:rPr>
          <w:snapToGrid w:val="0"/>
          <w:lang w:val="en-GB" w:eastAsia="en-US"/>
        </w:rPr>
        <w:t>overestimated</w:t>
      </w:r>
      <w:r w:rsidR="003F7EDC" w:rsidRPr="00305FE0">
        <w:rPr>
          <w:snapToGrid w:val="0"/>
          <w:lang w:val="en-GB" w:eastAsia="en-US"/>
        </w:rPr>
        <w:t>:</w:t>
      </w:r>
      <w:bookmarkEnd w:id="123"/>
    </w:p>
    <w:p w14:paraId="0AFEBE42" w14:textId="0E534D21" w:rsidR="00BE61C8" w:rsidRPr="002F2739" w:rsidRDefault="00C111DB" w:rsidP="00AF4A63">
      <w:pPr>
        <w:pStyle w:val="ListParagraph"/>
        <w:numPr>
          <w:ilvl w:val="0"/>
          <w:numId w:val="33"/>
        </w:numPr>
        <w:rPr>
          <w:rFonts w:ascii="Times New Roman" w:hAnsi="Times New Roman" w:cs="Times New Roman"/>
          <w:lang w:eastAsia="en-US"/>
        </w:rPr>
      </w:pPr>
      <w:r w:rsidRPr="00305FE0">
        <w:rPr>
          <w:lang w:val="en-GB" w:eastAsia="en-US"/>
        </w:rPr>
        <w:lastRenderedPageBreak/>
        <w:t xml:space="preserve">The PBAC agreed with </w:t>
      </w:r>
      <w:r w:rsidR="00906B8E" w:rsidRPr="00305FE0">
        <w:rPr>
          <w:lang w:val="en-GB" w:eastAsia="en-US"/>
        </w:rPr>
        <w:t xml:space="preserve">the </w:t>
      </w:r>
      <w:r w:rsidRPr="00305FE0">
        <w:rPr>
          <w:lang w:val="en-GB" w:eastAsia="en-US"/>
        </w:rPr>
        <w:t xml:space="preserve">DUSC that </w:t>
      </w:r>
      <w:r w:rsidR="001371A6" w:rsidRPr="00305FE0">
        <w:rPr>
          <w:lang w:val="en-GB" w:eastAsia="en-US"/>
        </w:rPr>
        <w:t xml:space="preserve">the proportion </w:t>
      </w:r>
      <w:r w:rsidR="00846F7D" w:rsidRPr="00305FE0">
        <w:rPr>
          <w:lang w:val="en-GB" w:eastAsia="en-US"/>
        </w:rPr>
        <w:t xml:space="preserve">of patients </w:t>
      </w:r>
      <w:r w:rsidR="00155056" w:rsidRPr="00305FE0">
        <w:rPr>
          <w:lang w:val="en-GB" w:eastAsia="en-US"/>
        </w:rPr>
        <w:t>with Stage IIIB/IV disease elect</w:t>
      </w:r>
      <w:r w:rsidR="001371A6" w:rsidRPr="00305FE0">
        <w:rPr>
          <w:lang w:val="en-GB" w:eastAsia="en-US"/>
        </w:rPr>
        <w:t>ing</w:t>
      </w:r>
      <w:r w:rsidR="00155056" w:rsidRPr="00305FE0">
        <w:rPr>
          <w:lang w:val="en-GB" w:eastAsia="en-US"/>
        </w:rPr>
        <w:t xml:space="preserve"> </w:t>
      </w:r>
      <w:r w:rsidR="004B07F3" w:rsidRPr="00305FE0">
        <w:rPr>
          <w:lang w:val="en-GB" w:eastAsia="en-US"/>
        </w:rPr>
        <w:t xml:space="preserve">first-line </w:t>
      </w:r>
      <w:r w:rsidR="003C097D" w:rsidRPr="00305FE0">
        <w:rPr>
          <w:lang w:val="en-GB" w:eastAsia="en-US"/>
        </w:rPr>
        <w:t>systemic therapy</w:t>
      </w:r>
      <w:r w:rsidR="003A54FF" w:rsidRPr="00305FE0">
        <w:rPr>
          <w:lang w:val="en-GB" w:eastAsia="en-US"/>
        </w:rPr>
        <w:t xml:space="preserve"> (submission assum</w:t>
      </w:r>
      <w:r w:rsidR="0003610E" w:rsidRPr="00305FE0">
        <w:rPr>
          <w:lang w:val="en-GB" w:eastAsia="en-US"/>
        </w:rPr>
        <w:t>ed 100%</w:t>
      </w:r>
      <w:r w:rsidR="00791195" w:rsidRPr="00305FE0">
        <w:rPr>
          <w:lang w:val="en-GB" w:eastAsia="en-US"/>
        </w:rPr>
        <w:t xml:space="preserve"> 2025</w:t>
      </w:r>
      <w:r w:rsidR="00791195" w:rsidRPr="00305FE0">
        <w:rPr>
          <w:rFonts w:cstheme="minorHAnsi"/>
          <w:lang w:val="en-GB" w:eastAsia="en-US"/>
        </w:rPr>
        <w:t>−</w:t>
      </w:r>
      <w:r w:rsidR="00791195" w:rsidRPr="00305FE0">
        <w:rPr>
          <w:lang w:val="en-GB" w:eastAsia="en-US"/>
        </w:rPr>
        <w:t>2030</w:t>
      </w:r>
      <w:r w:rsidR="0003610E" w:rsidRPr="00305FE0">
        <w:rPr>
          <w:lang w:val="en-GB" w:eastAsia="en-US"/>
        </w:rPr>
        <w:t xml:space="preserve">) </w:t>
      </w:r>
      <w:r w:rsidRPr="00305FE0">
        <w:rPr>
          <w:lang w:val="en-GB" w:eastAsia="en-US"/>
        </w:rPr>
        <w:t>was</w:t>
      </w:r>
      <w:r>
        <w:rPr>
          <w:lang w:val="en-GB" w:eastAsia="en-US"/>
        </w:rPr>
        <w:t xml:space="preserve"> overestimated </w:t>
      </w:r>
      <w:r w:rsidR="0003610E" w:rsidRPr="002F2739">
        <w:rPr>
          <w:lang w:val="en-GB" w:eastAsia="en-US"/>
        </w:rPr>
        <w:t>– the PBAC</w:t>
      </w:r>
      <w:r w:rsidR="004B07F3">
        <w:rPr>
          <w:lang w:val="en-GB" w:eastAsia="en-US"/>
        </w:rPr>
        <w:t xml:space="preserve"> </w:t>
      </w:r>
      <w:r w:rsidR="0003610E" w:rsidRPr="002F2739">
        <w:rPr>
          <w:lang w:val="en-GB" w:eastAsia="en-US"/>
        </w:rPr>
        <w:t xml:space="preserve">considered </w:t>
      </w:r>
      <w:r w:rsidR="000C11AE" w:rsidRPr="002F2739">
        <w:rPr>
          <w:lang w:val="en-GB" w:eastAsia="en-US"/>
        </w:rPr>
        <w:t xml:space="preserve">that </w:t>
      </w:r>
      <w:r w:rsidR="0003610E" w:rsidRPr="002F2739">
        <w:rPr>
          <w:lang w:val="en-GB" w:eastAsia="en-US"/>
        </w:rPr>
        <w:t xml:space="preserve">85% was </w:t>
      </w:r>
      <w:r w:rsidR="000C11AE" w:rsidRPr="002F2739">
        <w:rPr>
          <w:lang w:val="en-GB" w:eastAsia="en-US"/>
        </w:rPr>
        <w:t xml:space="preserve">more </w:t>
      </w:r>
      <w:r w:rsidR="0003610E" w:rsidRPr="002F2739">
        <w:rPr>
          <w:lang w:val="en-GB" w:eastAsia="en-US"/>
        </w:rPr>
        <w:t>reasonable</w:t>
      </w:r>
      <w:r w:rsidR="00F02ADF" w:rsidRPr="002F2739">
        <w:rPr>
          <w:lang w:val="en-GB" w:eastAsia="en-US"/>
        </w:rPr>
        <w:t xml:space="preserve"> as some patients might elect best supportive care given the adverse event profile of </w:t>
      </w:r>
      <w:r w:rsidR="00672385">
        <w:rPr>
          <w:lang w:val="en-GB" w:eastAsia="en-US"/>
        </w:rPr>
        <w:t>amivantamab</w:t>
      </w:r>
      <w:r w:rsidR="00001C88">
        <w:rPr>
          <w:lang w:val="en-GB" w:eastAsia="en-US"/>
        </w:rPr>
        <w:t>.</w:t>
      </w:r>
      <w:r w:rsidR="001654F7" w:rsidRPr="002F2739">
        <w:rPr>
          <w:lang w:val="en-GB" w:eastAsia="en-US"/>
        </w:rPr>
        <w:t xml:space="preserve"> </w:t>
      </w:r>
    </w:p>
    <w:p w14:paraId="6C2E1F9D" w14:textId="430E462D" w:rsidR="00BE61C8" w:rsidRPr="00D52E57" w:rsidRDefault="00AB6972" w:rsidP="00AF4A63">
      <w:pPr>
        <w:pStyle w:val="ListParagraph"/>
        <w:numPr>
          <w:ilvl w:val="0"/>
          <w:numId w:val="33"/>
        </w:numPr>
        <w:rPr>
          <w:lang w:eastAsia="en-US"/>
        </w:rPr>
      </w:pPr>
      <w:r>
        <w:rPr>
          <w:lang w:eastAsia="en-US"/>
        </w:rPr>
        <w:t xml:space="preserve">While noting that patient </w:t>
      </w:r>
      <w:r w:rsidR="00B76D4D">
        <w:rPr>
          <w:lang w:eastAsia="en-US"/>
        </w:rPr>
        <w:t xml:space="preserve">frailty </w:t>
      </w:r>
      <w:r>
        <w:rPr>
          <w:lang w:eastAsia="en-US"/>
        </w:rPr>
        <w:t xml:space="preserve">would </w:t>
      </w:r>
      <w:r w:rsidR="00483EFB">
        <w:rPr>
          <w:lang w:eastAsia="en-US"/>
        </w:rPr>
        <w:t xml:space="preserve">also </w:t>
      </w:r>
      <w:r>
        <w:rPr>
          <w:lang w:eastAsia="en-US"/>
        </w:rPr>
        <w:t xml:space="preserve">be accounted for </w:t>
      </w:r>
      <w:r w:rsidR="00CD428B" w:rsidRPr="00CD428B">
        <w:rPr>
          <w:lang w:eastAsia="en-US"/>
        </w:rPr>
        <w:t>through the proportion of patients who elect first</w:t>
      </w:r>
      <w:r w:rsidR="00230ACF">
        <w:rPr>
          <w:lang w:eastAsia="en-US"/>
        </w:rPr>
        <w:t>-</w:t>
      </w:r>
      <w:r w:rsidR="00CD428B" w:rsidRPr="00CD428B">
        <w:rPr>
          <w:lang w:eastAsia="en-US"/>
        </w:rPr>
        <w:t>line systemic therapy and through the proportion of patients with an ECOG performance status of 0−2</w:t>
      </w:r>
      <w:r w:rsidR="00CD428B">
        <w:rPr>
          <w:lang w:eastAsia="en-US"/>
        </w:rPr>
        <w:t xml:space="preserve">, the PBAC </w:t>
      </w:r>
      <w:r w:rsidR="009A7C3D">
        <w:rPr>
          <w:lang w:eastAsia="en-US"/>
        </w:rPr>
        <w:t xml:space="preserve">agreed with </w:t>
      </w:r>
      <w:r w:rsidR="00C113EE">
        <w:rPr>
          <w:lang w:eastAsia="en-US"/>
        </w:rPr>
        <w:t xml:space="preserve">the </w:t>
      </w:r>
      <w:r w:rsidR="009A7C3D">
        <w:rPr>
          <w:lang w:eastAsia="en-US"/>
        </w:rPr>
        <w:t xml:space="preserve">DUSC that </w:t>
      </w:r>
      <w:r w:rsidR="00444420" w:rsidRPr="00D52E57">
        <w:rPr>
          <w:lang w:eastAsia="en-US"/>
        </w:rPr>
        <w:t xml:space="preserve">the uptake rate </w:t>
      </w:r>
      <w:r w:rsidR="00E27187">
        <w:rPr>
          <w:lang w:eastAsia="en-US"/>
        </w:rPr>
        <w:t>remained</w:t>
      </w:r>
      <w:r w:rsidR="00483EFB">
        <w:rPr>
          <w:lang w:eastAsia="en-US"/>
        </w:rPr>
        <w:t xml:space="preserve"> overestimated </w:t>
      </w:r>
      <w:r w:rsidR="00444420" w:rsidRPr="00D52E57">
        <w:rPr>
          <w:lang w:eastAsia="en-US"/>
        </w:rPr>
        <w:t>(submis</w:t>
      </w:r>
      <w:r w:rsidR="004A68D8" w:rsidRPr="00D52E57">
        <w:rPr>
          <w:lang w:eastAsia="en-US"/>
        </w:rPr>
        <w:t xml:space="preserve">sion assumed 95%) – the PBAC considered that </w:t>
      </w:r>
      <w:r w:rsidR="008E5461">
        <w:rPr>
          <w:lang w:eastAsia="en-US"/>
        </w:rPr>
        <w:t xml:space="preserve">an uptake of </w:t>
      </w:r>
      <w:r w:rsidR="004A68D8" w:rsidRPr="00D52E57">
        <w:rPr>
          <w:lang w:eastAsia="en-US"/>
        </w:rPr>
        <w:t>85% was more reasonable</w:t>
      </w:r>
      <w:r>
        <w:rPr>
          <w:lang w:eastAsia="en-US"/>
        </w:rPr>
        <w:t>.</w:t>
      </w:r>
    </w:p>
    <w:p w14:paraId="4DCD88F3" w14:textId="25F0B486" w:rsidR="00C01DD3" w:rsidRPr="00D52E57" w:rsidRDefault="5240EE64" w:rsidP="00635FC5">
      <w:pPr>
        <w:spacing w:after="120"/>
        <w:ind w:left="720"/>
        <w:rPr>
          <w:lang w:eastAsia="en-US"/>
        </w:rPr>
      </w:pPr>
      <w:r w:rsidRPr="10B71FCD">
        <w:rPr>
          <w:lang w:eastAsia="en-US"/>
        </w:rPr>
        <w:t>T</w:t>
      </w:r>
      <w:r w:rsidR="21217474" w:rsidRPr="10B71FCD">
        <w:rPr>
          <w:lang w:eastAsia="en-US"/>
        </w:rPr>
        <w:t xml:space="preserve">he PBAC </w:t>
      </w:r>
      <w:r w:rsidR="3A322E34" w:rsidRPr="10B71FCD">
        <w:rPr>
          <w:lang w:eastAsia="en-US"/>
        </w:rPr>
        <w:t xml:space="preserve">noted that DUSC </w:t>
      </w:r>
      <w:r w:rsidR="21217474" w:rsidRPr="10B71FCD">
        <w:rPr>
          <w:lang w:eastAsia="en-US"/>
        </w:rPr>
        <w:t xml:space="preserve">considered </w:t>
      </w:r>
      <w:r w:rsidR="7C19B23E" w:rsidRPr="10B71FCD">
        <w:rPr>
          <w:lang w:eastAsia="en-US"/>
        </w:rPr>
        <w:t>that</w:t>
      </w:r>
      <w:r w:rsidR="4E7147BF" w:rsidRPr="10B71FCD">
        <w:rPr>
          <w:lang w:eastAsia="en-US"/>
        </w:rPr>
        <w:t xml:space="preserve"> the </w:t>
      </w:r>
      <w:r w:rsidR="134B6439" w:rsidRPr="10B71FCD">
        <w:rPr>
          <w:lang w:eastAsia="en-US"/>
        </w:rPr>
        <w:t xml:space="preserve">assumed </w:t>
      </w:r>
      <w:r w:rsidR="4E7147BF" w:rsidRPr="10B71FCD">
        <w:rPr>
          <w:lang w:eastAsia="en-US"/>
        </w:rPr>
        <w:t>treatment dose and treatment duration</w:t>
      </w:r>
      <w:r w:rsidR="6DD6B963" w:rsidRPr="10B71FCD">
        <w:rPr>
          <w:lang w:eastAsia="en-US"/>
        </w:rPr>
        <w:t xml:space="preserve"> </w:t>
      </w:r>
      <w:r w:rsidR="6921FADB" w:rsidRPr="10B71FCD">
        <w:rPr>
          <w:lang w:eastAsia="en-US"/>
        </w:rPr>
        <w:t xml:space="preserve">for the first- and second-line settings </w:t>
      </w:r>
      <w:r w:rsidR="3C4E3793" w:rsidRPr="10B71FCD">
        <w:rPr>
          <w:lang w:eastAsia="en-US"/>
        </w:rPr>
        <w:t>were likely overestimated</w:t>
      </w:r>
      <w:r w:rsidR="186177C4" w:rsidRPr="10B71FCD">
        <w:rPr>
          <w:lang w:eastAsia="en-US"/>
        </w:rPr>
        <w:t xml:space="preserve"> but </w:t>
      </w:r>
      <w:r w:rsidR="11D017A2" w:rsidRPr="10B71FCD">
        <w:rPr>
          <w:lang w:eastAsia="en-US"/>
        </w:rPr>
        <w:t xml:space="preserve">considered </w:t>
      </w:r>
      <w:r w:rsidR="5297E112" w:rsidRPr="10B71FCD">
        <w:rPr>
          <w:lang w:eastAsia="en-US"/>
        </w:rPr>
        <w:t>the assumptions were reasonable</w:t>
      </w:r>
      <w:r w:rsidR="134B6439" w:rsidRPr="10B71FCD">
        <w:rPr>
          <w:lang w:eastAsia="en-US"/>
        </w:rPr>
        <w:t xml:space="preserve">. </w:t>
      </w:r>
    </w:p>
    <w:p w14:paraId="6101C442" w14:textId="00D4C050" w:rsidR="001654F7" w:rsidRPr="00261D38" w:rsidRDefault="00EB4483" w:rsidP="00EF4C49">
      <w:pPr>
        <w:pStyle w:val="3-BodyText"/>
        <w:rPr>
          <w:snapToGrid w:val="0"/>
          <w:lang w:val="en-GB" w:eastAsia="en-US"/>
        </w:rPr>
      </w:pPr>
      <w:r w:rsidRPr="00265575">
        <w:rPr>
          <w:snapToGrid w:val="0"/>
          <w:lang w:val="en-GB" w:eastAsia="en-US"/>
        </w:rPr>
        <w:t>The PBAC considered the fin</w:t>
      </w:r>
      <w:r w:rsidR="000315DE" w:rsidRPr="00265575">
        <w:rPr>
          <w:snapToGrid w:val="0"/>
          <w:lang w:val="en-GB" w:eastAsia="en-US"/>
        </w:rPr>
        <w:t xml:space="preserve">ancial impact moderate for </w:t>
      </w:r>
      <w:r w:rsidR="00654050">
        <w:rPr>
          <w:snapToGrid w:val="0"/>
          <w:lang w:val="en-GB" w:eastAsia="en-US"/>
        </w:rPr>
        <w:t xml:space="preserve">this </w:t>
      </w:r>
      <w:r w:rsidR="000315DE" w:rsidRPr="00265575">
        <w:rPr>
          <w:snapToGrid w:val="0"/>
          <w:lang w:val="en-GB" w:eastAsia="en-US"/>
        </w:rPr>
        <w:t xml:space="preserve">rare </w:t>
      </w:r>
      <w:r w:rsidR="00437EA7" w:rsidRPr="00265575">
        <w:rPr>
          <w:snapToGrid w:val="0"/>
          <w:lang w:val="en-GB" w:eastAsia="en-US"/>
        </w:rPr>
        <w:t>malignancy.</w:t>
      </w:r>
      <w:r w:rsidR="0060410E" w:rsidRPr="00265575">
        <w:rPr>
          <w:snapToGrid w:val="0"/>
          <w:lang w:val="en-GB" w:eastAsia="en-US"/>
        </w:rPr>
        <w:t xml:space="preserve"> </w:t>
      </w:r>
      <w:r w:rsidR="00840B0D">
        <w:rPr>
          <w:snapToGrid w:val="0"/>
          <w:lang w:val="en-GB" w:eastAsia="en-US"/>
        </w:rPr>
        <w:t>The PBAC noted</w:t>
      </w:r>
      <w:r w:rsidR="00D57A89">
        <w:rPr>
          <w:snapToGrid w:val="0"/>
          <w:lang w:val="en-GB" w:eastAsia="en-US"/>
        </w:rPr>
        <w:t xml:space="preserve"> the</w:t>
      </w:r>
      <w:r w:rsidR="00840B0D">
        <w:rPr>
          <w:snapToGrid w:val="0"/>
          <w:lang w:val="en-GB" w:eastAsia="en-US"/>
        </w:rPr>
        <w:t xml:space="preserve"> </w:t>
      </w:r>
      <w:r w:rsidR="00E23352">
        <w:rPr>
          <w:snapToGrid w:val="0"/>
          <w:lang w:val="en-GB" w:eastAsia="en-US"/>
        </w:rPr>
        <w:t xml:space="preserve">DUSC’s advice </w:t>
      </w:r>
      <w:r w:rsidR="00013E40">
        <w:rPr>
          <w:snapToGrid w:val="0"/>
          <w:lang w:val="en-GB" w:eastAsia="en-US"/>
        </w:rPr>
        <w:t>that</w:t>
      </w:r>
      <w:r w:rsidR="00E23352">
        <w:rPr>
          <w:snapToGrid w:val="0"/>
          <w:lang w:val="en-GB" w:eastAsia="en-US"/>
        </w:rPr>
        <w:t xml:space="preserve"> </w:t>
      </w:r>
      <w:r w:rsidR="00481693" w:rsidRPr="00481693">
        <w:rPr>
          <w:snapToGrid w:val="0"/>
          <w:lang w:val="en-GB" w:eastAsia="en-US"/>
        </w:rPr>
        <w:t xml:space="preserve">minor changes to the methods used to derive the utilisation and financial estimates and structure of the estimates model </w:t>
      </w:r>
      <w:r w:rsidR="00013E40">
        <w:rPr>
          <w:snapToGrid w:val="0"/>
          <w:lang w:val="en-GB" w:eastAsia="en-US"/>
        </w:rPr>
        <w:t>should be considered</w:t>
      </w:r>
      <w:r w:rsidR="002E2C9D">
        <w:rPr>
          <w:snapToGrid w:val="0"/>
          <w:lang w:val="en-GB" w:eastAsia="en-US"/>
        </w:rPr>
        <w:t xml:space="preserve">. </w:t>
      </w:r>
      <w:r w:rsidR="00580D58" w:rsidRPr="00261D38">
        <w:rPr>
          <w:snapToGrid w:val="0"/>
          <w:lang w:val="en-GB" w:eastAsia="en-US"/>
        </w:rPr>
        <w:t>The PBAC advised that the financial</w:t>
      </w:r>
      <w:r w:rsidR="00B70308" w:rsidRPr="00261D38">
        <w:rPr>
          <w:snapToGrid w:val="0"/>
          <w:lang w:val="en-GB" w:eastAsia="en-US"/>
        </w:rPr>
        <w:t xml:space="preserve"> estimates should be revised as </w:t>
      </w:r>
      <w:r w:rsidR="00D37DEA" w:rsidRPr="00261D38">
        <w:rPr>
          <w:snapToGrid w:val="0"/>
          <w:lang w:val="en-GB" w:eastAsia="en-US"/>
        </w:rPr>
        <w:t xml:space="preserve">per </w:t>
      </w:r>
      <w:r w:rsidR="00261D38" w:rsidRPr="00261D38">
        <w:rPr>
          <w:snapToGrid w:val="0"/>
          <w:lang w:val="en-GB" w:eastAsia="en-US"/>
        </w:rPr>
        <w:t xml:space="preserve">the </w:t>
      </w:r>
      <w:r w:rsidR="00D37DEA" w:rsidRPr="00261D38">
        <w:rPr>
          <w:snapToGrid w:val="0"/>
          <w:lang w:val="en-GB" w:eastAsia="en-US"/>
        </w:rPr>
        <w:t xml:space="preserve">DUSC </w:t>
      </w:r>
      <w:r w:rsidR="00B70308" w:rsidRPr="00261D38">
        <w:rPr>
          <w:snapToGrid w:val="0"/>
          <w:lang w:val="en-GB" w:eastAsia="en-US"/>
        </w:rPr>
        <w:t>advi</w:t>
      </w:r>
      <w:r w:rsidR="00D37DEA" w:rsidRPr="00261D38">
        <w:rPr>
          <w:snapToGrid w:val="0"/>
          <w:lang w:val="en-GB" w:eastAsia="en-US"/>
        </w:rPr>
        <w:t>ce</w:t>
      </w:r>
      <w:r w:rsidR="00426910">
        <w:rPr>
          <w:snapToGrid w:val="0"/>
          <w:lang w:val="en-GB" w:eastAsia="en-US"/>
        </w:rPr>
        <w:t xml:space="preserve"> noted in paragraph </w:t>
      </w:r>
      <w:r w:rsidR="00426910">
        <w:rPr>
          <w:snapToGrid w:val="0"/>
          <w:lang w:val="en-GB" w:eastAsia="en-US"/>
        </w:rPr>
        <w:fldChar w:fldCharType="begin"/>
      </w:r>
      <w:r w:rsidR="00426910">
        <w:rPr>
          <w:snapToGrid w:val="0"/>
          <w:lang w:val="en-GB" w:eastAsia="en-US"/>
        </w:rPr>
        <w:instrText xml:space="preserve"> REF _Ref182900504 \r \h </w:instrText>
      </w:r>
      <w:r w:rsidR="00426910">
        <w:rPr>
          <w:snapToGrid w:val="0"/>
          <w:lang w:val="en-GB" w:eastAsia="en-US"/>
        </w:rPr>
      </w:r>
      <w:r w:rsidR="00426910">
        <w:rPr>
          <w:snapToGrid w:val="0"/>
          <w:lang w:val="en-GB" w:eastAsia="en-US"/>
        </w:rPr>
        <w:fldChar w:fldCharType="separate"/>
      </w:r>
      <w:r w:rsidR="00372107">
        <w:rPr>
          <w:snapToGrid w:val="0"/>
          <w:lang w:val="en-GB" w:eastAsia="en-US"/>
        </w:rPr>
        <w:t>7.9</w:t>
      </w:r>
      <w:r w:rsidR="00426910">
        <w:rPr>
          <w:snapToGrid w:val="0"/>
          <w:lang w:val="en-GB" w:eastAsia="en-US"/>
        </w:rPr>
        <w:fldChar w:fldCharType="end"/>
      </w:r>
      <w:r w:rsidR="001654F7" w:rsidRPr="00261D38">
        <w:rPr>
          <w:snapToGrid w:val="0"/>
          <w:lang w:val="en-GB" w:eastAsia="en-US"/>
        </w:rPr>
        <w:t>.</w:t>
      </w:r>
    </w:p>
    <w:p w14:paraId="3872C9C4" w14:textId="3CB3C95B" w:rsidR="001654F7" w:rsidRPr="00261D38" w:rsidRDefault="001654F7" w:rsidP="00EF4C49">
      <w:pPr>
        <w:pStyle w:val="3-BodyText"/>
        <w:rPr>
          <w:bCs/>
          <w:snapToGrid w:val="0"/>
          <w:lang w:val="en-GB" w:eastAsia="en-US"/>
        </w:rPr>
      </w:pPr>
      <w:r w:rsidRPr="00261D38">
        <w:rPr>
          <w:snapToGrid w:val="0"/>
          <w:lang w:val="en-GB" w:eastAsia="en-US"/>
        </w:rPr>
        <w:t xml:space="preserve">The PBAC recommended that </w:t>
      </w:r>
      <w:r w:rsidR="00EA2D95" w:rsidRPr="00261D38">
        <w:rPr>
          <w:bCs/>
          <w:snapToGrid w:val="0"/>
          <w:lang w:val="en-GB" w:eastAsia="en-US"/>
        </w:rPr>
        <w:t>amivantamab</w:t>
      </w:r>
      <w:r w:rsidRPr="00261D38">
        <w:rPr>
          <w:snapToGrid w:val="0"/>
          <w:lang w:val="en-GB" w:eastAsia="en-US"/>
        </w:rPr>
        <w:t xml:space="preserve"> should not be treated as interchangeable with any other drugs.</w:t>
      </w:r>
    </w:p>
    <w:p w14:paraId="7C460B83" w14:textId="02DC4651" w:rsidR="0029502B" w:rsidRDefault="001654F7" w:rsidP="00EF4C49">
      <w:pPr>
        <w:pStyle w:val="3-BodyText"/>
        <w:rPr>
          <w:snapToGrid w:val="0"/>
          <w:lang w:val="en-GB" w:eastAsia="en-US"/>
        </w:rPr>
      </w:pPr>
      <w:r w:rsidRPr="00261D38">
        <w:rPr>
          <w:snapToGrid w:val="0"/>
          <w:lang w:val="en-GB" w:eastAsia="en-US"/>
        </w:rPr>
        <w:t xml:space="preserve">The PBAC advised that </w:t>
      </w:r>
      <w:r w:rsidR="001B5B31" w:rsidRPr="00261D38">
        <w:rPr>
          <w:snapToGrid w:val="0"/>
          <w:lang w:val="en-GB" w:eastAsia="en-US"/>
        </w:rPr>
        <w:t>amivantamab</w:t>
      </w:r>
      <w:r w:rsidRPr="00261D38">
        <w:rPr>
          <w:snapToGrid w:val="0"/>
          <w:lang w:val="en-GB" w:eastAsia="en-US"/>
        </w:rPr>
        <w:t xml:space="preserve"> is suitable for prescribing by medical practitioners</w:t>
      </w:r>
      <w:r w:rsidRPr="00424220">
        <w:rPr>
          <w:snapToGrid w:val="0"/>
          <w:lang w:val="en-GB" w:eastAsia="en-US"/>
        </w:rPr>
        <w:t xml:space="preserve"> only.</w:t>
      </w:r>
    </w:p>
    <w:p w14:paraId="056E0F1B" w14:textId="10B91A88" w:rsidR="00C213A8" w:rsidRPr="00C213A8" w:rsidRDefault="00C213A8" w:rsidP="00EF4C49">
      <w:pPr>
        <w:pStyle w:val="3-BodyText"/>
      </w:pPr>
      <w:r w:rsidRPr="00BF79D3">
        <w:t xml:space="preserve">The PBAC recommended that the Early Supply Rule should not apply to </w:t>
      </w:r>
      <w:r>
        <w:rPr>
          <w:rStyle w:val="null1"/>
        </w:rPr>
        <w:t>amivantamab.</w:t>
      </w:r>
    </w:p>
    <w:p w14:paraId="210694AF" w14:textId="36D6474F" w:rsidR="001A6A9A" w:rsidRPr="001E7592" w:rsidRDefault="001654F7" w:rsidP="00EF4C49">
      <w:pPr>
        <w:pStyle w:val="3-BodyText"/>
        <w:rPr>
          <w:b/>
          <w:lang w:val="en-GB"/>
        </w:rPr>
      </w:pPr>
      <w:r w:rsidRPr="00074B33">
        <w:rPr>
          <w:lang w:val="en-GB" w:eastAsia="en-US"/>
        </w:rPr>
        <w:t xml:space="preserve">The PBAC found that the criteria prescribed by the </w:t>
      </w:r>
      <w:r w:rsidRPr="00074B33">
        <w:rPr>
          <w:i/>
          <w:lang w:val="en-GB" w:eastAsia="en-US"/>
        </w:rPr>
        <w:t>National Health (Pharmaceuticals and Vaccines – Cost Recovery) Regulations 2022</w:t>
      </w:r>
      <w:r w:rsidRPr="00074B33">
        <w:rPr>
          <w:lang w:val="en-GB" w:eastAsia="en-US"/>
        </w:rPr>
        <w:t xml:space="preserve"> for Pricing Pathway A were not met. </w:t>
      </w:r>
      <w:proofErr w:type="gramStart"/>
      <w:r w:rsidR="001A6A9A" w:rsidRPr="00D121C5">
        <w:rPr>
          <w:lang w:val="en-GB"/>
        </w:rPr>
        <w:t>Specifically</w:t>
      </w:r>
      <w:proofErr w:type="gramEnd"/>
      <w:r w:rsidR="001A6A9A" w:rsidRPr="00D121C5">
        <w:rPr>
          <w:lang w:val="en-GB"/>
        </w:rPr>
        <w:t xml:space="preserve"> the PBAC found that in the circumstances of its recommendation for </w:t>
      </w:r>
      <w:r w:rsidR="00CE7667">
        <w:rPr>
          <w:lang w:val="en-GB"/>
        </w:rPr>
        <w:t>amivantamab</w:t>
      </w:r>
      <w:r w:rsidR="001A6A9A" w:rsidRPr="00D121C5">
        <w:rPr>
          <w:lang w:val="en-GB"/>
        </w:rPr>
        <w:t>:</w:t>
      </w:r>
    </w:p>
    <w:p w14:paraId="6D64B8BF" w14:textId="3A98E0B3" w:rsidR="00140FEC" w:rsidRDefault="001E7592" w:rsidP="00635FC5">
      <w:pPr>
        <w:pStyle w:val="3-BodyText"/>
        <w:numPr>
          <w:ilvl w:val="1"/>
          <w:numId w:val="44"/>
        </w:numPr>
        <w:ind w:left="1134"/>
        <w:rPr>
          <w:lang w:val="en-GB"/>
        </w:rPr>
      </w:pPr>
      <w:r>
        <w:rPr>
          <w:lang w:val="en-GB"/>
        </w:rPr>
        <w:t xml:space="preserve">The treatment is </w:t>
      </w:r>
      <w:r w:rsidR="004A17BC">
        <w:rPr>
          <w:lang w:val="en-GB"/>
        </w:rPr>
        <w:t xml:space="preserve">not </w:t>
      </w:r>
      <w:r>
        <w:rPr>
          <w:lang w:val="en-GB"/>
        </w:rPr>
        <w:t>expected to provide a</w:t>
      </w:r>
      <w:r w:rsidR="004A17BC">
        <w:rPr>
          <w:lang w:val="en-GB"/>
        </w:rPr>
        <w:t xml:space="preserve"> substantial</w:t>
      </w:r>
      <w:r>
        <w:rPr>
          <w:lang w:val="en-GB"/>
        </w:rPr>
        <w:t xml:space="preserve"> improvement in </w:t>
      </w:r>
      <w:r w:rsidR="00335413">
        <w:rPr>
          <w:lang w:val="en-GB"/>
        </w:rPr>
        <w:t>efficacy</w:t>
      </w:r>
      <w:r w:rsidR="00EC5EF4">
        <w:rPr>
          <w:lang w:val="en-GB"/>
        </w:rPr>
        <w:t xml:space="preserve"> compared to </w:t>
      </w:r>
      <w:r w:rsidR="004F5A60">
        <w:rPr>
          <w:lang w:val="en-GB"/>
        </w:rPr>
        <w:t>PBC</w:t>
      </w:r>
      <w:r w:rsidR="004A17BC">
        <w:rPr>
          <w:lang w:val="en-GB"/>
        </w:rPr>
        <w:t xml:space="preserve"> but is expected to provide a moderate benefit in terms of </w:t>
      </w:r>
      <w:proofErr w:type="gramStart"/>
      <w:r w:rsidR="004A17BC">
        <w:rPr>
          <w:lang w:val="en-GB"/>
        </w:rPr>
        <w:t>PFS</w:t>
      </w:r>
      <w:r w:rsidR="00EC41D8">
        <w:rPr>
          <w:lang w:val="en-GB"/>
        </w:rPr>
        <w:t>;</w:t>
      </w:r>
      <w:proofErr w:type="gramEnd"/>
    </w:p>
    <w:p w14:paraId="69348ED6" w14:textId="3D400CFA" w:rsidR="00E41215" w:rsidRDefault="00233132" w:rsidP="00635FC5">
      <w:pPr>
        <w:pStyle w:val="3-BodyText"/>
        <w:numPr>
          <w:ilvl w:val="1"/>
          <w:numId w:val="44"/>
        </w:numPr>
        <w:ind w:left="1134"/>
        <w:rPr>
          <w:lang w:val="en-GB"/>
        </w:rPr>
      </w:pPr>
      <w:r>
        <w:rPr>
          <w:lang w:val="en-GB"/>
        </w:rPr>
        <w:t xml:space="preserve">The treatment is not expected to address an urgent clinical need because </w:t>
      </w:r>
      <w:r w:rsidR="00B326D9">
        <w:rPr>
          <w:lang w:val="en-GB"/>
        </w:rPr>
        <w:t>alternative</w:t>
      </w:r>
      <w:r>
        <w:rPr>
          <w:lang w:val="en-GB"/>
        </w:rPr>
        <w:t xml:space="preserve"> therapies </w:t>
      </w:r>
      <w:r w:rsidR="00B326D9">
        <w:rPr>
          <w:lang w:val="en-GB"/>
        </w:rPr>
        <w:t xml:space="preserve">(PBC) </w:t>
      </w:r>
      <w:r>
        <w:rPr>
          <w:lang w:val="en-GB"/>
        </w:rPr>
        <w:t xml:space="preserve">are PBS </w:t>
      </w:r>
      <w:proofErr w:type="gramStart"/>
      <w:r>
        <w:rPr>
          <w:lang w:val="en-GB"/>
        </w:rPr>
        <w:t>listed;</w:t>
      </w:r>
      <w:proofErr w:type="gramEnd"/>
    </w:p>
    <w:p w14:paraId="05C061FE" w14:textId="658D00CE" w:rsidR="001E7592" w:rsidRPr="00140FEC" w:rsidRDefault="0012605A" w:rsidP="00635FC5">
      <w:pPr>
        <w:pStyle w:val="3-BodyText"/>
        <w:numPr>
          <w:ilvl w:val="1"/>
          <w:numId w:val="44"/>
        </w:numPr>
        <w:ind w:left="1134"/>
        <w:rPr>
          <w:lang w:val="en-GB"/>
        </w:rPr>
      </w:pPr>
      <w:r w:rsidRPr="00140FEC">
        <w:t>It was not necessary to make a finding in relation to whether it would be in the public interest for the subsequent pricing application to be progressed under Pricing Pathway A because one or more of the preceding tests had failed</w:t>
      </w:r>
      <w:r w:rsidR="00140FEC" w:rsidRPr="00140FEC">
        <w:t>.</w:t>
      </w:r>
    </w:p>
    <w:p w14:paraId="50FF0A5B" w14:textId="670FAA8D" w:rsidR="001654F7" w:rsidRPr="00AD7026" w:rsidRDefault="00AD7026" w:rsidP="00EF4C49">
      <w:pPr>
        <w:pStyle w:val="3-BodyText"/>
      </w:pPr>
      <w:r>
        <w:t xml:space="preserve">The PBAC noted that this submission is not eligible for an Independent Review as it received a positive recommendation. </w:t>
      </w:r>
    </w:p>
    <w:p w14:paraId="633D1FB8" w14:textId="77777777" w:rsidR="001654F7" w:rsidRPr="001654F7" w:rsidRDefault="001654F7" w:rsidP="001654F7">
      <w:pPr>
        <w:spacing w:before="240"/>
        <w:rPr>
          <w:rFonts w:asciiTheme="minorHAnsi" w:hAnsiTheme="minorHAnsi"/>
          <w:b/>
          <w:bCs/>
          <w:snapToGrid w:val="0"/>
          <w:lang w:val="en-GB" w:eastAsia="en-US"/>
        </w:rPr>
      </w:pPr>
      <w:r w:rsidRPr="001654F7">
        <w:rPr>
          <w:rFonts w:asciiTheme="minorHAnsi" w:hAnsiTheme="minorHAnsi"/>
          <w:b/>
          <w:bCs/>
          <w:snapToGrid w:val="0"/>
          <w:lang w:val="en-GB" w:eastAsia="en-US"/>
        </w:rPr>
        <w:t>Outcome:</w:t>
      </w:r>
    </w:p>
    <w:p w14:paraId="29422A42" w14:textId="6D4D1E10" w:rsidR="001654F7" w:rsidRDefault="001654F7" w:rsidP="00A2335C">
      <w:pPr>
        <w:spacing w:after="120"/>
        <w:rPr>
          <w:rFonts w:asciiTheme="minorHAnsi" w:hAnsiTheme="minorHAnsi"/>
          <w:bCs/>
          <w:snapToGrid w:val="0"/>
          <w:lang w:val="en-GB" w:eastAsia="en-US"/>
        </w:rPr>
      </w:pPr>
      <w:r w:rsidRPr="00EE6328">
        <w:rPr>
          <w:rFonts w:asciiTheme="minorHAnsi" w:hAnsiTheme="minorHAnsi"/>
          <w:snapToGrid w:val="0"/>
          <w:lang w:val="en-GB" w:eastAsia="en-US"/>
        </w:rPr>
        <w:t>Recommended</w:t>
      </w:r>
    </w:p>
    <w:bookmarkEnd w:id="120"/>
    <w:p w14:paraId="06D9D25B" w14:textId="77777777" w:rsidR="001654F7" w:rsidRPr="001654F7" w:rsidRDefault="001654F7" w:rsidP="001654F7">
      <w:pPr>
        <w:keepNext/>
        <w:numPr>
          <w:ilvl w:val="0"/>
          <w:numId w:val="5"/>
        </w:numPr>
        <w:spacing w:before="240" w:after="120"/>
        <w:jc w:val="left"/>
        <w:outlineLvl w:val="0"/>
        <w:rPr>
          <w:rFonts w:asciiTheme="minorHAnsi" w:hAnsiTheme="minorHAnsi"/>
          <w:b/>
          <w:snapToGrid w:val="0"/>
          <w:sz w:val="32"/>
          <w:szCs w:val="32"/>
        </w:rPr>
      </w:pPr>
      <w:r w:rsidRPr="001654F7">
        <w:rPr>
          <w:rFonts w:asciiTheme="minorHAnsi" w:hAnsiTheme="minorHAnsi"/>
          <w:b/>
          <w:snapToGrid w:val="0"/>
          <w:sz w:val="32"/>
          <w:szCs w:val="32"/>
        </w:rPr>
        <w:lastRenderedPageBreak/>
        <w:t>Recommended listing</w:t>
      </w:r>
    </w:p>
    <w:p w14:paraId="3C836E10" w14:textId="77777777" w:rsidR="001654F7" w:rsidRPr="00A310F7" w:rsidRDefault="001654F7" w:rsidP="00EF4C49">
      <w:pPr>
        <w:pStyle w:val="3-BodyText"/>
        <w:rPr>
          <w:snapToGrid w:val="0"/>
          <w:lang w:eastAsia="en-US"/>
        </w:rPr>
      </w:pPr>
      <w:r w:rsidRPr="00A310F7">
        <w:t>Add</w:t>
      </w:r>
      <w:r w:rsidRPr="00A310F7">
        <w:rPr>
          <w:snapToGrid w:val="0"/>
          <w:lang w:eastAsia="en-US"/>
        </w:rPr>
        <w:t xml:space="preserve"> new item:</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573"/>
        <w:gridCol w:w="2387"/>
        <w:gridCol w:w="2181"/>
        <w:gridCol w:w="1926"/>
      </w:tblGrid>
      <w:tr w:rsidR="27CFF59B" w14:paraId="7D32B584" w14:textId="77777777" w:rsidTr="0095653A">
        <w:trPr>
          <w:trHeight w:val="15"/>
        </w:trPr>
        <w:tc>
          <w:tcPr>
            <w:tcW w:w="2573" w:type="dxa"/>
            <w:tcMar>
              <w:left w:w="108" w:type="dxa"/>
              <w:right w:w="108" w:type="dxa"/>
            </w:tcMar>
            <w:vAlign w:val="center"/>
          </w:tcPr>
          <w:bookmarkEnd w:id="121"/>
          <w:bookmarkEnd w:id="122"/>
          <w:p w14:paraId="0A23E73D" w14:textId="65AD5503" w:rsidR="27CFF59B" w:rsidRDefault="27CFF59B">
            <w:pPr>
              <w:rPr>
                <w:rFonts w:ascii="Arial Narrow" w:eastAsia="Arial Narrow" w:hAnsi="Arial Narrow" w:cs="Arial Narrow"/>
                <w:b/>
                <w:bCs/>
                <w:sz w:val="20"/>
                <w:szCs w:val="20"/>
              </w:rPr>
            </w:pPr>
            <w:r w:rsidRPr="27CFF59B">
              <w:rPr>
                <w:rFonts w:ascii="Arial Narrow" w:eastAsia="Arial Narrow" w:hAnsi="Arial Narrow" w:cs="Arial Narrow"/>
                <w:b/>
                <w:bCs/>
                <w:sz w:val="20"/>
                <w:szCs w:val="20"/>
              </w:rPr>
              <w:t>MEDICINAL PRODUCT</w:t>
            </w:r>
          </w:p>
        </w:tc>
        <w:tc>
          <w:tcPr>
            <w:tcW w:w="2387" w:type="dxa"/>
            <w:tcMar>
              <w:left w:w="108" w:type="dxa"/>
              <w:right w:w="108" w:type="dxa"/>
            </w:tcMar>
            <w:vAlign w:val="center"/>
          </w:tcPr>
          <w:p w14:paraId="383089CE" w14:textId="3B4C3118" w:rsidR="27CFF59B" w:rsidRDefault="27CFF59B" w:rsidP="00A004DA">
            <w:pPr>
              <w:jc w:val="center"/>
              <w:rPr>
                <w:rFonts w:ascii="Arial Narrow" w:eastAsia="Arial Narrow" w:hAnsi="Arial Narrow" w:cs="Arial Narrow"/>
                <w:b/>
                <w:bCs/>
                <w:sz w:val="20"/>
                <w:szCs w:val="20"/>
              </w:rPr>
            </w:pPr>
            <w:r w:rsidRPr="27CFF59B">
              <w:rPr>
                <w:rFonts w:ascii="Arial Narrow" w:eastAsia="Arial Narrow" w:hAnsi="Arial Narrow" w:cs="Arial Narrow"/>
                <w:b/>
                <w:bCs/>
                <w:sz w:val="20"/>
                <w:szCs w:val="20"/>
              </w:rPr>
              <w:t>PBS item code</w:t>
            </w:r>
          </w:p>
        </w:tc>
        <w:tc>
          <w:tcPr>
            <w:tcW w:w="2181" w:type="dxa"/>
            <w:tcMar>
              <w:left w:w="108" w:type="dxa"/>
              <w:right w:w="108" w:type="dxa"/>
            </w:tcMar>
            <w:vAlign w:val="center"/>
          </w:tcPr>
          <w:p w14:paraId="7D6CBEE4" w14:textId="49C17336" w:rsidR="27CFF59B" w:rsidRDefault="27CFF59B" w:rsidP="00A004DA">
            <w:pPr>
              <w:jc w:val="center"/>
              <w:rPr>
                <w:rFonts w:ascii="Arial Narrow" w:eastAsia="Arial Narrow" w:hAnsi="Arial Narrow" w:cs="Arial Narrow"/>
                <w:b/>
                <w:bCs/>
                <w:sz w:val="20"/>
                <w:szCs w:val="20"/>
              </w:rPr>
            </w:pPr>
            <w:r w:rsidRPr="27CFF59B">
              <w:rPr>
                <w:rFonts w:ascii="Arial Narrow" w:eastAsia="Arial Narrow" w:hAnsi="Arial Narrow" w:cs="Arial Narrow"/>
                <w:b/>
                <w:bCs/>
                <w:sz w:val="20"/>
                <w:szCs w:val="20"/>
              </w:rPr>
              <w:t>Max. Amount</w:t>
            </w:r>
          </w:p>
        </w:tc>
        <w:tc>
          <w:tcPr>
            <w:tcW w:w="1926" w:type="dxa"/>
            <w:tcMar>
              <w:left w:w="108" w:type="dxa"/>
              <w:right w:w="108" w:type="dxa"/>
            </w:tcMar>
            <w:vAlign w:val="center"/>
          </w:tcPr>
          <w:p w14:paraId="5533ED85" w14:textId="4D308173" w:rsidR="27CFF59B" w:rsidRDefault="27CFF59B" w:rsidP="0095653A">
            <w:pPr>
              <w:jc w:val="center"/>
              <w:rPr>
                <w:rFonts w:ascii="Arial Narrow" w:eastAsia="Arial Narrow" w:hAnsi="Arial Narrow" w:cs="Arial Narrow"/>
                <w:b/>
                <w:bCs/>
                <w:sz w:val="20"/>
                <w:szCs w:val="20"/>
              </w:rPr>
            </w:pPr>
            <w:r w:rsidRPr="27CFF59B">
              <w:rPr>
                <w:rFonts w:ascii="Arial Narrow" w:eastAsia="Arial Narrow" w:hAnsi="Arial Narrow" w:cs="Arial Narrow"/>
                <w:b/>
                <w:bCs/>
                <w:sz w:val="20"/>
                <w:szCs w:val="20"/>
              </w:rPr>
              <w:t>№. of Rpts</w:t>
            </w:r>
          </w:p>
        </w:tc>
      </w:tr>
      <w:tr w:rsidR="27CFF59B" w14:paraId="12E1BB54" w14:textId="77777777" w:rsidTr="7A1DEC4B">
        <w:trPr>
          <w:trHeight w:val="15"/>
        </w:trPr>
        <w:tc>
          <w:tcPr>
            <w:tcW w:w="2573" w:type="dxa"/>
            <w:tcMar>
              <w:left w:w="108" w:type="dxa"/>
              <w:right w:w="108" w:type="dxa"/>
            </w:tcMar>
            <w:vAlign w:val="center"/>
          </w:tcPr>
          <w:p w14:paraId="037B5B29" w14:textId="46DF6EB4" w:rsidR="27CFF59B" w:rsidRDefault="7F909797" w:rsidP="004E6322">
            <w:pPr>
              <w:ind w:left="-108"/>
              <w:rPr>
                <w:rFonts w:ascii="Arial Narrow" w:eastAsia="Arial Narrow" w:hAnsi="Arial Narrow" w:cs="Arial Narrow"/>
                <w:sz w:val="20"/>
                <w:szCs w:val="20"/>
              </w:rPr>
            </w:pPr>
            <w:r w:rsidRPr="5EF5EEBD">
              <w:rPr>
                <w:rFonts w:ascii="Arial Narrow" w:eastAsia="Arial Narrow" w:hAnsi="Arial Narrow" w:cs="Arial Narrow"/>
                <w:sz w:val="20"/>
                <w:szCs w:val="20"/>
              </w:rPr>
              <w:t xml:space="preserve"> </w:t>
            </w:r>
            <w:r w:rsidR="27CFF59B" w:rsidRPr="27CFF59B">
              <w:rPr>
                <w:rFonts w:ascii="Arial Narrow" w:eastAsia="Arial Narrow" w:hAnsi="Arial Narrow" w:cs="Arial Narrow"/>
                <w:sz w:val="20"/>
                <w:szCs w:val="20"/>
              </w:rPr>
              <w:t>AMIVANTAMAB</w:t>
            </w:r>
          </w:p>
        </w:tc>
        <w:tc>
          <w:tcPr>
            <w:tcW w:w="2387" w:type="dxa"/>
            <w:tcMar>
              <w:left w:w="108" w:type="dxa"/>
              <w:right w:w="108" w:type="dxa"/>
            </w:tcMar>
            <w:vAlign w:val="center"/>
          </w:tcPr>
          <w:p w14:paraId="349C02E2" w14:textId="03A45648" w:rsidR="27CFF59B" w:rsidRDefault="27CFF59B" w:rsidP="00A004DA">
            <w:pPr>
              <w:jc w:val="center"/>
              <w:rPr>
                <w:rFonts w:ascii="Arial Narrow" w:eastAsia="Arial Narrow" w:hAnsi="Arial Narrow" w:cs="Arial Narrow"/>
                <w:sz w:val="20"/>
                <w:szCs w:val="20"/>
              </w:rPr>
            </w:pPr>
            <w:r w:rsidRPr="27CFF59B">
              <w:rPr>
                <w:rFonts w:ascii="Arial Narrow" w:eastAsia="Arial Narrow" w:hAnsi="Arial Narrow" w:cs="Arial Narrow"/>
                <w:sz w:val="20"/>
                <w:szCs w:val="20"/>
              </w:rPr>
              <w:t>New (Public)</w:t>
            </w:r>
          </w:p>
          <w:p w14:paraId="5C1E52EB" w14:textId="3D2FBF65" w:rsidR="27CFF59B" w:rsidRDefault="27CFF59B" w:rsidP="00A004DA">
            <w:pPr>
              <w:jc w:val="center"/>
              <w:rPr>
                <w:rFonts w:ascii="Arial Narrow" w:eastAsia="Arial Narrow" w:hAnsi="Arial Narrow" w:cs="Arial Narrow"/>
                <w:sz w:val="20"/>
                <w:szCs w:val="20"/>
              </w:rPr>
            </w:pPr>
            <w:r w:rsidRPr="27CFF59B">
              <w:rPr>
                <w:rFonts w:ascii="Arial Narrow" w:eastAsia="Arial Narrow" w:hAnsi="Arial Narrow" w:cs="Arial Narrow"/>
                <w:sz w:val="20"/>
                <w:szCs w:val="20"/>
              </w:rPr>
              <w:t>New (Private)</w:t>
            </w:r>
          </w:p>
        </w:tc>
        <w:tc>
          <w:tcPr>
            <w:tcW w:w="2181" w:type="dxa"/>
            <w:tcMar>
              <w:left w:w="108" w:type="dxa"/>
              <w:right w:w="108" w:type="dxa"/>
            </w:tcMar>
            <w:vAlign w:val="center"/>
          </w:tcPr>
          <w:p w14:paraId="46ADA2A7" w14:textId="29750198" w:rsidR="27CFF59B" w:rsidRDefault="27CFF59B" w:rsidP="00A004DA">
            <w:pPr>
              <w:jc w:val="center"/>
              <w:rPr>
                <w:rFonts w:ascii="Arial Narrow" w:eastAsia="Arial Narrow" w:hAnsi="Arial Narrow" w:cs="Arial Narrow"/>
                <w:sz w:val="20"/>
                <w:szCs w:val="20"/>
              </w:rPr>
            </w:pPr>
            <w:r w:rsidRPr="27CFF59B">
              <w:rPr>
                <w:rFonts w:ascii="Arial Narrow" w:eastAsia="Arial Narrow" w:hAnsi="Arial Narrow" w:cs="Arial Narrow"/>
                <w:sz w:val="20"/>
                <w:szCs w:val="20"/>
              </w:rPr>
              <w:t>2100 mg</w:t>
            </w:r>
          </w:p>
        </w:tc>
        <w:tc>
          <w:tcPr>
            <w:tcW w:w="1926" w:type="dxa"/>
            <w:tcMar>
              <w:left w:w="108" w:type="dxa"/>
              <w:right w:w="108" w:type="dxa"/>
            </w:tcMar>
            <w:vAlign w:val="center"/>
          </w:tcPr>
          <w:p w14:paraId="6D592440" w14:textId="56DF5564" w:rsidR="27CFF59B" w:rsidRDefault="27CFF59B" w:rsidP="00A004DA">
            <w:pPr>
              <w:jc w:val="center"/>
              <w:rPr>
                <w:rFonts w:ascii="Arial Narrow" w:eastAsia="Arial Narrow" w:hAnsi="Arial Narrow" w:cs="Arial Narrow"/>
                <w:sz w:val="20"/>
                <w:szCs w:val="20"/>
              </w:rPr>
            </w:pPr>
            <w:r w:rsidRPr="27CFF59B">
              <w:rPr>
                <w:rFonts w:ascii="Arial Narrow" w:eastAsia="Arial Narrow" w:hAnsi="Arial Narrow" w:cs="Arial Narrow"/>
                <w:sz w:val="20"/>
                <w:szCs w:val="20"/>
              </w:rPr>
              <w:t>5</w:t>
            </w:r>
          </w:p>
        </w:tc>
      </w:tr>
      <w:tr w:rsidR="27CFF59B" w14:paraId="131A94FA" w14:textId="77777777" w:rsidTr="7A1DEC4B">
        <w:trPr>
          <w:trHeight w:val="15"/>
        </w:trPr>
        <w:tc>
          <w:tcPr>
            <w:tcW w:w="9067" w:type="dxa"/>
            <w:gridSpan w:val="4"/>
            <w:tcMar>
              <w:left w:w="108" w:type="dxa"/>
              <w:right w:w="108" w:type="dxa"/>
            </w:tcMar>
            <w:vAlign w:val="center"/>
          </w:tcPr>
          <w:p w14:paraId="1C56F46C" w14:textId="4F5178C9" w:rsidR="27CFF59B" w:rsidRDefault="27CFF59B">
            <w:pPr>
              <w:rPr>
                <w:rFonts w:ascii="Arial Narrow" w:eastAsia="Arial Narrow" w:hAnsi="Arial Narrow" w:cs="Arial Narrow"/>
                <w:b/>
                <w:bCs/>
                <w:sz w:val="20"/>
                <w:szCs w:val="20"/>
              </w:rPr>
            </w:pPr>
            <w:r w:rsidRPr="27CFF59B">
              <w:rPr>
                <w:rFonts w:ascii="Arial Narrow" w:eastAsia="Arial Narrow" w:hAnsi="Arial Narrow" w:cs="Arial Narrow"/>
                <w:b/>
                <w:bCs/>
                <w:sz w:val="20"/>
                <w:szCs w:val="20"/>
              </w:rPr>
              <w:t>Available brands</w:t>
            </w:r>
          </w:p>
        </w:tc>
      </w:tr>
      <w:tr w:rsidR="27CFF59B" w14:paraId="3DBEF679" w14:textId="77777777" w:rsidTr="7A1DEC4B">
        <w:trPr>
          <w:trHeight w:val="15"/>
        </w:trPr>
        <w:tc>
          <w:tcPr>
            <w:tcW w:w="9067" w:type="dxa"/>
            <w:gridSpan w:val="4"/>
            <w:tcMar>
              <w:left w:w="108" w:type="dxa"/>
              <w:right w:w="108" w:type="dxa"/>
            </w:tcMar>
            <w:vAlign w:val="center"/>
          </w:tcPr>
          <w:p w14:paraId="7F43CBB7" w14:textId="14ED6F2D" w:rsidR="27CFF59B" w:rsidRDefault="27CFF59B">
            <w:pPr>
              <w:rPr>
                <w:rFonts w:ascii="Arial Narrow" w:eastAsia="Arial Narrow" w:hAnsi="Arial Narrow" w:cs="Arial Narrow"/>
                <w:sz w:val="20"/>
                <w:szCs w:val="20"/>
              </w:rPr>
            </w:pPr>
            <w:proofErr w:type="spellStart"/>
            <w:r w:rsidRPr="27CFF59B">
              <w:rPr>
                <w:rFonts w:ascii="Arial Narrow" w:eastAsia="Arial Narrow" w:hAnsi="Arial Narrow" w:cs="Arial Narrow"/>
                <w:sz w:val="20"/>
                <w:szCs w:val="20"/>
              </w:rPr>
              <w:t>Rybrevant</w:t>
            </w:r>
            <w:proofErr w:type="spellEnd"/>
          </w:p>
          <w:p w14:paraId="0CFAF3FB" w14:textId="48F13F78" w:rsidR="27CFF59B" w:rsidRDefault="27CFF59B">
            <w:pPr>
              <w:rPr>
                <w:rFonts w:ascii="Arial Narrow" w:eastAsia="Arial Narrow" w:hAnsi="Arial Narrow" w:cs="Arial Narrow"/>
                <w:sz w:val="20"/>
                <w:szCs w:val="20"/>
              </w:rPr>
            </w:pPr>
            <w:r w:rsidRPr="27CFF59B">
              <w:rPr>
                <w:rFonts w:ascii="Arial Narrow" w:eastAsia="Arial Narrow" w:hAnsi="Arial Narrow" w:cs="Arial Narrow"/>
                <w:sz w:val="20"/>
                <w:szCs w:val="20"/>
              </w:rPr>
              <w:t>amivantamab 350 mg/7 mL injection, 7 mL vial</w:t>
            </w:r>
          </w:p>
        </w:tc>
      </w:tr>
      <w:tr w:rsidR="27CFF59B" w14:paraId="5ABE68E8" w14:textId="77777777" w:rsidTr="7A1DEC4B">
        <w:trPr>
          <w:trHeight w:val="15"/>
        </w:trPr>
        <w:tc>
          <w:tcPr>
            <w:tcW w:w="9067" w:type="dxa"/>
            <w:gridSpan w:val="4"/>
            <w:tcMar>
              <w:top w:w="15" w:type="dxa"/>
              <w:left w:w="108" w:type="dxa"/>
              <w:bottom w:w="15" w:type="dxa"/>
              <w:right w:w="108" w:type="dxa"/>
            </w:tcMar>
            <w:vAlign w:val="center"/>
          </w:tcPr>
          <w:p w14:paraId="5DCA86FB" w14:textId="51A01CB9" w:rsidR="27CFF59B" w:rsidRDefault="27CFF59B">
            <w:pPr>
              <w:rPr>
                <w:rFonts w:ascii="Arial Narrow" w:eastAsia="Arial Narrow" w:hAnsi="Arial Narrow" w:cs="Arial Narrow"/>
                <w:sz w:val="20"/>
                <w:szCs w:val="20"/>
              </w:rPr>
            </w:pPr>
            <w:r w:rsidRPr="27CFF59B">
              <w:rPr>
                <w:rFonts w:ascii="Arial Narrow" w:eastAsia="Arial Narrow" w:hAnsi="Arial Narrow" w:cs="Arial Narrow"/>
                <w:sz w:val="20"/>
                <w:szCs w:val="20"/>
              </w:rPr>
              <w:t xml:space="preserve"> </w:t>
            </w:r>
          </w:p>
        </w:tc>
      </w:tr>
      <w:tr w:rsidR="00BB5859" w14:paraId="2DCB2596" w14:textId="77777777" w:rsidTr="7A1DEC4B">
        <w:trPr>
          <w:trHeight w:val="15"/>
        </w:trPr>
        <w:tc>
          <w:tcPr>
            <w:tcW w:w="9067" w:type="dxa"/>
            <w:gridSpan w:val="4"/>
            <w:tcMar>
              <w:top w:w="15" w:type="dxa"/>
              <w:left w:w="108" w:type="dxa"/>
              <w:bottom w:w="15" w:type="dxa"/>
              <w:right w:w="108" w:type="dxa"/>
            </w:tcMar>
          </w:tcPr>
          <w:p w14:paraId="0B578B12" w14:textId="2BB29D72" w:rsidR="00BB5859" w:rsidRDefault="00BB5859">
            <w:pPr>
              <w:rPr>
                <w:rFonts w:ascii="Arial Narrow" w:eastAsia="Arial Narrow" w:hAnsi="Arial Narrow" w:cs="Arial Narrow"/>
                <w:sz w:val="20"/>
                <w:szCs w:val="20"/>
              </w:rPr>
            </w:pPr>
            <w:r w:rsidRPr="27CFF59B">
              <w:rPr>
                <w:rFonts w:ascii="Arial Narrow" w:eastAsia="Arial Narrow" w:hAnsi="Arial Narrow" w:cs="Arial Narrow"/>
                <w:b/>
                <w:bCs/>
                <w:sz w:val="20"/>
                <w:szCs w:val="20"/>
              </w:rPr>
              <w:t>Category / Program:</w:t>
            </w:r>
            <w:r w:rsidRPr="27CFF59B">
              <w:rPr>
                <w:rFonts w:ascii="Arial Narrow" w:eastAsia="Arial Narrow" w:hAnsi="Arial Narrow" w:cs="Arial Narrow"/>
                <w:color w:val="FF0000"/>
                <w:sz w:val="20"/>
                <w:szCs w:val="20"/>
              </w:rPr>
              <w:t xml:space="preserve"> </w:t>
            </w:r>
            <w:r w:rsidRPr="27CFF59B">
              <w:rPr>
                <w:rFonts w:ascii="Arial Narrow" w:eastAsia="Arial Narrow" w:hAnsi="Arial Narrow" w:cs="Arial Narrow"/>
                <w:sz w:val="20"/>
                <w:szCs w:val="20"/>
              </w:rPr>
              <w:t>Section 100 – Efficient Funding of Chemotherapy – Public (HB)/ Private (HS)</w:t>
            </w:r>
          </w:p>
        </w:tc>
      </w:tr>
      <w:tr w:rsidR="00BB5859" w14:paraId="169DD4C4" w14:textId="77777777" w:rsidTr="7A1DEC4B">
        <w:trPr>
          <w:trHeight w:val="15"/>
        </w:trPr>
        <w:tc>
          <w:tcPr>
            <w:tcW w:w="9067" w:type="dxa"/>
            <w:gridSpan w:val="4"/>
            <w:vAlign w:val="center"/>
          </w:tcPr>
          <w:p w14:paraId="2CC663DC" w14:textId="5FAD4842" w:rsidR="00BB5859" w:rsidRDefault="00BB5859">
            <w:pPr>
              <w:rPr>
                <w:rFonts w:ascii="Arial Narrow" w:eastAsia="Arial Narrow" w:hAnsi="Arial Narrow" w:cs="Arial Narrow"/>
                <w:sz w:val="20"/>
                <w:szCs w:val="20"/>
              </w:rPr>
            </w:pPr>
            <w:r w:rsidRPr="27CFF59B">
              <w:rPr>
                <w:rFonts w:ascii="Arial Narrow" w:eastAsia="Arial Narrow" w:hAnsi="Arial Narrow" w:cs="Arial Narrow"/>
                <w:b/>
                <w:bCs/>
                <w:sz w:val="20"/>
                <w:szCs w:val="20"/>
              </w:rPr>
              <w:t>Prescriber type:</w:t>
            </w:r>
            <w:r w:rsidRPr="76F8C23E">
              <w:rPr>
                <w:rFonts w:ascii="Arial Narrow" w:eastAsia="Arial Narrow" w:hAnsi="Arial Narrow" w:cs="Arial Narrow"/>
                <w:b/>
                <w:bCs/>
                <w:sz w:val="20"/>
                <w:szCs w:val="20"/>
              </w:rPr>
              <w:t xml:space="preserve"> </w:t>
            </w:r>
            <w:r w:rsidRPr="27CFF59B">
              <w:rPr>
                <w:rFonts w:ascii="Arial Narrow" w:eastAsia="Arial Narrow" w:hAnsi="Arial Narrow" w:cs="Arial Narrow"/>
                <w:sz w:val="20"/>
                <w:szCs w:val="20"/>
              </w:rPr>
              <w:t xml:space="preserve">Medical Practitioners </w:t>
            </w:r>
          </w:p>
        </w:tc>
      </w:tr>
      <w:tr w:rsidR="00BB5859" w14:paraId="57FEE2D9" w14:textId="77777777" w:rsidTr="7A1DEC4B">
        <w:trPr>
          <w:trHeight w:val="15"/>
        </w:trPr>
        <w:tc>
          <w:tcPr>
            <w:tcW w:w="9067" w:type="dxa"/>
            <w:gridSpan w:val="4"/>
            <w:vAlign w:val="center"/>
          </w:tcPr>
          <w:p w14:paraId="2E744893" w14:textId="22460461" w:rsidR="00BB5859" w:rsidRDefault="00BB5859">
            <w:pPr>
              <w:rPr>
                <w:rFonts w:ascii="Arial Narrow" w:eastAsia="Arial Narrow" w:hAnsi="Arial Narrow" w:cs="Arial Narrow"/>
                <w:sz w:val="20"/>
                <w:szCs w:val="20"/>
              </w:rPr>
            </w:pPr>
            <w:r w:rsidRPr="27CFF59B">
              <w:rPr>
                <w:rFonts w:ascii="Arial Narrow" w:eastAsia="Arial Narrow" w:hAnsi="Arial Narrow" w:cs="Arial Narrow"/>
                <w:b/>
                <w:bCs/>
                <w:sz w:val="20"/>
                <w:szCs w:val="20"/>
              </w:rPr>
              <w:t>Benefit type:</w:t>
            </w:r>
            <w:r w:rsidRPr="32AE518D">
              <w:rPr>
                <w:rFonts w:ascii="Arial Narrow" w:eastAsia="Arial Narrow" w:hAnsi="Arial Narrow" w:cs="Arial Narrow"/>
                <w:b/>
                <w:bCs/>
                <w:sz w:val="20"/>
                <w:szCs w:val="20"/>
              </w:rPr>
              <w:t xml:space="preserve"> </w:t>
            </w:r>
            <w:r w:rsidRPr="27CFF59B">
              <w:rPr>
                <w:rFonts w:ascii="Arial Narrow" w:eastAsia="Arial Narrow" w:hAnsi="Arial Narrow" w:cs="Arial Narrow"/>
                <w:sz w:val="20"/>
                <w:szCs w:val="20"/>
              </w:rPr>
              <w:t>Authority Required (immediate assessment- telephone/online application avenues)</w:t>
            </w:r>
          </w:p>
        </w:tc>
      </w:tr>
      <w:tr w:rsidR="00BB5859" w14:paraId="14077039" w14:textId="77777777" w:rsidTr="7A1DEC4B">
        <w:trPr>
          <w:trHeight w:val="15"/>
        </w:trPr>
        <w:tc>
          <w:tcPr>
            <w:tcW w:w="9067" w:type="dxa"/>
            <w:gridSpan w:val="4"/>
            <w:tcMar>
              <w:top w:w="15" w:type="dxa"/>
              <w:left w:w="108" w:type="dxa"/>
              <w:bottom w:w="15" w:type="dxa"/>
              <w:right w:w="108" w:type="dxa"/>
            </w:tcMar>
            <w:vAlign w:val="center"/>
          </w:tcPr>
          <w:p w14:paraId="70144F81" w14:textId="4D9F6906" w:rsidR="00BB5859" w:rsidRDefault="00BB5859">
            <w:pPr>
              <w:rPr>
                <w:rFonts w:ascii="Arial Narrow" w:eastAsia="Arial Narrow" w:hAnsi="Arial Narrow" w:cs="Arial Narrow"/>
                <w:sz w:val="20"/>
                <w:szCs w:val="20"/>
              </w:rPr>
            </w:pPr>
            <w:r w:rsidRPr="27CFF59B">
              <w:rPr>
                <w:rFonts w:ascii="Arial Narrow" w:eastAsia="Arial Narrow" w:hAnsi="Arial Narrow" w:cs="Arial Narrow"/>
                <w:b/>
                <w:bCs/>
                <w:sz w:val="20"/>
                <w:szCs w:val="20"/>
              </w:rPr>
              <w:t xml:space="preserve">Administrative Advice: </w:t>
            </w:r>
            <w:r w:rsidRPr="27CFF59B">
              <w:rPr>
                <w:rFonts w:ascii="Arial Narrow" w:eastAsia="Arial Narrow" w:hAnsi="Arial Narrow" w:cs="Arial Narrow"/>
                <w:sz w:val="20"/>
                <w:szCs w:val="20"/>
              </w:rPr>
              <w:t>No increase in the maximum amount or number of units may be authorised.</w:t>
            </w:r>
          </w:p>
        </w:tc>
      </w:tr>
      <w:tr w:rsidR="00BB5859" w14:paraId="22789388" w14:textId="77777777" w:rsidTr="7A1DEC4B">
        <w:trPr>
          <w:trHeight w:val="15"/>
        </w:trPr>
        <w:tc>
          <w:tcPr>
            <w:tcW w:w="9067" w:type="dxa"/>
            <w:gridSpan w:val="4"/>
            <w:tcMar>
              <w:top w:w="15" w:type="dxa"/>
              <w:left w:w="108" w:type="dxa"/>
              <w:bottom w:w="15" w:type="dxa"/>
              <w:right w:w="108" w:type="dxa"/>
            </w:tcMar>
            <w:vAlign w:val="center"/>
          </w:tcPr>
          <w:p w14:paraId="025DB92C" w14:textId="017C9407" w:rsidR="00BB5859" w:rsidRDefault="00BB5859">
            <w:pPr>
              <w:rPr>
                <w:rFonts w:ascii="Arial Narrow" w:eastAsia="Arial Narrow" w:hAnsi="Arial Narrow" w:cs="Arial Narrow"/>
                <w:sz w:val="20"/>
                <w:szCs w:val="20"/>
              </w:rPr>
            </w:pPr>
            <w:r w:rsidRPr="27CFF59B">
              <w:rPr>
                <w:rFonts w:ascii="Arial Narrow" w:eastAsia="Arial Narrow" w:hAnsi="Arial Narrow" w:cs="Arial Narrow"/>
                <w:b/>
                <w:bCs/>
                <w:sz w:val="20"/>
                <w:szCs w:val="20"/>
              </w:rPr>
              <w:t xml:space="preserve">Administrative Advice: </w:t>
            </w:r>
            <w:r w:rsidRPr="27CFF59B">
              <w:rPr>
                <w:rFonts w:ascii="Arial Narrow" w:eastAsia="Arial Narrow" w:hAnsi="Arial Narrow" w:cs="Arial Narrow"/>
                <w:sz w:val="20"/>
                <w:szCs w:val="20"/>
              </w:rPr>
              <w:t>No increase in the maximum number of repeats may be authorised.</w:t>
            </w:r>
          </w:p>
        </w:tc>
      </w:tr>
      <w:tr w:rsidR="00BB5859" w14:paraId="4D3386F6" w14:textId="77777777" w:rsidTr="7A1DEC4B">
        <w:trPr>
          <w:trHeight w:val="15"/>
        </w:trPr>
        <w:tc>
          <w:tcPr>
            <w:tcW w:w="9067" w:type="dxa"/>
            <w:gridSpan w:val="4"/>
            <w:tcMar>
              <w:top w:w="15" w:type="dxa"/>
              <w:left w:w="108" w:type="dxa"/>
              <w:bottom w:w="15" w:type="dxa"/>
              <w:right w:w="108" w:type="dxa"/>
            </w:tcMar>
            <w:vAlign w:val="center"/>
          </w:tcPr>
          <w:p w14:paraId="117A55A4" w14:textId="002B1016" w:rsidR="00BB5859" w:rsidRDefault="00BB5859">
            <w:pPr>
              <w:rPr>
                <w:rFonts w:ascii="Arial Narrow" w:eastAsia="Arial Narrow" w:hAnsi="Arial Narrow" w:cs="Arial Narrow"/>
                <w:sz w:val="20"/>
                <w:szCs w:val="20"/>
              </w:rPr>
            </w:pPr>
            <w:r w:rsidRPr="27CFF59B">
              <w:rPr>
                <w:rFonts w:ascii="Arial Narrow" w:eastAsia="Arial Narrow" w:hAnsi="Arial Narrow" w:cs="Arial Narrow"/>
                <w:b/>
                <w:bCs/>
                <w:sz w:val="20"/>
                <w:szCs w:val="20"/>
              </w:rPr>
              <w:t xml:space="preserve">Administrative Advice: </w:t>
            </w:r>
            <w:r w:rsidRPr="27CFF59B">
              <w:rPr>
                <w:rFonts w:ascii="Arial Narrow" w:eastAsia="Arial Narrow" w:hAnsi="Arial Narrow" w:cs="Arial Narrow"/>
                <w:sz w:val="20"/>
                <w:szCs w:val="20"/>
              </w:rPr>
              <w:t>Special Pricing Arrangement apply.</w:t>
            </w:r>
          </w:p>
        </w:tc>
      </w:tr>
      <w:tr w:rsidR="00BB5859" w14:paraId="4F723C40" w14:textId="77777777" w:rsidTr="7A1DEC4B">
        <w:trPr>
          <w:trHeight w:val="15"/>
        </w:trPr>
        <w:tc>
          <w:tcPr>
            <w:tcW w:w="9067" w:type="dxa"/>
            <w:gridSpan w:val="4"/>
            <w:tcMar>
              <w:top w:w="15" w:type="dxa"/>
              <w:left w:w="108" w:type="dxa"/>
              <w:bottom w:w="15" w:type="dxa"/>
              <w:right w:w="108" w:type="dxa"/>
            </w:tcMar>
            <w:vAlign w:val="center"/>
          </w:tcPr>
          <w:p w14:paraId="06750F85" w14:textId="74F1D628" w:rsidR="00BB5859" w:rsidRDefault="00BB5859">
            <w:pPr>
              <w:rPr>
                <w:rFonts w:ascii="Arial Narrow" w:eastAsia="Arial Narrow" w:hAnsi="Arial Narrow" w:cs="Arial Narrow"/>
                <w:sz w:val="20"/>
                <w:szCs w:val="20"/>
              </w:rPr>
            </w:pPr>
            <w:r w:rsidRPr="27CFF59B">
              <w:rPr>
                <w:rFonts w:ascii="Arial Narrow" w:eastAsia="Arial Narrow" w:hAnsi="Arial Narrow" w:cs="Arial Narrow"/>
                <w:b/>
                <w:bCs/>
                <w:sz w:val="20"/>
                <w:szCs w:val="20"/>
              </w:rPr>
              <w:t xml:space="preserve">Administrative Advice: </w:t>
            </w:r>
            <w:r w:rsidRPr="27CFF59B">
              <w:rPr>
                <w:rFonts w:ascii="Arial Narrow" w:eastAsia="Arial Narrow" w:hAnsi="Arial Narrow" w:cs="Arial Narrow"/>
                <w:sz w:val="20"/>
                <w:szCs w:val="20"/>
              </w:rPr>
              <w:t xml:space="preserve">Applications for authorisation under this restriction may be made in real time using the Online PBS Authorities system (see </w:t>
            </w:r>
            <w:hyperlink r:id="rId16" w:history="1">
              <w:r w:rsidRPr="27CFF59B">
                <w:rPr>
                  <w:rStyle w:val="Hyperlink"/>
                  <w:rFonts w:ascii="Arial Narrow" w:eastAsia="Arial Narrow" w:hAnsi="Arial Narrow" w:cs="Arial Narrow"/>
                  <w:sz w:val="20"/>
                  <w:szCs w:val="20"/>
                </w:rPr>
                <w:t>www.servicesaustralia.gov.au/HPOS</w:t>
              </w:r>
            </w:hyperlink>
            <w:r w:rsidRPr="27CFF59B">
              <w:rPr>
                <w:rFonts w:ascii="Arial Narrow" w:eastAsia="Arial Narrow" w:hAnsi="Arial Narrow" w:cs="Arial Narrow"/>
                <w:sz w:val="20"/>
                <w:szCs w:val="20"/>
              </w:rPr>
              <w:t>) or by telephone by contacting Services Australia on 1800 888 333.</w:t>
            </w:r>
          </w:p>
        </w:tc>
      </w:tr>
      <w:tr w:rsidR="00BB5859" w14:paraId="45441D8E" w14:textId="77777777" w:rsidTr="7A1DEC4B">
        <w:trPr>
          <w:trHeight w:val="15"/>
        </w:trPr>
        <w:tc>
          <w:tcPr>
            <w:tcW w:w="9067" w:type="dxa"/>
            <w:gridSpan w:val="4"/>
            <w:shd w:val="clear" w:color="auto" w:fill="BFBFBF" w:themeFill="background1" w:themeFillShade="BF"/>
            <w:tcMar>
              <w:top w:w="15" w:type="dxa"/>
              <w:left w:w="108" w:type="dxa"/>
              <w:bottom w:w="15" w:type="dxa"/>
              <w:right w:w="108" w:type="dxa"/>
            </w:tcMar>
          </w:tcPr>
          <w:p w14:paraId="2D5FC34B" w14:textId="6F231D0D" w:rsidR="00BB5859" w:rsidRDefault="42CC9A51">
            <w:pPr>
              <w:rPr>
                <w:rFonts w:ascii="Arial Narrow" w:eastAsia="Arial Narrow" w:hAnsi="Arial Narrow" w:cs="Arial Narrow"/>
                <w:b/>
                <w:bCs/>
                <w:color w:val="000000" w:themeColor="text1"/>
                <w:sz w:val="20"/>
                <w:szCs w:val="20"/>
              </w:rPr>
            </w:pPr>
            <w:r w:rsidRPr="06C1FC25">
              <w:rPr>
                <w:rFonts w:ascii="Arial Narrow" w:eastAsia="Arial Narrow" w:hAnsi="Arial Narrow" w:cs="Arial Narrow"/>
                <w:b/>
                <w:bCs/>
                <w:color w:val="000000" w:themeColor="text1"/>
                <w:sz w:val="20"/>
                <w:szCs w:val="20"/>
              </w:rPr>
              <w:t xml:space="preserve">Restriction Summary [new 1] / Treatment of Concept: [new 2] </w:t>
            </w:r>
          </w:p>
        </w:tc>
      </w:tr>
      <w:tr w:rsidR="00BB5859" w14:paraId="767F2EF8" w14:textId="77777777" w:rsidTr="7A1DEC4B">
        <w:trPr>
          <w:trHeight w:val="15"/>
        </w:trPr>
        <w:tc>
          <w:tcPr>
            <w:tcW w:w="9067" w:type="dxa"/>
            <w:gridSpan w:val="4"/>
            <w:tcMar>
              <w:top w:w="15" w:type="dxa"/>
              <w:left w:w="108" w:type="dxa"/>
              <w:bottom w:w="15" w:type="dxa"/>
              <w:right w:w="108" w:type="dxa"/>
            </w:tcMar>
          </w:tcPr>
          <w:p w14:paraId="413B3860" w14:textId="65246227" w:rsidR="00BB5859" w:rsidRDefault="00BB5859">
            <w:pPr>
              <w:rPr>
                <w:rFonts w:ascii="Arial Narrow" w:eastAsia="Arial Narrow" w:hAnsi="Arial Narrow" w:cs="Arial Narrow"/>
                <w:color w:val="333333"/>
                <w:sz w:val="20"/>
                <w:szCs w:val="20"/>
              </w:rPr>
            </w:pPr>
            <w:r w:rsidRPr="27CFF59B">
              <w:rPr>
                <w:rFonts w:ascii="Arial Narrow" w:eastAsia="Arial Narrow" w:hAnsi="Arial Narrow" w:cs="Arial Narrow"/>
                <w:b/>
                <w:bCs/>
                <w:color w:val="333333"/>
                <w:sz w:val="20"/>
                <w:szCs w:val="20"/>
              </w:rPr>
              <w:t>Indication:</w:t>
            </w:r>
            <w:r w:rsidRPr="27CFF59B">
              <w:rPr>
                <w:rFonts w:ascii="Arial Narrow" w:eastAsia="Arial Narrow" w:hAnsi="Arial Narrow" w:cs="Arial Narrow"/>
                <w:color w:val="333333"/>
                <w:sz w:val="20"/>
                <w:szCs w:val="20"/>
              </w:rPr>
              <w:t xml:space="preserve"> Stage IIIB/ IIIC (locally advanced) or Stage IV (metastatic) non-small cell lung cancer (NSCLC)</w:t>
            </w:r>
          </w:p>
        </w:tc>
      </w:tr>
      <w:tr w:rsidR="00DD081C" w14:paraId="6E229EBA" w14:textId="77777777" w:rsidTr="7A1DEC4B">
        <w:trPr>
          <w:trHeight w:val="15"/>
        </w:trPr>
        <w:tc>
          <w:tcPr>
            <w:tcW w:w="9067" w:type="dxa"/>
            <w:gridSpan w:val="4"/>
            <w:tcMar>
              <w:top w:w="15" w:type="dxa"/>
              <w:left w:w="108" w:type="dxa"/>
              <w:bottom w:w="15" w:type="dxa"/>
              <w:right w:w="108" w:type="dxa"/>
            </w:tcMar>
          </w:tcPr>
          <w:p w14:paraId="55F130D1" w14:textId="1822B0AB" w:rsidR="00DD081C" w:rsidRDefault="00DD081C">
            <w:pPr>
              <w:rPr>
                <w:rFonts w:ascii="Arial Narrow" w:eastAsia="Arial Narrow" w:hAnsi="Arial Narrow" w:cs="Arial Narrow"/>
                <w:color w:val="FF0000"/>
                <w:sz w:val="20"/>
                <w:szCs w:val="20"/>
              </w:rPr>
            </w:pPr>
            <w:r w:rsidRPr="27CFF59B">
              <w:rPr>
                <w:rFonts w:ascii="Arial Narrow" w:eastAsia="Arial Narrow" w:hAnsi="Arial Narrow" w:cs="Arial Narrow"/>
                <w:b/>
                <w:bCs/>
                <w:color w:val="333333"/>
                <w:sz w:val="20"/>
                <w:szCs w:val="20"/>
              </w:rPr>
              <w:t>Treatment Phase:</w:t>
            </w:r>
            <w:r w:rsidRPr="27CFF59B">
              <w:rPr>
                <w:rFonts w:ascii="Arial Narrow" w:eastAsia="Arial Narrow" w:hAnsi="Arial Narrow" w:cs="Arial Narrow"/>
                <w:color w:val="FF0000"/>
                <w:sz w:val="20"/>
                <w:szCs w:val="20"/>
              </w:rPr>
              <w:t xml:space="preserve"> </w:t>
            </w:r>
            <w:r w:rsidRPr="27CFF59B">
              <w:rPr>
                <w:rFonts w:ascii="Arial Narrow" w:eastAsia="Arial Narrow" w:hAnsi="Arial Narrow" w:cs="Arial Narrow"/>
                <w:color w:val="333333"/>
                <w:sz w:val="20"/>
                <w:szCs w:val="20"/>
              </w:rPr>
              <w:t>Initial treatment</w:t>
            </w:r>
            <w:r w:rsidRPr="27CFF59B">
              <w:rPr>
                <w:rFonts w:ascii="Arial Narrow" w:eastAsia="Arial Narrow" w:hAnsi="Arial Narrow" w:cs="Arial Narrow"/>
                <w:color w:val="FF0000"/>
                <w:sz w:val="20"/>
                <w:szCs w:val="20"/>
              </w:rPr>
              <w:t xml:space="preserve"> </w:t>
            </w:r>
          </w:p>
        </w:tc>
      </w:tr>
      <w:tr w:rsidR="00DD081C" w14:paraId="0EFD2C2E" w14:textId="77777777" w:rsidTr="7A1DEC4B">
        <w:trPr>
          <w:trHeight w:val="15"/>
        </w:trPr>
        <w:tc>
          <w:tcPr>
            <w:tcW w:w="9067" w:type="dxa"/>
            <w:gridSpan w:val="4"/>
            <w:tcMar>
              <w:top w:w="15" w:type="dxa"/>
              <w:left w:w="108" w:type="dxa"/>
              <w:bottom w:w="15" w:type="dxa"/>
              <w:right w:w="108" w:type="dxa"/>
            </w:tcMar>
          </w:tcPr>
          <w:p w14:paraId="74561FA0" w14:textId="0A1334B5" w:rsidR="00DD081C" w:rsidRDefault="00DD081C">
            <w:pPr>
              <w:rPr>
                <w:rFonts w:ascii="Arial Narrow" w:eastAsia="Arial Narrow" w:hAnsi="Arial Narrow" w:cs="Arial Narrow"/>
                <w:b/>
                <w:bCs/>
                <w:color w:val="333333"/>
                <w:sz w:val="20"/>
                <w:szCs w:val="20"/>
              </w:rPr>
            </w:pPr>
            <w:r w:rsidRPr="27CFF59B">
              <w:rPr>
                <w:rFonts w:ascii="Arial Narrow" w:eastAsia="Arial Narrow" w:hAnsi="Arial Narrow" w:cs="Arial Narrow"/>
                <w:b/>
                <w:bCs/>
                <w:color w:val="333333"/>
                <w:sz w:val="20"/>
                <w:szCs w:val="20"/>
              </w:rPr>
              <w:t xml:space="preserve">Clinical criteria: </w:t>
            </w:r>
          </w:p>
        </w:tc>
      </w:tr>
      <w:tr w:rsidR="00DD081C" w14:paraId="35095DAC" w14:textId="77777777" w:rsidTr="7A1DEC4B">
        <w:trPr>
          <w:trHeight w:val="15"/>
        </w:trPr>
        <w:tc>
          <w:tcPr>
            <w:tcW w:w="9067" w:type="dxa"/>
            <w:gridSpan w:val="4"/>
            <w:tcMar>
              <w:top w:w="15" w:type="dxa"/>
              <w:left w:w="108" w:type="dxa"/>
              <w:bottom w:w="15" w:type="dxa"/>
              <w:right w:w="108" w:type="dxa"/>
            </w:tcMar>
          </w:tcPr>
          <w:p w14:paraId="374CE5FD" w14:textId="36F93D5B" w:rsidR="00DD081C" w:rsidRDefault="00DD081C">
            <w:pPr>
              <w:rPr>
                <w:rFonts w:ascii="Arial Narrow" w:eastAsia="Arial Narrow" w:hAnsi="Arial Narrow" w:cs="Arial Narrow"/>
                <w:color w:val="333333"/>
                <w:sz w:val="20"/>
                <w:szCs w:val="20"/>
              </w:rPr>
            </w:pPr>
            <w:r w:rsidRPr="27CFF59B">
              <w:rPr>
                <w:rFonts w:ascii="Arial Narrow" w:eastAsia="Arial Narrow" w:hAnsi="Arial Narrow" w:cs="Arial Narrow"/>
                <w:color w:val="333333"/>
                <w:sz w:val="20"/>
                <w:szCs w:val="20"/>
              </w:rPr>
              <w:t>Patient must have evidence in tumour material of an activating epidermal growth factor receptor (EGFR) exon 20 insertion mutation</w:t>
            </w:r>
          </w:p>
        </w:tc>
      </w:tr>
      <w:tr w:rsidR="00DD081C" w14:paraId="6F9774A8" w14:textId="77777777" w:rsidTr="7A1DEC4B">
        <w:trPr>
          <w:trHeight w:val="15"/>
        </w:trPr>
        <w:tc>
          <w:tcPr>
            <w:tcW w:w="9067" w:type="dxa"/>
            <w:gridSpan w:val="4"/>
            <w:tcMar>
              <w:top w:w="15" w:type="dxa"/>
              <w:left w:w="108" w:type="dxa"/>
              <w:bottom w:w="15" w:type="dxa"/>
              <w:right w:w="108" w:type="dxa"/>
            </w:tcMar>
          </w:tcPr>
          <w:p w14:paraId="73105F9C" w14:textId="7A57F8C8" w:rsidR="00DD081C" w:rsidRDefault="00DD081C">
            <w:pPr>
              <w:rPr>
                <w:rFonts w:ascii="Arial Narrow" w:eastAsia="Arial Narrow" w:hAnsi="Arial Narrow" w:cs="Arial Narrow"/>
                <w:b/>
                <w:bCs/>
                <w:color w:val="333333"/>
                <w:sz w:val="20"/>
                <w:szCs w:val="20"/>
              </w:rPr>
            </w:pPr>
            <w:r w:rsidRPr="27CFF59B">
              <w:rPr>
                <w:rFonts w:ascii="Arial Narrow" w:eastAsia="Arial Narrow" w:hAnsi="Arial Narrow" w:cs="Arial Narrow"/>
                <w:b/>
                <w:bCs/>
                <w:color w:val="333333"/>
                <w:sz w:val="20"/>
                <w:szCs w:val="20"/>
              </w:rPr>
              <w:t>AND</w:t>
            </w:r>
          </w:p>
        </w:tc>
      </w:tr>
      <w:tr w:rsidR="00DD081C" w14:paraId="0EA4F8A9" w14:textId="77777777" w:rsidTr="7A1DEC4B">
        <w:trPr>
          <w:trHeight w:val="15"/>
        </w:trPr>
        <w:tc>
          <w:tcPr>
            <w:tcW w:w="9067" w:type="dxa"/>
            <w:gridSpan w:val="4"/>
            <w:tcMar>
              <w:top w:w="15" w:type="dxa"/>
              <w:left w:w="108" w:type="dxa"/>
              <w:bottom w:w="15" w:type="dxa"/>
              <w:right w:w="108" w:type="dxa"/>
            </w:tcMar>
          </w:tcPr>
          <w:p w14:paraId="3181544E" w14:textId="3DE5BD00" w:rsidR="00DD081C" w:rsidRDefault="00DD081C">
            <w:pPr>
              <w:rPr>
                <w:rFonts w:ascii="Arial Narrow" w:eastAsia="Arial Narrow" w:hAnsi="Arial Narrow" w:cs="Arial Narrow"/>
                <w:b/>
                <w:bCs/>
                <w:color w:val="333333"/>
                <w:sz w:val="20"/>
                <w:szCs w:val="20"/>
              </w:rPr>
            </w:pPr>
            <w:r w:rsidRPr="27CFF59B">
              <w:rPr>
                <w:rFonts w:ascii="Arial Narrow" w:eastAsia="Arial Narrow" w:hAnsi="Arial Narrow" w:cs="Arial Narrow"/>
                <w:b/>
                <w:bCs/>
                <w:color w:val="333333"/>
                <w:sz w:val="20"/>
                <w:szCs w:val="20"/>
              </w:rPr>
              <w:t>Clinical criteria:</w:t>
            </w:r>
          </w:p>
        </w:tc>
      </w:tr>
      <w:tr w:rsidR="00DD081C" w14:paraId="6D126118" w14:textId="77777777" w:rsidTr="7A1DEC4B">
        <w:trPr>
          <w:trHeight w:val="15"/>
        </w:trPr>
        <w:tc>
          <w:tcPr>
            <w:tcW w:w="9067" w:type="dxa"/>
            <w:gridSpan w:val="4"/>
            <w:tcMar>
              <w:top w:w="15" w:type="dxa"/>
              <w:left w:w="108" w:type="dxa"/>
              <w:bottom w:w="15" w:type="dxa"/>
              <w:right w:w="108" w:type="dxa"/>
            </w:tcMar>
          </w:tcPr>
          <w:p w14:paraId="3CEBED2A" w14:textId="44B4E7F9" w:rsidR="00DD081C" w:rsidRDefault="00DD081C">
            <w:pPr>
              <w:rPr>
                <w:rFonts w:ascii="Arial Narrow" w:eastAsia="Arial Narrow" w:hAnsi="Arial Narrow" w:cs="Arial Narrow"/>
                <w:color w:val="333333"/>
                <w:sz w:val="20"/>
                <w:szCs w:val="20"/>
              </w:rPr>
            </w:pPr>
            <w:r w:rsidRPr="27CFF59B">
              <w:rPr>
                <w:rFonts w:ascii="Arial Narrow" w:eastAsia="Arial Narrow" w:hAnsi="Arial Narrow" w:cs="Arial Narrow"/>
                <w:color w:val="333333"/>
                <w:sz w:val="20"/>
                <w:szCs w:val="20"/>
              </w:rPr>
              <w:t>Patient must have/have had a WHO performance status of no greater than 2 at treatment initiation with this drug for this condition.</w:t>
            </w:r>
          </w:p>
        </w:tc>
      </w:tr>
      <w:tr w:rsidR="00DD081C" w14:paraId="7042F928" w14:textId="77777777" w:rsidTr="7A1DEC4B">
        <w:trPr>
          <w:trHeight w:val="15"/>
        </w:trPr>
        <w:tc>
          <w:tcPr>
            <w:tcW w:w="9067" w:type="dxa"/>
            <w:gridSpan w:val="4"/>
            <w:tcMar>
              <w:top w:w="15" w:type="dxa"/>
              <w:left w:w="108" w:type="dxa"/>
              <w:bottom w:w="15" w:type="dxa"/>
              <w:right w:w="108" w:type="dxa"/>
            </w:tcMar>
          </w:tcPr>
          <w:p w14:paraId="1B772E42" w14:textId="2A74B48E" w:rsidR="00DD081C" w:rsidRDefault="00DD081C">
            <w:pPr>
              <w:rPr>
                <w:rFonts w:ascii="Arial Narrow" w:eastAsia="Arial Narrow" w:hAnsi="Arial Narrow" w:cs="Arial Narrow"/>
                <w:b/>
                <w:bCs/>
                <w:color w:val="333333"/>
                <w:sz w:val="20"/>
                <w:szCs w:val="20"/>
              </w:rPr>
            </w:pPr>
            <w:r w:rsidRPr="27CFF59B">
              <w:rPr>
                <w:rFonts w:ascii="Arial Narrow" w:eastAsia="Arial Narrow" w:hAnsi="Arial Narrow" w:cs="Arial Narrow"/>
                <w:b/>
                <w:bCs/>
                <w:color w:val="333333"/>
                <w:sz w:val="20"/>
                <w:szCs w:val="20"/>
              </w:rPr>
              <w:t>AND</w:t>
            </w:r>
          </w:p>
        </w:tc>
      </w:tr>
      <w:tr w:rsidR="00DD081C" w14:paraId="5E6E8786" w14:textId="77777777" w:rsidTr="7A1DEC4B">
        <w:trPr>
          <w:trHeight w:val="15"/>
        </w:trPr>
        <w:tc>
          <w:tcPr>
            <w:tcW w:w="9067" w:type="dxa"/>
            <w:gridSpan w:val="4"/>
            <w:tcMar>
              <w:top w:w="15" w:type="dxa"/>
              <w:left w:w="108" w:type="dxa"/>
              <w:bottom w:w="15" w:type="dxa"/>
              <w:right w:w="108" w:type="dxa"/>
            </w:tcMar>
          </w:tcPr>
          <w:p w14:paraId="371A4B33" w14:textId="293219C9" w:rsidR="00DD081C" w:rsidRDefault="00DD081C">
            <w:pPr>
              <w:rPr>
                <w:rFonts w:ascii="Arial Narrow" w:eastAsia="Arial Narrow" w:hAnsi="Arial Narrow" w:cs="Arial Narrow"/>
                <w:b/>
                <w:bCs/>
                <w:color w:val="333333"/>
                <w:sz w:val="20"/>
                <w:szCs w:val="20"/>
              </w:rPr>
            </w:pPr>
            <w:r w:rsidRPr="27CFF59B">
              <w:rPr>
                <w:rFonts w:ascii="Arial Narrow" w:eastAsia="Arial Narrow" w:hAnsi="Arial Narrow" w:cs="Arial Narrow"/>
                <w:b/>
                <w:bCs/>
                <w:color w:val="333333"/>
                <w:sz w:val="20"/>
                <w:szCs w:val="20"/>
              </w:rPr>
              <w:t>Clinical criteria:</w:t>
            </w:r>
          </w:p>
        </w:tc>
      </w:tr>
      <w:tr w:rsidR="00DD081C" w14:paraId="2C093104" w14:textId="77777777" w:rsidTr="7A1DEC4B">
        <w:trPr>
          <w:trHeight w:val="15"/>
        </w:trPr>
        <w:tc>
          <w:tcPr>
            <w:tcW w:w="9067" w:type="dxa"/>
            <w:gridSpan w:val="4"/>
            <w:tcMar>
              <w:top w:w="15" w:type="dxa"/>
              <w:left w:w="108" w:type="dxa"/>
              <w:bottom w:w="15" w:type="dxa"/>
              <w:right w:w="108" w:type="dxa"/>
            </w:tcMar>
          </w:tcPr>
          <w:p w14:paraId="7F058D44" w14:textId="1897702D" w:rsidR="00DD081C" w:rsidRDefault="00DD081C">
            <w:pPr>
              <w:rPr>
                <w:rFonts w:ascii="Arial Narrow" w:eastAsia="Arial Narrow" w:hAnsi="Arial Narrow" w:cs="Arial Narrow"/>
                <w:color w:val="333333"/>
                <w:sz w:val="20"/>
                <w:szCs w:val="20"/>
              </w:rPr>
            </w:pPr>
            <w:r w:rsidRPr="27CFF59B">
              <w:rPr>
                <w:rFonts w:ascii="Arial Narrow" w:eastAsia="Arial Narrow" w:hAnsi="Arial Narrow" w:cs="Arial Narrow"/>
                <w:color w:val="333333"/>
                <w:sz w:val="20"/>
                <w:szCs w:val="20"/>
              </w:rPr>
              <w:t>Patient must not have previously received this drug for this condition; OR</w:t>
            </w:r>
          </w:p>
        </w:tc>
      </w:tr>
      <w:tr w:rsidR="00DD081C" w14:paraId="35C42E8F" w14:textId="77777777" w:rsidTr="7A1DEC4B">
        <w:trPr>
          <w:trHeight w:val="15"/>
        </w:trPr>
        <w:tc>
          <w:tcPr>
            <w:tcW w:w="9067" w:type="dxa"/>
            <w:gridSpan w:val="4"/>
            <w:tcMar>
              <w:top w:w="15" w:type="dxa"/>
              <w:left w:w="108" w:type="dxa"/>
              <w:bottom w:w="15" w:type="dxa"/>
              <w:right w:w="108" w:type="dxa"/>
            </w:tcMar>
          </w:tcPr>
          <w:p w14:paraId="7A6DC7EA" w14:textId="3E149CB0" w:rsidR="00DD081C" w:rsidRDefault="1FCD770E">
            <w:pPr>
              <w:rPr>
                <w:rFonts w:ascii="Arial Narrow" w:eastAsia="Arial Narrow" w:hAnsi="Arial Narrow" w:cs="Arial Narrow"/>
                <w:color w:val="333333"/>
                <w:sz w:val="20"/>
                <w:szCs w:val="20"/>
              </w:rPr>
            </w:pPr>
            <w:r w:rsidRPr="7A1DEC4B">
              <w:rPr>
                <w:rFonts w:ascii="Arial Narrow" w:eastAsia="Arial Narrow" w:hAnsi="Arial Narrow" w:cs="Arial Narrow"/>
                <w:color w:val="333333"/>
                <w:sz w:val="20"/>
                <w:szCs w:val="20"/>
              </w:rPr>
              <w:t>Patient must be each of: (i) currently receiving non-PBS subsidised supply for this drug for this PBS indication, (ii) free of disease progression since commencing non-PBS subsidised supply.</w:t>
            </w:r>
          </w:p>
        </w:tc>
      </w:tr>
      <w:tr w:rsidR="00DD081C" w14:paraId="1708571E" w14:textId="77777777" w:rsidTr="7A1DEC4B">
        <w:trPr>
          <w:trHeight w:val="98"/>
        </w:trPr>
        <w:tc>
          <w:tcPr>
            <w:tcW w:w="9067" w:type="dxa"/>
            <w:gridSpan w:val="4"/>
            <w:tcMar>
              <w:top w:w="15" w:type="dxa"/>
              <w:left w:w="108" w:type="dxa"/>
              <w:bottom w:w="15" w:type="dxa"/>
              <w:right w:w="108" w:type="dxa"/>
            </w:tcMar>
          </w:tcPr>
          <w:p w14:paraId="431F2E20" w14:textId="69C94580" w:rsidR="00DD081C" w:rsidRDefault="00DD081C">
            <w:pPr>
              <w:rPr>
                <w:rFonts w:ascii="Arial Narrow" w:eastAsia="Arial Narrow" w:hAnsi="Arial Narrow" w:cs="Arial Narrow"/>
                <w:b/>
                <w:bCs/>
                <w:sz w:val="20"/>
                <w:szCs w:val="20"/>
              </w:rPr>
            </w:pPr>
            <w:r w:rsidRPr="27CFF59B">
              <w:rPr>
                <w:rFonts w:ascii="Arial Narrow" w:eastAsia="Arial Narrow" w:hAnsi="Arial Narrow" w:cs="Arial Narrow"/>
                <w:b/>
                <w:bCs/>
                <w:sz w:val="20"/>
                <w:szCs w:val="20"/>
              </w:rPr>
              <w:t>AND</w:t>
            </w:r>
          </w:p>
        </w:tc>
      </w:tr>
      <w:tr w:rsidR="00DD081C" w14:paraId="28983B15" w14:textId="77777777" w:rsidTr="7A1DEC4B">
        <w:trPr>
          <w:trHeight w:val="15"/>
        </w:trPr>
        <w:tc>
          <w:tcPr>
            <w:tcW w:w="9067" w:type="dxa"/>
            <w:gridSpan w:val="4"/>
            <w:tcMar>
              <w:top w:w="15" w:type="dxa"/>
              <w:left w:w="108" w:type="dxa"/>
              <w:bottom w:w="15" w:type="dxa"/>
              <w:right w:w="108" w:type="dxa"/>
            </w:tcMar>
          </w:tcPr>
          <w:p w14:paraId="472644CC" w14:textId="1FEC1668" w:rsidR="00DD081C" w:rsidRDefault="00DD081C">
            <w:pPr>
              <w:rPr>
                <w:rFonts w:ascii="Arial Narrow" w:eastAsia="Arial Narrow" w:hAnsi="Arial Narrow" w:cs="Arial Narrow"/>
                <w:b/>
                <w:bCs/>
                <w:color w:val="333333"/>
                <w:sz w:val="20"/>
                <w:szCs w:val="20"/>
              </w:rPr>
            </w:pPr>
            <w:r w:rsidRPr="27CFF59B">
              <w:rPr>
                <w:rFonts w:ascii="Arial Narrow" w:eastAsia="Arial Narrow" w:hAnsi="Arial Narrow" w:cs="Arial Narrow"/>
                <w:b/>
                <w:bCs/>
                <w:color w:val="333333"/>
                <w:sz w:val="20"/>
                <w:szCs w:val="20"/>
              </w:rPr>
              <w:t>Clinical criteria:</w:t>
            </w:r>
          </w:p>
        </w:tc>
      </w:tr>
      <w:tr w:rsidR="00DD081C" w14:paraId="408AF1FE" w14:textId="77777777" w:rsidTr="7A1DEC4B">
        <w:trPr>
          <w:trHeight w:val="15"/>
        </w:trPr>
        <w:tc>
          <w:tcPr>
            <w:tcW w:w="9067" w:type="dxa"/>
            <w:gridSpan w:val="4"/>
            <w:tcMar>
              <w:top w:w="15" w:type="dxa"/>
              <w:left w:w="108" w:type="dxa"/>
              <w:bottom w:w="15" w:type="dxa"/>
              <w:right w:w="108" w:type="dxa"/>
            </w:tcMar>
          </w:tcPr>
          <w:p w14:paraId="4C7AD41D" w14:textId="4DBDBC24" w:rsidR="00DD081C" w:rsidRDefault="0284E63B">
            <w:pPr>
              <w:rPr>
                <w:rFonts w:ascii="Arial Narrow" w:eastAsia="Arial Narrow" w:hAnsi="Arial Narrow" w:cs="Arial Narrow"/>
                <w:color w:val="000000" w:themeColor="text1"/>
                <w:sz w:val="20"/>
                <w:szCs w:val="20"/>
              </w:rPr>
            </w:pPr>
            <w:r w:rsidRPr="06C1FC25">
              <w:rPr>
                <w:rFonts w:ascii="Arial Narrow" w:eastAsia="Arial Narrow" w:hAnsi="Arial Narrow" w:cs="Arial Narrow"/>
                <w:color w:val="333333"/>
                <w:sz w:val="20"/>
                <w:szCs w:val="20"/>
              </w:rPr>
              <w:t xml:space="preserve">The treatment must be/have been in combination with platinum-based chemotherapy (PBC) where the patient has not previously received systemic therapy for this condition in the metastatic setting, </w:t>
            </w:r>
            <w:r w:rsidRPr="06C1FC25">
              <w:rPr>
                <w:rFonts w:ascii="Arial Narrow" w:eastAsia="Arial Narrow" w:hAnsi="Arial Narrow" w:cs="Arial Narrow"/>
                <w:color w:val="000000" w:themeColor="text1"/>
                <w:sz w:val="20"/>
                <w:szCs w:val="20"/>
              </w:rPr>
              <w:t xml:space="preserve">(i.e. used in combination with PBC in the first line setting) </w:t>
            </w:r>
            <w:r w:rsidRPr="06C1FC25">
              <w:rPr>
                <w:rFonts w:ascii="Arial Narrow" w:eastAsia="Arial Narrow" w:hAnsi="Arial Narrow" w:cs="Arial Narrow"/>
                <w:b/>
                <w:bCs/>
                <w:color w:val="333333"/>
                <w:sz w:val="20"/>
                <w:szCs w:val="20"/>
              </w:rPr>
              <w:t>OR</w:t>
            </w:r>
          </w:p>
        </w:tc>
      </w:tr>
      <w:tr w:rsidR="00DD081C" w14:paraId="1E50ADED" w14:textId="77777777" w:rsidTr="7A1DEC4B">
        <w:trPr>
          <w:trHeight w:val="15"/>
        </w:trPr>
        <w:tc>
          <w:tcPr>
            <w:tcW w:w="9067" w:type="dxa"/>
            <w:gridSpan w:val="4"/>
            <w:tcMar>
              <w:top w:w="15" w:type="dxa"/>
              <w:left w:w="108" w:type="dxa"/>
              <w:bottom w:w="15" w:type="dxa"/>
              <w:right w:w="108" w:type="dxa"/>
            </w:tcMar>
          </w:tcPr>
          <w:p w14:paraId="50B1BE88" w14:textId="47177F70" w:rsidR="00DD081C" w:rsidRDefault="00DD081C">
            <w:pPr>
              <w:rPr>
                <w:rFonts w:ascii="Arial Narrow" w:eastAsia="Arial Narrow" w:hAnsi="Arial Narrow" w:cs="Arial Narrow"/>
                <w:color w:val="FF0000"/>
                <w:sz w:val="20"/>
                <w:szCs w:val="20"/>
              </w:rPr>
            </w:pPr>
            <w:r w:rsidRPr="27CFF59B">
              <w:rPr>
                <w:rFonts w:ascii="Arial Narrow" w:eastAsia="Arial Narrow" w:hAnsi="Arial Narrow" w:cs="Arial Narrow"/>
                <w:color w:val="333333"/>
                <w:sz w:val="20"/>
                <w:szCs w:val="20"/>
              </w:rPr>
              <w:t>The treatment must be/have been the sole PBS subsidised therapy at the time of treatment initiation where the condition has progressed following treatment with platinum-based chemotherapy</w:t>
            </w:r>
            <w:r w:rsidRPr="350F5EE8">
              <w:rPr>
                <w:rFonts w:ascii="Arial Narrow" w:eastAsia="Arial Narrow" w:hAnsi="Arial Narrow" w:cs="Arial Narrow"/>
                <w:color w:val="333333"/>
                <w:sz w:val="20"/>
                <w:szCs w:val="20"/>
              </w:rPr>
              <w:t xml:space="preserve">, </w:t>
            </w:r>
            <w:r w:rsidRPr="780CA51B">
              <w:rPr>
                <w:rFonts w:ascii="Arial Narrow" w:eastAsia="Arial Narrow" w:hAnsi="Arial Narrow" w:cs="Arial Narrow"/>
                <w:color w:val="333333"/>
                <w:sz w:val="20"/>
                <w:szCs w:val="20"/>
              </w:rPr>
              <w:t>(</w:t>
            </w:r>
            <w:r w:rsidRPr="350F5EE8">
              <w:rPr>
                <w:rFonts w:ascii="Arial Narrow" w:eastAsia="Arial Narrow" w:hAnsi="Arial Narrow" w:cs="Arial Narrow"/>
                <w:color w:val="000000" w:themeColor="text1"/>
                <w:sz w:val="20"/>
                <w:szCs w:val="20"/>
              </w:rPr>
              <w:t>i.e.</w:t>
            </w:r>
            <w:r w:rsidRPr="00DD081C">
              <w:rPr>
                <w:rFonts w:ascii="Arial Narrow" w:eastAsia="Arial Narrow" w:hAnsi="Arial Narrow" w:cs="Arial Narrow"/>
                <w:color w:val="000000" w:themeColor="text1"/>
                <w:sz w:val="20"/>
                <w:szCs w:val="20"/>
              </w:rPr>
              <w:t xml:space="preserve"> used as monotherapy in the second line setting)</w:t>
            </w:r>
            <w:r w:rsidRPr="5D963651">
              <w:rPr>
                <w:rFonts w:ascii="Arial Narrow" w:eastAsia="Arial Narrow" w:hAnsi="Arial Narrow" w:cs="Arial Narrow"/>
                <w:color w:val="000000" w:themeColor="text1"/>
                <w:sz w:val="20"/>
                <w:szCs w:val="20"/>
              </w:rPr>
              <w:t>.</w:t>
            </w:r>
            <w:r>
              <w:br/>
            </w:r>
          </w:p>
        </w:tc>
      </w:tr>
      <w:tr w:rsidR="00DD081C" w14:paraId="66030D8D" w14:textId="77777777" w:rsidTr="7A1DEC4B">
        <w:trPr>
          <w:trHeight w:val="15"/>
        </w:trPr>
        <w:tc>
          <w:tcPr>
            <w:tcW w:w="9067" w:type="dxa"/>
            <w:gridSpan w:val="4"/>
            <w:tcMar>
              <w:top w:w="15" w:type="dxa"/>
              <w:left w:w="108" w:type="dxa"/>
              <w:bottom w:w="15" w:type="dxa"/>
              <w:right w:w="108" w:type="dxa"/>
            </w:tcMar>
          </w:tcPr>
          <w:p w14:paraId="49BB7C6B" w14:textId="30C51593" w:rsidR="00DD081C" w:rsidRDefault="00DD081C" w:rsidP="131B5A28">
            <w:pPr>
              <w:rPr>
                <w:rFonts w:ascii="Arial Narrow" w:eastAsia="Arial Narrow" w:hAnsi="Arial Narrow" w:cs="Arial Narrow"/>
                <w:color w:val="333333"/>
                <w:sz w:val="20"/>
                <w:szCs w:val="20"/>
              </w:rPr>
            </w:pPr>
          </w:p>
        </w:tc>
      </w:tr>
      <w:tr w:rsidR="00DD081C" w14:paraId="4EFF78F4" w14:textId="77777777" w:rsidTr="7A1DEC4B">
        <w:trPr>
          <w:trHeight w:val="15"/>
        </w:trPr>
        <w:tc>
          <w:tcPr>
            <w:tcW w:w="9067" w:type="dxa"/>
            <w:gridSpan w:val="4"/>
            <w:tcMar>
              <w:top w:w="15" w:type="dxa"/>
              <w:left w:w="108" w:type="dxa"/>
              <w:bottom w:w="15" w:type="dxa"/>
              <w:right w:w="108" w:type="dxa"/>
            </w:tcMar>
            <w:vAlign w:val="center"/>
          </w:tcPr>
          <w:p w14:paraId="08F85863" w14:textId="5F4E07F4" w:rsidR="00DD081C" w:rsidRDefault="00DD081C">
            <w:pPr>
              <w:rPr>
                <w:rFonts w:ascii="Arial Narrow" w:eastAsia="Arial Narrow" w:hAnsi="Arial Narrow" w:cs="Arial Narrow"/>
                <w:b/>
                <w:bCs/>
                <w:color w:val="333333"/>
                <w:sz w:val="20"/>
                <w:szCs w:val="20"/>
              </w:rPr>
            </w:pPr>
            <w:r w:rsidRPr="27CFF59B">
              <w:rPr>
                <w:rFonts w:ascii="Arial Narrow" w:eastAsia="Arial Narrow" w:hAnsi="Arial Narrow" w:cs="Arial Narrow"/>
                <w:b/>
                <w:bCs/>
                <w:color w:val="333333"/>
                <w:sz w:val="20"/>
                <w:szCs w:val="20"/>
              </w:rPr>
              <w:t xml:space="preserve">Administrative Advice: </w:t>
            </w:r>
          </w:p>
          <w:p w14:paraId="798DAA02" w14:textId="2231D240" w:rsidR="00DD081C" w:rsidRDefault="00DD081C">
            <w:pPr>
              <w:rPr>
                <w:rFonts w:ascii="Arial Narrow" w:eastAsia="Arial Narrow" w:hAnsi="Arial Narrow" w:cs="Arial Narrow"/>
                <w:color w:val="333333"/>
                <w:sz w:val="20"/>
                <w:szCs w:val="20"/>
              </w:rPr>
            </w:pPr>
            <w:r w:rsidRPr="27CFF59B">
              <w:rPr>
                <w:rFonts w:ascii="Arial Narrow" w:eastAsia="Arial Narrow" w:hAnsi="Arial Narrow" w:cs="Arial Narrow"/>
                <w:color w:val="333333"/>
                <w:sz w:val="20"/>
                <w:szCs w:val="20"/>
              </w:rPr>
              <w:t>A patient may only qualify for PBS-subsidised treatment under this restriction once.</w:t>
            </w:r>
          </w:p>
          <w:p w14:paraId="0BAD7276" w14:textId="28D27264" w:rsidR="00DD081C" w:rsidRDefault="00DD081C">
            <w:pPr>
              <w:rPr>
                <w:rFonts w:ascii="Arial Narrow" w:eastAsia="Arial Narrow" w:hAnsi="Arial Narrow" w:cs="Arial Narrow"/>
                <w:color w:val="333333"/>
                <w:sz w:val="20"/>
                <w:szCs w:val="20"/>
              </w:rPr>
            </w:pPr>
            <w:r w:rsidRPr="27CFF59B">
              <w:rPr>
                <w:rFonts w:ascii="Arial Narrow" w:eastAsia="Arial Narrow" w:hAnsi="Arial Narrow" w:cs="Arial Narrow"/>
                <w:color w:val="333333"/>
                <w:sz w:val="20"/>
                <w:szCs w:val="20"/>
              </w:rPr>
              <w:t>Following completion of the initial PBS-subsidised course, further applications for treatment will be assessed under the continuing treatment restriction.</w:t>
            </w:r>
          </w:p>
        </w:tc>
      </w:tr>
    </w:tbl>
    <w:p w14:paraId="3C137A07" w14:textId="6A99642F" w:rsidR="3D54E2B1" w:rsidRDefault="3D54E2B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98"/>
        <w:gridCol w:w="1743"/>
        <w:gridCol w:w="1797"/>
        <w:gridCol w:w="3129"/>
      </w:tblGrid>
      <w:tr w:rsidR="3D7C612A" w14:paraId="1F7F655D" w14:textId="77777777" w:rsidTr="0095653A">
        <w:trPr>
          <w:trHeight w:val="227"/>
        </w:trPr>
        <w:tc>
          <w:tcPr>
            <w:tcW w:w="2398" w:type="dxa"/>
            <w:tcMar>
              <w:left w:w="108" w:type="dxa"/>
              <w:right w:w="108" w:type="dxa"/>
            </w:tcMar>
            <w:vAlign w:val="center"/>
          </w:tcPr>
          <w:p w14:paraId="02CF9DDB" w14:textId="39FE95C2" w:rsidR="1D486D3C" w:rsidRPr="7B603EBA" w:rsidRDefault="1D486D3C" w:rsidP="7B603EBA">
            <w:pPr>
              <w:rPr>
                <w:rFonts w:ascii="Arial Narrow" w:eastAsia="Arial Narrow" w:hAnsi="Arial Narrow" w:cs="Arial Narrow"/>
                <w:b/>
                <w:bCs/>
                <w:sz w:val="20"/>
                <w:szCs w:val="20"/>
              </w:rPr>
            </w:pPr>
            <w:r w:rsidRPr="7B603EBA">
              <w:rPr>
                <w:rFonts w:ascii="Arial Narrow" w:eastAsia="Arial Narrow" w:hAnsi="Arial Narrow" w:cs="Arial Narrow"/>
                <w:b/>
                <w:bCs/>
                <w:sz w:val="20"/>
                <w:szCs w:val="20"/>
              </w:rPr>
              <w:lastRenderedPageBreak/>
              <w:t>MEDICINAL PRODUCT</w:t>
            </w:r>
          </w:p>
        </w:tc>
        <w:tc>
          <w:tcPr>
            <w:tcW w:w="1743" w:type="dxa"/>
            <w:tcMar>
              <w:left w:w="108" w:type="dxa"/>
              <w:right w:w="108" w:type="dxa"/>
            </w:tcMar>
            <w:vAlign w:val="center"/>
          </w:tcPr>
          <w:p w14:paraId="200C9763" w14:textId="74AFC485" w:rsidR="3D7C612A" w:rsidRDefault="3D7C612A" w:rsidP="0095653A">
            <w:pPr>
              <w:jc w:val="center"/>
              <w:rPr>
                <w:rFonts w:ascii="Arial Narrow" w:eastAsia="Arial Narrow" w:hAnsi="Arial Narrow" w:cs="Arial Narrow"/>
                <w:b/>
                <w:bCs/>
                <w:sz w:val="20"/>
                <w:szCs w:val="20"/>
              </w:rPr>
            </w:pPr>
            <w:r w:rsidRPr="3D7C612A">
              <w:rPr>
                <w:rFonts w:ascii="Arial Narrow" w:eastAsia="Arial Narrow" w:hAnsi="Arial Narrow" w:cs="Arial Narrow"/>
                <w:b/>
                <w:bCs/>
                <w:sz w:val="20"/>
                <w:szCs w:val="20"/>
              </w:rPr>
              <w:t>PBS item code</w:t>
            </w:r>
          </w:p>
        </w:tc>
        <w:tc>
          <w:tcPr>
            <w:tcW w:w="1797" w:type="dxa"/>
            <w:tcMar>
              <w:left w:w="108" w:type="dxa"/>
              <w:right w:w="108" w:type="dxa"/>
            </w:tcMar>
            <w:vAlign w:val="center"/>
          </w:tcPr>
          <w:p w14:paraId="3235A24C" w14:textId="7BBD8CB4" w:rsidR="3D7C612A" w:rsidRDefault="3D7C612A" w:rsidP="0095653A">
            <w:pPr>
              <w:jc w:val="center"/>
              <w:rPr>
                <w:rFonts w:ascii="Arial Narrow" w:eastAsia="Arial Narrow" w:hAnsi="Arial Narrow" w:cs="Arial Narrow"/>
                <w:b/>
                <w:bCs/>
                <w:sz w:val="20"/>
                <w:szCs w:val="20"/>
              </w:rPr>
            </w:pPr>
            <w:r w:rsidRPr="3D7C612A">
              <w:rPr>
                <w:rFonts w:ascii="Arial Narrow" w:eastAsia="Arial Narrow" w:hAnsi="Arial Narrow" w:cs="Arial Narrow"/>
                <w:b/>
                <w:bCs/>
                <w:sz w:val="20"/>
                <w:szCs w:val="20"/>
              </w:rPr>
              <w:t>Max. Amount</w:t>
            </w:r>
          </w:p>
        </w:tc>
        <w:tc>
          <w:tcPr>
            <w:tcW w:w="3129" w:type="dxa"/>
            <w:tcMar>
              <w:left w:w="108" w:type="dxa"/>
              <w:right w:w="108" w:type="dxa"/>
            </w:tcMar>
            <w:vAlign w:val="center"/>
          </w:tcPr>
          <w:p w14:paraId="5FBF9318" w14:textId="708F4EC0" w:rsidR="3D7C612A" w:rsidRDefault="3D7C612A" w:rsidP="0095653A">
            <w:pPr>
              <w:jc w:val="center"/>
              <w:rPr>
                <w:rFonts w:ascii="Arial Narrow" w:eastAsia="Arial Narrow" w:hAnsi="Arial Narrow" w:cs="Arial Narrow"/>
                <w:b/>
                <w:bCs/>
                <w:sz w:val="20"/>
                <w:szCs w:val="20"/>
              </w:rPr>
            </w:pPr>
            <w:r w:rsidRPr="3D7C612A">
              <w:rPr>
                <w:rFonts w:ascii="Arial Narrow" w:eastAsia="Arial Narrow" w:hAnsi="Arial Narrow" w:cs="Arial Narrow"/>
                <w:b/>
                <w:bCs/>
                <w:sz w:val="20"/>
                <w:szCs w:val="20"/>
              </w:rPr>
              <w:t>№. of Rpts</w:t>
            </w:r>
          </w:p>
        </w:tc>
      </w:tr>
      <w:tr w:rsidR="3D7C612A" w14:paraId="12D86EAB" w14:textId="77777777" w:rsidTr="002451FD">
        <w:trPr>
          <w:trHeight w:val="15"/>
        </w:trPr>
        <w:tc>
          <w:tcPr>
            <w:tcW w:w="2398" w:type="dxa"/>
            <w:tcMar>
              <w:left w:w="108" w:type="dxa"/>
              <w:right w:w="108" w:type="dxa"/>
            </w:tcMar>
            <w:vAlign w:val="center"/>
          </w:tcPr>
          <w:p w14:paraId="47F8A3A5" w14:textId="103F863C" w:rsidR="51222B0C" w:rsidRPr="7B603EBA" w:rsidRDefault="51222B0C" w:rsidP="0F3061C6">
            <w:pPr>
              <w:rPr>
                <w:rFonts w:ascii="Arial Narrow" w:eastAsia="Arial Narrow" w:hAnsi="Arial Narrow" w:cs="Arial Narrow"/>
                <w:sz w:val="20"/>
                <w:szCs w:val="20"/>
              </w:rPr>
            </w:pPr>
            <w:r w:rsidRPr="7B603EBA">
              <w:rPr>
                <w:rFonts w:ascii="Arial Narrow" w:eastAsia="Arial Narrow" w:hAnsi="Arial Narrow" w:cs="Arial Narrow"/>
                <w:sz w:val="20"/>
                <w:szCs w:val="20"/>
              </w:rPr>
              <w:t>AMIVANTAMAB</w:t>
            </w:r>
          </w:p>
        </w:tc>
        <w:tc>
          <w:tcPr>
            <w:tcW w:w="1743" w:type="dxa"/>
            <w:tcMar>
              <w:left w:w="108" w:type="dxa"/>
              <w:right w:w="108" w:type="dxa"/>
            </w:tcMar>
            <w:vAlign w:val="center"/>
          </w:tcPr>
          <w:p w14:paraId="444A3946" w14:textId="46672FA9" w:rsidR="3D7C612A" w:rsidRDefault="3D7C612A" w:rsidP="00DD081C">
            <w:pPr>
              <w:jc w:val="center"/>
              <w:rPr>
                <w:rFonts w:ascii="Arial Narrow" w:eastAsia="Arial Narrow" w:hAnsi="Arial Narrow" w:cs="Arial Narrow"/>
                <w:sz w:val="20"/>
                <w:szCs w:val="20"/>
              </w:rPr>
            </w:pPr>
            <w:r w:rsidRPr="3D7C612A">
              <w:rPr>
                <w:rFonts w:ascii="Arial Narrow" w:eastAsia="Arial Narrow" w:hAnsi="Arial Narrow" w:cs="Arial Narrow"/>
                <w:sz w:val="20"/>
                <w:szCs w:val="20"/>
              </w:rPr>
              <w:t>New (Public)</w:t>
            </w:r>
          </w:p>
          <w:p w14:paraId="274A4F99" w14:textId="69EED26D" w:rsidR="3D7C612A" w:rsidRDefault="3D7C612A" w:rsidP="00DD081C">
            <w:pPr>
              <w:jc w:val="center"/>
              <w:rPr>
                <w:rFonts w:ascii="Arial Narrow" w:eastAsia="Arial Narrow" w:hAnsi="Arial Narrow" w:cs="Arial Narrow"/>
                <w:sz w:val="20"/>
                <w:szCs w:val="20"/>
              </w:rPr>
            </w:pPr>
            <w:r w:rsidRPr="3D7C612A">
              <w:rPr>
                <w:rFonts w:ascii="Arial Narrow" w:eastAsia="Arial Narrow" w:hAnsi="Arial Narrow" w:cs="Arial Narrow"/>
                <w:sz w:val="20"/>
                <w:szCs w:val="20"/>
              </w:rPr>
              <w:t>New (Private)</w:t>
            </w:r>
          </w:p>
        </w:tc>
        <w:tc>
          <w:tcPr>
            <w:tcW w:w="1797" w:type="dxa"/>
            <w:tcMar>
              <w:left w:w="108" w:type="dxa"/>
              <w:right w:w="108" w:type="dxa"/>
            </w:tcMar>
            <w:vAlign w:val="center"/>
          </w:tcPr>
          <w:p w14:paraId="2B1540FD" w14:textId="2A722C2B" w:rsidR="3D7C612A" w:rsidRDefault="3D7C612A" w:rsidP="00DD081C">
            <w:pPr>
              <w:jc w:val="center"/>
              <w:rPr>
                <w:rFonts w:ascii="Arial Narrow" w:eastAsia="Arial Narrow" w:hAnsi="Arial Narrow" w:cs="Arial Narrow"/>
                <w:sz w:val="20"/>
                <w:szCs w:val="20"/>
              </w:rPr>
            </w:pPr>
            <w:r w:rsidRPr="3D7C612A">
              <w:rPr>
                <w:rFonts w:ascii="Arial Narrow" w:eastAsia="Arial Narrow" w:hAnsi="Arial Narrow" w:cs="Arial Narrow"/>
                <w:sz w:val="20"/>
                <w:szCs w:val="20"/>
              </w:rPr>
              <w:t>2100 mg</w:t>
            </w:r>
          </w:p>
        </w:tc>
        <w:tc>
          <w:tcPr>
            <w:tcW w:w="3129" w:type="dxa"/>
            <w:tcMar>
              <w:left w:w="108" w:type="dxa"/>
              <w:right w:w="108" w:type="dxa"/>
            </w:tcMar>
            <w:vAlign w:val="center"/>
          </w:tcPr>
          <w:p w14:paraId="57CAC2AF" w14:textId="289F1B7F" w:rsidR="3D7C612A" w:rsidRDefault="3D7C612A" w:rsidP="00DD081C">
            <w:pPr>
              <w:jc w:val="center"/>
              <w:rPr>
                <w:rFonts w:ascii="Arial Narrow" w:eastAsia="Arial Narrow" w:hAnsi="Arial Narrow" w:cs="Arial Narrow"/>
                <w:sz w:val="20"/>
                <w:szCs w:val="20"/>
              </w:rPr>
            </w:pPr>
            <w:r w:rsidRPr="3D7C612A">
              <w:rPr>
                <w:rFonts w:ascii="Arial Narrow" w:eastAsia="Arial Narrow" w:hAnsi="Arial Narrow" w:cs="Arial Narrow"/>
                <w:sz w:val="20"/>
                <w:szCs w:val="20"/>
              </w:rPr>
              <w:t>7</w:t>
            </w:r>
          </w:p>
        </w:tc>
      </w:tr>
      <w:tr w:rsidR="3D7C612A" w14:paraId="685FE3CC" w14:textId="77777777" w:rsidTr="002451FD">
        <w:trPr>
          <w:trHeight w:val="15"/>
        </w:trPr>
        <w:tc>
          <w:tcPr>
            <w:tcW w:w="9067" w:type="dxa"/>
            <w:gridSpan w:val="4"/>
            <w:tcMar>
              <w:left w:w="108" w:type="dxa"/>
              <w:right w:w="108" w:type="dxa"/>
            </w:tcMar>
            <w:vAlign w:val="center"/>
          </w:tcPr>
          <w:p w14:paraId="2C867907" w14:textId="1245990B" w:rsidR="18B406CB" w:rsidRPr="7B603EBA" w:rsidRDefault="18B406CB" w:rsidP="0F3061C6">
            <w:pPr>
              <w:rPr>
                <w:rFonts w:ascii="Arial Narrow" w:eastAsia="Arial Narrow" w:hAnsi="Arial Narrow" w:cs="Arial Narrow"/>
                <w:b/>
                <w:bCs/>
                <w:sz w:val="20"/>
                <w:szCs w:val="20"/>
              </w:rPr>
            </w:pPr>
            <w:r w:rsidRPr="7B603EBA">
              <w:rPr>
                <w:rFonts w:ascii="Arial Narrow" w:eastAsia="Arial Narrow" w:hAnsi="Arial Narrow" w:cs="Arial Narrow"/>
                <w:b/>
                <w:bCs/>
                <w:sz w:val="20"/>
                <w:szCs w:val="20"/>
              </w:rPr>
              <w:t>Available brands</w:t>
            </w:r>
          </w:p>
        </w:tc>
      </w:tr>
      <w:tr w:rsidR="3D7C612A" w14:paraId="5463855E" w14:textId="77777777" w:rsidTr="002451FD">
        <w:trPr>
          <w:trHeight w:val="15"/>
        </w:trPr>
        <w:tc>
          <w:tcPr>
            <w:tcW w:w="9067" w:type="dxa"/>
            <w:gridSpan w:val="4"/>
            <w:tcMar>
              <w:left w:w="108" w:type="dxa"/>
              <w:right w:w="108" w:type="dxa"/>
            </w:tcMar>
            <w:vAlign w:val="center"/>
          </w:tcPr>
          <w:p w14:paraId="36E41D31" w14:textId="14ED6F2D" w:rsidR="18B406CB" w:rsidRDefault="18B406CB" w:rsidP="7B603EBA">
            <w:pPr>
              <w:rPr>
                <w:rFonts w:ascii="Arial Narrow" w:eastAsia="Arial Narrow" w:hAnsi="Arial Narrow" w:cs="Arial Narrow"/>
                <w:sz w:val="20"/>
                <w:szCs w:val="20"/>
              </w:rPr>
            </w:pPr>
            <w:proofErr w:type="spellStart"/>
            <w:r w:rsidRPr="7B603EBA">
              <w:rPr>
                <w:rFonts w:ascii="Arial Narrow" w:eastAsia="Arial Narrow" w:hAnsi="Arial Narrow" w:cs="Arial Narrow"/>
                <w:sz w:val="20"/>
                <w:szCs w:val="20"/>
              </w:rPr>
              <w:t>Rybrevant</w:t>
            </w:r>
            <w:proofErr w:type="spellEnd"/>
          </w:p>
          <w:p w14:paraId="7BA57842" w14:textId="564BB847" w:rsidR="18B406CB" w:rsidRPr="7B603EBA" w:rsidRDefault="18B406CB" w:rsidP="7B603EBA">
            <w:pPr>
              <w:rPr>
                <w:rFonts w:ascii="Arial Narrow" w:eastAsia="Arial Narrow" w:hAnsi="Arial Narrow" w:cs="Arial Narrow"/>
                <w:sz w:val="20"/>
                <w:szCs w:val="20"/>
              </w:rPr>
            </w:pPr>
            <w:r w:rsidRPr="7B603EBA">
              <w:rPr>
                <w:rFonts w:ascii="Arial Narrow" w:eastAsia="Arial Narrow" w:hAnsi="Arial Narrow" w:cs="Arial Narrow"/>
                <w:sz w:val="20"/>
                <w:szCs w:val="20"/>
              </w:rPr>
              <w:t>amivantamab 350 mg/7 mL injection, 7 mL vial</w:t>
            </w:r>
          </w:p>
        </w:tc>
      </w:tr>
      <w:tr w:rsidR="3D7C612A" w14:paraId="43DA1500" w14:textId="77777777" w:rsidTr="002451FD">
        <w:trPr>
          <w:trHeight w:val="15"/>
        </w:trPr>
        <w:tc>
          <w:tcPr>
            <w:tcW w:w="9067" w:type="dxa"/>
            <w:gridSpan w:val="4"/>
            <w:tcMar>
              <w:top w:w="15" w:type="dxa"/>
              <w:left w:w="108" w:type="dxa"/>
              <w:bottom w:w="15" w:type="dxa"/>
              <w:right w:w="108" w:type="dxa"/>
            </w:tcMar>
            <w:vAlign w:val="center"/>
          </w:tcPr>
          <w:p w14:paraId="0357F8FA" w14:textId="78010187" w:rsidR="0F3061C6" w:rsidRDefault="0F3061C6" w:rsidP="0F3061C6">
            <w:pPr>
              <w:rPr>
                <w:rFonts w:ascii="Arial Narrow" w:eastAsia="Arial Narrow" w:hAnsi="Arial Narrow" w:cs="Arial Narrow"/>
                <w:sz w:val="20"/>
                <w:szCs w:val="20"/>
              </w:rPr>
            </w:pPr>
          </w:p>
        </w:tc>
      </w:tr>
      <w:tr w:rsidR="002533FC" w14:paraId="2B655A7A" w14:textId="77777777" w:rsidTr="00593A0E">
        <w:trPr>
          <w:trHeight w:val="15"/>
        </w:trPr>
        <w:tc>
          <w:tcPr>
            <w:tcW w:w="9067" w:type="dxa"/>
            <w:gridSpan w:val="4"/>
            <w:tcMar>
              <w:top w:w="15" w:type="dxa"/>
              <w:left w:w="108" w:type="dxa"/>
              <w:bottom w:w="15" w:type="dxa"/>
              <w:right w:w="108" w:type="dxa"/>
            </w:tcMar>
            <w:vAlign w:val="center"/>
          </w:tcPr>
          <w:p w14:paraId="787744C5" w14:textId="798893D4" w:rsidR="3D7C612A" w:rsidRDefault="3D7C612A">
            <w:pPr>
              <w:rPr>
                <w:rFonts w:ascii="Arial Narrow" w:eastAsia="Arial Narrow" w:hAnsi="Arial Narrow" w:cs="Arial Narrow"/>
                <w:sz w:val="20"/>
                <w:szCs w:val="20"/>
              </w:rPr>
            </w:pPr>
            <w:r w:rsidRPr="3D7C612A">
              <w:rPr>
                <w:rFonts w:ascii="Arial Narrow" w:eastAsia="Arial Narrow" w:hAnsi="Arial Narrow" w:cs="Arial Narrow"/>
                <w:b/>
                <w:bCs/>
                <w:sz w:val="20"/>
                <w:szCs w:val="20"/>
              </w:rPr>
              <w:t>Category / Program:</w:t>
            </w:r>
            <w:r w:rsidRPr="3D7C612A">
              <w:rPr>
                <w:rFonts w:ascii="Arial Narrow" w:eastAsia="Arial Narrow" w:hAnsi="Arial Narrow" w:cs="Arial Narrow"/>
                <w:color w:val="FF0000"/>
                <w:sz w:val="20"/>
                <w:szCs w:val="20"/>
              </w:rPr>
              <w:t xml:space="preserve"> </w:t>
            </w:r>
            <w:r w:rsidRPr="3D7C612A">
              <w:rPr>
                <w:rFonts w:ascii="Arial Narrow" w:eastAsia="Arial Narrow" w:hAnsi="Arial Narrow" w:cs="Arial Narrow"/>
                <w:sz w:val="20"/>
                <w:szCs w:val="20"/>
              </w:rPr>
              <w:t>Section 100 – Efficient Funding of Chemotherapy – Public (HB)/ Private (HS)</w:t>
            </w:r>
          </w:p>
        </w:tc>
      </w:tr>
      <w:tr w:rsidR="3D7C612A" w14:paraId="7E2B092D" w14:textId="77777777" w:rsidTr="002451FD">
        <w:trPr>
          <w:trHeight w:val="15"/>
        </w:trPr>
        <w:tc>
          <w:tcPr>
            <w:tcW w:w="9067" w:type="dxa"/>
            <w:gridSpan w:val="4"/>
            <w:tcMar>
              <w:top w:w="15" w:type="dxa"/>
              <w:left w:w="108" w:type="dxa"/>
              <w:bottom w:w="15" w:type="dxa"/>
              <w:right w:w="108" w:type="dxa"/>
            </w:tcMar>
            <w:vAlign w:val="center"/>
          </w:tcPr>
          <w:p w14:paraId="34F3A55C" w14:textId="580E189F" w:rsidR="3D7C612A" w:rsidRDefault="3D7C612A">
            <w:pPr>
              <w:rPr>
                <w:rFonts w:ascii="Arial Narrow" w:eastAsia="Arial Narrow" w:hAnsi="Arial Narrow" w:cs="Arial Narrow"/>
                <w:sz w:val="20"/>
                <w:szCs w:val="20"/>
              </w:rPr>
            </w:pPr>
            <w:r w:rsidRPr="3D7C612A">
              <w:rPr>
                <w:rFonts w:ascii="Arial Narrow" w:eastAsia="Arial Narrow" w:hAnsi="Arial Narrow" w:cs="Arial Narrow"/>
                <w:b/>
                <w:bCs/>
                <w:sz w:val="20"/>
                <w:szCs w:val="20"/>
              </w:rPr>
              <w:t>Prescriber type:</w:t>
            </w:r>
            <w:r w:rsidR="22294197" w:rsidRPr="78777A7A">
              <w:rPr>
                <w:rFonts w:ascii="Arial Narrow" w:eastAsia="Arial Narrow" w:hAnsi="Arial Narrow" w:cs="Arial Narrow"/>
                <w:b/>
                <w:bCs/>
                <w:sz w:val="20"/>
                <w:szCs w:val="20"/>
              </w:rPr>
              <w:t xml:space="preserve"> </w:t>
            </w:r>
            <w:r w:rsidRPr="3D7C612A">
              <w:rPr>
                <w:rFonts w:ascii="Arial Narrow" w:eastAsia="Arial Narrow" w:hAnsi="Arial Narrow" w:cs="Arial Narrow"/>
                <w:sz w:val="20"/>
                <w:szCs w:val="20"/>
              </w:rPr>
              <w:t xml:space="preserve">Medical Practitioners </w:t>
            </w:r>
          </w:p>
        </w:tc>
      </w:tr>
      <w:tr w:rsidR="3D7C612A" w14:paraId="41BAB02A" w14:textId="77777777" w:rsidTr="002451FD">
        <w:trPr>
          <w:trHeight w:val="15"/>
        </w:trPr>
        <w:tc>
          <w:tcPr>
            <w:tcW w:w="9067" w:type="dxa"/>
            <w:gridSpan w:val="4"/>
            <w:tcMar>
              <w:top w:w="15" w:type="dxa"/>
              <w:left w:w="108" w:type="dxa"/>
              <w:bottom w:w="15" w:type="dxa"/>
              <w:right w:w="108" w:type="dxa"/>
            </w:tcMar>
            <w:vAlign w:val="center"/>
          </w:tcPr>
          <w:p w14:paraId="1B7F5685" w14:textId="56CB8339" w:rsidR="3D7C612A" w:rsidRDefault="3D7C612A">
            <w:pPr>
              <w:rPr>
                <w:rFonts w:ascii="Arial Narrow" w:eastAsia="Arial Narrow" w:hAnsi="Arial Narrow" w:cs="Arial Narrow"/>
                <w:sz w:val="20"/>
                <w:szCs w:val="20"/>
              </w:rPr>
            </w:pPr>
            <w:r w:rsidRPr="3D7C612A">
              <w:rPr>
                <w:rFonts w:ascii="Arial Narrow" w:eastAsia="Arial Narrow" w:hAnsi="Arial Narrow" w:cs="Arial Narrow"/>
                <w:b/>
                <w:bCs/>
                <w:sz w:val="20"/>
                <w:szCs w:val="20"/>
              </w:rPr>
              <w:t xml:space="preserve">Benefit type: </w:t>
            </w:r>
            <w:r w:rsidRPr="3D7C612A">
              <w:rPr>
                <w:rFonts w:ascii="Arial Narrow" w:eastAsia="Arial Narrow" w:hAnsi="Arial Narrow" w:cs="Arial Narrow"/>
                <w:sz w:val="20"/>
                <w:szCs w:val="20"/>
              </w:rPr>
              <w:t xml:space="preserve">Authority Required (immediate assessment- telephone/online application avenues)) </w:t>
            </w:r>
          </w:p>
        </w:tc>
      </w:tr>
      <w:tr w:rsidR="3D7C612A" w14:paraId="76538660" w14:textId="77777777" w:rsidTr="002451FD">
        <w:trPr>
          <w:trHeight w:val="15"/>
        </w:trPr>
        <w:tc>
          <w:tcPr>
            <w:tcW w:w="9067" w:type="dxa"/>
            <w:gridSpan w:val="4"/>
            <w:tcMar>
              <w:top w:w="15" w:type="dxa"/>
              <w:left w:w="108" w:type="dxa"/>
              <w:bottom w:w="15" w:type="dxa"/>
              <w:right w:w="108" w:type="dxa"/>
            </w:tcMar>
            <w:vAlign w:val="center"/>
          </w:tcPr>
          <w:p w14:paraId="145C8CBF" w14:textId="64A6D11B" w:rsidR="3D7C612A" w:rsidRDefault="3D7C612A">
            <w:pPr>
              <w:rPr>
                <w:rFonts w:ascii="Arial Narrow" w:eastAsia="Arial Narrow" w:hAnsi="Arial Narrow" w:cs="Arial Narrow"/>
                <w:sz w:val="20"/>
                <w:szCs w:val="20"/>
              </w:rPr>
            </w:pPr>
            <w:r w:rsidRPr="3D7C612A">
              <w:rPr>
                <w:rFonts w:ascii="Arial Narrow" w:eastAsia="Arial Narrow" w:hAnsi="Arial Narrow" w:cs="Arial Narrow"/>
                <w:b/>
                <w:bCs/>
                <w:sz w:val="20"/>
                <w:szCs w:val="20"/>
              </w:rPr>
              <w:t xml:space="preserve">Administrative Advice: </w:t>
            </w:r>
            <w:r w:rsidRPr="3D7C612A">
              <w:rPr>
                <w:rFonts w:ascii="Arial Narrow" w:eastAsia="Arial Narrow" w:hAnsi="Arial Narrow" w:cs="Arial Narrow"/>
                <w:sz w:val="20"/>
                <w:szCs w:val="20"/>
              </w:rPr>
              <w:t>No increase in the maximum amount or number of units may be authorised.</w:t>
            </w:r>
          </w:p>
        </w:tc>
      </w:tr>
      <w:tr w:rsidR="3D7C612A" w14:paraId="58D2226D" w14:textId="77777777" w:rsidTr="002451FD">
        <w:trPr>
          <w:trHeight w:val="15"/>
        </w:trPr>
        <w:tc>
          <w:tcPr>
            <w:tcW w:w="9067" w:type="dxa"/>
            <w:gridSpan w:val="4"/>
            <w:tcMar>
              <w:top w:w="15" w:type="dxa"/>
              <w:left w:w="108" w:type="dxa"/>
              <w:bottom w:w="15" w:type="dxa"/>
              <w:right w:w="108" w:type="dxa"/>
            </w:tcMar>
            <w:vAlign w:val="center"/>
          </w:tcPr>
          <w:p w14:paraId="219014CA" w14:textId="00993A84" w:rsidR="3D7C612A" w:rsidRDefault="3D7C612A">
            <w:pPr>
              <w:rPr>
                <w:rFonts w:ascii="Arial Narrow" w:eastAsia="Arial Narrow" w:hAnsi="Arial Narrow" w:cs="Arial Narrow"/>
                <w:sz w:val="20"/>
                <w:szCs w:val="20"/>
              </w:rPr>
            </w:pPr>
            <w:r w:rsidRPr="3D7C612A">
              <w:rPr>
                <w:rFonts w:ascii="Arial Narrow" w:eastAsia="Arial Narrow" w:hAnsi="Arial Narrow" w:cs="Arial Narrow"/>
                <w:b/>
                <w:bCs/>
                <w:sz w:val="20"/>
                <w:szCs w:val="20"/>
              </w:rPr>
              <w:t xml:space="preserve">Administrative Advice: </w:t>
            </w:r>
            <w:r w:rsidRPr="3D7C612A">
              <w:rPr>
                <w:rFonts w:ascii="Arial Narrow" w:eastAsia="Arial Narrow" w:hAnsi="Arial Narrow" w:cs="Arial Narrow"/>
                <w:sz w:val="20"/>
                <w:szCs w:val="20"/>
              </w:rPr>
              <w:t>No increase in the maximum number of repeats may be authorised.</w:t>
            </w:r>
          </w:p>
        </w:tc>
      </w:tr>
      <w:tr w:rsidR="3D7C612A" w14:paraId="02140A5A" w14:textId="77777777" w:rsidTr="002451FD">
        <w:trPr>
          <w:trHeight w:val="15"/>
        </w:trPr>
        <w:tc>
          <w:tcPr>
            <w:tcW w:w="9067" w:type="dxa"/>
            <w:gridSpan w:val="4"/>
            <w:tcMar>
              <w:top w:w="15" w:type="dxa"/>
              <w:left w:w="108" w:type="dxa"/>
              <w:bottom w:w="15" w:type="dxa"/>
              <w:right w:w="108" w:type="dxa"/>
            </w:tcMar>
            <w:vAlign w:val="center"/>
          </w:tcPr>
          <w:p w14:paraId="5D6D6FD4" w14:textId="2E0E4FCA" w:rsidR="3D7C612A" w:rsidRDefault="3D7C612A">
            <w:pPr>
              <w:rPr>
                <w:rFonts w:ascii="Arial Narrow" w:eastAsia="Arial Narrow" w:hAnsi="Arial Narrow" w:cs="Arial Narrow"/>
                <w:sz w:val="20"/>
                <w:szCs w:val="20"/>
              </w:rPr>
            </w:pPr>
            <w:r w:rsidRPr="3D7C612A">
              <w:rPr>
                <w:rFonts w:ascii="Arial Narrow" w:eastAsia="Arial Narrow" w:hAnsi="Arial Narrow" w:cs="Arial Narrow"/>
                <w:b/>
                <w:bCs/>
                <w:sz w:val="20"/>
                <w:szCs w:val="20"/>
              </w:rPr>
              <w:t xml:space="preserve">Administrative Advice: </w:t>
            </w:r>
            <w:r w:rsidRPr="3D7C612A">
              <w:rPr>
                <w:rFonts w:ascii="Arial Narrow" w:eastAsia="Arial Narrow" w:hAnsi="Arial Narrow" w:cs="Arial Narrow"/>
                <w:sz w:val="20"/>
                <w:szCs w:val="20"/>
              </w:rPr>
              <w:t>Special Pricing Arrangement apply.</w:t>
            </w:r>
          </w:p>
        </w:tc>
      </w:tr>
      <w:tr w:rsidR="3D7C612A" w14:paraId="245F4AFD" w14:textId="77777777" w:rsidTr="002451FD">
        <w:trPr>
          <w:trHeight w:val="15"/>
        </w:trPr>
        <w:tc>
          <w:tcPr>
            <w:tcW w:w="9067" w:type="dxa"/>
            <w:gridSpan w:val="4"/>
            <w:tcMar>
              <w:top w:w="15" w:type="dxa"/>
              <w:left w:w="108" w:type="dxa"/>
              <w:bottom w:w="15" w:type="dxa"/>
              <w:right w:w="108" w:type="dxa"/>
            </w:tcMar>
            <w:vAlign w:val="center"/>
          </w:tcPr>
          <w:p w14:paraId="30CD3E65" w14:textId="48DBF30B" w:rsidR="3D7C612A" w:rsidRDefault="3D7C612A">
            <w:pPr>
              <w:rPr>
                <w:rFonts w:ascii="Arial Narrow" w:eastAsia="Arial Narrow" w:hAnsi="Arial Narrow" w:cs="Arial Narrow"/>
                <w:sz w:val="20"/>
                <w:szCs w:val="20"/>
              </w:rPr>
            </w:pPr>
            <w:r w:rsidRPr="3D7C612A">
              <w:rPr>
                <w:rFonts w:ascii="Arial Narrow" w:eastAsia="Arial Narrow" w:hAnsi="Arial Narrow" w:cs="Arial Narrow"/>
                <w:b/>
                <w:bCs/>
                <w:sz w:val="20"/>
                <w:szCs w:val="20"/>
              </w:rPr>
              <w:t xml:space="preserve">Administrative Advice: </w:t>
            </w:r>
            <w:r w:rsidRPr="3D7C612A">
              <w:rPr>
                <w:rFonts w:ascii="Arial Narrow" w:eastAsia="Arial Narrow" w:hAnsi="Arial Narrow" w:cs="Arial Narrow"/>
                <w:sz w:val="20"/>
                <w:szCs w:val="20"/>
              </w:rPr>
              <w:t xml:space="preserve">Applications for authorisation under this restriction may be made in real time using the Online PBS Authorities system (see </w:t>
            </w:r>
            <w:hyperlink r:id="rId17" w:history="1">
              <w:r w:rsidRPr="3D7C612A">
                <w:rPr>
                  <w:rStyle w:val="Hyperlink"/>
                  <w:rFonts w:ascii="Arial Narrow" w:eastAsia="Arial Narrow" w:hAnsi="Arial Narrow" w:cs="Arial Narrow"/>
                  <w:sz w:val="20"/>
                  <w:szCs w:val="20"/>
                </w:rPr>
                <w:t>www.servicesaustralia.gov.au/HPOS</w:t>
              </w:r>
            </w:hyperlink>
            <w:r w:rsidRPr="3D7C612A">
              <w:rPr>
                <w:rFonts w:ascii="Arial Narrow" w:eastAsia="Arial Narrow" w:hAnsi="Arial Narrow" w:cs="Arial Narrow"/>
                <w:sz w:val="20"/>
                <w:szCs w:val="20"/>
              </w:rPr>
              <w:t>) or by telephone by contacting Services Australia on 1800 888 333.</w:t>
            </w:r>
          </w:p>
        </w:tc>
      </w:tr>
      <w:tr w:rsidR="002533FC" w14:paraId="12E26E6A" w14:textId="77777777" w:rsidTr="00593A0E">
        <w:trPr>
          <w:trHeight w:val="15"/>
        </w:trPr>
        <w:tc>
          <w:tcPr>
            <w:tcW w:w="9067" w:type="dxa"/>
            <w:gridSpan w:val="4"/>
            <w:shd w:val="clear" w:color="auto" w:fill="BFBFBF" w:themeFill="background1" w:themeFillShade="BF"/>
            <w:tcMar>
              <w:top w:w="15" w:type="dxa"/>
              <w:left w:w="108" w:type="dxa"/>
              <w:bottom w:w="15" w:type="dxa"/>
              <w:right w:w="108" w:type="dxa"/>
            </w:tcMar>
            <w:vAlign w:val="center"/>
          </w:tcPr>
          <w:p w14:paraId="2374DCB2" w14:textId="7F5A2B9B" w:rsidR="3D7C612A" w:rsidRDefault="3D7C612A">
            <w:pPr>
              <w:rPr>
                <w:rFonts w:ascii="Arial Narrow" w:eastAsia="Arial Narrow" w:hAnsi="Arial Narrow" w:cs="Arial Narrow"/>
                <w:b/>
                <w:bCs/>
                <w:color w:val="000000" w:themeColor="text1"/>
                <w:sz w:val="20"/>
                <w:szCs w:val="20"/>
              </w:rPr>
            </w:pPr>
            <w:r w:rsidRPr="3D7C612A">
              <w:rPr>
                <w:rFonts w:ascii="Arial Narrow" w:eastAsia="Arial Narrow" w:hAnsi="Arial Narrow" w:cs="Arial Narrow"/>
                <w:b/>
                <w:bCs/>
                <w:color w:val="000000" w:themeColor="text1"/>
                <w:sz w:val="20"/>
                <w:szCs w:val="20"/>
              </w:rPr>
              <w:t xml:space="preserve">Restriction Summary [new 3] / Treatment of Concept: [new 4] </w:t>
            </w:r>
          </w:p>
        </w:tc>
      </w:tr>
      <w:tr w:rsidR="3D7C612A" w14:paraId="5AB993D8" w14:textId="77777777" w:rsidTr="002451FD">
        <w:trPr>
          <w:trHeight w:val="15"/>
        </w:trPr>
        <w:tc>
          <w:tcPr>
            <w:tcW w:w="9067" w:type="dxa"/>
            <w:gridSpan w:val="4"/>
            <w:tcMar>
              <w:top w:w="15" w:type="dxa"/>
              <w:left w:w="108" w:type="dxa"/>
              <w:bottom w:w="15" w:type="dxa"/>
              <w:right w:w="108" w:type="dxa"/>
            </w:tcMar>
            <w:vAlign w:val="center"/>
          </w:tcPr>
          <w:p w14:paraId="23E13630" w14:textId="6FE5045B" w:rsidR="3D7C612A" w:rsidRDefault="3D7C612A">
            <w:pPr>
              <w:rPr>
                <w:rFonts w:ascii="Arial Narrow" w:eastAsia="Arial Narrow" w:hAnsi="Arial Narrow" w:cs="Arial Narrow"/>
                <w:color w:val="333333"/>
                <w:sz w:val="20"/>
                <w:szCs w:val="20"/>
              </w:rPr>
            </w:pPr>
            <w:r w:rsidRPr="3D7C612A">
              <w:rPr>
                <w:rFonts w:ascii="Arial Narrow" w:eastAsia="Arial Narrow" w:hAnsi="Arial Narrow" w:cs="Arial Narrow"/>
                <w:b/>
                <w:bCs/>
                <w:color w:val="333333"/>
                <w:sz w:val="20"/>
                <w:szCs w:val="20"/>
              </w:rPr>
              <w:t>Indication:</w:t>
            </w:r>
            <w:r w:rsidRPr="3D7C612A">
              <w:rPr>
                <w:rFonts w:ascii="Arial Narrow" w:eastAsia="Arial Narrow" w:hAnsi="Arial Narrow" w:cs="Arial Narrow"/>
                <w:color w:val="333333"/>
                <w:sz w:val="20"/>
                <w:szCs w:val="20"/>
              </w:rPr>
              <w:t xml:space="preserve"> Stage IIIB/ IIIC (locally advanced) or Stage IV (metastatic) non-small cell lung cancer (NSCLC)</w:t>
            </w:r>
          </w:p>
        </w:tc>
      </w:tr>
      <w:tr w:rsidR="3D7C612A" w14:paraId="083A7881" w14:textId="77777777" w:rsidTr="002451FD">
        <w:trPr>
          <w:trHeight w:val="15"/>
        </w:trPr>
        <w:tc>
          <w:tcPr>
            <w:tcW w:w="9067" w:type="dxa"/>
            <w:gridSpan w:val="4"/>
            <w:tcMar>
              <w:top w:w="15" w:type="dxa"/>
              <w:left w:w="108" w:type="dxa"/>
              <w:bottom w:w="15" w:type="dxa"/>
              <w:right w:w="108" w:type="dxa"/>
            </w:tcMar>
            <w:vAlign w:val="center"/>
          </w:tcPr>
          <w:p w14:paraId="6F689DA9" w14:textId="312943B2" w:rsidR="3D7C612A" w:rsidRDefault="3D7C612A">
            <w:pPr>
              <w:rPr>
                <w:rFonts w:ascii="Arial Narrow" w:eastAsia="Arial Narrow" w:hAnsi="Arial Narrow" w:cs="Arial Narrow"/>
                <w:color w:val="333333"/>
                <w:sz w:val="20"/>
                <w:szCs w:val="20"/>
              </w:rPr>
            </w:pPr>
            <w:r w:rsidRPr="3D7C612A">
              <w:rPr>
                <w:rFonts w:ascii="Arial Narrow" w:eastAsia="Arial Narrow" w:hAnsi="Arial Narrow" w:cs="Arial Narrow"/>
                <w:b/>
                <w:bCs/>
                <w:color w:val="333333"/>
                <w:sz w:val="20"/>
                <w:szCs w:val="20"/>
              </w:rPr>
              <w:t>Treatment Phase:</w:t>
            </w:r>
            <w:r w:rsidRPr="3D7C612A">
              <w:rPr>
                <w:rFonts w:ascii="Arial Narrow" w:eastAsia="Arial Narrow" w:hAnsi="Arial Narrow" w:cs="Arial Narrow"/>
                <w:color w:val="FF0000"/>
                <w:sz w:val="20"/>
                <w:szCs w:val="20"/>
              </w:rPr>
              <w:t xml:space="preserve"> </w:t>
            </w:r>
            <w:r w:rsidRPr="3D7C612A">
              <w:rPr>
                <w:rFonts w:ascii="Arial Narrow" w:eastAsia="Arial Narrow" w:hAnsi="Arial Narrow" w:cs="Arial Narrow"/>
                <w:color w:val="333333"/>
                <w:sz w:val="20"/>
                <w:szCs w:val="20"/>
              </w:rPr>
              <w:t>Continuing treatment</w:t>
            </w:r>
          </w:p>
        </w:tc>
      </w:tr>
      <w:tr w:rsidR="3D7C612A" w14:paraId="3DE606DF" w14:textId="77777777" w:rsidTr="002451FD">
        <w:trPr>
          <w:trHeight w:val="15"/>
        </w:trPr>
        <w:tc>
          <w:tcPr>
            <w:tcW w:w="9067" w:type="dxa"/>
            <w:gridSpan w:val="4"/>
            <w:tcMar>
              <w:top w:w="15" w:type="dxa"/>
              <w:left w:w="108" w:type="dxa"/>
              <w:bottom w:w="15" w:type="dxa"/>
              <w:right w:w="108" w:type="dxa"/>
            </w:tcMar>
            <w:vAlign w:val="center"/>
          </w:tcPr>
          <w:p w14:paraId="7E0B34D4" w14:textId="209F4D9F" w:rsidR="3D7C612A" w:rsidRDefault="3D7C612A">
            <w:pPr>
              <w:rPr>
                <w:rFonts w:ascii="Arial Narrow" w:eastAsia="Arial Narrow" w:hAnsi="Arial Narrow" w:cs="Arial Narrow"/>
                <w:b/>
                <w:bCs/>
                <w:color w:val="333333"/>
                <w:sz w:val="20"/>
                <w:szCs w:val="20"/>
              </w:rPr>
            </w:pPr>
            <w:r w:rsidRPr="3D7C612A">
              <w:rPr>
                <w:rFonts w:ascii="Arial Narrow" w:eastAsia="Arial Narrow" w:hAnsi="Arial Narrow" w:cs="Arial Narrow"/>
                <w:b/>
                <w:bCs/>
                <w:color w:val="333333"/>
                <w:sz w:val="20"/>
                <w:szCs w:val="20"/>
              </w:rPr>
              <w:t>Clinical criteria</w:t>
            </w:r>
          </w:p>
        </w:tc>
      </w:tr>
      <w:tr w:rsidR="3D7C612A" w14:paraId="08698E7C" w14:textId="77777777" w:rsidTr="002451FD">
        <w:trPr>
          <w:trHeight w:val="15"/>
        </w:trPr>
        <w:tc>
          <w:tcPr>
            <w:tcW w:w="9067" w:type="dxa"/>
            <w:gridSpan w:val="4"/>
            <w:tcMar>
              <w:top w:w="15" w:type="dxa"/>
              <w:left w:w="108" w:type="dxa"/>
              <w:bottom w:w="15" w:type="dxa"/>
              <w:right w:w="108" w:type="dxa"/>
            </w:tcMar>
            <w:vAlign w:val="center"/>
          </w:tcPr>
          <w:p w14:paraId="511AD64B" w14:textId="75129AE8" w:rsidR="3D7C612A" w:rsidRDefault="3D7C612A">
            <w:pPr>
              <w:rPr>
                <w:rFonts w:ascii="Arial Narrow" w:eastAsia="Arial Narrow" w:hAnsi="Arial Narrow" w:cs="Arial Narrow"/>
                <w:color w:val="333333"/>
                <w:sz w:val="20"/>
                <w:szCs w:val="20"/>
              </w:rPr>
            </w:pPr>
            <w:r w:rsidRPr="3D7C612A">
              <w:rPr>
                <w:rFonts w:ascii="Arial Narrow" w:eastAsia="Arial Narrow" w:hAnsi="Arial Narrow" w:cs="Arial Narrow"/>
                <w:color w:val="333333"/>
                <w:sz w:val="20"/>
                <w:szCs w:val="20"/>
              </w:rPr>
              <w:t>Patient must have previously received PBS-subsidised treatment with this drug for this condition</w:t>
            </w:r>
          </w:p>
        </w:tc>
      </w:tr>
      <w:tr w:rsidR="3D7C612A" w14:paraId="6C8235B2" w14:textId="77777777" w:rsidTr="002451FD">
        <w:trPr>
          <w:trHeight w:val="15"/>
        </w:trPr>
        <w:tc>
          <w:tcPr>
            <w:tcW w:w="9067" w:type="dxa"/>
            <w:gridSpan w:val="4"/>
            <w:tcMar>
              <w:top w:w="15" w:type="dxa"/>
              <w:left w:w="108" w:type="dxa"/>
              <w:bottom w:w="15" w:type="dxa"/>
              <w:right w:w="108" w:type="dxa"/>
            </w:tcMar>
            <w:vAlign w:val="center"/>
          </w:tcPr>
          <w:p w14:paraId="4A6EBA23" w14:textId="275DF3FF" w:rsidR="3D7C612A" w:rsidRDefault="3D7C612A">
            <w:pPr>
              <w:rPr>
                <w:rFonts w:ascii="Arial Narrow" w:eastAsia="Arial Narrow" w:hAnsi="Arial Narrow" w:cs="Arial Narrow"/>
                <w:b/>
                <w:bCs/>
                <w:color w:val="333333"/>
                <w:sz w:val="20"/>
                <w:szCs w:val="20"/>
              </w:rPr>
            </w:pPr>
            <w:r w:rsidRPr="3D7C612A">
              <w:rPr>
                <w:rFonts w:ascii="Arial Narrow" w:eastAsia="Arial Narrow" w:hAnsi="Arial Narrow" w:cs="Arial Narrow"/>
                <w:b/>
                <w:bCs/>
                <w:color w:val="333333"/>
                <w:sz w:val="20"/>
                <w:szCs w:val="20"/>
              </w:rPr>
              <w:t>AND</w:t>
            </w:r>
          </w:p>
        </w:tc>
      </w:tr>
      <w:tr w:rsidR="3D7C612A" w14:paraId="15B88BE3" w14:textId="77777777" w:rsidTr="002451FD">
        <w:trPr>
          <w:trHeight w:val="15"/>
        </w:trPr>
        <w:tc>
          <w:tcPr>
            <w:tcW w:w="9067" w:type="dxa"/>
            <w:gridSpan w:val="4"/>
            <w:tcMar>
              <w:top w:w="15" w:type="dxa"/>
              <w:left w:w="108" w:type="dxa"/>
              <w:bottom w:w="15" w:type="dxa"/>
              <w:right w:w="108" w:type="dxa"/>
            </w:tcMar>
            <w:vAlign w:val="center"/>
          </w:tcPr>
          <w:p w14:paraId="530AA78D" w14:textId="1564C88B" w:rsidR="3D7C612A" w:rsidRDefault="3D7C612A">
            <w:pPr>
              <w:rPr>
                <w:rFonts w:ascii="Arial Narrow" w:eastAsia="Arial Narrow" w:hAnsi="Arial Narrow" w:cs="Arial Narrow"/>
                <w:b/>
                <w:bCs/>
                <w:color w:val="333333"/>
                <w:sz w:val="20"/>
                <w:szCs w:val="20"/>
              </w:rPr>
            </w:pPr>
            <w:r w:rsidRPr="3D7C612A">
              <w:rPr>
                <w:rFonts w:ascii="Arial Narrow" w:eastAsia="Arial Narrow" w:hAnsi="Arial Narrow" w:cs="Arial Narrow"/>
                <w:b/>
                <w:bCs/>
                <w:color w:val="333333"/>
                <w:sz w:val="20"/>
                <w:szCs w:val="20"/>
              </w:rPr>
              <w:t>Clinical criteria</w:t>
            </w:r>
          </w:p>
        </w:tc>
      </w:tr>
      <w:tr w:rsidR="3D7C612A" w14:paraId="7AB50407" w14:textId="77777777" w:rsidTr="002451FD">
        <w:trPr>
          <w:trHeight w:val="15"/>
        </w:trPr>
        <w:tc>
          <w:tcPr>
            <w:tcW w:w="9067" w:type="dxa"/>
            <w:gridSpan w:val="4"/>
            <w:tcMar>
              <w:top w:w="15" w:type="dxa"/>
              <w:left w:w="108" w:type="dxa"/>
              <w:bottom w:w="15" w:type="dxa"/>
              <w:right w:w="108" w:type="dxa"/>
            </w:tcMar>
            <w:vAlign w:val="center"/>
          </w:tcPr>
          <w:p w14:paraId="3AA8C249" w14:textId="799EAE00" w:rsidR="3D7C612A" w:rsidRDefault="3D7C612A">
            <w:pPr>
              <w:rPr>
                <w:rFonts w:ascii="Arial Narrow" w:eastAsia="Arial Narrow" w:hAnsi="Arial Narrow" w:cs="Arial Narrow"/>
                <w:color w:val="333333"/>
                <w:sz w:val="20"/>
                <w:szCs w:val="20"/>
              </w:rPr>
            </w:pPr>
            <w:r w:rsidRPr="3D7C612A">
              <w:rPr>
                <w:rFonts w:ascii="Arial Narrow" w:eastAsia="Arial Narrow" w:hAnsi="Arial Narrow" w:cs="Arial Narrow"/>
                <w:color w:val="333333"/>
                <w:sz w:val="20"/>
                <w:szCs w:val="20"/>
              </w:rPr>
              <w:t>Patient must not have developed disease progression while receiving treatment with this drug for this condition</w:t>
            </w:r>
          </w:p>
        </w:tc>
      </w:tr>
    </w:tbl>
    <w:p w14:paraId="0E631EBB" w14:textId="788FFDF1" w:rsidR="00A81980" w:rsidRDefault="00FC4488" w:rsidP="0079363A">
      <w:pPr>
        <w:pStyle w:val="3-BodyText"/>
        <w:spacing w:before="120"/>
      </w:pPr>
      <w:r w:rsidRPr="00FC4488">
        <w:t>Flow on changes:</w:t>
      </w:r>
    </w:p>
    <w:p w14:paraId="6C9DE3C6" w14:textId="3CEF8BA7" w:rsidR="00D34615" w:rsidRDefault="2C7C8AF6" w:rsidP="0095653A">
      <w:pPr>
        <w:pStyle w:val="3-BodyText"/>
        <w:numPr>
          <w:ilvl w:val="0"/>
          <w:numId w:val="0"/>
        </w:numPr>
      </w:pPr>
      <w:r>
        <w:t>1</w:t>
      </w:r>
      <w:r w:rsidR="0079363A">
        <w:t>.</w:t>
      </w:r>
      <w:r>
        <w:t xml:space="preserve"> </w:t>
      </w:r>
      <w:r w:rsidR="001E567B">
        <w:t xml:space="preserve">Amend </w:t>
      </w:r>
      <w:r w:rsidR="5A5C86F8">
        <w:t>initial treatment phase of</w:t>
      </w:r>
      <w:r w:rsidR="001E567B" w:rsidRPr="001E567B">
        <w:t xml:space="preserve"> gefitinib (8769M), erlotinib (25 mg 10022L, 100</w:t>
      </w:r>
      <w:r w:rsidR="0079363A">
        <w:t> </w:t>
      </w:r>
      <w:r w:rsidR="001E567B" w:rsidRPr="001E567B">
        <w:t>mg 10020J, 150 mg 10014C) and afatinib (20 mg 11335N, 30 mg 11341X, 40 mg 11359W, 50</w:t>
      </w:r>
      <w:r w:rsidR="0079363A">
        <w:t> </w:t>
      </w:r>
      <w:r w:rsidR="001E567B" w:rsidRPr="001E567B">
        <w:t xml:space="preserve">mg 11329G) </w:t>
      </w:r>
      <w:r w:rsidR="001E567B">
        <w:t>for</w:t>
      </w:r>
      <w:r w:rsidR="001E567B" w:rsidRPr="001E567B">
        <w:t xml:space="preserve"> Stage IIIB (locally advanced) or Stage IV (metastatic) NSCLC listings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 w:type="dxa"/>
          <w:bottom w:w="15" w:type="dxa"/>
          <w:right w:w="28" w:type="dxa"/>
        </w:tblCellMar>
        <w:tblLook w:val="04A0" w:firstRow="1" w:lastRow="0" w:firstColumn="1" w:lastColumn="0" w:noHBand="0" w:noVBand="1"/>
      </w:tblPr>
      <w:tblGrid>
        <w:gridCol w:w="9017"/>
      </w:tblGrid>
      <w:tr w:rsidR="00DD081C" w:rsidRPr="00F64282" w14:paraId="228873EF" w14:textId="77777777" w:rsidTr="00191999">
        <w:trPr>
          <w:trHeight w:val="113"/>
        </w:trPr>
        <w:tc>
          <w:tcPr>
            <w:tcW w:w="5000" w:type="pct"/>
            <w:vAlign w:val="center"/>
          </w:tcPr>
          <w:p w14:paraId="55686F73" w14:textId="74836000" w:rsidR="00DD081C" w:rsidRPr="0023528B" w:rsidRDefault="00DD081C">
            <w:pPr>
              <w:rPr>
                <w:rFonts w:ascii="Arial Narrow" w:hAnsi="Arial Narrow"/>
                <w:b/>
                <w:color w:val="333333"/>
                <w:sz w:val="20"/>
                <w:szCs w:val="20"/>
              </w:rPr>
            </w:pPr>
            <w:r w:rsidRPr="0023528B">
              <w:rPr>
                <w:rFonts w:ascii="Arial Narrow" w:hAnsi="Arial Narrow"/>
                <w:b/>
                <w:color w:val="333333"/>
                <w:sz w:val="20"/>
                <w:szCs w:val="20"/>
              </w:rPr>
              <w:t>Population criteria</w:t>
            </w:r>
          </w:p>
        </w:tc>
      </w:tr>
      <w:tr w:rsidR="00DD081C" w:rsidRPr="00F64282" w14:paraId="28D0054E" w14:textId="77777777" w:rsidTr="00191999">
        <w:trPr>
          <w:trHeight w:val="113"/>
        </w:trPr>
        <w:tc>
          <w:tcPr>
            <w:tcW w:w="5000" w:type="pct"/>
            <w:vAlign w:val="center"/>
            <w:hideMark/>
          </w:tcPr>
          <w:p w14:paraId="5795CC6B" w14:textId="46538244" w:rsidR="00DD081C" w:rsidRPr="0023528B" w:rsidRDefault="00DD081C">
            <w:pPr>
              <w:rPr>
                <w:rFonts w:ascii="Arial Narrow" w:hAnsi="Arial Narrow"/>
                <w:color w:val="333333"/>
                <w:sz w:val="20"/>
                <w:szCs w:val="20"/>
              </w:rPr>
            </w:pPr>
            <w:r w:rsidRPr="00900F37">
              <w:rPr>
                <w:rFonts w:ascii="Arial Narrow" w:hAnsi="Arial Narrow"/>
                <w:color w:val="333333"/>
                <w:sz w:val="20"/>
                <w:szCs w:val="20"/>
              </w:rPr>
              <w:t xml:space="preserve">Patient must have evidence of an activating epidermal growth factor receptor (EGFR) gene mutation known to confer sensitivity to treatment with EGFR tyrosine kinase inhibitors in tumour material; </w:t>
            </w:r>
            <w:r w:rsidRPr="00C95BE7">
              <w:rPr>
                <w:rFonts w:ascii="Arial Narrow" w:hAnsi="Arial Narrow"/>
                <w:b/>
                <w:color w:val="333333"/>
                <w:sz w:val="20"/>
              </w:rPr>
              <w:t>AND</w:t>
            </w:r>
          </w:p>
        </w:tc>
      </w:tr>
      <w:tr w:rsidR="00DD081C" w:rsidRPr="00F64282" w14:paraId="6014C809" w14:textId="77777777" w:rsidTr="00191999">
        <w:trPr>
          <w:trHeight w:val="113"/>
        </w:trPr>
        <w:tc>
          <w:tcPr>
            <w:tcW w:w="5000" w:type="pct"/>
            <w:vAlign w:val="center"/>
          </w:tcPr>
          <w:p w14:paraId="2179FE12" w14:textId="77777777" w:rsidR="00DD081C" w:rsidRPr="0023528B" w:rsidRDefault="00DD081C">
            <w:pPr>
              <w:rPr>
                <w:rFonts w:ascii="Arial Narrow" w:hAnsi="Arial Narrow"/>
                <w:b/>
                <w:color w:val="333333"/>
                <w:sz w:val="20"/>
                <w:szCs w:val="20"/>
              </w:rPr>
            </w:pPr>
            <w:r w:rsidRPr="0023528B">
              <w:rPr>
                <w:rFonts w:ascii="Arial Narrow" w:hAnsi="Arial Narrow"/>
                <w:b/>
                <w:color w:val="333333"/>
                <w:sz w:val="20"/>
                <w:szCs w:val="20"/>
              </w:rPr>
              <w:t>Population criteria</w:t>
            </w:r>
          </w:p>
        </w:tc>
      </w:tr>
      <w:tr w:rsidR="00DD081C" w:rsidRPr="00F64282" w14:paraId="25C0E384" w14:textId="77777777" w:rsidTr="00191999">
        <w:trPr>
          <w:trHeight w:val="113"/>
        </w:trPr>
        <w:tc>
          <w:tcPr>
            <w:tcW w:w="5000" w:type="pct"/>
            <w:vAlign w:val="center"/>
            <w:hideMark/>
          </w:tcPr>
          <w:p w14:paraId="0EE94320" w14:textId="2D9F22F1" w:rsidR="00DD081C" w:rsidRPr="00F64282" w:rsidRDefault="00DD081C">
            <w:pPr>
              <w:rPr>
                <w:rFonts w:ascii="Arial Narrow" w:hAnsi="Arial Narrow"/>
                <w:color w:val="333333"/>
                <w:sz w:val="20"/>
                <w:szCs w:val="20"/>
                <w:highlight w:val="yellow"/>
              </w:rPr>
            </w:pPr>
            <w:r w:rsidRPr="002F0E0C">
              <w:rPr>
                <w:rFonts w:ascii="Arial Narrow" w:hAnsi="Arial Narrow"/>
                <w:color w:val="333333"/>
                <w:sz w:val="20"/>
                <w:szCs w:val="20"/>
              </w:rPr>
              <w:t>Patient must not have evidence in tumour material of an activating epidermal growth factor receptor (EGFR) exon 20 insertion mutation</w:t>
            </w:r>
          </w:p>
        </w:tc>
      </w:tr>
    </w:tbl>
    <w:p w14:paraId="1397DB87" w14:textId="36E082EF" w:rsidR="00EF1A24" w:rsidRDefault="49FB5599" w:rsidP="008E2B44">
      <w:pPr>
        <w:pStyle w:val="3-BodyText"/>
        <w:numPr>
          <w:ilvl w:val="0"/>
          <w:numId w:val="0"/>
        </w:numPr>
        <w:spacing w:before="120"/>
      </w:pPr>
      <w:r>
        <w:t xml:space="preserve">2. </w:t>
      </w:r>
      <w:r w:rsidR="2C6FFC21">
        <w:t>Amend</w:t>
      </w:r>
      <w:r w:rsidR="002B1F74">
        <w:t xml:space="preserve"> </w:t>
      </w:r>
      <w:r w:rsidR="157D38AE">
        <w:t xml:space="preserve">initial treatment </w:t>
      </w:r>
      <w:r w:rsidR="21500832">
        <w:t xml:space="preserve">phase of </w:t>
      </w:r>
      <w:r w:rsidR="002B1F74">
        <w:t xml:space="preserve">osimertinib </w:t>
      </w:r>
      <w:r w:rsidR="186DAE85">
        <w:t>80</w:t>
      </w:r>
      <w:r w:rsidR="08A1C7BA">
        <w:t xml:space="preserve"> </w:t>
      </w:r>
      <w:r w:rsidR="186DAE85">
        <w:t>mg</w:t>
      </w:r>
      <w:r w:rsidR="002B1F74">
        <w:t xml:space="preserve"> </w:t>
      </w:r>
      <w:r w:rsidR="002B1F74" w:rsidRPr="002B1F74">
        <w:t>(1</w:t>
      </w:r>
      <w:r w:rsidR="002B1F74">
        <w:t>2232T</w:t>
      </w:r>
      <w:r w:rsidR="008214FA">
        <w:t>,</w:t>
      </w:r>
      <w:r w:rsidR="002B1F74" w:rsidRPr="002B1F74">
        <w:t xml:space="preserve">) as </w:t>
      </w:r>
      <w:r w:rsidR="00CA5363">
        <w:t>first</w:t>
      </w:r>
      <w:r w:rsidR="002B1F74" w:rsidRPr="002B1F74">
        <w:t>-line EGFR tyrosine kinase inhibitor therapy for Stage IIIB (locally advanced) or Stage IV (metastatic) NSCLC listings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28" w:type="dxa"/>
          <w:bottom w:w="15" w:type="dxa"/>
          <w:right w:w="28" w:type="dxa"/>
        </w:tblCellMar>
        <w:tblLook w:val="04A0" w:firstRow="1" w:lastRow="0" w:firstColumn="1" w:lastColumn="0" w:noHBand="0" w:noVBand="1"/>
      </w:tblPr>
      <w:tblGrid>
        <w:gridCol w:w="9017"/>
      </w:tblGrid>
      <w:tr w:rsidR="00DD081C" w:rsidRPr="00F64282" w14:paraId="27D073F0" w14:textId="77777777" w:rsidTr="00191999">
        <w:trPr>
          <w:trHeight w:val="113"/>
        </w:trPr>
        <w:tc>
          <w:tcPr>
            <w:tcW w:w="5000" w:type="pct"/>
            <w:vAlign w:val="center"/>
          </w:tcPr>
          <w:p w14:paraId="6D3510BF" w14:textId="3E57EE7E" w:rsidR="00DD081C" w:rsidRPr="0023528B" w:rsidRDefault="00DD081C" w:rsidP="00CA5363">
            <w:pPr>
              <w:rPr>
                <w:rFonts w:ascii="Arial Narrow" w:hAnsi="Arial Narrow"/>
                <w:b/>
                <w:bCs/>
                <w:color w:val="333333"/>
                <w:sz w:val="20"/>
                <w:szCs w:val="20"/>
              </w:rPr>
            </w:pPr>
            <w:r>
              <w:rPr>
                <w:rFonts w:ascii="Arial Narrow" w:hAnsi="Arial Narrow"/>
                <w:b/>
                <w:bCs/>
                <w:color w:val="333333"/>
                <w:sz w:val="20"/>
                <w:szCs w:val="20"/>
              </w:rPr>
              <w:t xml:space="preserve">Population </w:t>
            </w:r>
            <w:r w:rsidRPr="0023528B">
              <w:rPr>
                <w:rFonts w:ascii="Arial Narrow" w:hAnsi="Arial Narrow"/>
                <w:b/>
                <w:bCs/>
                <w:color w:val="333333"/>
                <w:sz w:val="20"/>
                <w:szCs w:val="20"/>
              </w:rPr>
              <w:t>criteria</w:t>
            </w:r>
          </w:p>
        </w:tc>
      </w:tr>
      <w:tr w:rsidR="00DD081C" w:rsidRPr="00F64282" w14:paraId="2F72F734" w14:textId="77777777" w:rsidTr="00191999">
        <w:trPr>
          <w:trHeight w:val="113"/>
        </w:trPr>
        <w:tc>
          <w:tcPr>
            <w:tcW w:w="5000" w:type="pct"/>
            <w:vAlign w:val="center"/>
            <w:hideMark/>
          </w:tcPr>
          <w:p w14:paraId="2B7E82F7" w14:textId="494CD0F4" w:rsidR="00DD081C" w:rsidRPr="0023528B" w:rsidRDefault="00DD081C" w:rsidP="00CA5363">
            <w:pPr>
              <w:rPr>
                <w:rFonts w:ascii="Arial Narrow" w:hAnsi="Arial Narrow"/>
                <w:color w:val="333333"/>
                <w:sz w:val="20"/>
                <w:szCs w:val="20"/>
              </w:rPr>
            </w:pPr>
            <w:r w:rsidRPr="00E17B8D">
              <w:rPr>
                <w:rFonts w:ascii="Arial Narrow" w:hAnsi="Arial Narrow"/>
                <w:color w:val="333333"/>
                <w:sz w:val="20"/>
                <w:szCs w:val="20"/>
              </w:rPr>
              <w:t>Patient must have evidence in tumour material of an activating epidermal growth factor receptor (EGFR) gene mutation known to confer sensitivity to treatment with EGFR tyrosine kinase inhibitors</w:t>
            </w:r>
            <w:r>
              <w:rPr>
                <w:rFonts w:ascii="Arial Narrow" w:hAnsi="Arial Narrow"/>
                <w:color w:val="333333"/>
                <w:sz w:val="20"/>
                <w:szCs w:val="20"/>
              </w:rPr>
              <w:t>;</w:t>
            </w:r>
            <w:r w:rsidRPr="002451FD">
              <w:rPr>
                <w:rFonts w:ascii="Arial Narrow" w:hAnsi="Arial Narrow"/>
                <w:b/>
                <w:color w:val="333333"/>
                <w:sz w:val="20"/>
                <w:szCs w:val="20"/>
              </w:rPr>
              <w:t xml:space="preserve"> AND</w:t>
            </w:r>
          </w:p>
        </w:tc>
      </w:tr>
      <w:tr w:rsidR="00DD081C" w:rsidRPr="00F64282" w14:paraId="20D6664B" w14:textId="77777777" w:rsidTr="00191999">
        <w:trPr>
          <w:trHeight w:val="113"/>
        </w:trPr>
        <w:tc>
          <w:tcPr>
            <w:tcW w:w="5000" w:type="pct"/>
            <w:vAlign w:val="center"/>
          </w:tcPr>
          <w:p w14:paraId="6C26A009" w14:textId="67434322" w:rsidR="00DD081C" w:rsidRPr="0023528B" w:rsidRDefault="00DD081C" w:rsidP="00CA5363">
            <w:pPr>
              <w:rPr>
                <w:rFonts w:ascii="Arial Narrow" w:hAnsi="Arial Narrow"/>
                <w:b/>
                <w:bCs/>
                <w:color w:val="333333"/>
                <w:sz w:val="20"/>
                <w:szCs w:val="20"/>
              </w:rPr>
            </w:pPr>
            <w:r>
              <w:rPr>
                <w:rFonts w:ascii="Arial Narrow" w:hAnsi="Arial Narrow"/>
                <w:b/>
                <w:bCs/>
                <w:color w:val="333333"/>
                <w:sz w:val="20"/>
                <w:szCs w:val="20"/>
              </w:rPr>
              <w:t>Population</w:t>
            </w:r>
            <w:r w:rsidRPr="0023528B">
              <w:rPr>
                <w:rFonts w:ascii="Arial Narrow" w:hAnsi="Arial Narrow"/>
                <w:b/>
                <w:bCs/>
                <w:color w:val="333333"/>
                <w:sz w:val="20"/>
                <w:szCs w:val="20"/>
              </w:rPr>
              <w:t xml:space="preserve"> criteria</w:t>
            </w:r>
          </w:p>
        </w:tc>
      </w:tr>
      <w:tr w:rsidR="00DD081C" w:rsidRPr="00F64282" w14:paraId="75F558F1" w14:textId="77777777" w:rsidTr="00191999">
        <w:trPr>
          <w:trHeight w:val="113"/>
        </w:trPr>
        <w:tc>
          <w:tcPr>
            <w:tcW w:w="5000" w:type="pct"/>
            <w:vAlign w:val="center"/>
            <w:hideMark/>
          </w:tcPr>
          <w:p w14:paraId="2DC83DBD" w14:textId="77777777" w:rsidR="00DD081C" w:rsidRPr="00F64282" w:rsidRDefault="00DD081C" w:rsidP="00CA5363">
            <w:pPr>
              <w:rPr>
                <w:rFonts w:ascii="Arial Narrow" w:hAnsi="Arial Narrow"/>
                <w:color w:val="333333"/>
                <w:sz w:val="20"/>
                <w:szCs w:val="20"/>
                <w:highlight w:val="yellow"/>
              </w:rPr>
            </w:pPr>
            <w:r w:rsidRPr="002F0E0C">
              <w:rPr>
                <w:rFonts w:ascii="Arial Narrow" w:hAnsi="Arial Narrow"/>
                <w:color w:val="333333"/>
                <w:sz w:val="20"/>
                <w:szCs w:val="20"/>
              </w:rPr>
              <w:t>Patient must not have evidence in tumour material of an activating epidermal growth factor receptor (EGFR) exon 20 insertion mutation</w:t>
            </w:r>
            <w:r>
              <w:rPr>
                <w:rFonts w:ascii="Arial Narrow" w:hAnsi="Arial Narrow"/>
                <w:color w:val="333333"/>
                <w:sz w:val="20"/>
                <w:szCs w:val="20"/>
              </w:rPr>
              <w:t>.</w:t>
            </w:r>
          </w:p>
        </w:tc>
      </w:tr>
    </w:tbl>
    <w:p w14:paraId="1158EA4B" w14:textId="46AE27AE" w:rsidR="00F5089A" w:rsidRDefault="00E85859" w:rsidP="006B1431">
      <w:pPr>
        <w:spacing w:before="120" w:after="120"/>
        <w:rPr>
          <w:rFonts w:asciiTheme="minorHAnsi" w:hAnsiTheme="minorHAnsi"/>
          <w:b/>
          <w:i/>
          <w:snapToGrid w:val="0"/>
          <w:lang w:val="en-GB" w:eastAsia="en-US"/>
        </w:rPr>
      </w:pPr>
      <w:r w:rsidRPr="002B5288">
        <w:rPr>
          <w:rFonts w:asciiTheme="minorHAnsi" w:hAnsiTheme="minorHAnsi"/>
          <w:b/>
          <w:i/>
          <w:snapToGrid w:val="0"/>
          <w:lang w:val="en-GB" w:eastAsia="en-US"/>
        </w:rPr>
        <w:t>These restrictions may be subject to further review. Should there be any changes made to the restriction the sponsor will be informed.</w:t>
      </w:r>
      <w:bookmarkEnd w:id="3"/>
      <w:bookmarkEnd w:id="4"/>
      <w:bookmarkEnd w:id="5"/>
      <w:bookmarkEnd w:id="6"/>
      <w:bookmarkEnd w:id="7"/>
    </w:p>
    <w:p w14:paraId="252F46CB" w14:textId="351228F8" w:rsidR="009353A3" w:rsidRPr="009353A3" w:rsidRDefault="009353A3" w:rsidP="009353A3">
      <w:pPr>
        <w:pStyle w:val="2-SectionHeading"/>
      </w:pPr>
      <w:r w:rsidRPr="009353A3">
        <w:rPr>
          <w:rStyle w:val="normaltextrun"/>
        </w:rPr>
        <w:lastRenderedPageBreak/>
        <w:t>Context for Decision</w:t>
      </w:r>
    </w:p>
    <w:p w14:paraId="21BBA919" w14:textId="77777777" w:rsidR="009353A3" w:rsidRPr="009353A3" w:rsidRDefault="009353A3" w:rsidP="009353A3">
      <w:pPr>
        <w:pStyle w:val="3-BodyText"/>
        <w:numPr>
          <w:ilvl w:val="0"/>
          <w:numId w:val="0"/>
        </w:numPr>
        <w:ind w:left="720"/>
      </w:pPr>
      <w:r w:rsidRPr="009353A3">
        <w:rPr>
          <w:rStyle w:val="normaltextrun"/>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Pr="009353A3">
        <w:rPr>
          <w:rStyle w:val="eop"/>
        </w:rPr>
        <w:t> </w:t>
      </w:r>
    </w:p>
    <w:p w14:paraId="3752E545" w14:textId="0CC4E7BE" w:rsidR="009353A3" w:rsidRPr="009353A3" w:rsidRDefault="009353A3" w:rsidP="009353A3">
      <w:pPr>
        <w:pStyle w:val="2-SectionHeading"/>
      </w:pPr>
      <w:r w:rsidRPr="009353A3">
        <w:rPr>
          <w:rStyle w:val="normaltextrun"/>
        </w:rPr>
        <w:t>Sponsor’s Comment</w:t>
      </w:r>
    </w:p>
    <w:p w14:paraId="5C1575E7" w14:textId="34BABE2E" w:rsidR="00191999" w:rsidRPr="00FC6E56" w:rsidRDefault="009353A3" w:rsidP="00FC6E56">
      <w:pPr>
        <w:pStyle w:val="3-BodyText"/>
        <w:numPr>
          <w:ilvl w:val="0"/>
          <w:numId w:val="0"/>
        </w:numPr>
        <w:ind w:left="720"/>
      </w:pPr>
      <w:r w:rsidRPr="009353A3">
        <w:rPr>
          <w:rStyle w:val="normaltextrun"/>
        </w:rPr>
        <w:t>The sponsor had no comment.</w:t>
      </w:r>
      <w:r w:rsidRPr="009353A3">
        <w:rPr>
          <w:rStyle w:val="eop"/>
        </w:rPr>
        <w:t> </w:t>
      </w:r>
    </w:p>
    <w:sectPr w:rsidR="00191999" w:rsidRPr="00FC6E56" w:rsidSect="00772DFC">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04872" w14:textId="77777777" w:rsidR="003D77C7" w:rsidRDefault="003D77C7" w:rsidP="00124A51">
      <w:r>
        <w:separator/>
      </w:r>
    </w:p>
    <w:p w14:paraId="5D9818C0" w14:textId="77777777" w:rsidR="003D77C7" w:rsidRDefault="003D77C7"/>
  </w:endnote>
  <w:endnote w:type="continuationSeparator" w:id="0">
    <w:p w14:paraId="576911B9" w14:textId="77777777" w:rsidR="003D77C7" w:rsidRDefault="003D77C7" w:rsidP="00124A51">
      <w:r>
        <w:continuationSeparator/>
      </w:r>
    </w:p>
    <w:p w14:paraId="74D9BBEC" w14:textId="77777777" w:rsidR="003D77C7" w:rsidRDefault="003D77C7"/>
  </w:endnote>
  <w:endnote w:type="continuationNotice" w:id="1">
    <w:p w14:paraId="2B687263" w14:textId="77777777" w:rsidR="003D77C7" w:rsidRDefault="003D7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55E27" w14:textId="77777777" w:rsidR="00CB5300" w:rsidRDefault="00CB5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77F29" w14:textId="77777777" w:rsidR="003518EF" w:rsidRDefault="003518EF">
    <w:pPr>
      <w:pStyle w:val="Footer"/>
      <w:jc w:val="center"/>
    </w:pPr>
  </w:p>
  <w:sdt>
    <w:sdtPr>
      <w:id w:val="1436405058"/>
      <w:docPartObj>
        <w:docPartGallery w:val="Page Numbers (Bottom of Page)"/>
        <w:docPartUnique/>
      </w:docPartObj>
    </w:sdtPr>
    <w:sdtEndPr>
      <w:rPr>
        <w:noProof/>
      </w:rPr>
    </w:sdtEndPr>
    <w:sdtContent>
      <w:p w14:paraId="2E7C5E7B" w14:textId="51D2DC5F" w:rsidR="003518EF" w:rsidRDefault="003518EF" w:rsidP="003518EF">
        <w:pPr>
          <w:pStyle w:val="Footer"/>
          <w:jc w:val="center"/>
        </w:pPr>
        <w:r w:rsidRPr="003518EF">
          <w:rPr>
            <w:b/>
            <w:bCs/>
          </w:rPr>
          <w:fldChar w:fldCharType="begin"/>
        </w:r>
        <w:r w:rsidRPr="003518EF">
          <w:rPr>
            <w:b/>
            <w:bCs/>
          </w:rPr>
          <w:instrText xml:space="preserve"> PAGE   \* MERGEFORMAT </w:instrText>
        </w:r>
        <w:r w:rsidRPr="003518EF">
          <w:rPr>
            <w:b/>
            <w:bCs/>
          </w:rPr>
          <w:fldChar w:fldCharType="separate"/>
        </w:r>
        <w:r w:rsidRPr="003518EF">
          <w:rPr>
            <w:b/>
            <w:bCs/>
            <w:noProof/>
          </w:rPr>
          <w:t>2</w:t>
        </w:r>
        <w:r w:rsidRPr="003518EF">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86F31" w14:textId="77777777" w:rsidR="00CB5300" w:rsidRDefault="00CB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BBCB7" w14:textId="77777777" w:rsidR="003D77C7" w:rsidRDefault="003D77C7" w:rsidP="00124A51">
      <w:r>
        <w:separator/>
      </w:r>
    </w:p>
    <w:p w14:paraId="6153A19A" w14:textId="77777777" w:rsidR="003D77C7" w:rsidRDefault="003D77C7"/>
  </w:footnote>
  <w:footnote w:type="continuationSeparator" w:id="0">
    <w:p w14:paraId="18C35AF4" w14:textId="77777777" w:rsidR="003D77C7" w:rsidRDefault="003D77C7" w:rsidP="00124A51">
      <w:r>
        <w:continuationSeparator/>
      </w:r>
    </w:p>
    <w:p w14:paraId="19851092" w14:textId="77777777" w:rsidR="003D77C7" w:rsidRDefault="003D77C7"/>
  </w:footnote>
  <w:footnote w:type="continuationNotice" w:id="1">
    <w:p w14:paraId="4E67F3D5" w14:textId="77777777" w:rsidR="003D77C7" w:rsidRDefault="003D77C7"/>
  </w:footnote>
  <w:footnote w:id="2">
    <w:p w14:paraId="27002783" w14:textId="52DA94A6" w:rsidR="00555986" w:rsidRDefault="00555986" w:rsidP="00AD07E3">
      <w:pPr>
        <w:pStyle w:val="TableFigureFooter"/>
      </w:pPr>
      <w:r>
        <w:rPr>
          <w:rStyle w:val="FootnoteReference"/>
        </w:rPr>
        <w:footnoteRef/>
      </w:r>
      <w:r>
        <w:t xml:space="preserve"> </w:t>
      </w:r>
      <w:r w:rsidRPr="00555986">
        <w:t xml:space="preserve">Soria J-C, Ohe Y, Vansteenkiste J, et al. (2018). Osimertinib in untreated </w:t>
      </w:r>
      <w:r w:rsidR="00F54438" w:rsidRPr="00F54438">
        <w:rPr>
          <w:i/>
        </w:rPr>
        <w:t>EGFR</w:t>
      </w:r>
      <w:r w:rsidRPr="00555986">
        <w:t xml:space="preserve">-mutated advanced non–small-cell lung cancer. </w:t>
      </w:r>
      <w:r w:rsidRPr="00155702">
        <w:rPr>
          <w:i/>
          <w:iCs/>
        </w:rPr>
        <w:t>N Engl J Med</w:t>
      </w:r>
      <w:r w:rsidRPr="00555986">
        <w:t>; 378: 113-25.</w:t>
      </w:r>
    </w:p>
  </w:footnote>
  <w:footnote w:id="3">
    <w:p w14:paraId="399DD44C" w14:textId="77777777" w:rsidR="00765141" w:rsidRDefault="00765141" w:rsidP="00AD07E3">
      <w:pPr>
        <w:pStyle w:val="TableFigureFooter"/>
      </w:pPr>
      <w:r w:rsidRPr="7177B32B">
        <w:rPr>
          <w:rStyle w:val="FootnoteReference"/>
        </w:rPr>
        <w:footnoteRef/>
      </w:r>
      <w:r>
        <w:t xml:space="preserve"> Australian Institute of Health and Welfare, (2023), ‘Cancer data in Australia’, retrieved from </w:t>
      </w:r>
      <w:hyperlink r:id="rId1">
        <w:r w:rsidRPr="7177B32B">
          <w:rPr>
            <w:rStyle w:val="Hyperlink"/>
          </w:rPr>
          <w:t>https://www.aihw.gov.au/reports/cancer/cancer-data-in-australia/contents/summary</w:t>
        </w:r>
      </w:hyperlink>
      <w:r>
        <w:t xml:space="preserve"> </w:t>
      </w:r>
    </w:p>
  </w:footnote>
  <w:footnote w:id="4">
    <w:p w14:paraId="76E648DD" w14:textId="77777777" w:rsidR="00765141" w:rsidRPr="009663F7" w:rsidRDefault="00765141" w:rsidP="00AD07E3">
      <w:pPr>
        <w:pStyle w:val="TableFigureFooter"/>
      </w:pPr>
      <w:r w:rsidRPr="00466B85">
        <w:rPr>
          <w:rStyle w:val="FootnoteReference"/>
          <w:rFonts w:asciiTheme="minorHAnsi" w:hAnsiTheme="minorHAnsi" w:cstheme="minorHAnsi"/>
        </w:rPr>
        <w:footnoteRef/>
      </w:r>
      <w:r w:rsidRPr="00466B85">
        <w:t xml:space="preserve"> </w:t>
      </w:r>
      <w:r w:rsidRPr="009663F7">
        <w:t xml:space="preserve">Jordan et al, (2017), ‘Prospective comprehensive molecular characterization of lung adenocarcinomas for efficient patient matching to approved and emerging therapies’, </w:t>
      </w:r>
      <w:r w:rsidRPr="009663F7">
        <w:rPr>
          <w:i/>
          <w:iCs/>
        </w:rPr>
        <w:t>Cancer discovery</w:t>
      </w:r>
      <w:r w:rsidRPr="009663F7">
        <w:t> 7.6: 596-609.</w:t>
      </w:r>
    </w:p>
  </w:footnote>
  <w:footnote w:id="5">
    <w:p w14:paraId="7B863DA5" w14:textId="5F3F9F37" w:rsidR="00765141" w:rsidRPr="009663F7" w:rsidRDefault="00765141" w:rsidP="00AD07E3">
      <w:pPr>
        <w:pStyle w:val="TableFigureFooter"/>
      </w:pPr>
      <w:r w:rsidRPr="009663F7">
        <w:rPr>
          <w:rStyle w:val="FootnoteReference"/>
          <w:vertAlign w:val="baseline"/>
        </w:rPr>
        <w:footnoteRef/>
      </w:r>
      <w:r w:rsidRPr="009663F7">
        <w:t xml:space="preserve"> Lea et al, (2021), ‘</w:t>
      </w:r>
      <w:r w:rsidR="00F54438" w:rsidRPr="00F54438">
        <w:rPr>
          <w:i/>
        </w:rPr>
        <w:t>EGFR</w:t>
      </w:r>
      <w:r w:rsidRPr="009663F7">
        <w:t xml:space="preserve"> Exon 20 Insertion Mutations: Clinicopathological Characteristics and Treatment Outcomes in Advanced Non–Small Cell Lung Cancer’</w:t>
      </w:r>
      <w:r w:rsidRPr="009663F7">
        <w:rPr>
          <w:i/>
          <w:iCs/>
        </w:rPr>
        <w:t>, Clinical lung cancer</w:t>
      </w:r>
      <w:r w:rsidRPr="009663F7">
        <w:t> 22.6: e859-e869.</w:t>
      </w:r>
    </w:p>
  </w:footnote>
  <w:footnote w:id="6">
    <w:p w14:paraId="67F7CA6A" w14:textId="0FF9B4C4" w:rsidR="00765141" w:rsidRPr="009663F7" w:rsidRDefault="00765141" w:rsidP="00AD07E3">
      <w:pPr>
        <w:pStyle w:val="TableFigureFooter"/>
      </w:pPr>
      <w:r w:rsidRPr="009663F7">
        <w:rPr>
          <w:rStyle w:val="FootnoteReference"/>
          <w:vertAlign w:val="baseline"/>
        </w:rPr>
        <w:footnoteRef/>
      </w:r>
      <w:r w:rsidRPr="009663F7">
        <w:t xml:space="preserve"> Arcila et al, (2013), ‘</w:t>
      </w:r>
      <w:r w:rsidR="00F54438" w:rsidRPr="00F54438">
        <w:rPr>
          <w:i/>
        </w:rPr>
        <w:t>EGFR</w:t>
      </w:r>
      <w:r w:rsidRPr="009663F7">
        <w:t xml:space="preserve"> exon 20 insertion mutations in lung adenocarcinomas: prevalence, molecular heterogeneity, and clinicopathologic characteristics’, </w:t>
      </w:r>
      <w:r w:rsidRPr="009663F7">
        <w:rPr>
          <w:i/>
          <w:iCs/>
        </w:rPr>
        <w:t>Molecular cancer therapeutics</w:t>
      </w:r>
      <w:r w:rsidRPr="009663F7">
        <w:t> 12.2: 220-229.</w:t>
      </w:r>
    </w:p>
  </w:footnote>
  <w:footnote w:id="7">
    <w:p w14:paraId="281D3EDE" w14:textId="3C80A5B7" w:rsidR="00765141" w:rsidRPr="009663F7" w:rsidRDefault="00765141" w:rsidP="00AD07E3">
      <w:pPr>
        <w:pStyle w:val="TableFigureFooter"/>
      </w:pPr>
      <w:r w:rsidRPr="009663F7">
        <w:rPr>
          <w:rStyle w:val="FootnoteReference"/>
          <w:vertAlign w:val="baseline"/>
        </w:rPr>
        <w:footnoteRef/>
      </w:r>
      <w:r w:rsidRPr="009663F7">
        <w:t xml:space="preserve"> </w:t>
      </w:r>
      <w:proofErr w:type="spellStart"/>
      <w:r w:rsidRPr="009663F7">
        <w:t>Gazdar</w:t>
      </w:r>
      <w:proofErr w:type="spellEnd"/>
      <w:r w:rsidRPr="009663F7">
        <w:t xml:space="preserve">, (2009), ‘Activating and resistance mutations of </w:t>
      </w:r>
      <w:r w:rsidR="00F54438" w:rsidRPr="00F54438">
        <w:rPr>
          <w:i/>
        </w:rPr>
        <w:t>EGFR</w:t>
      </w:r>
      <w:r w:rsidRPr="009663F7">
        <w:t xml:space="preserve"> in non-small-cell lung cancer: role in clinical response to </w:t>
      </w:r>
      <w:r w:rsidR="00F54438" w:rsidRPr="00F54438">
        <w:rPr>
          <w:i/>
        </w:rPr>
        <w:t>EGFR</w:t>
      </w:r>
      <w:r w:rsidRPr="009663F7">
        <w:t xml:space="preserve"> tyrosine kinase inhibitors’, </w:t>
      </w:r>
      <w:r w:rsidRPr="009663F7">
        <w:rPr>
          <w:i/>
          <w:iCs/>
        </w:rPr>
        <w:t>Oncogene</w:t>
      </w:r>
      <w:r w:rsidRPr="009663F7">
        <w:t> 28.1: S24-S31.</w:t>
      </w:r>
    </w:p>
  </w:footnote>
  <w:footnote w:id="8">
    <w:p w14:paraId="252F5357" w14:textId="77777777" w:rsidR="00765141" w:rsidRPr="009663F7" w:rsidRDefault="00765141" w:rsidP="00AD07E3">
      <w:pPr>
        <w:pStyle w:val="TableFigureFooter"/>
      </w:pPr>
      <w:r w:rsidRPr="009663F7">
        <w:rPr>
          <w:rStyle w:val="FootnoteReference"/>
          <w:vertAlign w:val="baseline"/>
        </w:rPr>
        <w:footnoteRef/>
      </w:r>
      <w:r w:rsidRPr="009663F7">
        <w:t xml:space="preserve"> Riely et al. "Non–Small Cell Lung Cancer, Version 4.2024, NCCN Clinical Practice Guidelines in Oncology." </w:t>
      </w:r>
      <w:r w:rsidRPr="009663F7">
        <w:rPr>
          <w:i/>
          <w:iCs/>
        </w:rPr>
        <w:t>Journal of the National Comprehensive Cancer Network</w:t>
      </w:r>
      <w:r w:rsidRPr="009663F7">
        <w:t> 22.4 (2024): 249-274.</w:t>
      </w:r>
    </w:p>
  </w:footnote>
  <w:footnote w:id="9">
    <w:p w14:paraId="239D0281" w14:textId="77777777" w:rsidR="00765141" w:rsidRPr="009663F7" w:rsidRDefault="00765141" w:rsidP="00AD07E3">
      <w:pPr>
        <w:pStyle w:val="TableFigureFooter"/>
      </w:pPr>
      <w:r w:rsidRPr="009663F7">
        <w:rPr>
          <w:rStyle w:val="FootnoteReference"/>
          <w:vertAlign w:val="baseline"/>
        </w:rPr>
        <w:footnoteRef/>
      </w:r>
      <w:r w:rsidRPr="009663F7">
        <w:t xml:space="preserve"> Hendriks et al, (2023), ‘Oncogene-addicted metastatic non-small-cell lung cancer: ESMO Clinical Practice Guideline for diagnosis, treatment and follow-up', </w:t>
      </w:r>
      <w:r w:rsidRPr="009663F7">
        <w:rPr>
          <w:i/>
          <w:iCs/>
        </w:rPr>
        <w:t>Annals of Oncology</w:t>
      </w:r>
      <w:r w:rsidRPr="009663F7">
        <w:t xml:space="preserve">, </w:t>
      </w:r>
      <w:r w:rsidRPr="009663F7">
        <w:rPr>
          <w:rFonts w:eastAsia="Arial"/>
        </w:rPr>
        <w:t>34.4 (2023): 339-357</w:t>
      </w:r>
    </w:p>
  </w:footnote>
  <w:footnote w:id="10">
    <w:p w14:paraId="0A06C15D" w14:textId="04C1EA9E" w:rsidR="00B95641" w:rsidRPr="00466B85" w:rsidRDefault="00B95641" w:rsidP="00AD07E3">
      <w:pPr>
        <w:pStyle w:val="TableFigureFooter"/>
      </w:pPr>
      <w:r w:rsidRPr="00466B85">
        <w:rPr>
          <w:rStyle w:val="FootnoteReference"/>
          <w:rFonts w:asciiTheme="minorHAnsi" w:hAnsiTheme="minorHAnsi" w:cstheme="minorHAnsi"/>
        </w:rPr>
        <w:footnoteRef/>
      </w:r>
      <w:r w:rsidRPr="00466B85">
        <w:t xml:space="preserve"> </w:t>
      </w:r>
      <w:r w:rsidRPr="00466B85">
        <w:rPr>
          <w:shd w:val="clear" w:color="auto" w:fill="FFFFFF"/>
        </w:rPr>
        <w:t xml:space="preserve">Girard et al. "Comparative clinical outcomes between </w:t>
      </w:r>
      <w:r w:rsidR="008272D0" w:rsidRPr="008272D0">
        <w:rPr>
          <w:i/>
          <w:shd w:val="clear" w:color="auto" w:fill="FFFFFF"/>
        </w:rPr>
        <w:t>EGFR</w:t>
      </w:r>
      <w:r w:rsidRPr="00466B85">
        <w:rPr>
          <w:shd w:val="clear" w:color="auto" w:fill="FFFFFF"/>
        </w:rPr>
        <w:t xml:space="preserve"> ex20ins and wildtype NSCLC treated with immune checkpoint inhibitors." </w:t>
      </w:r>
      <w:r w:rsidRPr="00466B85">
        <w:rPr>
          <w:i/>
          <w:iCs/>
          <w:shd w:val="clear" w:color="auto" w:fill="FFFFFF"/>
        </w:rPr>
        <w:t>Clinical lung cancer</w:t>
      </w:r>
      <w:r w:rsidRPr="00466B85">
        <w:rPr>
          <w:shd w:val="clear" w:color="auto" w:fill="FFFFFF"/>
        </w:rPr>
        <w:t> 23.7 (2022): 571-577.</w:t>
      </w:r>
    </w:p>
  </w:footnote>
  <w:footnote w:id="11">
    <w:p w14:paraId="4034B579" w14:textId="02D2BA63" w:rsidR="00B95641" w:rsidRPr="00466B85" w:rsidRDefault="00B95641" w:rsidP="00AD07E3">
      <w:pPr>
        <w:pStyle w:val="TableFigureFooter"/>
      </w:pPr>
      <w:r w:rsidRPr="00466B85">
        <w:rPr>
          <w:rStyle w:val="FootnoteReference"/>
          <w:rFonts w:asciiTheme="minorHAnsi" w:hAnsiTheme="minorHAnsi" w:cstheme="minorHAnsi"/>
        </w:rPr>
        <w:footnoteRef/>
      </w:r>
      <w:r w:rsidRPr="00466B85">
        <w:t xml:space="preserve"> Ettinger et al, (2024), National Comprehensive Cancer Network Clinical Practice Guidelines in Oncology – Non-small cell lung cancer</w:t>
      </w:r>
      <w:r w:rsidR="009663F7">
        <w:t>.</w:t>
      </w:r>
    </w:p>
  </w:footnote>
  <w:footnote w:id="12">
    <w:p w14:paraId="009A6EE8" w14:textId="77777777" w:rsidR="00EC35C5" w:rsidRDefault="00EC35C5" w:rsidP="00AD07E3">
      <w:pPr>
        <w:pStyle w:val="TableFigureFooter"/>
      </w:pPr>
      <w:r>
        <w:rPr>
          <w:rStyle w:val="FootnoteReference"/>
        </w:rPr>
        <w:footnoteRef/>
      </w:r>
      <w:r>
        <w:t xml:space="preserve"> </w:t>
      </w:r>
      <w:r w:rsidRPr="00EB0333">
        <w:t xml:space="preserve">Cherny NI, Dafni U, Bogaerts J, et al: ESMO-Magnitude of Clinical Benefit Scale version 1.1. </w:t>
      </w:r>
      <w:r w:rsidRPr="00EB0333">
        <w:rPr>
          <w:i/>
          <w:iCs/>
        </w:rPr>
        <w:t>Annals of Oncology</w:t>
      </w:r>
      <w:r w:rsidRPr="00EB0333">
        <w:t xml:space="preserve"> 28:2340-2366, 2017</w:t>
      </w:r>
      <w:r>
        <w:t>.</w:t>
      </w:r>
    </w:p>
  </w:footnote>
  <w:footnote w:id="13">
    <w:p w14:paraId="52B658B5" w14:textId="77777777" w:rsidR="00DA0B10" w:rsidRPr="00A73530" w:rsidRDefault="00DA0B10" w:rsidP="00AD07E3">
      <w:pPr>
        <w:pStyle w:val="TableFigureFooter"/>
      </w:pPr>
      <w:r w:rsidRPr="00A73530">
        <w:rPr>
          <w:rStyle w:val="FootnoteReference"/>
          <w:rFonts w:asciiTheme="minorHAnsi" w:hAnsiTheme="minorHAnsi" w:cstheme="minorHAnsi"/>
        </w:rPr>
        <w:footnoteRef/>
      </w:r>
      <w:r w:rsidRPr="00A73530">
        <w:t xml:space="preserve"> </w:t>
      </w:r>
      <w:r w:rsidRPr="00A73530">
        <w:rPr>
          <w:shd w:val="clear" w:color="auto" w:fill="FFFFFF"/>
        </w:rPr>
        <w:t>Sia et al. "A review of cancer related surrogate outcomes used for PBAC decision making." (2023).</w:t>
      </w:r>
    </w:p>
  </w:footnote>
  <w:footnote w:id="14">
    <w:p w14:paraId="387607D9" w14:textId="77777777" w:rsidR="00DA0B10" w:rsidRDefault="00DA0B10" w:rsidP="00AD07E3">
      <w:pPr>
        <w:pStyle w:val="TableFigureFooter"/>
      </w:pPr>
      <w:r w:rsidRPr="00A73530">
        <w:rPr>
          <w:rStyle w:val="FootnoteReference"/>
          <w:rFonts w:asciiTheme="minorHAnsi" w:hAnsiTheme="minorHAnsi" w:cstheme="minorHAnsi"/>
        </w:rPr>
        <w:footnoteRef/>
      </w:r>
      <w:r w:rsidRPr="00A73530">
        <w:t xml:space="preserve"> </w:t>
      </w:r>
      <w:r w:rsidRPr="00A73530">
        <w:rPr>
          <w:shd w:val="clear" w:color="auto" w:fill="FFFFFF"/>
        </w:rPr>
        <w:t>Blumenthal et al. "Overall response rate, progression-free survival, and overall survival with targeted and standard therapies in advanced non–small-cell lung cancer: US Food and Drug Administration trial-level and patient-level analyses." </w:t>
      </w:r>
      <w:r w:rsidRPr="00A73530">
        <w:rPr>
          <w:i/>
          <w:iCs/>
          <w:shd w:val="clear" w:color="auto" w:fill="FFFFFF"/>
        </w:rPr>
        <w:t>Journal of Clinical Oncology</w:t>
      </w:r>
      <w:r w:rsidRPr="00A73530">
        <w:rPr>
          <w:shd w:val="clear" w:color="auto" w:fill="FFFFFF"/>
        </w:rPr>
        <w:t> 33.9 (2015): 1008-1014.</w:t>
      </w:r>
    </w:p>
  </w:footnote>
  <w:footnote w:id="15">
    <w:p w14:paraId="2317DF7C" w14:textId="2CD2FAFD" w:rsidR="00DA0B10" w:rsidRPr="00BE33B2" w:rsidRDefault="00DA0B10" w:rsidP="00AD07E3">
      <w:pPr>
        <w:pStyle w:val="TableFigureFooter"/>
      </w:pPr>
      <w:r w:rsidRPr="00BE33B2">
        <w:rPr>
          <w:rStyle w:val="FootnoteReference"/>
          <w:rFonts w:asciiTheme="minorHAnsi" w:hAnsiTheme="minorHAnsi" w:cstheme="minorHAnsi"/>
          <w:sz w:val="20"/>
          <w:szCs w:val="20"/>
        </w:rPr>
        <w:footnoteRef/>
      </w:r>
      <w:r w:rsidRPr="00BE33B2">
        <w:t xml:space="preserve"> </w:t>
      </w:r>
      <w:r w:rsidRPr="00BE33B2">
        <w:rPr>
          <w:shd w:val="clear" w:color="auto" w:fill="FFFFFF"/>
        </w:rPr>
        <w:t>Johnson et al. "Response rate or time to progression as predictors of survival in trials of metastatic colorectal cancer or non-small-cell lung cancer: a meta-analysis." </w:t>
      </w:r>
      <w:r w:rsidRPr="00BE33B2">
        <w:rPr>
          <w:i/>
          <w:iCs/>
          <w:shd w:val="clear" w:color="auto" w:fill="FFFFFF"/>
        </w:rPr>
        <w:t xml:space="preserve">The </w:t>
      </w:r>
      <w:r w:rsidR="0053741A">
        <w:rPr>
          <w:i/>
          <w:iCs/>
          <w:shd w:val="clear" w:color="auto" w:fill="FFFFFF"/>
        </w:rPr>
        <w:t>L</w:t>
      </w:r>
      <w:r w:rsidRPr="00BE33B2">
        <w:rPr>
          <w:i/>
          <w:iCs/>
          <w:shd w:val="clear" w:color="auto" w:fill="FFFFFF"/>
        </w:rPr>
        <w:t xml:space="preserve">ancet </w:t>
      </w:r>
      <w:r w:rsidR="0053741A">
        <w:rPr>
          <w:i/>
          <w:iCs/>
          <w:shd w:val="clear" w:color="auto" w:fill="FFFFFF"/>
        </w:rPr>
        <w:t>O</w:t>
      </w:r>
      <w:r w:rsidRPr="00BE33B2">
        <w:rPr>
          <w:i/>
          <w:iCs/>
          <w:shd w:val="clear" w:color="auto" w:fill="FFFFFF"/>
        </w:rPr>
        <w:t>ncology</w:t>
      </w:r>
      <w:r w:rsidRPr="00BE33B2">
        <w:rPr>
          <w:shd w:val="clear" w:color="auto" w:fill="FFFFFF"/>
        </w:rPr>
        <w:t> 7.9 (2006): 741-746.</w:t>
      </w:r>
    </w:p>
  </w:footnote>
  <w:footnote w:id="16">
    <w:p w14:paraId="65E54EBE" w14:textId="652AE661" w:rsidR="00DA0B10" w:rsidRDefault="00DA0B10" w:rsidP="00AD07E3">
      <w:pPr>
        <w:pStyle w:val="TableFigureFooter"/>
      </w:pPr>
      <w:r w:rsidRPr="00BE33B2">
        <w:rPr>
          <w:rStyle w:val="FootnoteReference"/>
          <w:rFonts w:asciiTheme="minorHAnsi" w:hAnsiTheme="minorHAnsi" w:cstheme="minorHAnsi"/>
        </w:rPr>
        <w:footnoteRef/>
      </w:r>
      <w:r w:rsidRPr="00BE33B2">
        <w:t xml:space="preserve"> </w:t>
      </w:r>
      <w:r w:rsidRPr="00BE33B2">
        <w:rPr>
          <w:shd w:val="clear" w:color="auto" w:fill="FFFFFF"/>
        </w:rPr>
        <w:t>Hashim et al. "Do surrogate endpoints better correlate with overall survival in studies that did not allow for crossover or reported balanced post</w:t>
      </w:r>
      <w:r w:rsidR="00F6258A">
        <w:rPr>
          <w:shd w:val="clear" w:color="auto" w:fill="FFFFFF"/>
        </w:rPr>
        <w:t xml:space="preserve"> </w:t>
      </w:r>
      <w:r w:rsidRPr="00BE33B2">
        <w:rPr>
          <w:shd w:val="clear" w:color="auto" w:fill="FFFFFF"/>
        </w:rPr>
        <w:t>progression treatments? An application in advanced non–small cell lung cancer." </w:t>
      </w:r>
      <w:r w:rsidRPr="00BE33B2">
        <w:rPr>
          <w:i/>
          <w:iCs/>
          <w:shd w:val="clear" w:color="auto" w:fill="FFFFFF"/>
        </w:rPr>
        <w:t>Value in Health</w:t>
      </w:r>
      <w:r w:rsidRPr="00BE33B2">
        <w:rPr>
          <w:shd w:val="clear" w:color="auto" w:fill="FFFFFF"/>
        </w:rPr>
        <w:t> 21.1 (2018): 9-17.</w:t>
      </w:r>
    </w:p>
  </w:footnote>
  <w:footnote w:id="17">
    <w:p w14:paraId="4EC44A55" w14:textId="77777777" w:rsidR="00765141" w:rsidRPr="00466B85" w:rsidRDefault="00765141" w:rsidP="00AD07E3">
      <w:pPr>
        <w:pStyle w:val="TableFigureFooter"/>
      </w:pPr>
      <w:r w:rsidRPr="00466B85">
        <w:rPr>
          <w:rStyle w:val="FootnoteReference"/>
          <w:rFonts w:asciiTheme="minorHAnsi" w:hAnsiTheme="minorHAnsi" w:cstheme="minorHAnsi"/>
        </w:rPr>
        <w:footnoteRef/>
      </w:r>
      <w:r w:rsidRPr="00466B85">
        <w:t xml:space="preserve"> </w:t>
      </w:r>
      <w:r w:rsidRPr="00466B85">
        <w:rPr>
          <w:shd w:val="clear" w:color="auto" w:fill="FFFFFF"/>
        </w:rPr>
        <w:t>Morden et al. "Assessing methods for dealing with treatment switching in randomised controlled trials: a simulation study." </w:t>
      </w:r>
      <w:r w:rsidRPr="002D3905">
        <w:rPr>
          <w:i/>
          <w:iCs/>
          <w:shd w:val="clear" w:color="auto" w:fill="FFFFFF"/>
        </w:rPr>
        <w:t>BMC medical research methodology</w:t>
      </w:r>
      <w:r w:rsidRPr="00466B85">
        <w:rPr>
          <w:shd w:val="clear" w:color="auto" w:fill="FFFFFF"/>
        </w:rPr>
        <w:t> 11 (2011): 1-20.</w:t>
      </w:r>
    </w:p>
  </w:footnote>
  <w:footnote w:id="18">
    <w:p w14:paraId="259D2809" w14:textId="77777777" w:rsidR="00833647" w:rsidRPr="005A155A" w:rsidRDefault="00833647" w:rsidP="00AD07E3">
      <w:pPr>
        <w:pStyle w:val="TableFigureFooter"/>
      </w:pPr>
      <w:r w:rsidRPr="005A155A">
        <w:rPr>
          <w:rStyle w:val="FootnoteReference"/>
          <w:rFonts w:asciiTheme="minorHAnsi" w:hAnsiTheme="minorHAnsi" w:cstheme="minorHAnsi"/>
        </w:rPr>
        <w:footnoteRef/>
      </w:r>
      <w:r w:rsidRPr="005A155A">
        <w:t xml:space="preserve"> </w:t>
      </w:r>
      <w:r w:rsidRPr="005A155A">
        <w:rPr>
          <w:shd w:val="clear" w:color="auto" w:fill="FFFFFF"/>
        </w:rPr>
        <w:t>Yuan et al. "Postdiagnosis BMI Change Is Associated with Non–Small Cell Lung Cancer Survival." </w:t>
      </w:r>
      <w:r w:rsidRPr="002D3905">
        <w:rPr>
          <w:i/>
          <w:iCs/>
          <w:shd w:val="clear" w:color="auto" w:fill="FFFFFF"/>
        </w:rPr>
        <w:t>Cancer Epidemiology, Biomarkers &amp; Prevention</w:t>
      </w:r>
      <w:r w:rsidRPr="005A155A">
        <w:rPr>
          <w:shd w:val="clear" w:color="auto" w:fill="FFFFFF"/>
        </w:rPr>
        <w:t> 31.1 (2022): 262-268.</w:t>
      </w:r>
    </w:p>
  </w:footnote>
  <w:footnote w:id="19">
    <w:p w14:paraId="1915B27F" w14:textId="77777777" w:rsidR="00833647" w:rsidRDefault="00833647" w:rsidP="00AD07E3">
      <w:pPr>
        <w:pStyle w:val="TableFigureFooter"/>
      </w:pPr>
      <w:r w:rsidRPr="005A155A">
        <w:rPr>
          <w:rStyle w:val="FootnoteReference"/>
          <w:rFonts w:asciiTheme="minorHAnsi" w:hAnsiTheme="minorHAnsi" w:cstheme="minorHAnsi"/>
        </w:rPr>
        <w:footnoteRef/>
      </w:r>
      <w:r w:rsidRPr="005A155A">
        <w:t xml:space="preserve"> </w:t>
      </w:r>
      <w:r w:rsidRPr="005A155A">
        <w:rPr>
          <w:shd w:val="clear" w:color="auto" w:fill="FFFFFF"/>
        </w:rPr>
        <w:t>Jiang et al. "The relationship between body-mass index and overall survival in non-small cell lung cancer by sex, smoking status, and race: A pooled analysis of 20,937 International lung Cancer consortium (ILCCO) patients." </w:t>
      </w:r>
      <w:r w:rsidRPr="005A155A">
        <w:rPr>
          <w:i/>
          <w:iCs/>
          <w:shd w:val="clear" w:color="auto" w:fill="FFFFFF"/>
        </w:rPr>
        <w:t>Lung Cancer</w:t>
      </w:r>
      <w:r w:rsidRPr="005A155A">
        <w:rPr>
          <w:shd w:val="clear" w:color="auto" w:fill="FFFFFF"/>
        </w:rPr>
        <w:t> 152 (2021): 58-65.</w:t>
      </w:r>
    </w:p>
  </w:footnote>
  <w:footnote w:id="20">
    <w:p w14:paraId="2B8F5A13" w14:textId="7EB9F400" w:rsidR="00BE2412" w:rsidRPr="00162E18" w:rsidRDefault="00BE2412">
      <w:pPr>
        <w:pStyle w:val="FootnoteText"/>
        <w:rPr>
          <w:rStyle w:val="TableFigureFooterChar"/>
        </w:rPr>
      </w:pPr>
      <w:r w:rsidRPr="00BE2412">
        <w:rPr>
          <w:rStyle w:val="FootnoteReference"/>
          <w:sz w:val="16"/>
          <w:szCs w:val="16"/>
        </w:rPr>
        <w:footnoteRef/>
      </w:r>
      <w:r w:rsidRPr="00BE2412">
        <w:rPr>
          <w:sz w:val="16"/>
          <w:szCs w:val="16"/>
        </w:rPr>
        <w:t xml:space="preserve"> </w:t>
      </w:r>
      <w:r w:rsidRPr="00162E18">
        <w:rPr>
          <w:rStyle w:val="TableFigureFooterChar"/>
        </w:rPr>
        <w:t xml:space="preserve">Bazhenova, L., </w:t>
      </w:r>
      <w:proofErr w:type="spellStart"/>
      <w:r w:rsidRPr="00162E18">
        <w:rPr>
          <w:rStyle w:val="TableFigureFooterChar"/>
        </w:rPr>
        <w:t>Minchom</w:t>
      </w:r>
      <w:proofErr w:type="spellEnd"/>
      <w:r w:rsidRPr="00162E18">
        <w:rPr>
          <w:rStyle w:val="TableFigureFooterChar"/>
        </w:rPr>
        <w:t xml:space="preserve">, A., Viteri, S., Bauml, J. M., Ou, S. I., </w:t>
      </w:r>
      <w:proofErr w:type="spellStart"/>
      <w:r w:rsidRPr="00162E18">
        <w:rPr>
          <w:rStyle w:val="TableFigureFooterChar"/>
        </w:rPr>
        <w:t>Gadgeel</w:t>
      </w:r>
      <w:proofErr w:type="spellEnd"/>
      <w:r w:rsidRPr="00162E18">
        <w:rPr>
          <w:rStyle w:val="TableFigureFooterChar"/>
        </w:rPr>
        <w:t xml:space="preserve">, S. M., Girard, N. (2021). Comparative clinical outcomes for patients with advanced NSCLC </w:t>
      </w:r>
      <w:proofErr w:type="spellStart"/>
      <w:r w:rsidRPr="00162E18">
        <w:rPr>
          <w:rStyle w:val="TableFigureFooterChar"/>
        </w:rPr>
        <w:t>harboring</w:t>
      </w:r>
      <w:proofErr w:type="spellEnd"/>
      <w:r w:rsidRPr="00162E18">
        <w:rPr>
          <w:rStyle w:val="TableFigureFooterChar"/>
        </w:rPr>
        <w:t xml:space="preserve"> </w:t>
      </w:r>
      <w:r w:rsidR="00F54438" w:rsidRPr="00F54438">
        <w:rPr>
          <w:rStyle w:val="TableFigureFooterChar"/>
          <w:i/>
        </w:rPr>
        <w:t>EGFR</w:t>
      </w:r>
      <w:r w:rsidRPr="00162E18">
        <w:rPr>
          <w:rStyle w:val="TableFigureFooterChar"/>
        </w:rPr>
        <w:t xml:space="preserve"> exon 20 insertion mutations and common </w:t>
      </w:r>
      <w:r w:rsidR="00F54438" w:rsidRPr="00F54438">
        <w:rPr>
          <w:rStyle w:val="TableFigureFooterChar"/>
          <w:i/>
        </w:rPr>
        <w:t>EGFR</w:t>
      </w:r>
      <w:r w:rsidRPr="00162E18">
        <w:rPr>
          <w:rStyle w:val="TableFigureFooterChar"/>
        </w:rPr>
        <w:t xml:space="preserve"> mutations. </w:t>
      </w:r>
      <w:r w:rsidRPr="00162E18">
        <w:rPr>
          <w:rStyle w:val="TableFigureFooterChar"/>
          <w:i/>
          <w:iCs/>
        </w:rPr>
        <w:t>Lung Cancer</w:t>
      </w:r>
      <w:r w:rsidRPr="00162E18">
        <w:rPr>
          <w:rStyle w:val="TableFigureFooterChar"/>
        </w:rPr>
        <w:t>, 162, 154-161.</w:t>
      </w:r>
    </w:p>
  </w:footnote>
  <w:footnote w:id="21">
    <w:p w14:paraId="5B6486A7" w14:textId="67F8BDAE" w:rsidR="00765141" w:rsidRPr="00162E18" w:rsidRDefault="00765141" w:rsidP="00765141">
      <w:pPr>
        <w:pStyle w:val="FootnoteText"/>
        <w:rPr>
          <w:rStyle w:val="TableFigureFooterChar"/>
        </w:rPr>
      </w:pPr>
      <w:r w:rsidRPr="00061802">
        <w:rPr>
          <w:rStyle w:val="FootnoteReference"/>
          <w:rFonts w:asciiTheme="minorHAnsi" w:hAnsiTheme="minorHAnsi" w:cstheme="minorHAnsi"/>
        </w:rPr>
        <w:footnoteRef/>
      </w:r>
      <w:r w:rsidRPr="00061802">
        <w:rPr>
          <w:rFonts w:asciiTheme="minorHAnsi" w:hAnsiTheme="minorHAnsi" w:cstheme="minorHAnsi"/>
        </w:rPr>
        <w:t xml:space="preserve"> </w:t>
      </w:r>
      <w:r w:rsidRPr="00162E18">
        <w:rPr>
          <w:rStyle w:val="TableFigureFooterChar"/>
        </w:rPr>
        <w:t>Paracha et al. "Systematic review of health state utility values in metastatic non-small cell lung cancer with a focus on previously treated patients." Health and quality of life outcomes 16 (2018): 1-30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ABFD0" w14:textId="77777777" w:rsidR="00CB5300" w:rsidRDefault="00CB5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740AD97C" w:rsidR="00D843F2" w:rsidRPr="00195452" w:rsidRDefault="003518EF" w:rsidP="00D822E2">
    <w:pPr>
      <w:pStyle w:val="Header"/>
      <w:rPr>
        <w:rFonts w:asciiTheme="minorHAnsi" w:hAnsiTheme="minorHAnsi"/>
        <w:i w:val="0"/>
        <w:color w:val="808080"/>
      </w:rPr>
    </w:pPr>
    <w:r>
      <w:rPr>
        <w:rFonts w:asciiTheme="minorHAnsi" w:hAnsiTheme="minorHAnsi"/>
        <w:color w:val="808080"/>
      </w:rPr>
      <w:t>Public Summary Document</w:t>
    </w:r>
    <w:r w:rsidR="00BA1E7F">
      <w:rPr>
        <w:rFonts w:asciiTheme="minorHAnsi" w:hAnsiTheme="minorHAnsi"/>
        <w:color w:val="808080"/>
      </w:rPr>
      <w:t xml:space="preserve"> - </w:t>
    </w:r>
    <w:r w:rsidR="00772DFC">
      <w:rPr>
        <w:rFonts w:asciiTheme="minorHAnsi" w:hAnsiTheme="minorHAnsi"/>
        <w:color w:val="808080"/>
      </w:rPr>
      <w:t>November 2024</w:t>
    </w:r>
    <w:r w:rsidR="005F3590">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C101" w14:textId="77777777" w:rsidR="00CB5300" w:rsidRDefault="00CB5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94F7D"/>
    <w:multiLevelType w:val="hybridMultilevel"/>
    <w:tmpl w:val="4DB69896"/>
    <w:lvl w:ilvl="0" w:tplc="0C090003">
      <w:start w:val="1"/>
      <w:numFmt w:val="bullet"/>
      <w:lvlText w:val="o"/>
      <w:lvlJc w:val="left"/>
      <w:pPr>
        <w:ind w:left="1725" w:hanging="360"/>
      </w:pPr>
      <w:rPr>
        <w:rFonts w:ascii="Courier New" w:hAnsi="Courier New" w:cs="Courier New" w:hint="default"/>
        <w:color w:val="auto"/>
      </w:rPr>
    </w:lvl>
    <w:lvl w:ilvl="1" w:tplc="FFFFFFFF">
      <w:start w:val="1"/>
      <w:numFmt w:val="bullet"/>
      <w:lvlText w:val="o"/>
      <w:lvlJc w:val="left"/>
      <w:pPr>
        <w:ind w:left="2445" w:hanging="360"/>
      </w:pPr>
      <w:rPr>
        <w:rFonts w:ascii="Courier New" w:hAnsi="Courier New" w:cs="Courier New" w:hint="default"/>
      </w:rPr>
    </w:lvl>
    <w:lvl w:ilvl="2" w:tplc="FFFFFFFF" w:tentative="1">
      <w:start w:val="1"/>
      <w:numFmt w:val="bullet"/>
      <w:lvlText w:val=""/>
      <w:lvlJc w:val="left"/>
      <w:pPr>
        <w:ind w:left="3165" w:hanging="360"/>
      </w:pPr>
      <w:rPr>
        <w:rFonts w:ascii="Wingdings" w:hAnsi="Wingdings" w:hint="default"/>
      </w:rPr>
    </w:lvl>
    <w:lvl w:ilvl="3" w:tplc="FFFFFFFF" w:tentative="1">
      <w:start w:val="1"/>
      <w:numFmt w:val="bullet"/>
      <w:lvlText w:val=""/>
      <w:lvlJc w:val="left"/>
      <w:pPr>
        <w:ind w:left="3885" w:hanging="360"/>
      </w:pPr>
      <w:rPr>
        <w:rFonts w:ascii="Symbol" w:hAnsi="Symbol" w:hint="default"/>
      </w:rPr>
    </w:lvl>
    <w:lvl w:ilvl="4" w:tplc="FFFFFFFF" w:tentative="1">
      <w:start w:val="1"/>
      <w:numFmt w:val="bullet"/>
      <w:lvlText w:val="o"/>
      <w:lvlJc w:val="left"/>
      <w:pPr>
        <w:ind w:left="4605" w:hanging="360"/>
      </w:pPr>
      <w:rPr>
        <w:rFonts w:ascii="Courier New" w:hAnsi="Courier New" w:cs="Courier New" w:hint="default"/>
      </w:rPr>
    </w:lvl>
    <w:lvl w:ilvl="5" w:tplc="FFFFFFFF" w:tentative="1">
      <w:start w:val="1"/>
      <w:numFmt w:val="bullet"/>
      <w:lvlText w:val=""/>
      <w:lvlJc w:val="left"/>
      <w:pPr>
        <w:ind w:left="5325" w:hanging="360"/>
      </w:pPr>
      <w:rPr>
        <w:rFonts w:ascii="Wingdings" w:hAnsi="Wingdings" w:hint="default"/>
      </w:rPr>
    </w:lvl>
    <w:lvl w:ilvl="6" w:tplc="FFFFFFFF" w:tentative="1">
      <w:start w:val="1"/>
      <w:numFmt w:val="bullet"/>
      <w:lvlText w:val=""/>
      <w:lvlJc w:val="left"/>
      <w:pPr>
        <w:ind w:left="6045" w:hanging="360"/>
      </w:pPr>
      <w:rPr>
        <w:rFonts w:ascii="Symbol" w:hAnsi="Symbol" w:hint="default"/>
      </w:rPr>
    </w:lvl>
    <w:lvl w:ilvl="7" w:tplc="FFFFFFFF" w:tentative="1">
      <w:start w:val="1"/>
      <w:numFmt w:val="bullet"/>
      <w:lvlText w:val="o"/>
      <w:lvlJc w:val="left"/>
      <w:pPr>
        <w:ind w:left="6765" w:hanging="360"/>
      </w:pPr>
      <w:rPr>
        <w:rFonts w:ascii="Courier New" w:hAnsi="Courier New" w:cs="Courier New" w:hint="default"/>
      </w:rPr>
    </w:lvl>
    <w:lvl w:ilvl="8" w:tplc="FFFFFFFF" w:tentative="1">
      <w:start w:val="1"/>
      <w:numFmt w:val="bullet"/>
      <w:lvlText w:val=""/>
      <w:lvlJc w:val="left"/>
      <w:pPr>
        <w:ind w:left="7485" w:hanging="360"/>
      </w:pPr>
      <w:rPr>
        <w:rFonts w:ascii="Wingdings" w:hAnsi="Wingdings" w:hint="default"/>
      </w:rPr>
    </w:lvl>
  </w:abstractNum>
  <w:abstractNum w:abstractNumId="3" w15:restartNumberingAfterBreak="0">
    <w:nsid w:val="05D851C7"/>
    <w:multiLevelType w:val="multilevel"/>
    <w:tmpl w:val="5808866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7C1E00"/>
    <w:multiLevelType w:val="hybridMultilevel"/>
    <w:tmpl w:val="20EC4C0C"/>
    <w:lvl w:ilvl="0" w:tplc="C6180886">
      <w:start w:val="1"/>
      <w:numFmt w:val="decimal"/>
      <w:lvlText w:val="%1."/>
      <w:lvlJc w:val="left"/>
      <w:pPr>
        <w:ind w:left="1020" w:hanging="360"/>
      </w:pPr>
    </w:lvl>
    <w:lvl w:ilvl="1" w:tplc="4106CE34">
      <w:start w:val="1"/>
      <w:numFmt w:val="decimal"/>
      <w:lvlText w:val="%2."/>
      <w:lvlJc w:val="left"/>
      <w:pPr>
        <w:ind w:left="1020" w:hanging="360"/>
      </w:pPr>
    </w:lvl>
    <w:lvl w:ilvl="2" w:tplc="55C61CD0">
      <w:start w:val="1"/>
      <w:numFmt w:val="decimal"/>
      <w:lvlText w:val="%3."/>
      <w:lvlJc w:val="left"/>
      <w:pPr>
        <w:ind w:left="1020" w:hanging="360"/>
      </w:pPr>
    </w:lvl>
    <w:lvl w:ilvl="3" w:tplc="D206CAEA">
      <w:start w:val="1"/>
      <w:numFmt w:val="decimal"/>
      <w:lvlText w:val="%4."/>
      <w:lvlJc w:val="left"/>
      <w:pPr>
        <w:ind w:left="1020" w:hanging="360"/>
      </w:pPr>
    </w:lvl>
    <w:lvl w:ilvl="4" w:tplc="13BED2FC">
      <w:start w:val="1"/>
      <w:numFmt w:val="decimal"/>
      <w:lvlText w:val="%5."/>
      <w:lvlJc w:val="left"/>
      <w:pPr>
        <w:ind w:left="1020" w:hanging="360"/>
      </w:pPr>
    </w:lvl>
    <w:lvl w:ilvl="5" w:tplc="ADCACEF6">
      <w:start w:val="1"/>
      <w:numFmt w:val="decimal"/>
      <w:lvlText w:val="%6."/>
      <w:lvlJc w:val="left"/>
      <w:pPr>
        <w:ind w:left="1020" w:hanging="360"/>
      </w:pPr>
    </w:lvl>
    <w:lvl w:ilvl="6" w:tplc="5B683A7C">
      <w:start w:val="1"/>
      <w:numFmt w:val="decimal"/>
      <w:lvlText w:val="%7."/>
      <w:lvlJc w:val="left"/>
      <w:pPr>
        <w:ind w:left="1020" w:hanging="360"/>
      </w:pPr>
    </w:lvl>
    <w:lvl w:ilvl="7" w:tplc="F3E418D2">
      <w:start w:val="1"/>
      <w:numFmt w:val="decimal"/>
      <w:lvlText w:val="%8."/>
      <w:lvlJc w:val="left"/>
      <w:pPr>
        <w:ind w:left="1020" w:hanging="360"/>
      </w:pPr>
    </w:lvl>
    <w:lvl w:ilvl="8" w:tplc="75CED030">
      <w:start w:val="1"/>
      <w:numFmt w:val="decimal"/>
      <w:lvlText w:val="%9."/>
      <w:lvlJc w:val="left"/>
      <w:pPr>
        <w:ind w:left="1020" w:hanging="360"/>
      </w:pPr>
    </w:lvl>
  </w:abstractNum>
  <w:abstractNum w:abstractNumId="5"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F4F2F"/>
    <w:multiLevelType w:val="hybridMultilevel"/>
    <w:tmpl w:val="166227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7665C81"/>
    <w:multiLevelType w:val="multilevel"/>
    <w:tmpl w:val="777AE040"/>
    <w:lvl w:ilvl="0">
      <w:start w:val="1"/>
      <w:numFmt w:val="decimal"/>
      <w:lvlText w:val="%1"/>
      <w:lvlJc w:val="left"/>
      <w:pPr>
        <w:ind w:left="720" w:hanging="720"/>
      </w:pPr>
      <w:rPr>
        <w:rFonts w:hint="default"/>
        <w:b/>
      </w:rPr>
    </w:lvl>
    <w:lvl w:ilvl="1">
      <w:start w:val="1"/>
      <w:numFmt w:val="lowerLetter"/>
      <w:lvlText w:val="%2)"/>
      <w:lvlJc w:val="left"/>
      <w:pPr>
        <w:ind w:left="1494"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8B6939"/>
    <w:multiLevelType w:val="hybridMultilevel"/>
    <w:tmpl w:val="0FBAA5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7E153B7"/>
    <w:multiLevelType w:val="hybridMultilevel"/>
    <w:tmpl w:val="FFFFFFFF"/>
    <w:lvl w:ilvl="0" w:tplc="54466356">
      <w:numFmt w:val="none"/>
      <w:lvlText w:val=""/>
      <w:lvlJc w:val="left"/>
      <w:pPr>
        <w:tabs>
          <w:tab w:val="num" w:pos="360"/>
        </w:tabs>
      </w:pPr>
    </w:lvl>
    <w:lvl w:ilvl="1" w:tplc="5CC669DC">
      <w:start w:val="1"/>
      <w:numFmt w:val="lowerLetter"/>
      <w:lvlText w:val="%2."/>
      <w:lvlJc w:val="left"/>
      <w:pPr>
        <w:ind w:left="1440" w:hanging="360"/>
      </w:pPr>
    </w:lvl>
    <w:lvl w:ilvl="2" w:tplc="92485C4E">
      <w:start w:val="1"/>
      <w:numFmt w:val="lowerRoman"/>
      <w:lvlText w:val="%3."/>
      <w:lvlJc w:val="right"/>
      <w:pPr>
        <w:ind w:left="2160" w:hanging="180"/>
      </w:pPr>
    </w:lvl>
    <w:lvl w:ilvl="3" w:tplc="6FD25B74">
      <w:start w:val="1"/>
      <w:numFmt w:val="decimal"/>
      <w:lvlText w:val="%4."/>
      <w:lvlJc w:val="left"/>
      <w:pPr>
        <w:ind w:left="2880" w:hanging="360"/>
      </w:pPr>
    </w:lvl>
    <w:lvl w:ilvl="4" w:tplc="E9DC3040">
      <w:start w:val="1"/>
      <w:numFmt w:val="lowerLetter"/>
      <w:lvlText w:val="%5."/>
      <w:lvlJc w:val="left"/>
      <w:pPr>
        <w:ind w:left="3600" w:hanging="360"/>
      </w:pPr>
    </w:lvl>
    <w:lvl w:ilvl="5" w:tplc="6026FA08">
      <w:start w:val="1"/>
      <w:numFmt w:val="lowerRoman"/>
      <w:lvlText w:val="%6."/>
      <w:lvlJc w:val="right"/>
      <w:pPr>
        <w:ind w:left="4320" w:hanging="180"/>
      </w:pPr>
    </w:lvl>
    <w:lvl w:ilvl="6" w:tplc="CCECFA34">
      <w:start w:val="1"/>
      <w:numFmt w:val="decimal"/>
      <w:lvlText w:val="%7."/>
      <w:lvlJc w:val="left"/>
      <w:pPr>
        <w:ind w:left="5040" w:hanging="360"/>
      </w:pPr>
    </w:lvl>
    <w:lvl w:ilvl="7" w:tplc="34DA0B44">
      <w:start w:val="1"/>
      <w:numFmt w:val="lowerLetter"/>
      <w:lvlText w:val="%8."/>
      <w:lvlJc w:val="left"/>
      <w:pPr>
        <w:ind w:left="5760" w:hanging="360"/>
      </w:pPr>
    </w:lvl>
    <w:lvl w:ilvl="8" w:tplc="6D3607E0">
      <w:start w:val="1"/>
      <w:numFmt w:val="lowerRoman"/>
      <w:lvlText w:val="%9."/>
      <w:lvlJc w:val="right"/>
      <w:pPr>
        <w:ind w:left="6480" w:hanging="180"/>
      </w:pPr>
    </w:lvl>
  </w:abstractNum>
  <w:abstractNum w:abstractNumId="11" w15:restartNumberingAfterBreak="0">
    <w:nsid w:val="1D7432A6"/>
    <w:multiLevelType w:val="hybridMultilevel"/>
    <w:tmpl w:val="B01E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C719A2"/>
    <w:multiLevelType w:val="hybridMultilevel"/>
    <w:tmpl w:val="3EE8D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B219F8"/>
    <w:multiLevelType w:val="hybridMultilevel"/>
    <w:tmpl w:val="62DC1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3E0149"/>
    <w:multiLevelType w:val="hybridMultilevel"/>
    <w:tmpl w:val="1C345EC8"/>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1420F26"/>
    <w:multiLevelType w:val="hybridMultilevel"/>
    <w:tmpl w:val="7CD811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1D22550"/>
    <w:multiLevelType w:val="hybridMultilevel"/>
    <w:tmpl w:val="D8BE7B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346AD7"/>
    <w:multiLevelType w:val="hybridMultilevel"/>
    <w:tmpl w:val="EEB07B56"/>
    <w:lvl w:ilvl="0" w:tplc="268662D4">
      <w:start w:val="1"/>
      <w:numFmt w:val="bullet"/>
      <w:pStyle w:val="ListParagraph"/>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517877"/>
    <w:multiLevelType w:val="hybridMultilevel"/>
    <w:tmpl w:val="04AA6452"/>
    <w:lvl w:ilvl="0" w:tplc="94BC831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53E47C3"/>
    <w:multiLevelType w:val="hybridMultilevel"/>
    <w:tmpl w:val="4BECED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930F05"/>
    <w:multiLevelType w:val="hybridMultilevel"/>
    <w:tmpl w:val="DBFE22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A17A12D"/>
    <w:multiLevelType w:val="hybridMultilevel"/>
    <w:tmpl w:val="FFFFFFFF"/>
    <w:lvl w:ilvl="0" w:tplc="D646DABC">
      <w:numFmt w:val="none"/>
      <w:lvlText w:val=""/>
      <w:lvlJc w:val="left"/>
      <w:pPr>
        <w:tabs>
          <w:tab w:val="num" w:pos="360"/>
        </w:tabs>
      </w:pPr>
    </w:lvl>
    <w:lvl w:ilvl="1" w:tplc="EEB2C852">
      <w:start w:val="1"/>
      <w:numFmt w:val="lowerLetter"/>
      <w:lvlText w:val="%2."/>
      <w:lvlJc w:val="left"/>
      <w:pPr>
        <w:ind w:left="1440" w:hanging="360"/>
      </w:pPr>
    </w:lvl>
    <w:lvl w:ilvl="2" w:tplc="786C3BD0">
      <w:start w:val="1"/>
      <w:numFmt w:val="lowerRoman"/>
      <w:lvlText w:val="%3."/>
      <w:lvlJc w:val="right"/>
      <w:pPr>
        <w:ind w:left="2160" w:hanging="180"/>
      </w:pPr>
    </w:lvl>
    <w:lvl w:ilvl="3" w:tplc="025A8688">
      <w:start w:val="1"/>
      <w:numFmt w:val="decimal"/>
      <w:lvlText w:val="%4."/>
      <w:lvlJc w:val="left"/>
      <w:pPr>
        <w:ind w:left="2880" w:hanging="360"/>
      </w:pPr>
    </w:lvl>
    <w:lvl w:ilvl="4" w:tplc="B5062DE2">
      <w:start w:val="1"/>
      <w:numFmt w:val="lowerLetter"/>
      <w:lvlText w:val="%5."/>
      <w:lvlJc w:val="left"/>
      <w:pPr>
        <w:ind w:left="3600" w:hanging="360"/>
      </w:pPr>
    </w:lvl>
    <w:lvl w:ilvl="5" w:tplc="9296EE9E">
      <w:start w:val="1"/>
      <w:numFmt w:val="lowerRoman"/>
      <w:lvlText w:val="%6."/>
      <w:lvlJc w:val="right"/>
      <w:pPr>
        <w:ind w:left="4320" w:hanging="180"/>
      </w:pPr>
    </w:lvl>
    <w:lvl w:ilvl="6" w:tplc="B4047A6C">
      <w:start w:val="1"/>
      <w:numFmt w:val="decimal"/>
      <w:lvlText w:val="%7."/>
      <w:lvlJc w:val="left"/>
      <w:pPr>
        <w:ind w:left="5040" w:hanging="360"/>
      </w:pPr>
    </w:lvl>
    <w:lvl w:ilvl="7" w:tplc="04F6C9AC">
      <w:start w:val="1"/>
      <w:numFmt w:val="lowerLetter"/>
      <w:lvlText w:val="%8."/>
      <w:lvlJc w:val="left"/>
      <w:pPr>
        <w:ind w:left="5760" w:hanging="360"/>
      </w:pPr>
    </w:lvl>
    <w:lvl w:ilvl="8" w:tplc="8888387E">
      <w:start w:val="1"/>
      <w:numFmt w:val="lowerRoman"/>
      <w:lvlText w:val="%9."/>
      <w:lvlJc w:val="right"/>
      <w:pPr>
        <w:ind w:left="6480" w:hanging="180"/>
      </w:pPr>
    </w:lvl>
  </w:abstractNum>
  <w:abstractNum w:abstractNumId="25" w15:restartNumberingAfterBreak="0">
    <w:nsid w:val="3B0314D2"/>
    <w:multiLevelType w:val="hybridMultilevel"/>
    <w:tmpl w:val="F19E00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2A0255"/>
    <w:multiLevelType w:val="hybridMultilevel"/>
    <w:tmpl w:val="5330E5BA"/>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11D8B"/>
    <w:multiLevelType w:val="hybridMultilevel"/>
    <w:tmpl w:val="1B2E3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7042DE"/>
    <w:multiLevelType w:val="hybridMultilevel"/>
    <w:tmpl w:val="D8A272C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31"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AE2AC1"/>
    <w:multiLevelType w:val="hybridMultilevel"/>
    <w:tmpl w:val="E0689F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C377287"/>
    <w:multiLevelType w:val="hybridMultilevel"/>
    <w:tmpl w:val="04AA6452"/>
    <w:lvl w:ilvl="0" w:tplc="94BC831E">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AC310F"/>
    <w:multiLevelType w:val="multilevel"/>
    <w:tmpl w:val="DBBC7162"/>
    <w:lvl w:ilvl="0">
      <w:start w:val="1"/>
      <w:numFmt w:val="decimal"/>
      <w:pStyle w:val="TableTitleA"/>
      <w:lvlText w:val="Table 1.%1"/>
      <w:lvlJc w:val="left"/>
      <w:pPr>
        <w:tabs>
          <w:tab w:val="num" w:pos="1080"/>
        </w:tabs>
        <w:ind w:left="851" w:hanging="851"/>
      </w:pPr>
      <w:rPr>
        <w:rFonts w:ascii="Arial" w:hAnsi="Arial" w:hint="default"/>
        <w:b/>
        <w:i w:val="0"/>
        <w:caps w:val="0"/>
        <w:sz w:val="20"/>
      </w:rPr>
    </w:lvl>
    <w:lvl w:ilvl="1">
      <w:start w:val="1"/>
      <w:numFmt w:val="none"/>
      <w:lvlText w:val=""/>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7" w15:restartNumberingAfterBreak="0">
    <w:nsid w:val="66A352EC"/>
    <w:multiLevelType w:val="hybridMultilevel"/>
    <w:tmpl w:val="A7284E2E"/>
    <w:lvl w:ilvl="0" w:tplc="F578C33A">
      <w:start w:val="1"/>
      <w:numFmt w:val="bullet"/>
      <w:pStyle w:val="Tablebullet"/>
      <w:lvlText w:val=""/>
      <w:lvlJc w:val="left"/>
      <w:pPr>
        <w:ind w:left="360" w:hanging="360"/>
      </w:pPr>
      <w:rPr>
        <w:rFonts w:ascii="Symbol" w:hAnsi="Symbol" w:hint="default"/>
        <w:b w:val="0"/>
        <w:i w:val="0"/>
        <w:caps w:val="0"/>
        <w:strike w:val="0"/>
        <w:dstrike w:val="0"/>
        <w:vanish w:val="0"/>
        <w:color w:val="FFFFFF" w:themeColor="background1"/>
        <w:sz w:val="20"/>
        <w:szCs w:val="20"/>
        <w:u w:val="none" w:color="FFFFFF"/>
        <w:vertAlign w:val="baseline"/>
      </w:rPr>
    </w:lvl>
    <w:lvl w:ilvl="1" w:tplc="C40EFE8A">
      <w:start w:val="1"/>
      <w:numFmt w:val="bullet"/>
      <w:pStyle w:val="TablebulletL2"/>
      <w:lvlText w:val="o"/>
      <w:lvlJc w:val="left"/>
      <w:pPr>
        <w:ind w:left="-725"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FA3C06"/>
    <w:multiLevelType w:val="hybridMultilevel"/>
    <w:tmpl w:val="7340E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F723BEE"/>
    <w:multiLevelType w:val="hybridMultilevel"/>
    <w:tmpl w:val="D4206AB2"/>
    <w:lvl w:ilvl="0" w:tplc="BEA66578">
      <w:start w:val="1"/>
      <w:numFmt w:val="decimal"/>
      <w:lvlText w:val="%1."/>
      <w:lvlJc w:val="left"/>
      <w:pPr>
        <w:ind w:left="720" w:hanging="360"/>
      </w:pPr>
    </w:lvl>
    <w:lvl w:ilvl="1" w:tplc="1408EFBA">
      <w:start w:val="1"/>
      <w:numFmt w:val="decimal"/>
      <w:lvlText w:val="%2."/>
      <w:lvlJc w:val="left"/>
      <w:pPr>
        <w:ind w:left="720" w:hanging="360"/>
      </w:pPr>
    </w:lvl>
    <w:lvl w:ilvl="2" w:tplc="58064C82">
      <w:start w:val="1"/>
      <w:numFmt w:val="decimal"/>
      <w:lvlText w:val="%3."/>
      <w:lvlJc w:val="left"/>
      <w:pPr>
        <w:ind w:left="720" w:hanging="360"/>
      </w:pPr>
    </w:lvl>
    <w:lvl w:ilvl="3" w:tplc="72B04F5E">
      <w:start w:val="1"/>
      <w:numFmt w:val="decimal"/>
      <w:lvlText w:val="%4."/>
      <w:lvlJc w:val="left"/>
      <w:pPr>
        <w:ind w:left="720" w:hanging="360"/>
      </w:pPr>
    </w:lvl>
    <w:lvl w:ilvl="4" w:tplc="4B7A1500">
      <w:start w:val="1"/>
      <w:numFmt w:val="decimal"/>
      <w:lvlText w:val="%5."/>
      <w:lvlJc w:val="left"/>
      <w:pPr>
        <w:ind w:left="720" w:hanging="360"/>
      </w:pPr>
    </w:lvl>
    <w:lvl w:ilvl="5" w:tplc="0F36F5E2">
      <w:start w:val="1"/>
      <w:numFmt w:val="decimal"/>
      <w:lvlText w:val="%6."/>
      <w:lvlJc w:val="left"/>
      <w:pPr>
        <w:ind w:left="720" w:hanging="360"/>
      </w:pPr>
    </w:lvl>
    <w:lvl w:ilvl="6" w:tplc="971ECCC4">
      <w:start w:val="1"/>
      <w:numFmt w:val="decimal"/>
      <w:lvlText w:val="%7."/>
      <w:lvlJc w:val="left"/>
      <w:pPr>
        <w:ind w:left="720" w:hanging="360"/>
      </w:pPr>
    </w:lvl>
    <w:lvl w:ilvl="7" w:tplc="3B080F7A">
      <w:start w:val="1"/>
      <w:numFmt w:val="decimal"/>
      <w:lvlText w:val="%8."/>
      <w:lvlJc w:val="left"/>
      <w:pPr>
        <w:ind w:left="720" w:hanging="360"/>
      </w:pPr>
    </w:lvl>
    <w:lvl w:ilvl="8" w:tplc="118A16E2">
      <w:start w:val="1"/>
      <w:numFmt w:val="decimal"/>
      <w:lvlText w:val="%9."/>
      <w:lvlJc w:val="left"/>
      <w:pPr>
        <w:ind w:left="720" w:hanging="360"/>
      </w:pPr>
    </w:lvl>
  </w:abstractNum>
  <w:abstractNum w:abstractNumId="42" w15:restartNumberingAfterBreak="0">
    <w:nsid w:val="7137270D"/>
    <w:multiLevelType w:val="hybridMultilevel"/>
    <w:tmpl w:val="068EE83E"/>
    <w:lvl w:ilvl="0" w:tplc="4B88FB32">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84D033C"/>
    <w:multiLevelType w:val="multilevel"/>
    <w:tmpl w:val="9C46A712"/>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854" w:hanging="720"/>
      </w:pPr>
      <w:rPr>
        <w:rFonts w:asciiTheme="minorHAnsi" w:hAnsiTheme="minorHAnsi" w:cstheme="minorHAnsi"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EBF413"/>
    <w:multiLevelType w:val="hybridMultilevel"/>
    <w:tmpl w:val="FFFFFFFF"/>
    <w:lvl w:ilvl="0" w:tplc="89447934">
      <w:start w:val="1"/>
      <w:numFmt w:val="decimal"/>
      <w:lvlText w:val="%1-"/>
      <w:lvlJc w:val="left"/>
      <w:pPr>
        <w:ind w:left="720" w:hanging="360"/>
      </w:pPr>
    </w:lvl>
    <w:lvl w:ilvl="1" w:tplc="2690C542">
      <w:start w:val="1"/>
      <w:numFmt w:val="lowerLetter"/>
      <w:lvlText w:val="%2."/>
      <w:lvlJc w:val="left"/>
      <w:pPr>
        <w:ind w:left="1440" w:hanging="360"/>
      </w:pPr>
    </w:lvl>
    <w:lvl w:ilvl="2" w:tplc="0860AB3E">
      <w:start w:val="1"/>
      <w:numFmt w:val="lowerRoman"/>
      <w:lvlText w:val="%3."/>
      <w:lvlJc w:val="right"/>
      <w:pPr>
        <w:ind w:left="2160" w:hanging="180"/>
      </w:pPr>
    </w:lvl>
    <w:lvl w:ilvl="3" w:tplc="D5641B1C">
      <w:start w:val="1"/>
      <w:numFmt w:val="decimal"/>
      <w:lvlText w:val="%4."/>
      <w:lvlJc w:val="left"/>
      <w:pPr>
        <w:ind w:left="2880" w:hanging="360"/>
      </w:pPr>
    </w:lvl>
    <w:lvl w:ilvl="4" w:tplc="7B3A0736">
      <w:start w:val="1"/>
      <w:numFmt w:val="lowerLetter"/>
      <w:lvlText w:val="%5."/>
      <w:lvlJc w:val="left"/>
      <w:pPr>
        <w:ind w:left="3600" w:hanging="360"/>
      </w:pPr>
    </w:lvl>
    <w:lvl w:ilvl="5" w:tplc="11507FE2">
      <w:start w:val="1"/>
      <w:numFmt w:val="lowerRoman"/>
      <w:lvlText w:val="%6."/>
      <w:lvlJc w:val="right"/>
      <w:pPr>
        <w:ind w:left="4320" w:hanging="180"/>
      </w:pPr>
    </w:lvl>
    <w:lvl w:ilvl="6" w:tplc="7D56BB6E">
      <w:start w:val="1"/>
      <w:numFmt w:val="decimal"/>
      <w:lvlText w:val="%7."/>
      <w:lvlJc w:val="left"/>
      <w:pPr>
        <w:ind w:left="5040" w:hanging="360"/>
      </w:pPr>
    </w:lvl>
    <w:lvl w:ilvl="7" w:tplc="E974946E">
      <w:start w:val="1"/>
      <w:numFmt w:val="lowerLetter"/>
      <w:lvlText w:val="%8."/>
      <w:lvlJc w:val="left"/>
      <w:pPr>
        <w:ind w:left="5760" w:hanging="360"/>
      </w:pPr>
    </w:lvl>
    <w:lvl w:ilvl="8" w:tplc="D26ABCF8">
      <w:start w:val="1"/>
      <w:numFmt w:val="lowerRoman"/>
      <w:lvlText w:val="%9."/>
      <w:lvlJc w:val="right"/>
      <w:pPr>
        <w:ind w:left="6480" w:hanging="180"/>
      </w:pPr>
    </w:lvl>
  </w:abstractNum>
  <w:abstractNum w:abstractNumId="45" w15:restartNumberingAfterBreak="0">
    <w:nsid w:val="79EC272B"/>
    <w:multiLevelType w:val="hybridMultilevel"/>
    <w:tmpl w:val="2EF832F0"/>
    <w:lvl w:ilvl="0" w:tplc="63C621BA">
      <w:start w:val="1"/>
      <w:numFmt w:val="bullet"/>
      <w:lvlText w:val=""/>
      <w:lvlJc w:val="left"/>
      <w:pPr>
        <w:ind w:left="1725" w:hanging="360"/>
      </w:pPr>
      <w:rPr>
        <w:rFonts w:ascii="Symbol" w:hAnsi="Symbol" w:hint="default"/>
        <w:color w:val="auto"/>
      </w:rPr>
    </w:lvl>
    <w:lvl w:ilvl="1" w:tplc="0C090003">
      <w:start w:val="1"/>
      <w:numFmt w:val="bullet"/>
      <w:lvlText w:val="o"/>
      <w:lvlJc w:val="left"/>
      <w:pPr>
        <w:ind w:left="2445" w:hanging="360"/>
      </w:pPr>
      <w:rPr>
        <w:rFonts w:ascii="Courier New" w:hAnsi="Courier New" w:cs="Courier New" w:hint="default"/>
      </w:rPr>
    </w:lvl>
    <w:lvl w:ilvl="2" w:tplc="0C090005" w:tentative="1">
      <w:start w:val="1"/>
      <w:numFmt w:val="bullet"/>
      <w:lvlText w:val=""/>
      <w:lvlJc w:val="left"/>
      <w:pPr>
        <w:ind w:left="3165" w:hanging="360"/>
      </w:pPr>
      <w:rPr>
        <w:rFonts w:ascii="Wingdings" w:hAnsi="Wingdings" w:hint="default"/>
      </w:rPr>
    </w:lvl>
    <w:lvl w:ilvl="3" w:tplc="0C090001" w:tentative="1">
      <w:start w:val="1"/>
      <w:numFmt w:val="bullet"/>
      <w:lvlText w:val=""/>
      <w:lvlJc w:val="left"/>
      <w:pPr>
        <w:ind w:left="3885" w:hanging="360"/>
      </w:pPr>
      <w:rPr>
        <w:rFonts w:ascii="Symbol" w:hAnsi="Symbol" w:hint="default"/>
      </w:rPr>
    </w:lvl>
    <w:lvl w:ilvl="4" w:tplc="0C090003" w:tentative="1">
      <w:start w:val="1"/>
      <w:numFmt w:val="bullet"/>
      <w:lvlText w:val="o"/>
      <w:lvlJc w:val="left"/>
      <w:pPr>
        <w:ind w:left="4605" w:hanging="360"/>
      </w:pPr>
      <w:rPr>
        <w:rFonts w:ascii="Courier New" w:hAnsi="Courier New" w:cs="Courier New" w:hint="default"/>
      </w:rPr>
    </w:lvl>
    <w:lvl w:ilvl="5" w:tplc="0C090005" w:tentative="1">
      <w:start w:val="1"/>
      <w:numFmt w:val="bullet"/>
      <w:lvlText w:val=""/>
      <w:lvlJc w:val="left"/>
      <w:pPr>
        <w:ind w:left="5325" w:hanging="360"/>
      </w:pPr>
      <w:rPr>
        <w:rFonts w:ascii="Wingdings" w:hAnsi="Wingdings" w:hint="default"/>
      </w:rPr>
    </w:lvl>
    <w:lvl w:ilvl="6" w:tplc="0C090001" w:tentative="1">
      <w:start w:val="1"/>
      <w:numFmt w:val="bullet"/>
      <w:lvlText w:val=""/>
      <w:lvlJc w:val="left"/>
      <w:pPr>
        <w:ind w:left="6045" w:hanging="360"/>
      </w:pPr>
      <w:rPr>
        <w:rFonts w:ascii="Symbol" w:hAnsi="Symbol" w:hint="default"/>
      </w:rPr>
    </w:lvl>
    <w:lvl w:ilvl="7" w:tplc="0C090003" w:tentative="1">
      <w:start w:val="1"/>
      <w:numFmt w:val="bullet"/>
      <w:lvlText w:val="o"/>
      <w:lvlJc w:val="left"/>
      <w:pPr>
        <w:ind w:left="6765" w:hanging="360"/>
      </w:pPr>
      <w:rPr>
        <w:rFonts w:ascii="Courier New" w:hAnsi="Courier New" w:cs="Courier New" w:hint="default"/>
      </w:rPr>
    </w:lvl>
    <w:lvl w:ilvl="8" w:tplc="0C090005" w:tentative="1">
      <w:start w:val="1"/>
      <w:numFmt w:val="bullet"/>
      <w:lvlText w:val=""/>
      <w:lvlJc w:val="left"/>
      <w:pPr>
        <w:ind w:left="7485" w:hanging="360"/>
      </w:pPr>
      <w:rPr>
        <w:rFonts w:ascii="Wingdings" w:hAnsi="Wingdings" w:hint="default"/>
      </w:rPr>
    </w:lvl>
  </w:abstractNum>
  <w:abstractNum w:abstractNumId="46" w15:restartNumberingAfterBreak="0">
    <w:nsid w:val="7F4F3B43"/>
    <w:multiLevelType w:val="hybridMultilevel"/>
    <w:tmpl w:val="7B5288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917793048">
    <w:abstractNumId w:val="27"/>
  </w:num>
  <w:num w:numId="2" w16cid:durableId="263461728">
    <w:abstractNumId w:val="0"/>
  </w:num>
  <w:num w:numId="3" w16cid:durableId="220360847">
    <w:abstractNumId w:val="36"/>
  </w:num>
  <w:num w:numId="4" w16cid:durableId="268196418">
    <w:abstractNumId w:val="20"/>
  </w:num>
  <w:num w:numId="5" w16cid:durableId="1048839230">
    <w:abstractNumId w:val="43"/>
  </w:num>
  <w:num w:numId="6" w16cid:durableId="1516114538">
    <w:abstractNumId w:val="37"/>
  </w:num>
  <w:num w:numId="7" w16cid:durableId="1835298056">
    <w:abstractNumId w:val="34"/>
  </w:num>
  <w:num w:numId="8" w16cid:durableId="140050859">
    <w:abstractNumId w:val="22"/>
  </w:num>
  <w:num w:numId="9" w16cid:durableId="139346788">
    <w:abstractNumId w:val="45"/>
  </w:num>
  <w:num w:numId="10" w16cid:durableId="569081627">
    <w:abstractNumId w:val="3"/>
  </w:num>
  <w:num w:numId="11" w16cid:durableId="211550561">
    <w:abstractNumId w:val="23"/>
  </w:num>
  <w:num w:numId="12" w16cid:durableId="222722599">
    <w:abstractNumId w:val="42"/>
  </w:num>
  <w:num w:numId="13" w16cid:durableId="126240624">
    <w:abstractNumId w:val="38"/>
  </w:num>
  <w:num w:numId="14" w16cid:durableId="1388871241">
    <w:abstractNumId w:val="46"/>
  </w:num>
  <w:num w:numId="15" w16cid:durableId="1184629830">
    <w:abstractNumId w:val="2"/>
  </w:num>
  <w:num w:numId="16" w16cid:durableId="1006833853">
    <w:abstractNumId w:val="27"/>
  </w:num>
  <w:num w:numId="17" w16cid:durableId="1719625782">
    <w:abstractNumId w:val="20"/>
  </w:num>
  <w:num w:numId="18" w16cid:durableId="1660116426">
    <w:abstractNumId w:val="5"/>
  </w:num>
  <w:num w:numId="19" w16cid:durableId="1497841538">
    <w:abstractNumId w:val="12"/>
  </w:num>
  <w:num w:numId="20" w16cid:durableId="796342115">
    <w:abstractNumId w:val="7"/>
  </w:num>
  <w:num w:numId="21" w16cid:durableId="435101494">
    <w:abstractNumId w:val="16"/>
  </w:num>
  <w:num w:numId="22" w16cid:durableId="1147741954">
    <w:abstractNumId w:val="26"/>
  </w:num>
  <w:num w:numId="23" w16cid:durableId="363988700">
    <w:abstractNumId w:val="39"/>
  </w:num>
  <w:num w:numId="24" w16cid:durableId="1573005167">
    <w:abstractNumId w:val="30"/>
  </w:num>
  <w:num w:numId="25" w16cid:durableId="408699874">
    <w:abstractNumId w:val="31"/>
  </w:num>
  <w:num w:numId="26" w16cid:durableId="1569418770">
    <w:abstractNumId w:val="6"/>
  </w:num>
  <w:num w:numId="27" w16cid:durableId="705176722">
    <w:abstractNumId w:val="1"/>
  </w:num>
  <w:num w:numId="28" w16cid:durableId="1926569401">
    <w:abstractNumId w:val="18"/>
  </w:num>
  <w:num w:numId="29" w16cid:durableId="1979457665">
    <w:abstractNumId w:val="19"/>
  </w:num>
  <w:num w:numId="30" w16cid:durableId="2038313566">
    <w:abstractNumId w:val="17"/>
  </w:num>
  <w:num w:numId="31" w16cid:durableId="1297443176">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9997201">
    <w:abstractNumId w:val="40"/>
  </w:num>
  <w:num w:numId="33" w16cid:durableId="774984821">
    <w:abstractNumId w:val="29"/>
  </w:num>
  <w:num w:numId="34" w16cid:durableId="1809131567">
    <w:abstractNumId w:val="32"/>
  </w:num>
  <w:num w:numId="35" w16cid:durableId="610280987">
    <w:abstractNumId w:val="15"/>
  </w:num>
  <w:num w:numId="36" w16cid:durableId="1644430841">
    <w:abstractNumId w:val="28"/>
  </w:num>
  <w:num w:numId="37" w16cid:durableId="1687370402">
    <w:abstractNumId w:val="14"/>
  </w:num>
  <w:num w:numId="38" w16cid:durableId="341902222">
    <w:abstractNumId w:val="41"/>
  </w:num>
  <w:num w:numId="39" w16cid:durableId="276567211">
    <w:abstractNumId w:val="11"/>
  </w:num>
  <w:num w:numId="40" w16cid:durableId="717437904">
    <w:abstractNumId w:val="43"/>
  </w:num>
  <w:num w:numId="41" w16cid:durableId="1591692095">
    <w:abstractNumId w:val="24"/>
  </w:num>
  <w:num w:numId="42" w16cid:durableId="702903705">
    <w:abstractNumId w:val="10"/>
  </w:num>
  <w:num w:numId="43" w16cid:durableId="862283174">
    <w:abstractNumId w:val="44"/>
  </w:num>
  <w:num w:numId="44" w16cid:durableId="30808757">
    <w:abstractNumId w:val="8"/>
  </w:num>
  <w:num w:numId="45" w16cid:durableId="37554654">
    <w:abstractNumId w:val="25"/>
  </w:num>
  <w:num w:numId="46" w16cid:durableId="553588788">
    <w:abstractNumId w:val="33"/>
  </w:num>
  <w:num w:numId="47" w16cid:durableId="786580852">
    <w:abstractNumId w:val="21"/>
  </w:num>
  <w:num w:numId="48" w16cid:durableId="2106145113">
    <w:abstractNumId w:val="13"/>
  </w:num>
  <w:num w:numId="49" w16cid:durableId="1027634267">
    <w:abstractNumId w:val="9"/>
  </w:num>
  <w:num w:numId="50" w16cid:durableId="51704102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080"/>
    <w:rsid w:val="000002FE"/>
    <w:rsid w:val="00000790"/>
    <w:rsid w:val="00000A85"/>
    <w:rsid w:val="00000EBF"/>
    <w:rsid w:val="00000FA4"/>
    <w:rsid w:val="0000103E"/>
    <w:rsid w:val="0000110B"/>
    <w:rsid w:val="00001C88"/>
    <w:rsid w:val="000022CE"/>
    <w:rsid w:val="000025E4"/>
    <w:rsid w:val="0000268B"/>
    <w:rsid w:val="00002A35"/>
    <w:rsid w:val="00002CFB"/>
    <w:rsid w:val="00002EC2"/>
    <w:rsid w:val="00003277"/>
    <w:rsid w:val="00003499"/>
    <w:rsid w:val="00003589"/>
    <w:rsid w:val="000038C4"/>
    <w:rsid w:val="000039AB"/>
    <w:rsid w:val="000039B7"/>
    <w:rsid w:val="00003B82"/>
    <w:rsid w:val="00003E83"/>
    <w:rsid w:val="00004044"/>
    <w:rsid w:val="000046C8"/>
    <w:rsid w:val="000047D5"/>
    <w:rsid w:val="00004E5F"/>
    <w:rsid w:val="00004FBD"/>
    <w:rsid w:val="000050E6"/>
    <w:rsid w:val="000052FF"/>
    <w:rsid w:val="000056B9"/>
    <w:rsid w:val="0000639A"/>
    <w:rsid w:val="00006901"/>
    <w:rsid w:val="0000717C"/>
    <w:rsid w:val="000071CC"/>
    <w:rsid w:val="000078CB"/>
    <w:rsid w:val="00007973"/>
    <w:rsid w:val="00007E8F"/>
    <w:rsid w:val="000101FB"/>
    <w:rsid w:val="0001045E"/>
    <w:rsid w:val="00010B4F"/>
    <w:rsid w:val="00010CC3"/>
    <w:rsid w:val="00010D29"/>
    <w:rsid w:val="00011192"/>
    <w:rsid w:val="000114FD"/>
    <w:rsid w:val="00011CF6"/>
    <w:rsid w:val="00011EB8"/>
    <w:rsid w:val="000123C0"/>
    <w:rsid w:val="000124C1"/>
    <w:rsid w:val="000125F9"/>
    <w:rsid w:val="00012A58"/>
    <w:rsid w:val="00013062"/>
    <w:rsid w:val="0001307A"/>
    <w:rsid w:val="00013247"/>
    <w:rsid w:val="00013A76"/>
    <w:rsid w:val="00013E40"/>
    <w:rsid w:val="000141F9"/>
    <w:rsid w:val="00014358"/>
    <w:rsid w:val="00014628"/>
    <w:rsid w:val="000148E3"/>
    <w:rsid w:val="00014DDB"/>
    <w:rsid w:val="00014F6E"/>
    <w:rsid w:val="00015166"/>
    <w:rsid w:val="000157EE"/>
    <w:rsid w:val="0001581E"/>
    <w:rsid w:val="00015886"/>
    <w:rsid w:val="000162EF"/>
    <w:rsid w:val="00016B6C"/>
    <w:rsid w:val="000171C0"/>
    <w:rsid w:val="00017C47"/>
    <w:rsid w:val="00017EBA"/>
    <w:rsid w:val="000207C9"/>
    <w:rsid w:val="0002083B"/>
    <w:rsid w:val="00020D9A"/>
    <w:rsid w:val="00020DA0"/>
    <w:rsid w:val="00020DAF"/>
    <w:rsid w:val="00020FD9"/>
    <w:rsid w:val="00021267"/>
    <w:rsid w:val="000217CC"/>
    <w:rsid w:val="000219E0"/>
    <w:rsid w:val="00021FB2"/>
    <w:rsid w:val="000220BF"/>
    <w:rsid w:val="0002225F"/>
    <w:rsid w:val="00022420"/>
    <w:rsid w:val="0002255E"/>
    <w:rsid w:val="000229F7"/>
    <w:rsid w:val="00022E49"/>
    <w:rsid w:val="000232CA"/>
    <w:rsid w:val="00023763"/>
    <w:rsid w:val="000240DC"/>
    <w:rsid w:val="00024488"/>
    <w:rsid w:val="000245D0"/>
    <w:rsid w:val="0002495E"/>
    <w:rsid w:val="00024C93"/>
    <w:rsid w:val="00024EB5"/>
    <w:rsid w:val="000253D7"/>
    <w:rsid w:val="00025817"/>
    <w:rsid w:val="0002585B"/>
    <w:rsid w:val="00025FE1"/>
    <w:rsid w:val="0002648B"/>
    <w:rsid w:val="00026861"/>
    <w:rsid w:val="000269B6"/>
    <w:rsid w:val="000269BD"/>
    <w:rsid w:val="000269FC"/>
    <w:rsid w:val="00026B18"/>
    <w:rsid w:val="00026B25"/>
    <w:rsid w:val="00026B9E"/>
    <w:rsid w:val="00027409"/>
    <w:rsid w:val="000274B8"/>
    <w:rsid w:val="00027C5A"/>
    <w:rsid w:val="00027D6B"/>
    <w:rsid w:val="00027F5C"/>
    <w:rsid w:val="0003019D"/>
    <w:rsid w:val="000301CE"/>
    <w:rsid w:val="0003025C"/>
    <w:rsid w:val="000302CE"/>
    <w:rsid w:val="00031238"/>
    <w:rsid w:val="000312DD"/>
    <w:rsid w:val="00031304"/>
    <w:rsid w:val="00031485"/>
    <w:rsid w:val="000315DE"/>
    <w:rsid w:val="000319D3"/>
    <w:rsid w:val="000320A0"/>
    <w:rsid w:val="0003232B"/>
    <w:rsid w:val="00032405"/>
    <w:rsid w:val="0003276C"/>
    <w:rsid w:val="00032791"/>
    <w:rsid w:val="00032DCC"/>
    <w:rsid w:val="00032EA2"/>
    <w:rsid w:val="00033304"/>
    <w:rsid w:val="00033358"/>
    <w:rsid w:val="000335A5"/>
    <w:rsid w:val="00033821"/>
    <w:rsid w:val="00033863"/>
    <w:rsid w:val="000339F6"/>
    <w:rsid w:val="00033A82"/>
    <w:rsid w:val="00033A8D"/>
    <w:rsid w:val="00033CCA"/>
    <w:rsid w:val="00033E5A"/>
    <w:rsid w:val="00033F13"/>
    <w:rsid w:val="00033FEA"/>
    <w:rsid w:val="00034D58"/>
    <w:rsid w:val="00034E30"/>
    <w:rsid w:val="00035318"/>
    <w:rsid w:val="00035364"/>
    <w:rsid w:val="000355BC"/>
    <w:rsid w:val="00035A2D"/>
    <w:rsid w:val="00035B70"/>
    <w:rsid w:val="00035BCE"/>
    <w:rsid w:val="00035DC0"/>
    <w:rsid w:val="0003610E"/>
    <w:rsid w:val="0003648E"/>
    <w:rsid w:val="000365D8"/>
    <w:rsid w:val="00036678"/>
    <w:rsid w:val="00036829"/>
    <w:rsid w:val="00036A17"/>
    <w:rsid w:val="00036CE3"/>
    <w:rsid w:val="0003701A"/>
    <w:rsid w:val="0003720E"/>
    <w:rsid w:val="00037860"/>
    <w:rsid w:val="00037D0E"/>
    <w:rsid w:val="00037FA8"/>
    <w:rsid w:val="00037FBA"/>
    <w:rsid w:val="00040895"/>
    <w:rsid w:val="00040C91"/>
    <w:rsid w:val="00040F34"/>
    <w:rsid w:val="000410A0"/>
    <w:rsid w:val="000411D2"/>
    <w:rsid w:val="0004129E"/>
    <w:rsid w:val="00041AA6"/>
    <w:rsid w:val="00041FB2"/>
    <w:rsid w:val="00042472"/>
    <w:rsid w:val="0004260E"/>
    <w:rsid w:val="000429CC"/>
    <w:rsid w:val="00042AD7"/>
    <w:rsid w:val="00042CB5"/>
    <w:rsid w:val="00042CCA"/>
    <w:rsid w:val="00042FCA"/>
    <w:rsid w:val="000430ED"/>
    <w:rsid w:val="00043337"/>
    <w:rsid w:val="00043598"/>
    <w:rsid w:val="000435EE"/>
    <w:rsid w:val="00043A63"/>
    <w:rsid w:val="00043C37"/>
    <w:rsid w:val="0004413D"/>
    <w:rsid w:val="000447E0"/>
    <w:rsid w:val="00044A2E"/>
    <w:rsid w:val="00044C4B"/>
    <w:rsid w:val="00044CDC"/>
    <w:rsid w:val="00044FED"/>
    <w:rsid w:val="00045017"/>
    <w:rsid w:val="0004509C"/>
    <w:rsid w:val="000452B9"/>
    <w:rsid w:val="00045590"/>
    <w:rsid w:val="0004568B"/>
    <w:rsid w:val="00045994"/>
    <w:rsid w:val="00045A2B"/>
    <w:rsid w:val="00045B25"/>
    <w:rsid w:val="00045D86"/>
    <w:rsid w:val="00045E52"/>
    <w:rsid w:val="00045EC9"/>
    <w:rsid w:val="00046075"/>
    <w:rsid w:val="0004617B"/>
    <w:rsid w:val="0004618B"/>
    <w:rsid w:val="000463C5"/>
    <w:rsid w:val="000463E3"/>
    <w:rsid w:val="000465BB"/>
    <w:rsid w:val="0004698F"/>
    <w:rsid w:val="00046D64"/>
    <w:rsid w:val="00046D68"/>
    <w:rsid w:val="00046D9B"/>
    <w:rsid w:val="00046F46"/>
    <w:rsid w:val="00047268"/>
    <w:rsid w:val="000473AD"/>
    <w:rsid w:val="000473BA"/>
    <w:rsid w:val="000476B9"/>
    <w:rsid w:val="00047C60"/>
    <w:rsid w:val="00047DF6"/>
    <w:rsid w:val="0005011E"/>
    <w:rsid w:val="000508C2"/>
    <w:rsid w:val="00050912"/>
    <w:rsid w:val="00050CE8"/>
    <w:rsid w:val="00050E0C"/>
    <w:rsid w:val="00051347"/>
    <w:rsid w:val="000513A7"/>
    <w:rsid w:val="000514EC"/>
    <w:rsid w:val="0005191C"/>
    <w:rsid w:val="00051AF8"/>
    <w:rsid w:val="00051E35"/>
    <w:rsid w:val="00052364"/>
    <w:rsid w:val="00052A53"/>
    <w:rsid w:val="00052A7D"/>
    <w:rsid w:val="00052C80"/>
    <w:rsid w:val="00053253"/>
    <w:rsid w:val="000532CE"/>
    <w:rsid w:val="00053304"/>
    <w:rsid w:val="000539D0"/>
    <w:rsid w:val="00053C0D"/>
    <w:rsid w:val="00054326"/>
    <w:rsid w:val="00054497"/>
    <w:rsid w:val="00054621"/>
    <w:rsid w:val="000546D7"/>
    <w:rsid w:val="00054738"/>
    <w:rsid w:val="0005475E"/>
    <w:rsid w:val="00054985"/>
    <w:rsid w:val="00054A8D"/>
    <w:rsid w:val="00054B0F"/>
    <w:rsid w:val="00054D22"/>
    <w:rsid w:val="00054D62"/>
    <w:rsid w:val="0005501B"/>
    <w:rsid w:val="000550B8"/>
    <w:rsid w:val="000551E9"/>
    <w:rsid w:val="000551F5"/>
    <w:rsid w:val="000559FD"/>
    <w:rsid w:val="00055D09"/>
    <w:rsid w:val="00055E34"/>
    <w:rsid w:val="00056ECF"/>
    <w:rsid w:val="00056F36"/>
    <w:rsid w:val="0005742F"/>
    <w:rsid w:val="000575C0"/>
    <w:rsid w:val="000576A4"/>
    <w:rsid w:val="000578B5"/>
    <w:rsid w:val="0005796C"/>
    <w:rsid w:val="00057B65"/>
    <w:rsid w:val="00057BBE"/>
    <w:rsid w:val="00057CE8"/>
    <w:rsid w:val="00060178"/>
    <w:rsid w:val="0006034F"/>
    <w:rsid w:val="00060481"/>
    <w:rsid w:val="000604DF"/>
    <w:rsid w:val="00060A88"/>
    <w:rsid w:val="00060CB5"/>
    <w:rsid w:val="00060CF7"/>
    <w:rsid w:val="00060F56"/>
    <w:rsid w:val="0006142B"/>
    <w:rsid w:val="00061484"/>
    <w:rsid w:val="00061619"/>
    <w:rsid w:val="000617E9"/>
    <w:rsid w:val="000619DC"/>
    <w:rsid w:val="00061A47"/>
    <w:rsid w:val="00061D0A"/>
    <w:rsid w:val="00062261"/>
    <w:rsid w:val="00062324"/>
    <w:rsid w:val="0006252A"/>
    <w:rsid w:val="00062743"/>
    <w:rsid w:val="000627F4"/>
    <w:rsid w:val="00062A8E"/>
    <w:rsid w:val="00062AB6"/>
    <w:rsid w:val="00062EAE"/>
    <w:rsid w:val="00063042"/>
    <w:rsid w:val="0006333C"/>
    <w:rsid w:val="00063511"/>
    <w:rsid w:val="000639D2"/>
    <w:rsid w:val="00063C3E"/>
    <w:rsid w:val="00063F9E"/>
    <w:rsid w:val="00063FB2"/>
    <w:rsid w:val="000640E2"/>
    <w:rsid w:val="000641C4"/>
    <w:rsid w:val="00064302"/>
    <w:rsid w:val="00064620"/>
    <w:rsid w:val="00064C2D"/>
    <w:rsid w:val="00065231"/>
    <w:rsid w:val="00065238"/>
    <w:rsid w:val="000653B5"/>
    <w:rsid w:val="000653EA"/>
    <w:rsid w:val="00065470"/>
    <w:rsid w:val="00065C64"/>
    <w:rsid w:val="00065D10"/>
    <w:rsid w:val="00066021"/>
    <w:rsid w:val="00066360"/>
    <w:rsid w:val="00066AF8"/>
    <w:rsid w:val="00066CCE"/>
    <w:rsid w:val="0006741A"/>
    <w:rsid w:val="00067CB4"/>
    <w:rsid w:val="0007003E"/>
    <w:rsid w:val="000700AB"/>
    <w:rsid w:val="000706AB"/>
    <w:rsid w:val="000709CD"/>
    <w:rsid w:val="00070C0E"/>
    <w:rsid w:val="00070D0B"/>
    <w:rsid w:val="00071208"/>
    <w:rsid w:val="00071248"/>
    <w:rsid w:val="000718C4"/>
    <w:rsid w:val="00071BCD"/>
    <w:rsid w:val="00071F78"/>
    <w:rsid w:val="000720B9"/>
    <w:rsid w:val="00072199"/>
    <w:rsid w:val="0007236A"/>
    <w:rsid w:val="0007279E"/>
    <w:rsid w:val="00072E1B"/>
    <w:rsid w:val="00072E21"/>
    <w:rsid w:val="0007321F"/>
    <w:rsid w:val="000737F7"/>
    <w:rsid w:val="00073D4D"/>
    <w:rsid w:val="00073E21"/>
    <w:rsid w:val="00073E55"/>
    <w:rsid w:val="00074107"/>
    <w:rsid w:val="000741E4"/>
    <w:rsid w:val="00074671"/>
    <w:rsid w:val="00074805"/>
    <w:rsid w:val="00074B33"/>
    <w:rsid w:val="00074EAF"/>
    <w:rsid w:val="000751F2"/>
    <w:rsid w:val="000755AB"/>
    <w:rsid w:val="000757A4"/>
    <w:rsid w:val="00075A82"/>
    <w:rsid w:val="00075A9D"/>
    <w:rsid w:val="00075B04"/>
    <w:rsid w:val="00075BA7"/>
    <w:rsid w:val="00075E68"/>
    <w:rsid w:val="00075FB9"/>
    <w:rsid w:val="00075FF3"/>
    <w:rsid w:val="000765FD"/>
    <w:rsid w:val="000766FE"/>
    <w:rsid w:val="0007672F"/>
    <w:rsid w:val="000768FE"/>
    <w:rsid w:val="00076A63"/>
    <w:rsid w:val="00076B54"/>
    <w:rsid w:val="000774F0"/>
    <w:rsid w:val="000776F3"/>
    <w:rsid w:val="0007792E"/>
    <w:rsid w:val="00077946"/>
    <w:rsid w:val="00077B5B"/>
    <w:rsid w:val="00077CD0"/>
    <w:rsid w:val="00077F0B"/>
    <w:rsid w:val="00077FD1"/>
    <w:rsid w:val="0008024C"/>
    <w:rsid w:val="0008057B"/>
    <w:rsid w:val="00080909"/>
    <w:rsid w:val="00080A16"/>
    <w:rsid w:val="00081277"/>
    <w:rsid w:val="000812CA"/>
    <w:rsid w:val="00081396"/>
    <w:rsid w:val="00081505"/>
    <w:rsid w:val="00081783"/>
    <w:rsid w:val="000817C9"/>
    <w:rsid w:val="000818CB"/>
    <w:rsid w:val="00081B11"/>
    <w:rsid w:val="00081B23"/>
    <w:rsid w:val="00081B25"/>
    <w:rsid w:val="00081E63"/>
    <w:rsid w:val="00082138"/>
    <w:rsid w:val="000821AF"/>
    <w:rsid w:val="0008258D"/>
    <w:rsid w:val="00082C41"/>
    <w:rsid w:val="00082C57"/>
    <w:rsid w:val="00082CDF"/>
    <w:rsid w:val="0008301B"/>
    <w:rsid w:val="000836BC"/>
    <w:rsid w:val="000839EB"/>
    <w:rsid w:val="00083E26"/>
    <w:rsid w:val="00083E99"/>
    <w:rsid w:val="00083F1F"/>
    <w:rsid w:val="0008420A"/>
    <w:rsid w:val="00084300"/>
    <w:rsid w:val="00084322"/>
    <w:rsid w:val="0008442E"/>
    <w:rsid w:val="00084A8E"/>
    <w:rsid w:val="00084D0E"/>
    <w:rsid w:val="00084FA8"/>
    <w:rsid w:val="00085001"/>
    <w:rsid w:val="000852D5"/>
    <w:rsid w:val="000856C5"/>
    <w:rsid w:val="00085746"/>
    <w:rsid w:val="00085873"/>
    <w:rsid w:val="00085932"/>
    <w:rsid w:val="000859D2"/>
    <w:rsid w:val="00085C31"/>
    <w:rsid w:val="00085FA4"/>
    <w:rsid w:val="00086179"/>
    <w:rsid w:val="00086206"/>
    <w:rsid w:val="00086232"/>
    <w:rsid w:val="00086992"/>
    <w:rsid w:val="00086BF3"/>
    <w:rsid w:val="00086D38"/>
    <w:rsid w:val="00086E69"/>
    <w:rsid w:val="00086F8D"/>
    <w:rsid w:val="0008711D"/>
    <w:rsid w:val="00087609"/>
    <w:rsid w:val="0008783F"/>
    <w:rsid w:val="000878FE"/>
    <w:rsid w:val="00087F61"/>
    <w:rsid w:val="00090132"/>
    <w:rsid w:val="000902D9"/>
    <w:rsid w:val="000907FB"/>
    <w:rsid w:val="000909AD"/>
    <w:rsid w:val="000909F3"/>
    <w:rsid w:val="00090C7E"/>
    <w:rsid w:val="000911AC"/>
    <w:rsid w:val="00091290"/>
    <w:rsid w:val="00091404"/>
    <w:rsid w:val="00091681"/>
    <w:rsid w:val="0009194E"/>
    <w:rsid w:val="00091A6A"/>
    <w:rsid w:val="00091DDA"/>
    <w:rsid w:val="00091FD9"/>
    <w:rsid w:val="000921CA"/>
    <w:rsid w:val="0009220F"/>
    <w:rsid w:val="000923C5"/>
    <w:rsid w:val="0009257C"/>
    <w:rsid w:val="00092600"/>
    <w:rsid w:val="0009262B"/>
    <w:rsid w:val="0009264A"/>
    <w:rsid w:val="000927E9"/>
    <w:rsid w:val="00092A7E"/>
    <w:rsid w:val="00092CC0"/>
    <w:rsid w:val="00093310"/>
    <w:rsid w:val="0009346B"/>
    <w:rsid w:val="00093674"/>
    <w:rsid w:val="00093DAE"/>
    <w:rsid w:val="000941AE"/>
    <w:rsid w:val="0009433E"/>
    <w:rsid w:val="0009445C"/>
    <w:rsid w:val="0009450F"/>
    <w:rsid w:val="000945CA"/>
    <w:rsid w:val="00094C77"/>
    <w:rsid w:val="00095036"/>
    <w:rsid w:val="00095200"/>
    <w:rsid w:val="00095346"/>
    <w:rsid w:val="00095767"/>
    <w:rsid w:val="0009577F"/>
    <w:rsid w:val="00095AD9"/>
    <w:rsid w:val="00095B78"/>
    <w:rsid w:val="00095C43"/>
    <w:rsid w:val="00095EAC"/>
    <w:rsid w:val="00095FE5"/>
    <w:rsid w:val="00096050"/>
    <w:rsid w:val="00096284"/>
    <w:rsid w:val="00096EC6"/>
    <w:rsid w:val="00096F2F"/>
    <w:rsid w:val="0009737E"/>
    <w:rsid w:val="00097477"/>
    <w:rsid w:val="000974D1"/>
    <w:rsid w:val="00097B26"/>
    <w:rsid w:val="00097E32"/>
    <w:rsid w:val="000A0039"/>
    <w:rsid w:val="000A0461"/>
    <w:rsid w:val="000A0527"/>
    <w:rsid w:val="000A05AE"/>
    <w:rsid w:val="000A07E3"/>
    <w:rsid w:val="000A1170"/>
    <w:rsid w:val="000A1181"/>
    <w:rsid w:val="000A1292"/>
    <w:rsid w:val="000A13E8"/>
    <w:rsid w:val="000A1545"/>
    <w:rsid w:val="000A1694"/>
    <w:rsid w:val="000A1BC0"/>
    <w:rsid w:val="000A1DEC"/>
    <w:rsid w:val="000A1EA3"/>
    <w:rsid w:val="000A23E5"/>
    <w:rsid w:val="000A2515"/>
    <w:rsid w:val="000A2950"/>
    <w:rsid w:val="000A2F9E"/>
    <w:rsid w:val="000A35CA"/>
    <w:rsid w:val="000A37D9"/>
    <w:rsid w:val="000A3C60"/>
    <w:rsid w:val="000A3CC1"/>
    <w:rsid w:val="000A3E47"/>
    <w:rsid w:val="000A3F78"/>
    <w:rsid w:val="000A4077"/>
    <w:rsid w:val="000A4884"/>
    <w:rsid w:val="000A4F94"/>
    <w:rsid w:val="000A50E3"/>
    <w:rsid w:val="000A522B"/>
    <w:rsid w:val="000A5BDE"/>
    <w:rsid w:val="000A5D98"/>
    <w:rsid w:val="000A5E09"/>
    <w:rsid w:val="000A5F7D"/>
    <w:rsid w:val="000A600A"/>
    <w:rsid w:val="000A6039"/>
    <w:rsid w:val="000A61A1"/>
    <w:rsid w:val="000A6928"/>
    <w:rsid w:val="000A6E91"/>
    <w:rsid w:val="000A70DA"/>
    <w:rsid w:val="000A718F"/>
    <w:rsid w:val="000A721F"/>
    <w:rsid w:val="000A7271"/>
    <w:rsid w:val="000A72E7"/>
    <w:rsid w:val="000A7453"/>
    <w:rsid w:val="000A77C8"/>
    <w:rsid w:val="000A7D08"/>
    <w:rsid w:val="000A7E5D"/>
    <w:rsid w:val="000A7F2A"/>
    <w:rsid w:val="000B0121"/>
    <w:rsid w:val="000B050C"/>
    <w:rsid w:val="000B0670"/>
    <w:rsid w:val="000B094E"/>
    <w:rsid w:val="000B0CE4"/>
    <w:rsid w:val="000B0E75"/>
    <w:rsid w:val="000B148C"/>
    <w:rsid w:val="000B164B"/>
    <w:rsid w:val="000B1993"/>
    <w:rsid w:val="000B19DE"/>
    <w:rsid w:val="000B19E8"/>
    <w:rsid w:val="000B1C81"/>
    <w:rsid w:val="000B1DE7"/>
    <w:rsid w:val="000B1E68"/>
    <w:rsid w:val="000B217A"/>
    <w:rsid w:val="000B2592"/>
    <w:rsid w:val="000B26C2"/>
    <w:rsid w:val="000B27B1"/>
    <w:rsid w:val="000B2A8B"/>
    <w:rsid w:val="000B2DAE"/>
    <w:rsid w:val="000B2DCB"/>
    <w:rsid w:val="000B313E"/>
    <w:rsid w:val="000B3178"/>
    <w:rsid w:val="000B3601"/>
    <w:rsid w:val="000B362A"/>
    <w:rsid w:val="000B3682"/>
    <w:rsid w:val="000B3953"/>
    <w:rsid w:val="000B3D26"/>
    <w:rsid w:val="000B4440"/>
    <w:rsid w:val="000B46B7"/>
    <w:rsid w:val="000B4887"/>
    <w:rsid w:val="000B51F2"/>
    <w:rsid w:val="000B53F5"/>
    <w:rsid w:val="000B57E0"/>
    <w:rsid w:val="000B5CE0"/>
    <w:rsid w:val="000B619D"/>
    <w:rsid w:val="000B63D6"/>
    <w:rsid w:val="000B6539"/>
    <w:rsid w:val="000B6548"/>
    <w:rsid w:val="000B65F1"/>
    <w:rsid w:val="000B67DA"/>
    <w:rsid w:val="000B6BB2"/>
    <w:rsid w:val="000B6CAC"/>
    <w:rsid w:val="000B6EE4"/>
    <w:rsid w:val="000B6F2A"/>
    <w:rsid w:val="000B6F6C"/>
    <w:rsid w:val="000B74BB"/>
    <w:rsid w:val="000B7612"/>
    <w:rsid w:val="000B763E"/>
    <w:rsid w:val="000B777B"/>
    <w:rsid w:val="000B7800"/>
    <w:rsid w:val="000B78AE"/>
    <w:rsid w:val="000B7DDF"/>
    <w:rsid w:val="000B7FFA"/>
    <w:rsid w:val="000C008C"/>
    <w:rsid w:val="000C08BE"/>
    <w:rsid w:val="000C11AE"/>
    <w:rsid w:val="000C1739"/>
    <w:rsid w:val="000C1A7F"/>
    <w:rsid w:val="000C1CCB"/>
    <w:rsid w:val="000C1DC2"/>
    <w:rsid w:val="000C1F4E"/>
    <w:rsid w:val="000C1FEF"/>
    <w:rsid w:val="000C2369"/>
    <w:rsid w:val="000C25AA"/>
    <w:rsid w:val="000C265C"/>
    <w:rsid w:val="000C277B"/>
    <w:rsid w:val="000C2988"/>
    <w:rsid w:val="000C29BE"/>
    <w:rsid w:val="000C2A41"/>
    <w:rsid w:val="000C2B08"/>
    <w:rsid w:val="000C2C54"/>
    <w:rsid w:val="000C2FD0"/>
    <w:rsid w:val="000C3901"/>
    <w:rsid w:val="000C3BDB"/>
    <w:rsid w:val="000C3DF9"/>
    <w:rsid w:val="000C453C"/>
    <w:rsid w:val="000C459E"/>
    <w:rsid w:val="000C478A"/>
    <w:rsid w:val="000C491A"/>
    <w:rsid w:val="000C49AF"/>
    <w:rsid w:val="000C4CF2"/>
    <w:rsid w:val="000C4D5B"/>
    <w:rsid w:val="000C503B"/>
    <w:rsid w:val="000C52B2"/>
    <w:rsid w:val="000C5308"/>
    <w:rsid w:val="000C535B"/>
    <w:rsid w:val="000C5386"/>
    <w:rsid w:val="000C54BA"/>
    <w:rsid w:val="000C5554"/>
    <w:rsid w:val="000C55DA"/>
    <w:rsid w:val="000C5B4F"/>
    <w:rsid w:val="000C61F1"/>
    <w:rsid w:val="000C6347"/>
    <w:rsid w:val="000C65D6"/>
    <w:rsid w:val="000C665B"/>
    <w:rsid w:val="000C66F2"/>
    <w:rsid w:val="000C6713"/>
    <w:rsid w:val="000C6824"/>
    <w:rsid w:val="000C6989"/>
    <w:rsid w:val="000C6A60"/>
    <w:rsid w:val="000C6CBB"/>
    <w:rsid w:val="000C6D4E"/>
    <w:rsid w:val="000C6E97"/>
    <w:rsid w:val="000C70DD"/>
    <w:rsid w:val="000C727A"/>
    <w:rsid w:val="000C7377"/>
    <w:rsid w:val="000C73BC"/>
    <w:rsid w:val="000C73E0"/>
    <w:rsid w:val="000C745E"/>
    <w:rsid w:val="000C74B4"/>
    <w:rsid w:val="000C7708"/>
    <w:rsid w:val="000C7949"/>
    <w:rsid w:val="000C7A44"/>
    <w:rsid w:val="000C7B87"/>
    <w:rsid w:val="000C7C81"/>
    <w:rsid w:val="000C7CA2"/>
    <w:rsid w:val="000C7D7A"/>
    <w:rsid w:val="000D045B"/>
    <w:rsid w:val="000D06F4"/>
    <w:rsid w:val="000D0716"/>
    <w:rsid w:val="000D0986"/>
    <w:rsid w:val="000D0E11"/>
    <w:rsid w:val="000D0EA0"/>
    <w:rsid w:val="000D1091"/>
    <w:rsid w:val="000D145E"/>
    <w:rsid w:val="000D1BFC"/>
    <w:rsid w:val="000D1D5D"/>
    <w:rsid w:val="000D1DD3"/>
    <w:rsid w:val="000D1E57"/>
    <w:rsid w:val="000D2209"/>
    <w:rsid w:val="000D22C0"/>
    <w:rsid w:val="000D2310"/>
    <w:rsid w:val="000D2496"/>
    <w:rsid w:val="000D27C5"/>
    <w:rsid w:val="000D281A"/>
    <w:rsid w:val="000D2828"/>
    <w:rsid w:val="000D2848"/>
    <w:rsid w:val="000D28FC"/>
    <w:rsid w:val="000D2B88"/>
    <w:rsid w:val="000D2D65"/>
    <w:rsid w:val="000D314E"/>
    <w:rsid w:val="000D3228"/>
    <w:rsid w:val="000D326A"/>
    <w:rsid w:val="000D331A"/>
    <w:rsid w:val="000D3561"/>
    <w:rsid w:val="000D3D6C"/>
    <w:rsid w:val="000D47AC"/>
    <w:rsid w:val="000D48E6"/>
    <w:rsid w:val="000D51FB"/>
    <w:rsid w:val="000D5264"/>
    <w:rsid w:val="000D53BB"/>
    <w:rsid w:val="000D5B5F"/>
    <w:rsid w:val="000D5B9D"/>
    <w:rsid w:val="000D6558"/>
    <w:rsid w:val="000D6700"/>
    <w:rsid w:val="000D731F"/>
    <w:rsid w:val="000D7408"/>
    <w:rsid w:val="000D740A"/>
    <w:rsid w:val="000D7BA2"/>
    <w:rsid w:val="000D7CC3"/>
    <w:rsid w:val="000D7CDE"/>
    <w:rsid w:val="000E020B"/>
    <w:rsid w:val="000E043C"/>
    <w:rsid w:val="000E0640"/>
    <w:rsid w:val="000E09CC"/>
    <w:rsid w:val="000E0A52"/>
    <w:rsid w:val="000E0A72"/>
    <w:rsid w:val="000E0DAB"/>
    <w:rsid w:val="000E135D"/>
    <w:rsid w:val="000E137C"/>
    <w:rsid w:val="000E1506"/>
    <w:rsid w:val="000E1824"/>
    <w:rsid w:val="000E2AC5"/>
    <w:rsid w:val="000E307B"/>
    <w:rsid w:val="000E3139"/>
    <w:rsid w:val="000E32E7"/>
    <w:rsid w:val="000E380D"/>
    <w:rsid w:val="000E3967"/>
    <w:rsid w:val="000E3C18"/>
    <w:rsid w:val="000E3C50"/>
    <w:rsid w:val="000E3DD0"/>
    <w:rsid w:val="000E3F69"/>
    <w:rsid w:val="000E414C"/>
    <w:rsid w:val="000E4349"/>
    <w:rsid w:val="000E4875"/>
    <w:rsid w:val="000E4A75"/>
    <w:rsid w:val="000E4D36"/>
    <w:rsid w:val="000E4D89"/>
    <w:rsid w:val="000E4DEF"/>
    <w:rsid w:val="000E4F6E"/>
    <w:rsid w:val="000E549E"/>
    <w:rsid w:val="000E54C9"/>
    <w:rsid w:val="000E585D"/>
    <w:rsid w:val="000E5B9D"/>
    <w:rsid w:val="000E5C06"/>
    <w:rsid w:val="000E6012"/>
    <w:rsid w:val="000E6146"/>
    <w:rsid w:val="000E648C"/>
    <w:rsid w:val="000E65E0"/>
    <w:rsid w:val="000E6636"/>
    <w:rsid w:val="000E689C"/>
    <w:rsid w:val="000E6A48"/>
    <w:rsid w:val="000E6AD1"/>
    <w:rsid w:val="000E6B76"/>
    <w:rsid w:val="000E6D4B"/>
    <w:rsid w:val="000E7129"/>
    <w:rsid w:val="000E7286"/>
    <w:rsid w:val="000E72E5"/>
    <w:rsid w:val="000E779C"/>
    <w:rsid w:val="000E791B"/>
    <w:rsid w:val="000E7949"/>
    <w:rsid w:val="000E7B91"/>
    <w:rsid w:val="000F00BA"/>
    <w:rsid w:val="000F0189"/>
    <w:rsid w:val="000F030C"/>
    <w:rsid w:val="000F03F1"/>
    <w:rsid w:val="000F089A"/>
    <w:rsid w:val="000F09BA"/>
    <w:rsid w:val="000F0A01"/>
    <w:rsid w:val="000F10E3"/>
    <w:rsid w:val="000F18F7"/>
    <w:rsid w:val="000F1968"/>
    <w:rsid w:val="000F1A31"/>
    <w:rsid w:val="000F1BC8"/>
    <w:rsid w:val="000F1BE7"/>
    <w:rsid w:val="000F1EC5"/>
    <w:rsid w:val="000F215E"/>
    <w:rsid w:val="000F316A"/>
    <w:rsid w:val="000F3389"/>
    <w:rsid w:val="000F37BB"/>
    <w:rsid w:val="000F3C74"/>
    <w:rsid w:val="000F3FB4"/>
    <w:rsid w:val="000F4315"/>
    <w:rsid w:val="000F462B"/>
    <w:rsid w:val="000F46AD"/>
    <w:rsid w:val="000F48D4"/>
    <w:rsid w:val="000F4BB8"/>
    <w:rsid w:val="000F4DC6"/>
    <w:rsid w:val="000F4E8B"/>
    <w:rsid w:val="000F4FA9"/>
    <w:rsid w:val="000F4FEB"/>
    <w:rsid w:val="000F53FB"/>
    <w:rsid w:val="000F5896"/>
    <w:rsid w:val="000F5C22"/>
    <w:rsid w:val="000F5CB9"/>
    <w:rsid w:val="000F609A"/>
    <w:rsid w:val="000F626E"/>
    <w:rsid w:val="000F65E5"/>
    <w:rsid w:val="000F6AD2"/>
    <w:rsid w:val="000F6BCD"/>
    <w:rsid w:val="000F6C4E"/>
    <w:rsid w:val="000F6C76"/>
    <w:rsid w:val="000F7127"/>
    <w:rsid w:val="000F75FC"/>
    <w:rsid w:val="000F7AD3"/>
    <w:rsid w:val="000F7B54"/>
    <w:rsid w:val="000F7BA5"/>
    <w:rsid w:val="001000B3"/>
    <w:rsid w:val="001000DF"/>
    <w:rsid w:val="00100C04"/>
    <w:rsid w:val="00100DF7"/>
    <w:rsid w:val="00100EDA"/>
    <w:rsid w:val="00100F8A"/>
    <w:rsid w:val="001012B5"/>
    <w:rsid w:val="001018DE"/>
    <w:rsid w:val="00101A4E"/>
    <w:rsid w:val="00101D98"/>
    <w:rsid w:val="00101F16"/>
    <w:rsid w:val="00102100"/>
    <w:rsid w:val="001021AC"/>
    <w:rsid w:val="0010237F"/>
    <w:rsid w:val="0010262A"/>
    <w:rsid w:val="00102F32"/>
    <w:rsid w:val="001030A1"/>
    <w:rsid w:val="0010340A"/>
    <w:rsid w:val="00103429"/>
    <w:rsid w:val="001036D7"/>
    <w:rsid w:val="00103F84"/>
    <w:rsid w:val="0010452E"/>
    <w:rsid w:val="00104B0D"/>
    <w:rsid w:val="00104C95"/>
    <w:rsid w:val="00104D7C"/>
    <w:rsid w:val="00104F75"/>
    <w:rsid w:val="001051E7"/>
    <w:rsid w:val="001052EC"/>
    <w:rsid w:val="001059B6"/>
    <w:rsid w:val="00105AE2"/>
    <w:rsid w:val="00105BD2"/>
    <w:rsid w:val="00105C7C"/>
    <w:rsid w:val="00105D10"/>
    <w:rsid w:val="00106018"/>
    <w:rsid w:val="001060BC"/>
    <w:rsid w:val="001060C6"/>
    <w:rsid w:val="001061F7"/>
    <w:rsid w:val="001063B7"/>
    <w:rsid w:val="001066B5"/>
    <w:rsid w:val="00106B80"/>
    <w:rsid w:val="00106CD7"/>
    <w:rsid w:val="00107061"/>
    <w:rsid w:val="0010756B"/>
    <w:rsid w:val="0010774D"/>
    <w:rsid w:val="0010779A"/>
    <w:rsid w:val="001077EE"/>
    <w:rsid w:val="00107860"/>
    <w:rsid w:val="0010798E"/>
    <w:rsid w:val="001079F1"/>
    <w:rsid w:val="00107C49"/>
    <w:rsid w:val="00110146"/>
    <w:rsid w:val="0011032E"/>
    <w:rsid w:val="0011033F"/>
    <w:rsid w:val="0011037F"/>
    <w:rsid w:val="0011067E"/>
    <w:rsid w:val="00110C19"/>
    <w:rsid w:val="001115C0"/>
    <w:rsid w:val="001115F6"/>
    <w:rsid w:val="00111714"/>
    <w:rsid w:val="00111770"/>
    <w:rsid w:val="00111C02"/>
    <w:rsid w:val="00112003"/>
    <w:rsid w:val="001120E1"/>
    <w:rsid w:val="0011243B"/>
    <w:rsid w:val="00112732"/>
    <w:rsid w:val="00112824"/>
    <w:rsid w:val="001129DA"/>
    <w:rsid w:val="00112B73"/>
    <w:rsid w:val="00112B95"/>
    <w:rsid w:val="00112E16"/>
    <w:rsid w:val="00112EE4"/>
    <w:rsid w:val="0011348B"/>
    <w:rsid w:val="0011373A"/>
    <w:rsid w:val="0011381C"/>
    <w:rsid w:val="00114CEB"/>
    <w:rsid w:val="00114D18"/>
    <w:rsid w:val="00114D1D"/>
    <w:rsid w:val="00114D79"/>
    <w:rsid w:val="00114EF8"/>
    <w:rsid w:val="001150A5"/>
    <w:rsid w:val="00115246"/>
    <w:rsid w:val="00115260"/>
    <w:rsid w:val="001152A2"/>
    <w:rsid w:val="00115512"/>
    <w:rsid w:val="0011578C"/>
    <w:rsid w:val="0011589E"/>
    <w:rsid w:val="00115982"/>
    <w:rsid w:val="00115C2E"/>
    <w:rsid w:val="00116C53"/>
    <w:rsid w:val="00116D91"/>
    <w:rsid w:val="0011710E"/>
    <w:rsid w:val="00117649"/>
    <w:rsid w:val="00117987"/>
    <w:rsid w:val="00117F5D"/>
    <w:rsid w:val="00117F78"/>
    <w:rsid w:val="001203D8"/>
    <w:rsid w:val="00120460"/>
    <w:rsid w:val="001204F5"/>
    <w:rsid w:val="001209E6"/>
    <w:rsid w:val="00120B5E"/>
    <w:rsid w:val="00120C36"/>
    <w:rsid w:val="00120E72"/>
    <w:rsid w:val="00120FD1"/>
    <w:rsid w:val="00120FE9"/>
    <w:rsid w:val="0012116D"/>
    <w:rsid w:val="00121406"/>
    <w:rsid w:val="00121799"/>
    <w:rsid w:val="001217AA"/>
    <w:rsid w:val="00121822"/>
    <w:rsid w:val="00121D7A"/>
    <w:rsid w:val="0012216B"/>
    <w:rsid w:val="001222FC"/>
    <w:rsid w:val="00122354"/>
    <w:rsid w:val="00122601"/>
    <w:rsid w:val="00122AC3"/>
    <w:rsid w:val="001230B6"/>
    <w:rsid w:val="0012318F"/>
    <w:rsid w:val="001234F8"/>
    <w:rsid w:val="00123547"/>
    <w:rsid w:val="00123902"/>
    <w:rsid w:val="00123BB1"/>
    <w:rsid w:val="00123EE6"/>
    <w:rsid w:val="001242C4"/>
    <w:rsid w:val="00124520"/>
    <w:rsid w:val="00124775"/>
    <w:rsid w:val="00124990"/>
    <w:rsid w:val="00124A51"/>
    <w:rsid w:val="00124BE4"/>
    <w:rsid w:val="00125285"/>
    <w:rsid w:val="001252F0"/>
    <w:rsid w:val="00125401"/>
    <w:rsid w:val="00125495"/>
    <w:rsid w:val="001255E4"/>
    <w:rsid w:val="001257B3"/>
    <w:rsid w:val="00125B20"/>
    <w:rsid w:val="0012605A"/>
    <w:rsid w:val="0012636D"/>
    <w:rsid w:val="00126621"/>
    <w:rsid w:val="00126823"/>
    <w:rsid w:val="00126B1D"/>
    <w:rsid w:val="0012707B"/>
    <w:rsid w:val="00127293"/>
    <w:rsid w:val="00127323"/>
    <w:rsid w:val="00127565"/>
    <w:rsid w:val="00127642"/>
    <w:rsid w:val="0012768F"/>
    <w:rsid w:val="00127956"/>
    <w:rsid w:val="00127A24"/>
    <w:rsid w:val="00127ECC"/>
    <w:rsid w:val="001301E9"/>
    <w:rsid w:val="001302CE"/>
    <w:rsid w:val="001306A3"/>
    <w:rsid w:val="00130916"/>
    <w:rsid w:val="00130A27"/>
    <w:rsid w:val="00130ACD"/>
    <w:rsid w:val="00131088"/>
    <w:rsid w:val="00131569"/>
    <w:rsid w:val="00131576"/>
    <w:rsid w:val="00131C96"/>
    <w:rsid w:val="00131D82"/>
    <w:rsid w:val="00132307"/>
    <w:rsid w:val="001326A1"/>
    <w:rsid w:val="001327EC"/>
    <w:rsid w:val="0013291A"/>
    <w:rsid w:val="00132923"/>
    <w:rsid w:val="001329C7"/>
    <w:rsid w:val="00132ACF"/>
    <w:rsid w:val="00132B22"/>
    <w:rsid w:val="00132C83"/>
    <w:rsid w:val="00132F21"/>
    <w:rsid w:val="0013301F"/>
    <w:rsid w:val="001331D0"/>
    <w:rsid w:val="001334B8"/>
    <w:rsid w:val="00133C0B"/>
    <w:rsid w:val="00133CD1"/>
    <w:rsid w:val="00133D36"/>
    <w:rsid w:val="00133EC4"/>
    <w:rsid w:val="00133F7F"/>
    <w:rsid w:val="001340EF"/>
    <w:rsid w:val="0013419D"/>
    <w:rsid w:val="0013420E"/>
    <w:rsid w:val="00134AB4"/>
    <w:rsid w:val="00134D13"/>
    <w:rsid w:val="00135A5D"/>
    <w:rsid w:val="00135C10"/>
    <w:rsid w:val="00135E51"/>
    <w:rsid w:val="001362F6"/>
    <w:rsid w:val="0013635E"/>
    <w:rsid w:val="00136599"/>
    <w:rsid w:val="00136A96"/>
    <w:rsid w:val="00136F11"/>
    <w:rsid w:val="001371A6"/>
    <w:rsid w:val="001374C9"/>
    <w:rsid w:val="00137645"/>
    <w:rsid w:val="00137EC9"/>
    <w:rsid w:val="0014015A"/>
    <w:rsid w:val="0014016A"/>
    <w:rsid w:val="001402D6"/>
    <w:rsid w:val="0014035D"/>
    <w:rsid w:val="001406DE"/>
    <w:rsid w:val="00140A1C"/>
    <w:rsid w:val="00140B3D"/>
    <w:rsid w:val="00140E99"/>
    <w:rsid w:val="00140FEC"/>
    <w:rsid w:val="00141211"/>
    <w:rsid w:val="001414B5"/>
    <w:rsid w:val="0014166C"/>
    <w:rsid w:val="00141B8C"/>
    <w:rsid w:val="0014207E"/>
    <w:rsid w:val="00142219"/>
    <w:rsid w:val="00142371"/>
    <w:rsid w:val="001429B6"/>
    <w:rsid w:val="00142D29"/>
    <w:rsid w:val="00142FD9"/>
    <w:rsid w:val="0014310E"/>
    <w:rsid w:val="0014325F"/>
    <w:rsid w:val="00143406"/>
    <w:rsid w:val="00143588"/>
    <w:rsid w:val="00143640"/>
    <w:rsid w:val="0014368B"/>
    <w:rsid w:val="00143B2C"/>
    <w:rsid w:val="00143C2F"/>
    <w:rsid w:val="00143F67"/>
    <w:rsid w:val="001440A6"/>
    <w:rsid w:val="001440E9"/>
    <w:rsid w:val="00144719"/>
    <w:rsid w:val="00144E3F"/>
    <w:rsid w:val="00144EC6"/>
    <w:rsid w:val="00145085"/>
    <w:rsid w:val="00145234"/>
    <w:rsid w:val="00145420"/>
    <w:rsid w:val="00145540"/>
    <w:rsid w:val="001456B0"/>
    <w:rsid w:val="00145AB8"/>
    <w:rsid w:val="00145B11"/>
    <w:rsid w:val="00145C71"/>
    <w:rsid w:val="001464DB"/>
    <w:rsid w:val="0014663A"/>
    <w:rsid w:val="0014669E"/>
    <w:rsid w:val="0014669F"/>
    <w:rsid w:val="00146764"/>
    <w:rsid w:val="00146BCB"/>
    <w:rsid w:val="00147095"/>
    <w:rsid w:val="00147497"/>
    <w:rsid w:val="001474D1"/>
    <w:rsid w:val="00147A10"/>
    <w:rsid w:val="00147AD8"/>
    <w:rsid w:val="00147D00"/>
    <w:rsid w:val="00150060"/>
    <w:rsid w:val="0015047C"/>
    <w:rsid w:val="00151156"/>
    <w:rsid w:val="00151B59"/>
    <w:rsid w:val="00151CC2"/>
    <w:rsid w:val="00151E13"/>
    <w:rsid w:val="00151F01"/>
    <w:rsid w:val="0015203E"/>
    <w:rsid w:val="0015221D"/>
    <w:rsid w:val="00152405"/>
    <w:rsid w:val="0015252D"/>
    <w:rsid w:val="00152804"/>
    <w:rsid w:val="00152A25"/>
    <w:rsid w:val="00152A36"/>
    <w:rsid w:val="00152AFD"/>
    <w:rsid w:val="00152BB6"/>
    <w:rsid w:val="00152FEF"/>
    <w:rsid w:val="0015307F"/>
    <w:rsid w:val="00153277"/>
    <w:rsid w:val="001536A2"/>
    <w:rsid w:val="0015371C"/>
    <w:rsid w:val="001539F9"/>
    <w:rsid w:val="00153CCB"/>
    <w:rsid w:val="00153D22"/>
    <w:rsid w:val="00153FB3"/>
    <w:rsid w:val="001547AB"/>
    <w:rsid w:val="001547BF"/>
    <w:rsid w:val="00154879"/>
    <w:rsid w:val="001548CA"/>
    <w:rsid w:val="00154B4E"/>
    <w:rsid w:val="00154F7A"/>
    <w:rsid w:val="00155056"/>
    <w:rsid w:val="0015505B"/>
    <w:rsid w:val="001550E8"/>
    <w:rsid w:val="0015547D"/>
    <w:rsid w:val="00155702"/>
    <w:rsid w:val="00155C39"/>
    <w:rsid w:val="00156864"/>
    <w:rsid w:val="001568C9"/>
    <w:rsid w:val="00156A31"/>
    <w:rsid w:val="00156B0B"/>
    <w:rsid w:val="00156F8F"/>
    <w:rsid w:val="001570E8"/>
    <w:rsid w:val="00157130"/>
    <w:rsid w:val="0015727E"/>
    <w:rsid w:val="001572EC"/>
    <w:rsid w:val="001574DD"/>
    <w:rsid w:val="00157586"/>
    <w:rsid w:val="00157680"/>
    <w:rsid w:val="001576B1"/>
    <w:rsid w:val="00157B14"/>
    <w:rsid w:val="00157C03"/>
    <w:rsid w:val="00157C2E"/>
    <w:rsid w:val="00160093"/>
    <w:rsid w:val="0016047B"/>
    <w:rsid w:val="001609B7"/>
    <w:rsid w:val="00160A4C"/>
    <w:rsid w:val="00160BDD"/>
    <w:rsid w:val="0016190D"/>
    <w:rsid w:val="00161C6A"/>
    <w:rsid w:val="00161D70"/>
    <w:rsid w:val="001621AB"/>
    <w:rsid w:val="001623DC"/>
    <w:rsid w:val="001625D3"/>
    <w:rsid w:val="00162801"/>
    <w:rsid w:val="0016287D"/>
    <w:rsid w:val="00162913"/>
    <w:rsid w:val="00162A56"/>
    <w:rsid w:val="00162E18"/>
    <w:rsid w:val="001630E9"/>
    <w:rsid w:val="00163335"/>
    <w:rsid w:val="00163588"/>
    <w:rsid w:val="001637AF"/>
    <w:rsid w:val="00163EE3"/>
    <w:rsid w:val="00163EFF"/>
    <w:rsid w:val="00163F66"/>
    <w:rsid w:val="00164285"/>
    <w:rsid w:val="001643D5"/>
    <w:rsid w:val="0016478E"/>
    <w:rsid w:val="001648D5"/>
    <w:rsid w:val="00164944"/>
    <w:rsid w:val="00164D97"/>
    <w:rsid w:val="00164DBC"/>
    <w:rsid w:val="00164E82"/>
    <w:rsid w:val="001654F7"/>
    <w:rsid w:val="00165989"/>
    <w:rsid w:val="001659AE"/>
    <w:rsid w:val="00165D20"/>
    <w:rsid w:val="00165EC4"/>
    <w:rsid w:val="001661FB"/>
    <w:rsid w:val="00166210"/>
    <w:rsid w:val="00166577"/>
    <w:rsid w:val="001666A8"/>
    <w:rsid w:val="001666BF"/>
    <w:rsid w:val="00166933"/>
    <w:rsid w:val="001671A0"/>
    <w:rsid w:val="0016747F"/>
    <w:rsid w:val="0016767F"/>
    <w:rsid w:val="0016774F"/>
    <w:rsid w:val="00167783"/>
    <w:rsid w:val="0016793F"/>
    <w:rsid w:val="0017015A"/>
    <w:rsid w:val="001706B1"/>
    <w:rsid w:val="001706DD"/>
    <w:rsid w:val="0017101F"/>
    <w:rsid w:val="001712CE"/>
    <w:rsid w:val="00171508"/>
    <w:rsid w:val="00171655"/>
    <w:rsid w:val="0017173E"/>
    <w:rsid w:val="001719A1"/>
    <w:rsid w:val="00171BEA"/>
    <w:rsid w:val="00171BF4"/>
    <w:rsid w:val="00172052"/>
    <w:rsid w:val="0017281F"/>
    <w:rsid w:val="0017299B"/>
    <w:rsid w:val="00172C7C"/>
    <w:rsid w:val="00172E96"/>
    <w:rsid w:val="00172F1D"/>
    <w:rsid w:val="00173127"/>
    <w:rsid w:val="00173175"/>
    <w:rsid w:val="001734F1"/>
    <w:rsid w:val="00173565"/>
    <w:rsid w:val="00173B07"/>
    <w:rsid w:val="00173EFA"/>
    <w:rsid w:val="00174102"/>
    <w:rsid w:val="001743F6"/>
    <w:rsid w:val="001744AC"/>
    <w:rsid w:val="001744C9"/>
    <w:rsid w:val="00174650"/>
    <w:rsid w:val="0017468E"/>
    <w:rsid w:val="00174B95"/>
    <w:rsid w:val="00174B99"/>
    <w:rsid w:val="00174E4C"/>
    <w:rsid w:val="001751FA"/>
    <w:rsid w:val="00175348"/>
    <w:rsid w:val="001753A3"/>
    <w:rsid w:val="0017591C"/>
    <w:rsid w:val="00175A49"/>
    <w:rsid w:val="00175D4F"/>
    <w:rsid w:val="00176107"/>
    <w:rsid w:val="001765CF"/>
    <w:rsid w:val="001766B3"/>
    <w:rsid w:val="00176AD4"/>
    <w:rsid w:val="00176F4A"/>
    <w:rsid w:val="00176F4C"/>
    <w:rsid w:val="00177105"/>
    <w:rsid w:val="001773AA"/>
    <w:rsid w:val="0017767A"/>
    <w:rsid w:val="001776C7"/>
    <w:rsid w:val="00177900"/>
    <w:rsid w:val="00177ABA"/>
    <w:rsid w:val="00177B06"/>
    <w:rsid w:val="00177E6E"/>
    <w:rsid w:val="00177FBF"/>
    <w:rsid w:val="001800F2"/>
    <w:rsid w:val="0018013C"/>
    <w:rsid w:val="001808B9"/>
    <w:rsid w:val="001808C2"/>
    <w:rsid w:val="00180954"/>
    <w:rsid w:val="00181378"/>
    <w:rsid w:val="001818C0"/>
    <w:rsid w:val="00181C10"/>
    <w:rsid w:val="00181D9C"/>
    <w:rsid w:val="00181F11"/>
    <w:rsid w:val="00181F21"/>
    <w:rsid w:val="00182292"/>
    <w:rsid w:val="00182329"/>
    <w:rsid w:val="001825CB"/>
    <w:rsid w:val="001825DD"/>
    <w:rsid w:val="00182860"/>
    <w:rsid w:val="001829E5"/>
    <w:rsid w:val="00182C11"/>
    <w:rsid w:val="00182EF2"/>
    <w:rsid w:val="001830B3"/>
    <w:rsid w:val="001831A2"/>
    <w:rsid w:val="0018325B"/>
    <w:rsid w:val="00183511"/>
    <w:rsid w:val="001837D3"/>
    <w:rsid w:val="001837FF"/>
    <w:rsid w:val="00183846"/>
    <w:rsid w:val="00183B4C"/>
    <w:rsid w:val="00183C9B"/>
    <w:rsid w:val="00183EAB"/>
    <w:rsid w:val="00184044"/>
    <w:rsid w:val="0018421F"/>
    <w:rsid w:val="00184A68"/>
    <w:rsid w:val="00184B0E"/>
    <w:rsid w:val="00184B25"/>
    <w:rsid w:val="00184CCF"/>
    <w:rsid w:val="0018515E"/>
    <w:rsid w:val="001859F5"/>
    <w:rsid w:val="00185B2B"/>
    <w:rsid w:val="00185E37"/>
    <w:rsid w:val="00185FD4"/>
    <w:rsid w:val="0018616C"/>
    <w:rsid w:val="0018626F"/>
    <w:rsid w:val="001869B2"/>
    <w:rsid w:val="00186A3D"/>
    <w:rsid w:val="00186B32"/>
    <w:rsid w:val="0018752F"/>
    <w:rsid w:val="001878B9"/>
    <w:rsid w:val="001878E6"/>
    <w:rsid w:val="0018795D"/>
    <w:rsid w:val="001879D6"/>
    <w:rsid w:val="00187E35"/>
    <w:rsid w:val="00187FE9"/>
    <w:rsid w:val="00190030"/>
    <w:rsid w:val="00190055"/>
    <w:rsid w:val="001900A0"/>
    <w:rsid w:val="001904C6"/>
    <w:rsid w:val="00190773"/>
    <w:rsid w:val="00191999"/>
    <w:rsid w:val="00191DA4"/>
    <w:rsid w:val="001920E7"/>
    <w:rsid w:val="0019247B"/>
    <w:rsid w:val="00192756"/>
    <w:rsid w:val="0019275D"/>
    <w:rsid w:val="00192BD1"/>
    <w:rsid w:val="001933F0"/>
    <w:rsid w:val="00193838"/>
    <w:rsid w:val="00193DFB"/>
    <w:rsid w:val="00194024"/>
    <w:rsid w:val="001941A5"/>
    <w:rsid w:val="001942A9"/>
    <w:rsid w:val="00194489"/>
    <w:rsid w:val="001944D3"/>
    <w:rsid w:val="001945BF"/>
    <w:rsid w:val="001947D7"/>
    <w:rsid w:val="00194AA3"/>
    <w:rsid w:val="00194AD8"/>
    <w:rsid w:val="00194B77"/>
    <w:rsid w:val="00194FB0"/>
    <w:rsid w:val="0019512E"/>
    <w:rsid w:val="00195222"/>
    <w:rsid w:val="0019535E"/>
    <w:rsid w:val="00195422"/>
    <w:rsid w:val="00195452"/>
    <w:rsid w:val="001957A5"/>
    <w:rsid w:val="001957E5"/>
    <w:rsid w:val="00195978"/>
    <w:rsid w:val="00195B30"/>
    <w:rsid w:val="00195E40"/>
    <w:rsid w:val="0019613D"/>
    <w:rsid w:val="00196823"/>
    <w:rsid w:val="001968E6"/>
    <w:rsid w:val="00196B0E"/>
    <w:rsid w:val="00196F0A"/>
    <w:rsid w:val="00196F9E"/>
    <w:rsid w:val="001975D8"/>
    <w:rsid w:val="0019798F"/>
    <w:rsid w:val="00197C86"/>
    <w:rsid w:val="00197CCE"/>
    <w:rsid w:val="00197D28"/>
    <w:rsid w:val="00197DBD"/>
    <w:rsid w:val="001A0051"/>
    <w:rsid w:val="001A0524"/>
    <w:rsid w:val="001A05D2"/>
    <w:rsid w:val="001A097E"/>
    <w:rsid w:val="001A0AA9"/>
    <w:rsid w:val="001A0FC4"/>
    <w:rsid w:val="001A12DB"/>
    <w:rsid w:val="001A12F1"/>
    <w:rsid w:val="001A151B"/>
    <w:rsid w:val="001A1581"/>
    <w:rsid w:val="001A178E"/>
    <w:rsid w:val="001A1DF0"/>
    <w:rsid w:val="001A1E43"/>
    <w:rsid w:val="001A1EDB"/>
    <w:rsid w:val="001A2231"/>
    <w:rsid w:val="001A34C6"/>
    <w:rsid w:val="001A38D1"/>
    <w:rsid w:val="001A41D5"/>
    <w:rsid w:val="001A43E5"/>
    <w:rsid w:val="001A43FA"/>
    <w:rsid w:val="001A47C5"/>
    <w:rsid w:val="001A4A45"/>
    <w:rsid w:val="001A4EDD"/>
    <w:rsid w:val="001A4FE6"/>
    <w:rsid w:val="001A50F3"/>
    <w:rsid w:val="001A53D4"/>
    <w:rsid w:val="001A5853"/>
    <w:rsid w:val="001A59FB"/>
    <w:rsid w:val="001A5C9E"/>
    <w:rsid w:val="001A5E9E"/>
    <w:rsid w:val="001A5F89"/>
    <w:rsid w:val="001A6354"/>
    <w:rsid w:val="001A6366"/>
    <w:rsid w:val="001A6A78"/>
    <w:rsid w:val="001A6A9A"/>
    <w:rsid w:val="001A6C4E"/>
    <w:rsid w:val="001A6CFE"/>
    <w:rsid w:val="001A7016"/>
    <w:rsid w:val="001A7038"/>
    <w:rsid w:val="001A72F4"/>
    <w:rsid w:val="001A733F"/>
    <w:rsid w:val="001A7AE8"/>
    <w:rsid w:val="001A7E26"/>
    <w:rsid w:val="001B0105"/>
    <w:rsid w:val="001B0225"/>
    <w:rsid w:val="001B09E5"/>
    <w:rsid w:val="001B0A7C"/>
    <w:rsid w:val="001B0F73"/>
    <w:rsid w:val="001B0F9A"/>
    <w:rsid w:val="001B110C"/>
    <w:rsid w:val="001B183A"/>
    <w:rsid w:val="001B1900"/>
    <w:rsid w:val="001B1C1A"/>
    <w:rsid w:val="001B204E"/>
    <w:rsid w:val="001B2230"/>
    <w:rsid w:val="001B2372"/>
    <w:rsid w:val="001B262A"/>
    <w:rsid w:val="001B285B"/>
    <w:rsid w:val="001B2B79"/>
    <w:rsid w:val="001B2F2E"/>
    <w:rsid w:val="001B305E"/>
    <w:rsid w:val="001B3443"/>
    <w:rsid w:val="001B36FC"/>
    <w:rsid w:val="001B3EDE"/>
    <w:rsid w:val="001B3FD1"/>
    <w:rsid w:val="001B41E1"/>
    <w:rsid w:val="001B440B"/>
    <w:rsid w:val="001B47E5"/>
    <w:rsid w:val="001B4D20"/>
    <w:rsid w:val="001B5039"/>
    <w:rsid w:val="001B514D"/>
    <w:rsid w:val="001B5690"/>
    <w:rsid w:val="001B5B31"/>
    <w:rsid w:val="001B5F96"/>
    <w:rsid w:val="001B633B"/>
    <w:rsid w:val="001B670F"/>
    <w:rsid w:val="001B6868"/>
    <w:rsid w:val="001B6AAB"/>
    <w:rsid w:val="001B6E08"/>
    <w:rsid w:val="001B6EEB"/>
    <w:rsid w:val="001B6EF2"/>
    <w:rsid w:val="001B6F57"/>
    <w:rsid w:val="001B71A2"/>
    <w:rsid w:val="001B7F84"/>
    <w:rsid w:val="001C00E5"/>
    <w:rsid w:val="001C01DB"/>
    <w:rsid w:val="001C03A9"/>
    <w:rsid w:val="001C0444"/>
    <w:rsid w:val="001C04F5"/>
    <w:rsid w:val="001C07F0"/>
    <w:rsid w:val="001C0B71"/>
    <w:rsid w:val="001C0DC2"/>
    <w:rsid w:val="001C0F5F"/>
    <w:rsid w:val="001C1317"/>
    <w:rsid w:val="001C20CD"/>
    <w:rsid w:val="001C216A"/>
    <w:rsid w:val="001C2584"/>
    <w:rsid w:val="001C273D"/>
    <w:rsid w:val="001C2787"/>
    <w:rsid w:val="001C2A9B"/>
    <w:rsid w:val="001C2FAD"/>
    <w:rsid w:val="001C3503"/>
    <w:rsid w:val="001C359D"/>
    <w:rsid w:val="001C3694"/>
    <w:rsid w:val="001C38B5"/>
    <w:rsid w:val="001C3996"/>
    <w:rsid w:val="001C3BB5"/>
    <w:rsid w:val="001C3C61"/>
    <w:rsid w:val="001C3DD6"/>
    <w:rsid w:val="001C3ED7"/>
    <w:rsid w:val="001C4126"/>
    <w:rsid w:val="001C4299"/>
    <w:rsid w:val="001C4513"/>
    <w:rsid w:val="001C4874"/>
    <w:rsid w:val="001C4C3D"/>
    <w:rsid w:val="001C4C60"/>
    <w:rsid w:val="001C4EF8"/>
    <w:rsid w:val="001C4FD2"/>
    <w:rsid w:val="001C50A6"/>
    <w:rsid w:val="001C5F94"/>
    <w:rsid w:val="001C61DB"/>
    <w:rsid w:val="001C62A7"/>
    <w:rsid w:val="001C67C8"/>
    <w:rsid w:val="001C68EA"/>
    <w:rsid w:val="001C6975"/>
    <w:rsid w:val="001C6D0A"/>
    <w:rsid w:val="001C6DC3"/>
    <w:rsid w:val="001C6E66"/>
    <w:rsid w:val="001C6EE5"/>
    <w:rsid w:val="001C70BD"/>
    <w:rsid w:val="001C7627"/>
    <w:rsid w:val="001C7848"/>
    <w:rsid w:val="001C7930"/>
    <w:rsid w:val="001C7AB7"/>
    <w:rsid w:val="001D025B"/>
    <w:rsid w:val="001D02A3"/>
    <w:rsid w:val="001D0D45"/>
    <w:rsid w:val="001D102C"/>
    <w:rsid w:val="001D1100"/>
    <w:rsid w:val="001D1391"/>
    <w:rsid w:val="001D13B6"/>
    <w:rsid w:val="001D141D"/>
    <w:rsid w:val="001D1507"/>
    <w:rsid w:val="001D1A5B"/>
    <w:rsid w:val="001D1E6B"/>
    <w:rsid w:val="001D25D7"/>
    <w:rsid w:val="001D279D"/>
    <w:rsid w:val="001D295D"/>
    <w:rsid w:val="001D2A55"/>
    <w:rsid w:val="001D2B12"/>
    <w:rsid w:val="001D2B75"/>
    <w:rsid w:val="001D32F8"/>
    <w:rsid w:val="001D3861"/>
    <w:rsid w:val="001D3996"/>
    <w:rsid w:val="001D3DD4"/>
    <w:rsid w:val="001D4667"/>
    <w:rsid w:val="001D4756"/>
    <w:rsid w:val="001D47CD"/>
    <w:rsid w:val="001D49D2"/>
    <w:rsid w:val="001D4A2B"/>
    <w:rsid w:val="001D4D31"/>
    <w:rsid w:val="001D4E60"/>
    <w:rsid w:val="001D4F45"/>
    <w:rsid w:val="001D50B2"/>
    <w:rsid w:val="001D585C"/>
    <w:rsid w:val="001D5A82"/>
    <w:rsid w:val="001D5B48"/>
    <w:rsid w:val="001D5D6C"/>
    <w:rsid w:val="001D5F4E"/>
    <w:rsid w:val="001D6422"/>
    <w:rsid w:val="001D665E"/>
    <w:rsid w:val="001D6C27"/>
    <w:rsid w:val="001D6F98"/>
    <w:rsid w:val="001D708F"/>
    <w:rsid w:val="001D71F4"/>
    <w:rsid w:val="001D736C"/>
    <w:rsid w:val="001D7408"/>
    <w:rsid w:val="001D7645"/>
    <w:rsid w:val="001D7AF4"/>
    <w:rsid w:val="001D7BE6"/>
    <w:rsid w:val="001D7F69"/>
    <w:rsid w:val="001E0223"/>
    <w:rsid w:val="001E0636"/>
    <w:rsid w:val="001E07B3"/>
    <w:rsid w:val="001E0CEF"/>
    <w:rsid w:val="001E0DB9"/>
    <w:rsid w:val="001E0F99"/>
    <w:rsid w:val="001E100E"/>
    <w:rsid w:val="001E12D4"/>
    <w:rsid w:val="001E1750"/>
    <w:rsid w:val="001E17FB"/>
    <w:rsid w:val="001E1932"/>
    <w:rsid w:val="001E1954"/>
    <w:rsid w:val="001E19DB"/>
    <w:rsid w:val="001E1E86"/>
    <w:rsid w:val="001E1EB2"/>
    <w:rsid w:val="001E1F36"/>
    <w:rsid w:val="001E200F"/>
    <w:rsid w:val="001E215D"/>
    <w:rsid w:val="001E238E"/>
    <w:rsid w:val="001E2483"/>
    <w:rsid w:val="001E276A"/>
    <w:rsid w:val="001E2B1E"/>
    <w:rsid w:val="001E2B4D"/>
    <w:rsid w:val="001E2CFF"/>
    <w:rsid w:val="001E2D55"/>
    <w:rsid w:val="001E2F24"/>
    <w:rsid w:val="001E300C"/>
    <w:rsid w:val="001E30D4"/>
    <w:rsid w:val="001E32E1"/>
    <w:rsid w:val="001E34DF"/>
    <w:rsid w:val="001E3732"/>
    <w:rsid w:val="001E3818"/>
    <w:rsid w:val="001E3D4E"/>
    <w:rsid w:val="001E3E22"/>
    <w:rsid w:val="001E3FAF"/>
    <w:rsid w:val="001E40BC"/>
    <w:rsid w:val="001E40C9"/>
    <w:rsid w:val="001E4100"/>
    <w:rsid w:val="001E4286"/>
    <w:rsid w:val="001E4807"/>
    <w:rsid w:val="001E4F0A"/>
    <w:rsid w:val="001E51E4"/>
    <w:rsid w:val="001E52EB"/>
    <w:rsid w:val="001E567B"/>
    <w:rsid w:val="001E58FA"/>
    <w:rsid w:val="001E59F0"/>
    <w:rsid w:val="001E5D06"/>
    <w:rsid w:val="001E6166"/>
    <w:rsid w:val="001E61D2"/>
    <w:rsid w:val="001E65A4"/>
    <w:rsid w:val="001E7040"/>
    <w:rsid w:val="001E740C"/>
    <w:rsid w:val="001E7592"/>
    <w:rsid w:val="001E7ED1"/>
    <w:rsid w:val="001E7F50"/>
    <w:rsid w:val="001F00BD"/>
    <w:rsid w:val="001F0189"/>
    <w:rsid w:val="001F029D"/>
    <w:rsid w:val="001F0C0C"/>
    <w:rsid w:val="001F0D77"/>
    <w:rsid w:val="001F0E80"/>
    <w:rsid w:val="001F0FF4"/>
    <w:rsid w:val="001F11A6"/>
    <w:rsid w:val="001F11E1"/>
    <w:rsid w:val="001F1235"/>
    <w:rsid w:val="001F128A"/>
    <w:rsid w:val="001F1CB3"/>
    <w:rsid w:val="001F1D8C"/>
    <w:rsid w:val="001F21EE"/>
    <w:rsid w:val="001F23E9"/>
    <w:rsid w:val="001F29B1"/>
    <w:rsid w:val="001F2A8F"/>
    <w:rsid w:val="001F2B32"/>
    <w:rsid w:val="001F2B6B"/>
    <w:rsid w:val="001F2BAB"/>
    <w:rsid w:val="001F2D3D"/>
    <w:rsid w:val="001F2F5D"/>
    <w:rsid w:val="001F33C4"/>
    <w:rsid w:val="001F3473"/>
    <w:rsid w:val="001F366B"/>
    <w:rsid w:val="001F38B5"/>
    <w:rsid w:val="001F3BDC"/>
    <w:rsid w:val="001F4081"/>
    <w:rsid w:val="001F4290"/>
    <w:rsid w:val="001F44E6"/>
    <w:rsid w:val="001F4553"/>
    <w:rsid w:val="001F4919"/>
    <w:rsid w:val="001F4E45"/>
    <w:rsid w:val="001F6156"/>
    <w:rsid w:val="001F6694"/>
    <w:rsid w:val="001F6987"/>
    <w:rsid w:val="001F6B2D"/>
    <w:rsid w:val="001F6E98"/>
    <w:rsid w:val="001F6F43"/>
    <w:rsid w:val="001F7156"/>
    <w:rsid w:val="001F7297"/>
    <w:rsid w:val="001F72DF"/>
    <w:rsid w:val="001F7361"/>
    <w:rsid w:val="001F7454"/>
    <w:rsid w:val="001F747F"/>
    <w:rsid w:val="001F77B1"/>
    <w:rsid w:val="001F7915"/>
    <w:rsid w:val="001F79D6"/>
    <w:rsid w:val="001F7B46"/>
    <w:rsid w:val="001F7DC2"/>
    <w:rsid w:val="0020022C"/>
    <w:rsid w:val="0020026B"/>
    <w:rsid w:val="0020040B"/>
    <w:rsid w:val="0020071F"/>
    <w:rsid w:val="00200815"/>
    <w:rsid w:val="002009C0"/>
    <w:rsid w:val="00200F89"/>
    <w:rsid w:val="00201015"/>
    <w:rsid w:val="00201131"/>
    <w:rsid w:val="002011B0"/>
    <w:rsid w:val="00201592"/>
    <w:rsid w:val="00201710"/>
    <w:rsid w:val="002017C0"/>
    <w:rsid w:val="00201F4E"/>
    <w:rsid w:val="002021D0"/>
    <w:rsid w:val="0020250F"/>
    <w:rsid w:val="00202593"/>
    <w:rsid w:val="002028DF"/>
    <w:rsid w:val="00202BCA"/>
    <w:rsid w:val="00202DED"/>
    <w:rsid w:val="0020317F"/>
    <w:rsid w:val="00203181"/>
    <w:rsid w:val="00203783"/>
    <w:rsid w:val="0020383E"/>
    <w:rsid w:val="0020385F"/>
    <w:rsid w:val="002038A0"/>
    <w:rsid w:val="0020395D"/>
    <w:rsid w:val="00203F45"/>
    <w:rsid w:val="002040A3"/>
    <w:rsid w:val="00204184"/>
    <w:rsid w:val="0020436B"/>
    <w:rsid w:val="0020468C"/>
    <w:rsid w:val="00204706"/>
    <w:rsid w:val="00205159"/>
    <w:rsid w:val="002051C4"/>
    <w:rsid w:val="002052E8"/>
    <w:rsid w:val="00205314"/>
    <w:rsid w:val="002053C2"/>
    <w:rsid w:val="002054E0"/>
    <w:rsid w:val="00205677"/>
    <w:rsid w:val="0020573A"/>
    <w:rsid w:val="00205A47"/>
    <w:rsid w:val="002060D1"/>
    <w:rsid w:val="002063FE"/>
    <w:rsid w:val="002066FA"/>
    <w:rsid w:val="002068A0"/>
    <w:rsid w:val="00206AA9"/>
    <w:rsid w:val="00207021"/>
    <w:rsid w:val="0020732F"/>
    <w:rsid w:val="002076F0"/>
    <w:rsid w:val="00207D00"/>
    <w:rsid w:val="00207D88"/>
    <w:rsid w:val="00207EB8"/>
    <w:rsid w:val="00210028"/>
    <w:rsid w:val="00210039"/>
    <w:rsid w:val="00210119"/>
    <w:rsid w:val="00210499"/>
    <w:rsid w:val="00210598"/>
    <w:rsid w:val="002105C1"/>
    <w:rsid w:val="002107E5"/>
    <w:rsid w:val="00210933"/>
    <w:rsid w:val="002109FD"/>
    <w:rsid w:val="00210A57"/>
    <w:rsid w:val="00210D81"/>
    <w:rsid w:val="00210DE1"/>
    <w:rsid w:val="0021105F"/>
    <w:rsid w:val="00211475"/>
    <w:rsid w:val="002114A9"/>
    <w:rsid w:val="002116FD"/>
    <w:rsid w:val="002118E6"/>
    <w:rsid w:val="00211C1F"/>
    <w:rsid w:val="00211E1C"/>
    <w:rsid w:val="00211F59"/>
    <w:rsid w:val="002121C0"/>
    <w:rsid w:val="00212292"/>
    <w:rsid w:val="00212383"/>
    <w:rsid w:val="00212446"/>
    <w:rsid w:val="002126BA"/>
    <w:rsid w:val="00212818"/>
    <w:rsid w:val="00212863"/>
    <w:rsid w:val="002129B5"/>
    <w:rsid w:val="00212B9A"/>
    <w:rsid w:val="00212C9C"/>
    <w:rsid w:val="0021314A"/>
    <w:rsid w:val="00213306"/>
    <w:rsid w:val="00213677"/>
    <w:rsid w:val="00213A2E"/>
    <w:rsid w:val="00213ABB"/>
    <w:rsid w:val="00213DEA"/>
    <w:rsid w:val="00213E17"/>
    <w:rsid w:val="00213EF5"/>
    <w:rsid w:val="00213F1A"/>
    <w:rsid w:val="00214A72"/>
    <w:rsid w:val="00214E48"/>
    <w:rsid w:val="0021512A"/>
    <w:rsid w:val="00215621"/>
    <w:rsid w:val="00215727"/>
    <w:rsid w:val="00215CD4"/>
    <w:rsid w:val="00215D31"/>
    <w:rsid w:val="00215D94"/>
    <w:rsid w:val="00215F5D"/>
    <w:rsid w:val="00215F62"/>
    <w:rsid w:val="00216017"/>
    <w:rsid w:val="00216855"/>
    <w:rsid w:val="002168A7"/>
    <w:rsid w:val="00216B43"/>
    <w:rsid w:val="00216B72"/>
    <w:rsid w:val="00216BB3"/>
    <w:rsid w:val="00216BF5"/>
    <w:rsid w:val="00216DA1"/>
    <w:rsid w:val="00216EA2"/>
    <w:rsid w:val="00217005"/>
    <w:rsid w:val="00217452"/>
    <w:rsid w:val="002174BD"/>
    <w:rsid w:val="002178FF"/>
    <w:rsid w:val="00217BC7"/>
    <w:rsid w:val="00217E7B"/>
    <w:rsid w:val="00220364"/>
    <w:rsid w:val="002207AC"/>
    <w:rsid w:val="00220D81"/>
    <w:rsid w:val="00220E78"/>
    <w:rsid w:val="00220F37"/>
    <w:rsid w:val="00220F41"/>
    <w:rsid w:val="0022148F"/>
    <w:rsid w:val="002217FF"/>
    <w:rsid w:val="00221801"/>
    <w:rsid w:val="00221CC8"/>
    <w:rsid w:val="00221CD1"/>
    <w:rsid w:val="00221DE7"/>
    <w:rsid w:val="00221DFB"/>
    <w:rsid w:val="00222109"/>
    <w:rsid w:val="00222291"/>
    <w:rsid w:val="002224B3"/>
    <w:rsid w:val="002224D4"/>
    <w:rsid w:val="00222844"/>
    <w:rsid w:val="00222936"/>
    <w:rsid w:val="00222AFB"/>
    <w:rsid w:val="00222B5E"/>
    <w:rsid w:val="00222EC7"/>
    <w:rsid w:val="00223228"/>
    <w:rsid w:val="00223273"/>
    <w:rsid w:val="00223314"/>
    <w:rsid w:val="002235C2"/>
    <w:rsid w:val="00223978"/>
    <w:rsid w:val="00223B49"/>
    <w:rsid w:val="00223D5A"/>
    <w:rsid w:val="00223DF0"/>
    <w:rsid w:val="00223E32"/>
    <w:rsid w:val="0022459F"/>
    <w:rsid w:val="00224854"/>
    <w:rsid w:val="0022494C"/>
    <w:rsid w:val="00224DD4"/>
    <w:rsid w:val="0022510A"/>
    <w:rsid w:val="00225571"/>
    <w:rsid w:val="00225680"/>
    <w:rsid w:val="0022618B"/>
    <w:rsid w:val="002261C7"/>
    <w:rsid w:val="002266D6"/>
    <w:rsid w:val="00226A4D"/>
    <w:rsid w:val="00226AAC"/>
    <w:rsid w:val="00226B53"/>
    <w:rsid w:val="00226CA2"/>
    <w:rsid w:val="00226D70"/>
    <w:rsid w:val="00226FC2"/>
    <w:rsid w:val="00226FEC"/>
    <w:rsid w:val="00227042"/>
    <w:rsid w:val="00227217"/>
    <w:rsid w:val="002272CA"/>
    <w:rsid w:val="002272E9"/>
    <w:rsid w:val="002278A0"/>
    <w:rsid w:val="0022790E"/>
    <w:rsid w:val="0023012D"/>
    <w:rsid w:val="0023048C"/>
    <w:rsid w:val="002304E7"/>
    <w:rsid w:val="0023050F"/>
    <w:rsid w:val="002308EB"/>
    <w:rsid w:val="002309CC"/>
    <w:rsid w:val="00230ACF"/>
    <w:rsid w:val="00230BDE"/>
    <w:rsid w:val="00230C4A"/>
    <w:rsid w:val="00230CA2"/>
    <w:rsid w:val="0023106F"/>
    <w:rsid w:val="00231186"/>
    <w:rsid w:val="00231965"/>
    <w:rsid w:val="00231B2B"/>
    <w:rsid w:val="00231BA9"/>
    <w:rsid w:val="00231ED5"/>
    <w:rsid w:val="0023209F"/>
    <w:rsid w:val="002325A3"/>
    <w:rsid w:val="00232833"/>
    <w:rsid w:val="00232A99"/>
    <w:rsid w:val="00232D15"/>
    <w:rsid w:val="00232E1C"/>
    <w:rsid w:val="00233076"/>
    <w:rsid w:val="00233132"/>
    <w:rsid w:val="002334F9"/>
    <w:rsid w:val="00233588"/>
    <w:rsid w:val="0023371F"/>
    <w:rsid w:val="00233841"/>
    <w:rsid w:val="00233843"/>
    <w:rsid w:val="0023384C"/>
    <w:rsid w:val="00233852"/>
    <w:rsid w:val="00233854"/>
    <w:rsid w:val="00233B8B"/>
    <w:rsid w:val="00233C01"/>
    <w:rsid w:val="0023413C"/>
    <w:rsid w:val="00234158"/>
    <w:rsid w:val="00234300"/>
    <w:rsid w:val="0023440A"/>
    <w:rsid w:val="002345C4"/>
    <w:rsid w:val="002346F0"/>
    <w:rsid w:val="00234B69"/>
    <w:rsid w:val="00234B99"/>
    <w:rsid w:val="00234BB9"/>
    <w:rsid w:val="00234BDF"/>
    <w:rsid w:val="00234E7A"/>
    <w:rsid w:val="00235070"/>
    <w:rsid w:val="00235176"/>
    <w:rsid w:val="0023524C"/>
    <w:rsid w:val="0023528B"/>
    <w:rsid w:val="002353A4"/>
    <w:rsid w:val="002356AD"/>
    <w:rsid w:val="00235990"/>
    <w:rsid w:val="00235AA2"/>
    <w:rsid w:val="00236288"/>
    <w:rsid w:val="0023629D"/>
    <w:rsid w:val="00236359"/>
    <w:rsid w:val="00236DB6"/>
    <w:rsid w:val="00236E9B"/>
    <w:rsid w:val="00237051"/>
    <w:rsid w:val="00237064"/>
    <w:rsid w:val="00237234"/>
    <w:rsid w:val="00237255"/>
    <w:rsid w:val="00237748"/>
    <w:rsid w:val="00240552"/>
    <w:rsid w:val="002405E1"/>
    <w:rsid w:val="002406DE"/>
    <w:rsid w:val="0024096E"/>
    <w:rsid w:val="00240A11"/>
    <w:rsid w:val="00240CA7"/>
    <w:rsid w:val="0024143C"/>
    <w:rsid w:val="00241569"/>
    <w:rsid w:val="002421C2"/>
    <w:rsid w:val="002422D2"/>
    <w:rsid w:val="002424AF"/>
    <w:rsid w:val="0024259A"/>
    <w:rsid w:val="0024335C"/>
    <w:rsid w:val="00243966"/>
    <w:rsid w:val="002439DC"/>
    <w:rsid w:val="00243A59"/>
    <w:rsid w:val="00243ABE"/>
    <w:rsid w:val="002441D2"/>
    <w:rsid w:val="002446EA"/>
    <w:rsid w:val="00244C4B"/>
    <w:rsid w:val="00244C6F"/>
    <w:rsid w:val="00244D79"/>
    <w:rsid w:val="00244DC8"/>
    <w:rsid w:val="00244E1F"/>
    <w:rsid w:val="00244EC2"/>
    <w:rsid w:val="00244F4F"/>
    <w:rsid w:val="002451FD"/>
    <w:rsid w:val="00245569"/>
    <w:rsid w:val="002458BA"/>
    <w:rsid w:val="00245C36"/>
    <w:rsid w:val="00245CE9"/>
    <w:rsid w:val="00245F13"/>
    <w:rsid w:val="00246082"/>
    <w:rsid w:val="002460F0"/>
    <w:rsid w:val="0024636C"/>
    <w:rsid w:val="002464F5"/>
    <w:rsid w:val="00246725"/>
    <w:rsid w:val="00246F5D"/>
    <w:rsid w:val="0024717A"/>
    <w:rsid w:val="00247240"/>
    <w:rsid w:val="002475E6"/>
    <w:rsid w:val="002476F5"/>
    <w:rsid w:val="00247925"/>
    <w:rsid w:val="00250554"/>
    <w:rsid w:val="002505B8"/>
    <w:rsid w:val="0025069A"/>
    <w:rsid w:val="0025075E"/>
    <w:rsid w:val="00250B04"/>
    <w:rsid w:val="00250D63"/>
    <w:rsid w:val="00251006"/>
    <w:rsid w:val="002511EB"/>
    <w:rsid w:val="002512F3"/>
    <w:rsid w:val="00251426"/>
    <w:rsid w:val="0025198B"/>
    <w:rsid w:val="00251DE0"/>
    <w:rsid w:val="00251EB1"/>
    <w:rsid w:val="00252290"/>
    <w:rsid w:val="00252330"/>
    <w:rsid w:val="00252470"/>
    <w:rsid w:val="002524D5"/>
    <w:rsid w:val="00252973"/>
    <w:rsid w:val="00252997"/>
    <w:rsid w:val="00252B9A"/>
    <w:rsid w:val="00252BE8"/>
    <w:rsid w:val="00252D6C"/>
    <w:rsid w:val="00252E37"/>
    <w:rsid w:val="00252EB4"/>
    <w:rsid w:val="0025324C"/>
    <w:rsid w:val="002533FC"/>
    <w:rsid w:val="0025393B"/>
    <w:rsid w:val="002539B4"/>
    <w:rsid w:val="00253A14"/>
    <w:rsid w:val="00253A64"/>
    <w:rsid w:val="00253A68"/>
    <w:rsid w:val="00253B1D"/>
    <w:rsid w:val="00253C97"/>
    <w:rsid w:val="00253CC7"/>
    <w:rsid w:val="002540A8"/>
    <w:rsid w:val="0025487F"/>
    <w:rsid w:val="00254960"/>
    <w:rsid w:val="00254DCF"/>
    <w:rsid w:val="00254E14"/>
    <w:rsid w:val="00255125"/>
    <w:rsid w:val="002551A2"/>
    <w:rsid w:val="0025534B"/>
    <w:rsid w:val="002553ED"/>
    <w:rsid w:val="002556D5"/>
    <w:rsid w:val="00255A38"/>
    <w:rsid w:val="00255BB7"/>
    <w:rsid w:val="00255CB3"/>
    <w:rsid w:val="00255F15"/>
    <w:rsid w:val="00256577"/>
    <w:rsid w:val="00257007"/>
    <w:rsid w:val="00257020"/>
    <w:rsid w:val="00257048"/>
    <w:rsid w:val="00257243"/>
    <w:rsid w:val="002573FD"/>
    <w:rsid w:val="00257541"/>
    <w:rsid w:val="00257988"/>
    <w:rsid w:val="00257A39"/>
    <w:rsid w:val="00257AC4"/>
    <w:rsid w:val="00257BBE"/>
    <w:rsid w:val="00257EA8"/>
    <w:rsid w:val="002601EB"/>
    <w:rsid w:val="0026041C"/>
    <w:rsid w:val="0026061B"/>
    <w:rsid w:val="00260701"/>
    <w:rsid w:val="00260829"/>
    <w:rsid w:val="00260B8F"/>
    <w:rsid w:val="00260C16"/>
    <w:rsid w:val="00260EC8"/>
    <w:rsid w:val="00261318"/>
    <w:rsid w:val="00261356"/>
    <w:rsid w:val="0026182A"/>
    <w:rsid w:val="00261C14"/>
    <w:rsid w:val="00261D38"/>
    <w:rsid w:val="00261DD2"/>
    <w:rsid w:val="00261EDB"/>
    <w:rsid w:val="00261EEF"/>
    <w:rsid w:val="00261F8A"/>
    <w:rsid w:val="0026279A"/>
    <w:rsid w:val="00262828"/>
    <w:rsid w:val="002628E2"/>
    <w:rsid w:val="00262960"/>
    <w:rsid w:val="002629C8"/>
    <w:rsid w:val="00262A1A"/>
    <w:rsid w:val="00262A87"/>
    <w:rsid w:val="00262AB2"/>
    <w:rsid w:val="00262C5C"/>
    <w:rsid w:val="00262EFF"/>
    <w:rsid w:val="002630DA"/>
    <w:rsid w:val="00263218"/>
    <w:rsid w:val="00263659"/>
    <w:rsid w:val="00264256"/>
    <w:rsid w:val="00264295"/>
    <w:rsid w:val="00264741"/>
    <w:rsid w:val="002647F5"/>
    <w:rsid w:val="00264D26"/>
    <w:rsid w:val="00264DCF"/>
    <w:rsid w:val="00264EDA"/>
    <w:rsid w:val="0026555F"/>
    <w:rsid w:val="00265575"/>
    <w:rsid w:val="00265675"/>
    <w:rsid w:val="00265781"/>
    <w:rsid w:val="002657A6"/>
    <w:rsid w:val="00265967"/>
    <w:rsid w:val="00265A7D"/>
    <w:rsid w:val="00265B75"/>
    <w:rsid w:val="00265DDC"/>
    <w:rsid w:val="00266474"/>
    <w:rsid w:val="00266A10"/>
    <w:rsid w:val="00266B3F"/>
    <w:rsid w:val="00266BFD"/>
    <w:rsid w:val="0026734C"/>
    <w:rsid w:val="00267642"/>
    <w:rsid w:val="002676B6"/>
    <w:rsid w:val="002677B7"/>
    <w:rsid w:val="002679E9"/>
    <w:rsid w:val="00267AEA"/>
    <w:rsid w:val="00267C47"/>
    <w:rsid w:val="00267D81"/>
    <w:rsid w:val="00267E75"/>
    <w:rsid w:val="00270019"/>
    <w:rsid w:val="002700E6"/>
    <w:rsid w:val="002701E4"/>
    <w:rsid w:val="00270387"/>
    <w:rsid w:val="002703F6"/>
    <w:rsid w:val="00270706"/>
    <w:rsid w:val="00270BFA"/>
    <w:rsid w:val="002715C7"/>
    <w:rsid w:val="0027161B"/>
    <w:rsid w:val="00271C94"/>
    <w:rsid w:val="002721A9"/>
    <w:rsid w:val="0027233E"/>
    <w:rsid w:val="00272836"/>
    <w:rsid w:val="0027287F"/>
    <w:rsid w:val="0027294B"/>
    <w:rsid w:val="00272BBF"/>
    <w:rsid w:val="002730D4"/>
    <w:rsid w:val="00273311"/>
    <w:rsid w:val="0027343F"/>
    <w:rsid w:val="002734B9"/>
    <w:rsid w:val="002734F6"/>
    <w:rsid w:val="00273784"/>
    <w:rsid w:val="00273934"/>
    <w:rsid w:val="00273EB4"/>
    <w:rsid w:val="00273F5F"/>
    <w:rsid w:val="00274312"/>
    <w:rsid w:val="00274682"/>
    <w:rsid w:val="00274C23"/>
    <w:rsid w:val="00274DD9"/>
    <w:rsid w:val="00275053"/>
    <w:rsid w:val="0027513A"/>
    <w:rsid w:val="00275158"/>
    <w:rsid w:val="00275422"/>
    <w:rsid w:val="002754CB"/>
    <w:rsid w:val="002755B1"/>
    <w:rsid w:val="00275AFA"/>
    <w:rsid w:val="00275BEC"/>
    <w:rsid w:val="00275C5A"/>
    <w:rsid w:val="0027631D"/>
    <w:rsid w:val="00276320"/>
    <w:rsid w:val="0027638C"/>
    <w:rsid w:val="0027674A"/>
    <w:rsid w:val="00276DE5"/>
    <w:rsid w:val="00276E81"/>
    <w:rsid w:val="00276EB3"/>
    <w:rsid w:val="002771E8"/>
    <w:rsid w:val="00277239"/>
    <w:rsid w:val="002774FF"/>
    <w:rsid w:val="00277A2D"/>
    <w:rsid w:val="00277B04"/>
    <w:rsid w:val="00277B42"/>
    <w:rsid w:val="00277BF5"/>
    <w:rsid w:val="00277DDA"/>
    <w:rsid w:val="00277DEC"/>
    <w:rsid w:val="00280008"/>
    <w:rsid w:val="00280271"/>
    <w:rsid w:val="002802D4"/>
    <w:rsid w:val="00280305"/>
    <w:rsid w:val="00280430"/>
    <w:rsid w:val="002808B2"/>
    <w:rsid w:val="00280A57"/>
    <w:rsid w:val="00280B95"/>
    <w:rsid w:val="00280CAA"/>
    <w:rsid w:val="00280D96"/>
    <w:rsid w:val="00280EF1"/>
    <w:rsid w:val="00281014"/>
    <w:rsid w:val="002811B4"/>
    <w:rsid w:val="002812A5"/>
    <w:rsid w:val="002814C6"/>
    <w:rsid w:val="00281561"/>
    <w:rsid w:val="002815E6"/>
    <w:rsid w:val="002817E5"/>
    <w:rsid w:val="002822B8"/>
    <w:rsid w:val="002826D1"/>
    <w:rsid w:val="00282901"/>
    <w:rsid w:val="00282E19"/>
    <w:rsid w:val="002838B0"/>
    <w:rsid w:val="0028418E"/>
    <w:rsid w:val="002844A2"/>
    <w:rsid w:val="0028481A"/>
    <w:rsid w:val="0028492D"/>
    <w:rsid w:val="00284AB0"/>
    <w:rsid w:val="00284AEF"/>
    <w:rsid w:val="00284CE2"/>
    <w:rsid w:val="0028529F"/>
    <w:rsid w:val="00285A80"/>
    <w:rsid w:val="00285B2E"/>
    <w:rsid w:val="00285BCE"/>
    <w:rsid w:val="00285DDD"/>
    <w:rsid w:val="00285E9B"/>
    <w:rsid w:val="00285F85"/>
    <w:rsid w:val="002861AF"/>
    <w:rsid w:val="0028640C"/>
    <w:rsid w:val="002865C1"/>
    <w:rsid w:val="0028665D"/>
    <w:rsid w:val="00286F9F"/>
    <w:rsid w:val="00287488"/>
    <w:rsid w:val="00287D17"/>
    <w:rsid w:val="00290076"/>
    <w:rsid w:val="00290421"/>
    <w:rsid w:val="0029079A"/>
    <w:rsid w:val="00291350"/>
    <w:rsid w:val="00291B3D"/>
    <w:rsid w:val="00291D3B"/>
    <w:rsid w:val="00291DD5"/>
    <w:rsid w:val="00291E9B"/>
    <w:rsid w:val="00291F49"/>
    <w:rsid w:val="00291FEA"/>
    <w:rsid w:val="00292106"/>
    <w:rsid w:val="002925BC"/>
    <w:rsid w:val="00292852"/>
    <w:rsid w:val="002929AE"/>
    <w:rsid w:val="00292C5A"/>
    <w:rsid w:val="00292C79"/>
    <w:rsid w:val="00292D7B"/>
    <w:rsid w:val="002930AF"/>
    <w:rsid w:val="00293331"/>
    <w:rsid w:val="0029333D"/>
    <w:rsid w:val="0029366F"/>
    <w:rsid w:val="00293718"/>
    <w:rsid w:val="0029381F"/>
    <w:rsid w:val="002939B4"/>
    <w:rsid w:val="00293D44"/>
    <w:rsid w:val="00293E22"/>
    <w:rsid w:val="00293E36"/>
    <w:rsid w:val="00294247"/>
    <w:rsid w:val="00294FB7"/>
    <w:rsid w:val="0029502B"/>
    <w:rsid w:val="002951C9"/>
    <w:rsid w:val="002963C4"/>
    <w:rsid w:val="002968CF"/>
    <w:rsid w:val="00296B53"/>
    <w:rsid w:val="00296C0C"/>
    <w:rsid w:val="00296CA0"/>
    <w:rsid w:val="00296DA8"/>
    <w:rsid w:val="00296DB4"/>
    <w:rsid w:val="002972E2"/>
    <w:rsid w:val="0029776E"/>
    <w:rsid w:val="00297B12"/>
    <w:rsid w:val="00297F26"/>
    <w:rsid w:val="00297F4D"/>
    <w:rsid w:val="00297FBE"/>
    <w:rsid w:val="002A02C4"/>
    <w:rsid w:val="002A04BB"/>
    <w:rsid w:val="002A061E"/>
    <w:rsid w:val="002A07F6"/>
    <w:rsid w:val="002A0B46"/>
    <w:rsid w:val="002A13AB"/>
    <w:rsid w:val="002A14AB"/>
    <w:rsid w:val="002A155C"/>
    <w:rsid w:val="002A1940"/>
    <w:rsid w:val="002A1B55"/>
    <w:rsid w:val="002A1BEB"/>
    <w:rsid w:val="002A1C1A"/>
    <w:rsid w:val="002A1CD6"/>
    <w:rsid w:val="002A1DD6"/>
    <w:rsid w:val="002A2869"/>
    <w:rsid w:val="002A2ADE"/>
    <w:rsid w:val="002A2F50"/>
    <w:rsid w:val="002A30AA"/>
    <w:rsid w:val="002A3284"/>
    <w:rsid w:val="002A35BB"/>
    <w:rsid w:val="002A35F9"/>
    <w:rsid w:val="002A3B20"/>
    <w:rsid w:val="002A4019"/>
    <w:rsid w:val="002A435B"/>
    <w:rsid w:val="002A437D"/>
    <w:rsid w:val="002A45C0"/>
    <w:rsid w:val="002A469C"/>
    <w:rsid w:val="002A4B4B"/>
    <w:rsid w:val="002A4E87"/>
    <w:rsid w:val="002A50DC"/>
    <w:rsid w:val="002A5186"/>
    <w:rsid w:val="002A51BB"/>
    <w:rsid w:val="002A5561"/>
    <w:rsid w:val="002A5654"/>
    <w:rsid w:val="002A56E4"/>
    <w:rsid w:val="002A5AE2"/>
    <w:rsid w:val="002A5E90"/>
    <w:rsid w:val="002A6182"/>
    <w:rsid w:val="002A6329"/>
    <w:rsid w:val="002A6399"/>
    <w:rsid w:val="002A65A8"/>
    <w:rsid w:val="002A6DAF"/>
    <w:rsid w:val="002A6F4A"/>
    <w:rsid w:val="002A7051"/>
    <w:rsid w:val="002A756B"/>
    <w:rsid w:val="002A7943"/>
    <w:rsid w:val="002A794E"/>
    <w:rsid w:val="002A7AAE"/>
    <w:rsid w:val="002A7BC4"/>
    <w:rsid w:val="002A7D8F"/>
    <w:rsid w:val="002A7FD9"/>
    <w:rsid w:val="002B05A1"/>
    <w:rsid w:val="002B05E0"/>
    <w:rsid w:val="002B0961"/>
    <w:rsid w:val="002B09A4"/>
    <w:rsid w:val="002B0A09"/>
    <w:rsid w:val="002B0DAA"/>
    <w:rsid w:val="002B0E02"/>
    <w:rsid w:val="002B0F4C"/>
    <w:rsid w:val="002B1042"/>
    <w:rsid w:val="002B13E9"/>
    <w:rsid w:val="002B15E1"/>
    <w:rsid w:val="002B165D"/>
    <w:rsid w:val="002B16D1"/>
    <w:rsid w:val="002B19A6"/>
    <w:rsid w:val="002B1AB8"/>
    <w:rsid w:val="002B1C1F"/>
    <w:rsid w:val="002B1CC3"/>
    <w:rsid w:val="002B1F74"/>
    <w:rsid w:val="002B1F93"/>
    <w:rsid w:val="002B2610"/>
    <w:rsid w:val="002B2939"/>
    <w:rsid w:val="002B2A9B"/>
    <w:rsid w:val="002B2C9D"/>
    <w:rsid w:val="002B2E02"/>
    <w:rsid w:val="002B3825"/>
    <w:rsid w:val="002B4194"/>
    <w:rsid w:val="002B431D"/>
    <w:rsid w:val="002B432F"/>
    <w:rsid w:val="002B4BA0"/>
    <w:rsid w:val="002B4EFE"/>
    <w:rsid w:val="002B5288"/>
    <w:rsid w:val="002B53FB"/>
    <w:rsid w:val="002B556D"/>
    <w:rsid w:val="002B5930"/>
    <w:rsid w:val="002B5996"/>
    <w:rsid w:val="002B5DE9"/>
    <w:rsid w:val="002B5FD0"/>
    <w:rsid w:val="002B600B"/>
    <w:rsid w:val="002B60DF"/>
    <w:rsid w:val="002B61FC"/>
    <w:rsid w:val="002B62B3"/>
    <w:rsid w:val="002B66A3"/>
    <w:rsid w:val="002B6754"/>
    <w:rsid w:val="002B67AB"/>
    <w:rsid w:val="002B67BB"/>
    <w:rsid w:val="002B6AF8"/>
    <w:rsid w:val="002B6CCE"/>
    <w:rsid w:val="002B6E9D"/>
    <w:rsid w:val="002B72CD"/>
    <w:rsid w:val="002B7AF4"/>
    <w:rsid w:val="002B7CA3"/>
    <w:rsid w:val="002C0EFD"/>
    <w:rsid w:val="002C10AF"/>
    <w:rsid w:val="002C12D5"/>
    <w:rsid w:val="002C137A"/>
    <w:rsid w:val="002C17FC"/>
    <w:rsid w:val="002C196F"/>
    <w:rsid w:val="002C1C41"/>
    <w:rsid w:val="002C1DC4"/>
    <w:rsid w:val="002C2104"/>
    <w:rsid w:val="002C2109"/>
    <w:rsid w:val="002C2138"/>
    <w:rsid w:val="002C23FD"/>
    <w:rsid w:val="002C2510"/>
    <w:rsid w:val="002C2761"/>
    <w:rsid w:val="002C2775"/>
    <w:rsid w:val="002C27C1"/>
    <w:rsid w:val="002C2EC1"/>
    <w:rsid w:val="002C36E3"/>
    <w:rsid w:val="002C3B78"/>
    <w:rsid w:val="002C3D5C"/>
    <w:rsid w:val="002C3E50"/>
    <w:rsid w:val="002C3F1A"/>
    <w:rsid w:val="002C40F8"/>
    <w:rsid w:val="002C445A"/>
    <w:rsid w:val="002C4677"/>
    <w:rsid w:val="002C46AB"/>
    <w:rsid w:val="002C47D4"/>
    <w:rsid w:val="002C4AA5"/>
    <w:rsid w:val="002C4B81"/>
    <w:rsid w:val="002C4C39"/>
    <w:rsid w:val="002C4E59"/>
    <w:rsid w:val="002C5070"/>
    <w:rsid w:val="002C5099"/>
    <w:rsid w:val="002C549D"/>
    <w:rsid w:val="002C5748"/>
    <w:rsid w:val="002C5889"/>
    <w:rsid w:val="002C596F"/>
    <w:rsid w:val="002C5AD5"/>
    <w:rsid w:val="002C635D"/>
    <w:rsid w:val="002C667D"/>
    <w:rsid w:val="002C696E"/>
    <w:rsid w:val="002C6A16"/>
    <w:rsid w:val="002C6A6B"/>
    <w:rsid w:val="002C6DA9"/>
    <w:rsid w:val="002C70BC"/>
    <w:rsid w:val="002C71CE"/>
    <w:rsid w:val="002C7824"/>
    <w:rsid w:val="002C794C"/>
    <w:rsid w:val="002C7D82"/>
    <w:rsid w:val="002D0008"/>
    <w:rsid w:val="002D0619"/>
    <w:rsid w:val="002D0757"/>
    <w:rsid w:val="002D08F8"/>
    <w:rsid w:val="002D095C"/>
    <w:rsid w:val="002D0AD0"/>
    <w:rsid w:val="002D0DF7"/>
    <w:rsid w:val="002D1047"/>
    <w:rsid w:val="002D128E"/>
    <w:rsid w:val="002D173C"/>
    <w:rsid w:val="002D18E4"/>
    <w:rsid w:val="002D1D06"/>
    <w:rsid w:val="002D1FCC"/>
    <w:rsid w:val="002D2086"/>
    <w:rsid w:val="002D2118"/>
    <w:rsid w:val="002D2232"/>
    <w:rsid w:val="002D228C"/>
    <w:rsid w:val="002D247B"/>
    <w:rsid w:val="002D24BA"/>
    <w:rsid w:val="002D24CD"/>
    <w:rsid w:val="002D2735"/>
    <w:rsid w:val="002D28B5"/>
    <w:rsid w:val="002D2C97"/>
    <w:rsid w:val="002D2D75"/>
    <w:rsid w:val="002D3191"/>
    <w:rsid w:val="002D336E"/>
    <w:rsid w:val="002D3473"/>
    <w:rsid w:val="002D3768"/>
    <w:rsid w:val="002D3905"/>
    <w:rsid w:val="002D3CE1"/>
    <w:rsid w:val="002D3D5C"/>
    <w:rsid w:val="002D427D"/>
    <w:rsid w:val="002D4768"/>
    <w:rsid w:val="002D4D11"/>
    <w:rsid w:val="002D5142"/>
    <w:rsid w:val="002D554A"/>
    <w:rsid w:val="002D5563"/>
    <w:rsid w:val="002D5581"/>
    <w:rsid w:val="002D5616"/>
    <w:rsid w:val="002D5726"/>
    <w:rsid w:val="002D5768"/>
    <w:rsid w:val="002D577C"/>
    <w:rsid w:val="002D5910"/>
    <w:rsid w:val="002D5B3D"/>
    <w:rsid w:val="002D6649"/>
    <w:rsid w:val="002D73E9"/>
    <w:rsid w:val="002D73EA"/>
    <w:rsid w:val="002D740D"/>
    <w:rsid w:val="002D74D3"/>
    <w:rsid w:val="002D7832"/>
    <w:rsid w:val="002D7AE3"/>
    <w:rsid w:val="002D7B82"/>
    <w:rsid w:val="002D7CFB"/>
    <w:rsid w:val="002E0463"/>
    <w:rsid w:val="002E0528"/>
    <w:rsid w:val="002E0881"/>
    <w:rsid w:val="002E0B94"/>
    <w:rsid w:val="002E0C43"/>
    <w:rsid w:val="002E1071"/>
    <w:rsid w:val="002E10A9"/>
    <w:rsid w:val="002E1591"/>
    <w:rsid w:val="002E15B9"/>
    <w:rsid w:val="002E1768"/>
    <w:rsid w:val="002E1800"/>
    <w:rsid w:val="002E1AE6"/>
    <w:rsid w:val="002E1C69"/>
    <w:rsid w:val="002E1D97"/>
    <w:rsid w:val="002E1DF7"/>
    <w:rsid w:val="002E2158"/>
    <w:rsid w:val="002E28E7"/>
    <w:rsid w:val="002E291B"/>
    <w:rsid w:val="002E2C9D"/>
    <w:rsid w:val="002E2E48"/>
    <w:rsid w:val="002E33FE"/>
    <w:rsid w:val="002E383A"/>
    <w:rsid w:val="002E405F"/>
    <w:rsid w:val="002E4442"/>
    <w:rsid w:val="002E4689"/>
    <w:rsid w:val="002E4992"/>
    <w:rsid w:val="002E4DBB"/>
    <w:rsid w:val="002E4F02"/>
    <w:rsid w:val="002E4FDB"/>
    <w:rsid w:val="002E5264"/>
    <w:rsid w:val="002E59AF"/>
    <w:rsid w:val="002E5A73"/>
    <w:rsid w:val="002E5BE8"/>
    <w:rsid w:val="002E5CB4"/>
    <w:rsid w:val="002E5D1F"/>
    <w:rsid w:val="002E6069"/>
    <w:rsid w:val="002E6893"/>
    <w:rsid w:val="002E69BF"/>
    <w:rsid w:val="002E6A03"/>
    <w:rsid w:val="002E6EA6"/>
    <w:rsid w:val="002E6F9B"/>
    <w:rsid w:val="002E7202"/>
    <w:rsid w:val="002E7325"/>
    <w:rsid w:val="002E7622"/>
    <w:rsid w:val="002E7722"/>
    <w:rsid w:val="002E7CF3"/>
    <w:rsid w:val="002E7EA5"/>
    <w:rsid w:val="002E7F2A"/>
    <w:rsid w:val="002F0183"/>
    <w:rsid w:val="002F026A"/>
    <w:rsid w:val="002F07BA"/>
    <w:rsid w:val="002F096A"/>
    <w:rsid w:val="002F0DA9"/>
    <w:rsid w:val="002F0E0C"/>
    <w:rsid w:val="002F1014"/>
    <w:rsid w:val="002F1050"/>
    <w:rsid w:val="002F1246"/>
    <w:rsid w:val="002F164C"/>
    <w:rsid w:val="002F181F"/>
    <w:rsid w:val="002F1B83"/>
    <w:rsid w:val="002F1E3B"/>
    <w:rsid w:val="002F1F34"/>
    <w:rsid w:val="002F260C"/>
    <w:rsid w:val="002F2739"/>
    <w:rsid w:val="002F275D"/>
    <w:rsid w:val="002F27D6"/>
    <w:rsid w:val="002F2A0A"/>
    <w:rsid w:val="002F2D0B"/>
    <w:rsid w:val="002F2D31"/>
    <w:rsid w:val="002F2E99"/>
    <w:rsid w:val="002F3044"/>
    <w:rsid w:val="002F3180"/>
    <w:rsid w:val="002F3998"/>
    <w:rsid w:val="002F3C72"/>
    <w:rsid w:val="002F49D8"/>
    <w:rsid w:val="002F4A0A"/>
    <w:rsid w:val="002F4D1E"/>
    <w:rsid w:val="002F4F0E"/>
    <w:rsid w:val="002F525B"/>
    <w:rsid w:val="002F560B"/>
    <w:rsid w:val="002F56E8"/>
    <w:rsid w:val="002F592B"/>
    <w:rsid w:val="002F5A47"/>
    <w:rsid w:val="002F5C4F"/>
    <w:rsid w:val="002F5E39"/>
    <w:rsid w:val="002F6357"/>
    <w:rsid w:val="002F63F2"/>
    <w:rsid w:val="002F643C"/>
    <w:rsid w:val="002F6483"/>
    <w:rsid w:val="002F6868"/>
    <w:rsid w:val="002F6B8D"/>
    <w:rsid w:val="002F6C16"/>
    <w:rsid w:val="002F6EA5"/>
    <w:rsid w:val="002F705D"/>
    <w:rsid w:val="002F71C0"/>
    <w:rsid w:val="002F74F1"/>
    <w:rsid w:val="002F75E3"/>
    <w:rsid w:val="002F7824"/>
    <w:rsid w:val="002F7C03"/>
    <w:rsid w:val="002F7E4A"/>
    <w:rsid w:val="003000AF"/>
    <w:rsid w:val="003002AF"/>
    <w:rsid w:val="003002FC"/>
    <w:rsid w:val="00300A09"/>
    <w:rsid w:val="00301017"/>
    <w:rsid w:val="003010AD"/>
    <w:rsid w:val="003013C3"/>
    <w:rsid w:val="0030142F"/>
    <w:rsid w:val="0030155F"/>
    <w:rsid w:val="003015F1"/>
    <w:rsid w:val="00301F4F"/>
    <w:rsid w:val="003022FE"/>
    <w:rsid w:val="00302389"/>
    <w:rsid w:val="003023B0"/>
    <w:rsid w:val="00302428"/>
    <w:rsid w:val="003026FA"/>
    <w:rsid w:val="00302C4F"/>
    <w:rsid w:val="00302F4F"/>
    <w:rsid w:val="003031A5"/>
    <w:rsid w:val="0030338D"/>
    <w:rsid w:val="003035A7"/>
    <w:rsid w:val="00303BC5"/>
    <w:rsid w:val="00303DCF"/>
    <w:rsid w:val="00303F0C"/>
    <w:rsid w:val="00304447"/>
    <w:rsid w:val="00304481"/>
    <w:rsid w:val="00304536"/>
    <w:rsid w:val="0030478E"/>
    <w:rsid w:val="003048F9"/>
    <w:rsid w:val="00304C9C"/>
    <w:rsid w:val="003053F0"/>
    <w:rsid w:val="003055C3"/>
    <w:rsid w:val="003056E9"/>
    <w:rsid w:val="003057DA"/>
    <w:rsid w:val="0030587B"/>
    <w:rsid w:val="0030599A"/>
    <w:rsid w:val="00305F89"/>
    <w:rsid w:val="00305FE0"/>
    <w:rsid w:val="00306148"/>
    <w:rsid w:val="003062A6"/>
    <w:rsid w:val="003062FB"/>
    <w:rsid w:val="00306D98"/>
    <w:rsid w:val="00306F75"/>
    <w:rsid w:val="00307116"/>
    <w:rsid w:val="00307150"/>
    <w:rsid w:val="00307406"/>
    <w:rsid w:val="0030751E"/>
    <w:rsid w:val="0030786C"/>
    <w:rsid w:val="0030791C"/>
    <w:rsid w:val="00307976"/>
    <w:rsid w:val="003079FB"/>
    <w:rsid w:val="00307AFC"/>
    <w:rsid w:val="003100FE"/>
    <w:rsid w:val="0031031A"/>
    <w:rsid w:val="003103C7"/>
    <w:rsid w:val="00310416"/>
    <w:rsid w:val="003105CF"/>
    <w:rsid w:val="003106E8"/>
    <w:rsid w:val="00310981"/>
    <w:rsid w:val="0031151D"/>
    <w:rsid w:val="003116F0"/>
    <w:rsid w:val="00311756"/>
    <w:rsid w:val="003117F3"/>
    <w:rsid w:val="00311B3B"/>
    <w:rsid w:val="00311D9B"/>
    <w:rsid w:val="00312057"/>
    <w:rsid w:val="003122DB"/>
    <w:rsid w:val="0031232D"/>
    <w:rsid w:val="00312441"/>
    <w:rsid w:val="003124D9"/>
    <w:rsid w:val="00312594"/>
    <w:rsid w:val="0031265A"/>
    <w:rsid w:val="003130ED"/>
    <w:rsid w:val="003132D0"/>
    <w:rsid w:val="003139C9"/>
    <w:rsid w:val="00313A85"/>
    <w:rsid w:val="00313C43"/>
    <w:rsid w:val="00314349"/>
    <w:rsid w:val="00314555"/>
    <w:rsid w:val="003146DC"/>
    <w:rsid w:val="0031499F"/>
    <w:rsid w:val="00314B79"/>
    <w:rsid w:val="00314EED"/>
    <w:rsid w:val="00314FC4"/>
    <w:rsid w:val="00315117"/>
    <w:rsid w:val="003151B7"/>
    <w:rsid w:val="00315209"/>
    <w:rsid w:val="003152C2"/>
    <w:rsid w:val="00315498"/>
    <w:rsid w:val="003155B4"/>
    <w:rsid w:val="0031574F"/>
    <w:rsid w:val="00315C0F"/>
    <w:rsid w:val="00315E10"/>
    <w:rsid w:val="00316044"/>
    <w:rsid w:val="00316474"/>
    <w:rsid w:val="003164BE"/>
    <w:rsid w:val="00316614"/>
    <w:rsid w:val="00317094"/>
    <w:rsid w:val="00317247"/>
    <w:rsid w:val="003174EB"/>
    <w:rsid w:val="00317537"/>
    <w:rsid w:val="00317776"/>
    <w:rsid w:val="00317A4B"/>
    <w:rsid w:val="00317A6C"/>
    <w:rsid w:val="00317CC4"/>
    <w:rsid w:val="003200AE"/>
    <w:rsid w:val="0032041F"/>
    <w:rsid w:val="00320B48"/>
    <w:rsid w:val="00321189"/>
    <w:rsid w:val="00321265"/>
    <w:rsid w:val="003212D4"/>
    <w:rsid w:val="00321C15"/>
    <w:rsid w:val="00321C56"/>
    <w:rsid w:val="00321D21"/>
    <w:rsid w:val="00321DC4"/>
    <w:rsid w:val="00322107"/>
    <w:rsid w:val="00322162"/>
    <w:rsid w:val="00322355"/>
    <w:rsid w:val="00322846"/>
    <w:rsid w:val="00322AB1"/>
    <w:rsid w:val="0032311C"/>
    <w:rsid w:val="003231A2"/>
    <w:rsid w:val="003231B8"/>
    <w:rsid w:val="003233CF"/>
    <w:rsid w:val="0032366B"/>
    <w:rsid w:val="00323818"/>
    <w:rsid w:val="00323CD1"/>
    <w:rsid w:val="00323F0F"/>
    <w:rsid w:val="00324550"/>
    <w:rsid w:val="00324588"/>
    <w:rsid w:val="003246BC"/>
    <w:rsid w:val="0032484D"/>
    <w:rsid w:val="00324978"/>
    <w:rsid w:val="00324C4C"/>
    <w:rsid w:val="003250AE"/>
    <w:rsid w:val="003253A0"/>
    <w:rsid w:val="003254B1"/>
    <w:rsid w:val="00325582"/>
    <w:rsid w:val="003255C7"/>
    <w:rsid w:val="00325743"/>
    <w:rsid w:val="00325D15"/>
    <w:rsid w:val="00326130"/>
    <w:rsid w:val="003265D9"/>
    <w:rsid w:val="00326DA7"/>
    <w:rsid w:val="003270A6"/>
    <w:rsid w:val="003270E4"/>
    <w:rsid w:val="003270EB"/>
    <w:rsid w:val="003271B6"/>
    <w:rsid w:val="00327220"/>
    <w:rsid w:val="0032734C"/>
    <w:rsid w:val="00327403"/>
    <w:rsid w:val="00327507"/>
    <w:rsid w:val="00327675"/>
    <w:rsid w:val="00327C48"/>
    <w:rsid w:val="00327C60"/>
    <w:rsid w:val="00327FEB"/>
    <w:rsid w:val="00330291"/>
    <w:rsid w:val="0033047B"/>
    <w:rsid w:val="00330945"/>
    <w:rsid w:val="00330DAA"/>
    <w:rsid w:val="00330EE6"/>
    <w:rsid w:val="00330F5C"/>
    <w:rsid w:val="00330FC4"/>
    <w:rsid w:val="003314DD"/>
    <w:rsid w:val="00331B30"/>
    <w:rsid w:val="00331CE4"/>
    <w:rsid w:val="00331D14"/>
    <w:rsid w:val="00332073"/>
    <w:rsid w:val="00332288"/>
    <w:rsid w:val="00332482"/>
    <w:rsid w:val="003328C8"/>
    <w:rsid w:val="00332D39"/>
    <w:rsid w:val="00332D8E"/>
    <w:rsid w:val="00332DDE"/>
    <w:rsid w:val="00332E65"/>
    <w:rsid w:val="00332F73"/>
    <w:rsid w:val="0033323C"/>
    <w:rsid w:val="003335C3"/>
    <w:rsid w:val="00333D20"/>
    <w:rsid w:val="00333E7E"/>
    <w:rsid w:val="003346E5"/>
    <w:rsid w:val="00334B66"/>
    <w:rsid w:val="003350FB"/>
    <w:rsid w:val="00335413"/>
    <w:rsid w:val="0033562B"/>
    <w:rsid w:val="0033593D"/>
    <w:rsid w:val="00335AB9"/>
    <w:rsid w:val="00335D44"/>
    <w:rsid w:val="00335E67"/>
    <w:rsid w:val="00335F3B"/>
    <w:rsid w:val="003362A4"/>
    <w:rsid w:val="0033666A"/>
    <w:rsid w:val="003366C9"/>
    <w:rsid w:val="00336A57"/>
    <w:rsid w:val="00336BD7"/>
    <w:rsid w:val="00336BD8"/>
    <w:rsid w:val="003371B0"/>
    <w:rsid w:val="0033742A"/>
    <w:rsid w:val="00337EFA"/>
    <w:rsid w:val="00340090"/>
    <w:rsid w:val="0034025A"/>
    <w:rsid w:val="00340364"/>
    <w:rsid w:val="0034053F"/>
    <w:rsid w:val="0034062E"/>
    <w:rsid w:val="003409A2"/>
    <w:rsid w:val="00340A32"/>
    <w:rsid w:val="00340BC6"/>
    <w:rsid w:val="00340C1D"/>
    <w:rsid w:val="00340DF1"/>
    <w:rsid w:val="0034162F"/>
    <w:rsid w:val="00341A85"/>
    <w:rsid w:val="00341DE2"/>
    <w:rsid w:val="003424AD"/>
    <w:rsid w:val="003426DA"/>
    <w:rsid w:val="003427A2"/>
    <w:rsid w:val="0034316F"/>
    <w:rsid w:val="003432D5"/>
    <w:rsid w:val="003438AA"/>
    <w:rsid w:val="00343948"/>
    <w:rsid w:val="0034394C"/>
    <w:rsid w:val="00343B31"/>
    <w:rsid w:val="00343CD2"/>
    <w:rsid w:val="00343D0C"/>
    <w:rsid w:val="00344015"/>
    <w:rsid w:val="003440CA"/>
    <w:rsid w:val="003442BB"/>
    <w:rsid w:val="0034442F"/>
    <w:rsid w:val="00344EC3"/>
    <w:rsid w:val="00344F3E"/>
    <w:rsid w:val="00344F92"/>
    <w:rsid w:val="00345107"/>
    <w:rsid w:val="003452A7"/>
    <w:rsid w:val="0034550D"/>
    <w:rsid w:val="003455DF"/>
    <w:rsid w:val="00345CFB"/>
    <w:rsid w:val="00345F99"/>
    <w:rsid w:val="00345FA7"/>
    <w:rsid w:val="00345FE2"/>
    <w:rsid w:val="0034624A"/>
    <w:rsid w:val="00346BCD"/>
    <w:rsid w:val="00346E35"/>
    <w:rsid w:val="00347017"/>
    <w:rsid w:val="003477AC"/>
    <w:rsid w:val="00347D27"/>
    <w:rsid w:val="00347F9F"/>
    <w:rsid w:val="0035023C"/>
    <w:rsid w:val="0035035D"/>
    <w:rsid w:val="0035073E"/>
    <w:rsid w:val="00350D03"/>
    <w:rsid w:val="00350DC1"/>
    <w:rsid w:val="00351191"/>
    <w:rsid w:val="0035143C"/>
    <w:rsid w:val="003517F9"/>
    <w:rsid w:val="00351821"/>
    <w:rsid w:val="003518EF"/>
    <w:rsid w:val="003519A9"/>
    <w:rsid w:val="00351BA9"/>
    <w:rsid w:val="00351C8F"/>
    <w:rsid w:val="00351CA1"/>
    <w:rsid w:val="00352135"/>
    <w:rsid w:val="0035261D"/>
    <w:rsid w:val="00352AE7"/>
    <w:rsid w:val="00352B31"/>
    <w:rsid w:val="00352E98"/>
    <w:rsid w:val="00353007"/>
    <w:rsid w:val="00353148"/>
    <w:rsid w:val="00353BE9"/>
    <w:rsid w:val="00353C07"/>
    <w:rsid w:val="00353CA9"/>
    <w:rsid w:val="00353D32"/>
    <w:rsid w:val="00353E78"/>
    <w:rsid w:val="00354118"/>
    <w:rsid w:val="003544D9"/>
    <w:rsid w:val="003547C8"/>
    <w:rsid w:val="00354AA1"/>
    <w:rsid w:val="00354D5B"/>
    <w:rsid w:val="00354F64"/>
    <w:rsid w:val="00354FEA"/>
    <w:rsid w:val="00355066"/>
    <w:rsid w:val="003551CE"/>
    <w:rsid w:val="0035530E"/>
    <w:rsid w:val="003554C6"/>
    <w:rsid w:val="00355948"/>
    <w:rsid w:val="00355BC7"/>
    <w:rsid w:val="00355D8C"/>
    <w:rsid w:val="00355DA3"/>
    <w:rsid w:val="00356010"/>
    <w:rsid w:val="003560BC"/>
    <w:rsid w:val="003561F7"/>
    <w:rsid w:val="0035620E"/>
    <w:rsid w:val="0035621E"/>
    <w:rsid w:val="00356315"/>
    <w:rsid w:val="0035633E"/>
    <w:rsid w:val="003564A2"/>
    <w:rsid w:val="00356B1B"/>
    <w:rsid w:val="00356B85"/>
    <w:rsid w:val="00357125"/>
    <w:rsid w:val="003573C3"/>
    <w:rsid w:val="003574B5"/>
    <w:rsid w:val="003575BE"/>
    <w:rsid w:val="003576F4"/>
    <w:rsid w:val="003577A6"/>
    <w:rsid w:val="0035792F"/>
    <w:rsid w:val="003579CB"/>
    <w:rsid w:val="00360345"/>
    <w:rsid w:val="003604C7"/>
    <w:rsid w:val="00360510"/>
    <w:rsid w:val="00360553"/>
    <w:rsid w:val="00360637"/>
    <w:rsid w:val="00360689"/>
    <w:rsid w:val="00360783"/>
    <w:rsid w:val="0036090F"/>
    <w:rsid w:val="003609E5"/>
    <w:rsid w:val="00360B1A"/>
    <w:rsid w:val="00360E4F"/>
    <w:rsid w:val="00361635"/>
    <w:rsid w:val="00361A05"/>
    <w:rsid w:val="00361CFE"/>
    <w:rsid w:val="00362043"/>
    <w:rsid w:val="00362450"/>
    <w:rsid w:val="003624C4"/>
    <w:rsid w:val="003628A0"/>
    <w:rsid w:val="00362B58"/>
    <w:rsid w:val="003632FB"/>
    <w:rsid w:val="003634E1"/>
    <w:rsid w:val="0036398B"/>
    <w:rsid w:val="003639B5"/>
    <w:rsid w:val="00363B00"/>
    <w:rsid w:val="003640FE"/>
    <w:rsid w:val="00364196"/>
    <w:rsid w:val="00364207"/>
    <w:rsid w:val="003642A5"/>
    <w:rsid w:val="003642AD"/>
    <w:rsid w:val="003644FC"/>
    <w:rsid w:val="003646B7"/>
    <w:rsid w:val="0036486C"/>
    <w:rsid w:val="00364992"/>
    <w:rsid w:val="00364B7C"/>
    <w:rsid w:val="0036535E"/>
    <w:rsid w:val="003654AC"/>
    <w:rsid w:val="00365702"/>
    <w:rsid w:val="003666B3"/>
    <w:rsid w:val="003666C9"/>
    <w:rsid w:val="00366D08"/>
    <w:rsid w:val="00366ECD"/>
    <w:rsid w:val="00366ED6"/>
    <w:rsid w:val="00367528"/>
    <w:rsid w:val="00367E1E"/>
    <w:rsid w:val="0037053E"/>
    <w:rsid w:val="00370782"/>
    <w:rsid w:val="00370906"/>
    <w:rsid w:val="00370FF7"/>
    <w:rsid w:val="0037103B"/>
    <w:rsid w:val="003710CF"/>
    <w:rsid w:val="00371480"/>
    <w:rsid w:val="00371793"/>
    <w:rsid w:val="00371894"/>
    <w:rsid w:val="00371D41"/>
    <w:rsid w:val="00371EFD"/>
    <w:rsid w:val="00372107"/>
    <w:rsid w:val="00372560"/>
    <w:rsid w:val="00372754"/>
    <w:rsid w:val="00372A5A"/>
    <w:rsid w:val="00372B9B"/>
    <w:rsid w:val="00372BED"/>
    <w:rsid w:val="00372C4E"/>
    <w:rsid w:val="00372E74"/>
    <w:rsid w:val="003730D7"/>
    <w:rsid w:val="003732FF"/>
    <w:rsid w:val="00373390"/>
    <w:rsid w:val="0037358A"/>
    <w:rsid w:val="003739A4"/>
    <w:rsid w:val="00373C62"/>
    <w:rsid w:val="0037401D"/>
    <w:rsid w:val="003745BE"/>
    <w:rsid w:val="0037493F"/>
    <w:rsid w:val="00374D25"/>
    <w:rsid w:val="00374D78"/>
    <w:rsid w:val="00374E60"/>
    <w:rsid w:val="003750F6"/>
    <w:rsid w:val="0037560A"/>
    <w:rsid w:val="00375C1B"/>
    <w:rsid w:val="003760FC"/>
    <w:rsid w:val="00376462"/>
    <w:rsid w:val="003771DC"/>
    <w:rsid w:val="003773BD"/>
    <w:rsid w:val="00377574"/>
    <w:rsid w:val="00377762"/>
    <w:rsid w:val="00377922"/>
    <w:rsid w:val="00377E26"/>
    <w:rsid w:val="00377F42"/>
    <w:rsid w:val="003801F7"/>
    <w:rsid w:val="0038028B"/>
    <w:rsid w:val="00380335"/>
    <w:rsid w:val="00380446"/>
    <w:rsid w:val="003807DE"/>
    <w:rsid w:val="0038094B"/>
    <w:rsid w:val="00380D61"/>
    <w:rsid w:val="00380F1E"/>
    <w:rsid w:val="003810E6"/>
    <w:rsid w:val="0038111F"/>
    <w:rsid w:val="003811AC"/>
    <w:rsid w:val="003811BD"/>
    <w:rsid w:val="00381AD0"/>
    <w:rsid w:val="00381E09"/>
    <w:rsid w:val="003823D2"/>
    <w:rsid w:val="0038253A"/>
    <w:rsid w:val="00382952"/>
    <w:rsid w:val="00382E00"/>
    <w:rsid w:val="00383045"/>
    <w:rsid w:val="00383406"/>
    <w:rsid w:val="0038348D"/>
    <w:rsid w:val="0038364F"/>
    <w:rsid w:val="0038365C"/>
    <w:rsid w:val="0038369B"/>
    <w:rsid w:val="003836BF"/>
    <w:rsid w:val="00383755"/>
    <w:rsid w:val="00383B78"/>
    <w:rsid w:val="00383BF3"/>
    <w:rsid w:val="00383C7C"/>
    <w:rsid w:val="00384392"/>
    <w:rsid w:val="003844E8"/>
    <w:rsid w:val="0038468C"/>
    <w:rsid w:val="0038493A"/>
    <w:rsid w:val="00384D06"/>
    <w:rsid w:val="00384D8C"/>
    <w:rsid w:val="00384F4D"/>
    <w:rsid w:val="00385086"/>
    <w:rsid w:val="003854A6"/>
    <w:rsid w:val="00385A9D"/>
    <w:rsid w:val="00385BDD"/>
    <w:rsid w:val="00385C42"/>
    <w:rsid w:val="00386127"/>
    <w:rsid w:val="0038629A"/>
    <w:rsid w:val="00386409"/>
    <w:rsid w:val="003869CC"/>
    <w:rsid w:val="00386E36"/>
    <w:rsid w:val="00387121"/>
    <w:rsid w:val="0038769E"/>
    <w:rsid w:val="00387B85"/>
    <w:rsid w:val="00387E1C"/>
    <w:rsid w:val="00387FE6"/>
    <w:rsid w:val="003900A0"/>
    <w:rsid w:val="0039024C"/>
    <w:rsid w:val="0039029A"/>
    <w:rsid w:val="003902B1"/>
    <w:rsid w:val="00390419"/>
    <w:rsid w:val="0039043B"/>
    <w:rsid w:val="0039051B"/>
    <w:rsid w:val="003906F6"/>
    <w:rsid w:val="003907B1"/>
    <w:rsid w:val="00390A11"/>
    <w:rsid w:val="00390C78"/>
    <w:rsid w:val="00390DBC"/>
    <w:rsid w:val="00390E4D"/>
    <w:rsid w:val="00390E95"/>
    <w:rsid w:val="003912F4"/>
    <w:rsid w:val="003915B3"/>
    <w:rsid w:val="003915BC"/>
    <w:rsid w:val="0039179C"/>
    <w:rsid w:val="00391A21"/>
    <w:rsid w:val="00391AF8"/>
    <w:rsid w:val="00391AFA"/>
    <w:rsid w:val="00391BAC"/>
    <w:rsid w:val="00391C70"/>
    <w:rsid w:val="00391DAB"/>
    <w:rsid w:val="00391E08"/>
    <w:rsid w:val="00391ECF"/>
    <w:rsid w:val="00391F3E"/>
    <w:rsid w:val="00392278"/>
    <w:rsid w:val="00392579"/>
    <w:rsid w:val="00392C45"/>
    <w:rsid w:val="00392D00"/>
    <w:rsid w:val="00392D33"/>
    <w:rsid w:val="00392DBC"/>
    <w:rsid w:val="00393021"/>
    <w:rsid w:val="003931F5"/>
    <w:rsid w:val="00393484"/>
    <w:rsid w:val="00393668"/>
    <w:rsid w:val="00393D10"/>
    <w:rsid w:val="00394439"/>
    <w:rsid w:val="0039497A"/>
    <w:rsid w:val="003949D3"/>
    <w:rsid w:val="00394E5D"/>
    <w:rsid w:val="003950AC"/>
    <w:rsid w:val="0039516F"/>
    <w:rsid w:val="0039555A"/>
    <w:rsid w:val="003956B9"/>
    <w:rsid w:val="00395EE2"/>
    <w:rsid w:val="00395FAE"/>
    <w:rsid w:val="00396896"/>
    <w:rsid w:val="003968D9"/>
    <w:rsid w:val="00396CDA"/>
    <w:rsid w:val="00396CE8"/>
    <w:rsid w:val="00396F1A"/>
    <w:rsid w:val="00396FD0"/>
    <w:rsid w:val="003972E3"/>
    <w:rsid w:val="00397433"/>
    <w:rsid w:val="00397446"/>
    <w:rsid w:val="00397921"/>
    <w:rsid w:val="00397946"/>
    <w:rsid w:val="00397A95"/>
    <w:rsid w:val="00397B1B"/>
    <w:rsid w:val="00397DF9"/>
    <w:rsid w:val="00397E8E"/>
    <w:rsid w:val="003A03FE"/>
    <w:rsid w:val="003A0479"/>
    <w:rsid w:val="003A0807"/>
    <w:rsid w:val="003A0897"/>
    <w:rsid w:val="003A099C"/>
    <w:rsid w:val="003A0BC5"/>
    <w:rsid w:val="003A0EFF"/>
    <w:rsid w:val="003A1019"/>
    <w:rsid w:val="003A1317"/>
    <w:rsid w:val="003A15E4"/>
    <w:rsid w:val="003A1A7A"/>
    <w:rsid w:val="003A1A97"/>
    <w:rsid w:val="003A1CE2"/>
    <w:rsid w:val="003A1F9F"/>
    <w:rsid w:val="003A21C6"/>
    <w:rsid w:val="003A2232"/>
    <w:rsid w:val="003A22F9"/>
    <w:rsid w:val="003A2353"/>
    <w:rsid w:val="003A2392"/>
    <w:rsid w:val="003A253B"/>
    <w:rsid w:val="003A257C"/>
    <w:rsid w:val="003A2665"/>
    <w:rsid w:val="003A2831"/>
    <w:rsid w:val="003A2893"/>
    <w:rsid w:val="003A28E9"/>
    <w:rsid w:val="003A2AC5"/>
    <w:rsid w:val="003A2F08"/>
    <w:rsid w:val="003A2FB4"/>
    <w:rsid w:val="003A31EE"/>
    <w:rsid w:val="003A3512"/>
    <w:rsid w:val="003A3A27"/>
    <w:rsid w:val="003A3C78"/>
    <w:rsid w:val="003A3CB6"/>
    <w:rsid w:val="003A3DA7"/>
    <w:rsid w:val="003A3ED1"/>
    <w:rsid w:val="003A411D"/>
    <w:rsid w:val="003A43A0"/>
    <w:rsid w:val="003A44DB"/>
    <w:rsid w:val="003A4893"/>
    <w:rsid w:val="003A4C14"/>
    <w:rsid w:val="003A51D2"/>
    <w:rsid w:val="003A52A9"/>
    <w:rsid w:val="003A5310"/>
    <w:rsid w:val="003A53F0"/>
    <w:rsid w:val="003A54FF"/>
    <w:rsid w:val="003A5608"/>
    <w:rsid w:val="003A5868"/>
    <w:rsid w:val="003A58C8"/>
    <w:rsid w:val="003A6139"/>
    <w:rsid w:val="003A62FE"/>
    <w:rsid w:val="003A67E2"/>
    <w:rsid w:val="003A6B8B"/>
    <w:rsid w:val="003A6DEB"/>
    <w:rsid w:val="003A708C"/>
    <w:rsid w:val="003A7342"/>
    <w:rsid w:val="003A744A"/>
    <w:rsid w:val="003A765C"/>
    <w:rsid w:val="003B0021"/>
    <w:rsid w:val="003B057F"/>
    <w:rsid w:val="003B06E9"/>
    <w:rsid w:val="003B07D1"/>
    <w:rsid w:val="003B07EC"/>
    <w:rsid w:val="003B0B80"/>
    <w:rsid w:val="003B0BAD"/>
    <w:rsid w:val="003B0BC9"/>
    <w:rsid w:val="003B0D92"/>
    <w:rsid w:val="003B0F35"/>
    <w:rsid w:val="003B1328"/>
    <w:rsid w:val="003B1711"/>
    <w:rsid w:val="003B175C"/>
    <w:rsid w:val="003B1BCB"/>
    <w:rsid w:val="003B1BEE"/>
    <w:rsid w:val="003B2144"/>
    <w:rsid w:val="003B2171"/>
    <w:rsid w:val="003B22C4"/>
    <w:rsid w:val="003B2558"/>
    <w:rsid w:val="003B25EA"/>
    <w:rsid w:val="003B2774"/>
    <w:rsid w:val="003B2840"/>
    <w:rsid w:val="003B2C15"/>
    <w:rsid w:val="003B2DDD"/>
    <w:rsid w:val="003B2F12"/>
    <w:rsid w:val="003B384E"/>
    <w:rsid w:val="003B38EC"/>
    <w:rsid w:val="003B3971"/>
    <w:rsid w:val="003B397F"/>
    <w:rsid w:val="003B3C2E"/>
    <w:rsid w:val="003B3D21"/>
    <w:rsid w:val="003B3DC7"/>
    <w:rsid w:val="003B3E15"/>
    <w:rsid w:val="003B3FC0"/>
    <w:rsid w:val="003B43FD"/>
    <w:rsid w:val="003B47BC"/>
    <w:rsid w:val="003B483E"/>
    <w:rsid w:val="003B48E6"/>
    <w:rsid w:val="003B5061"/>
    <w:rsid w:val="003B51AF"/>
    <w:rsid w:val="003B530C"/>
    <w:rsid w:val="003B5340"/>
    <w:rsid w:val="003B55D1"/>
    <w:rsid w:val="003B5737"/>
    <w:rsid w:val="003B58B2"/>
    <w:rsid w:val="003B5B61"/>
    <w:rsid w:val="003B5DBE"/>
    <w:rsid w:val="003B62BF"/>
    <w:rsid w:val="003B6B04"/>
    <w:rsid w:val="003B6CBC"/>
    <w:rsid w:val="003B6F61"/>
    <w:rsid w:val="003B72C5"/>
    <w:rsid w:val="003B77D4"/>
    <w:rsid w:val="003B78FB"/>
    <w:rsid w:val="003C0820"/>
    <w:rsid w:val="003C0904"/>
    <w:rsid w:val="003C097D"/>
    <w:rsid w:val="003C0CDA"/>
    <w:rsid w:val="003C11EC"/>
    <w:rsid w:val="003C139A"/>
    <w:rsid w:val="003C13F6"/>
    <w:rsid w:val="003C1457"/>
    <w:rsid w:val="003C14D7"/>
    <w:rsid w:val="003C154C"/>
    <w:rsid w:val="003C1654"/>
    <w:rsid w:val="003C1ABB"/>
    <w:rsid w:val="003C1AC8"/>
    <w:rsid w:val="003C2287"/>
    <w:rsid w:val="003C22CE"/>
    <w:rsid w:val="003C2300"/>
    <w:rsid w:val="003C2343"/>
    <w:rsid w:val="003C23BD"/>
    <w:rsid w:val="003C266D"/>
    <w:rsid w:val="003C28F6"/>
    <w:rsid w:val="003C2993"/>
    <w:rsid w:val="003C29CB"/>
    <w:rsid w:val="003C29E2"/>
    <w:rsid w:val="003C2D6B"/>
    <w:rsid w:val="003C2E82"/>
    <w:rsid w:val="003C30BB"/>
    <w:rsid w:val="003C3137"/>
    <w:rsid w:val="003C3845"/>
    <w:rsid w:val="003C3DC5"/>
    <w:rsid w:val="003C3E7E"/>
    <w:rsid w:val="003C49AB"/>
    <w:rsid w:val="003C49C5"/>
    <w:rsid w:val="003C5023"/>
    <w:rsid w:val="003C5542"/>
    <w:rsid w:val="003C555B"/>
    <w:rsid w:val="003C57DE"/>
    <w:rsid w:val="003C5867"/>
    <w:rsid w:val="003C5A81"/>
    <w:rsid w:val="003C5ADD"/>
    <w:rsid w:val="003C5F46"/>
    <w:rsid w:val="003C607B"/>
    <w:rsid w:val="003C6409"/>
    <w:rsid w:val="003C64AF"/>
    <w:rsid w:val="003C6928"/>
    <w:rsid w:val="003C6A43"/>
    <w:rsid w:val="003C6D11"/>
    <w:rsid w:val="003C6D2F"/>
    <w:rsid w:val="003C6D31"/>
    <w:rsid w:val="003C7008"/>
    <w:rsid w:val="003C723D"/>
    <w:rsid w:val="003C7608"/>
    <w:rsid w:val="003C7866"/>
    <w:rsid w:val="003C7C15"/>
    <w:rsid w:val="003C7CD4"/>
    <w:rsid w:val="003C7D19"/>
    <w:rsid w:val="003C7D2F"/>
    <w:rsid w:val="003C7F5A"/>
    <w:rsid w:val="003D02FF"/>
    <w:rsid w:val="003D050D"/>
    <w:rsid w:val="003D0878"/>
    <w:rsid w:val="003D088C"/>
    <w:rsid w:val="003D0C5A"/>
    <w:rsid w:val="003D0F46"/>
    <w:rsid w:val="003D11DE"/>
    <w:rsid w:val="003D1464"/>
    <w:rsid w:val="003D1828"/>
    <w:rsid w:val="003D1D3C"/>
    <w:rsid w:val="003D1DE4"/>
    <w:rsid w:val="003D1E9A"/>
    <w:rsid w:val="003D1FEE"/>
    <w:rsid w:val="003D227A"/>
    <w:rsid w:val="003D227D"/>
    <w:rsid w:val="003D23B8"/>
    <w:rsid w:val="003D2422"/>
    <w:rsid w:val="003D282B"/>
    <w:rsid w:val="003D2DF7"/>
    <w:rsid w:val="003D3148"/>
    <w:rsid w:val="003D3256"/>
    <w:rsid w:val="003D331A"/>
    <w:rsid w:val="003D377E"/>
    <w:rsid w:val="003D39A1"/>
    <w:rsid w:val="003D3C0C"/>
    <w:rsid w:val="003D3D9D"/>
    <w:rsid w:val="003D3FBF"/>
    <w:rsid w:val="003D420D"/>
    <w:rsid w:val="003D4298"/>
    <w:rsid w:val="003D4452"/>
    <w:rsid w:val="003D4570"/>
    <w:rsid w:val="003D4A30"/>
    <w:rsid w:val="003D4C40"/>
    <w:rsid w:val="003D4D35"/>
    <w:rsid w:val="003D5276"/>
    <w:rsid w:val="003D54F6"/>
    <w:rsid w:val="003D5B8D"/>
    <w:rsid w:val="003D5BB1"/>
    <w:rsid w:val="003D5F1A"/>
    <w:rsid w:val="003D608C"/>
    <w:rsid w:val="003D60D5"/>
    <w:rsid w:val="003D6491"/>
    <w:rsid w:val="003D668C"/>
    <w:rsid w:val="003D6E5F"/>
    <w:rsid w:val="003D72C6"/>
    <w:rsid w:val="003D72CA"/>
    <w:rsid w:val="003D732F"/>
    <w:rsid w:val="003D7372"/>
    <w:rsid w:val="003D7452"/>
    <w:rsid w:val="003D77C7"/>
    <w:rsid w:val="003D79BB"/>
    <w:rsid w:val="003D7C98"/>
    <w:rsid w:val="003D7D9D"/>
    <w:rsid w:val="003D7E77"/>
    <w:rsid w:val="003E0102"/>
    <w:rsid w:val="003E0346"/>
    <w:rsid w:val="003E0543"/>
    <w:rsid w:val="003E07A8"/>
    <w:rsid w:val="003E0AB0"/>
    <w:rsid w:val="003E0ACE"/>
    <w:rsid w:val="003E135F"/>
    <w:rsid w:val="003E1A3A"/>
    <w:rsid w:val="003E1B32"/>
    <w:rsid w:val="003E20FC"/>
    <w:rsid w:val="003E22C2"/>
    <w:rsid w:val="003E25FB"/>
    <w:rsid w:val="003E2684"/>
    <w:rsid w:val="003E3140"/>
    <w:rsid w:val="003E31C9"/>
    <w:rsid w:val="003E36A9"/>
    <w:rsid w:val="003E36D5"/>
    <w:rsid w:val="003E3972"/>
    <w:rsid w:val="003E3AD1"/>
    <w:rsid w:val="003E3C0B"/>
    <w:rsid w:val="003E3C74"/>
    <w:rsid w:val="003E3CA2"/>
    <w:rsid w:val="003E3D42"/>
    <w:rsid w:val="003E3E25"/>
    <w:rsid w:val="003E3EEB"/>
    <w:rsid w:val="003E4097"/>
    <w:rsid w:val="003E4558"/>
    <w:rsid w:val="003E47F4"/>
    <w:rsid w:val="003E47F8"/>
    <w:rsid w:val="003E4AA3"/>
    <w:rsid w:val="003E4DA0"/>
    <w:rsid w:val="003E51FA"/>
    <w:rsid w:val="003E5354"/>
    <w:rsid w:val="003E543B"/>
    <w:rsid w:val="003E5448"/>
    <w:rsid w:val="003E5603"/>
    <w:rsid w:val="003E581E"/>
    <w:rsid w:val="003E58E2"/>
    <w:rsid w:val="003E5C22"/>
    <w:rsid w:val="003E5C64"/>
    <w:rsid w:val="003E5EF2"/>
    <w:rsid w:val="003E609B"/>
    <w:rsid w:val="003E6115"/>
    <w:rsid w:val="003E628F"/>
    <w:rsid w:val="003E64FE"/>
    <w:rsid w:val="003E666E"/>
    <w:rsid w:val="003E66E8"/>
    <w:rsid w:val="003E66FC"/>
    <w:rsid w:val="003E677A"/>
    <w:rsid w:val="003E6783"/>
    <w:rsid w:val="003E67DD"/>
    <w:rsid w:val="003E691E"/>
    <w:rsid w:val="003E6AAF"/>
    <w:rsid w:val="003E6CEF"/>
    <w:rsid w:val="003E749E"/>
    <w:rsid w:val="003E77D9"/>
    <w:rsid w:val="003E7DAA"/>
    <w:rsid w:val="003E7E5A"/>
    <w:rsid w:val="003E7ED6"/>
    <w:rsid w:val="003E7FFE"/>
    <w:rsid w:val="003F0021"/>
    <w:rsid w:val="003F01E3"/>
    <w:rsid w:val="003F0301"/>
    <w:rsid w:val="003F0639"/>
    <w:rsid w:val="003F06EF"/>
    <w:rsid w:val="003F082D"/>
    <w:rsid w:val="003F0C4B"/>
    <w:rsid w:val="003F0D10"/>
    <w:rsid w:val="003F0E6E"/>
    <w:rsid w:val="003F143A"/>
    <w:rsid w:val="003F16DD"/>
    <w:rsid w:val="003F1A2E"/>
    <w:rsid w:val="003F1C1C"/>
    <w:rsid w:val="003F1C2F"/>
    <w:rsid w:val="003F1D0F"/>
    <w:rsid w:val="003F1E60"/>
    <w:rsid w:val="003F1E9B"/>
    <w:rsid w:val="003F2D51"/>
    <w:rsid w:val="003F3824"/>
    <w:rsid w:val="003F3A43"/>
    <w:rsid w:val="003F3F97"/>
    <w:rsid w:val="003F4053"/>
    <w:rsid w:val="003F4156"/>
    <w:rsid w:val="003F41F3"/>
    <w:rsid w:val="003F44C2"/>
    <w:rsid w:val="003F451B"/>
    <w:rsid w:val="003F498F"/>
    <w:rsid w:val="003F49DC"/>
    <w:rsid w:val="003F4D11"/>
    <w:rsid w:val="003F55E4"/>
    <w:rsid w:val="003F5861"/>
    <w:rsid w:val="003F5ADF"/>
    <w:rsid w:val="003F5AF7"/>
    <w:rsid w:val="003F6723"/>
    <w:rsid w:val="003F6C55"/>
    <w:rsid w:val="003F7270"/>
    <w:rsid w:val="003F7743"/>
    <w:rsid w:val="003F7A55"/>
    <w:rsid w:val="003F7AFB"/>
    <w:rsid w:val="003F7B3F"/>
    <w:rsid w:val="003F7C5D"/>
    <w:rsid w:val="003F7EDC"/>
    <w:rsid w:val="00400573"/>
    <w:rsid w:val="00400580"/>
    <w:rsid w:val="00400B29"/>
    <w:rsid w:val="004012D9"/>
    <w:rsid w:val="0040131F"/>
    <w:rsid w:val="004013BF"/>
    <w:rsid w:val="00401650"/>
    <w:rsid w:val="00401757"/>
    <w:rsid w:val="00401DC0"/>
    <w:rsid w:val="00401E9B"/>
    <w:rsid w:val="00401FD2"/>
    <w:rsid w:val="00401FF5"/>
    <w:rsid w:val="00402157"/>
    <w:rsid w:val="0040232A"/>
    <w:rsid w:val="004026CE"/>
    <w:rsid w:val="00402812"/>
    <w:rsid w:val="00402B21"/>
    <w:rsid w:val="00402CCE"/>
    <w:rsid w:val="00402FCC"/>
    <w:rsid w:val="00403F0A"/>
    <w:rsid w:val="00403F87"/>
    <w:rsid w:val="00404043"/>
    <w:rsid w:val="00404120"/>
    <w:rsid w:val="00404159"/>
    <w:rsid w:val="004044A3"/>
    <w:rsid w:val="004046FC"/>
    <w:rsid w:val="00404876"/>
    <w:rsid w:val="0040503B"/>
    <w:rsid w:val="0040504B"/>
    <w:rsid w:val="0040509F"/>
    <w:rsid w:val="00405117"/>
    <w:rsid w:val="0040519D"/>
    <w:rsid w:val="004052B8"/>
    <w:rsid w:val="004054B7"/>
    <w:rsid w:val="004056F3"/>
    <w:rsid w:val="004058D0"/>
    <w:rsid w:val="004059F4"/>
    <w:rsid w:val="00405AB0"/>
    <w:rsid w:val="00405B34"/>
    <w:rsid w:val="00405BA9"/>
    <w:rsid w:val="00405D50"/>
    <w:rsid w:val="00405F62"/>
    <w:rsid w:val="004061C7"/>
    <w:rsid w:val="004064E4"/>
    <w:rsid w:val="00406B59"/>
    <w:rsid w:val="00406E39"/>
    <w:rsid w:val="00406EC1"/>
    <w:rsid w:val="004070C9"/>
    <w:rsid w:val="0040788C"/>
    <w:rsid w:val="00407AB4"/>
    <w:rsid w:val="00407F14"/>
    <w:rsid w:val="00407FE5"/>
    <w:rsid w:val="004101B0"/>
    <w:rsid w:val="00410326"/>
    <w:rsid w:val="004104C4"/>
    <w:rsid w:val="004104D2"/>
    <w:rsid w:val="004105EA"/>
    <w:rsid w:val="00410708"/>
    <w:rsid w:val="004109F5"/>
    <w:rsid w:val="00410CA7"/>
    <w:rsid w:val="00410EC7"/>
    <w:rsid w:val="00411742"/>
    <w:rsid w:val="00411AF6"/>
    <w:rsid w:val="00411B39"/>
    <w:rsid w:val="004127A7"/>
    <w:rsid w:val="00412846"/>
    <w:rsid w:val="004129B5"/>
    <w:rsid w:val="00413161"/>
    <w:rsid w:val="004134C9"/>
    <w:rsid w:val="00413560"/>
    <w:rsid w:val="004139D4"/>
    <w:rsid w:val="00413A1E"/>
    <w:rsid w:val="00413BFA"/>
    <w:rsid w:val="00413FD2"/>
    <w:rsid w:val="004140EB"/>
    <w:rsid w:val="004141A8"/>
    <w:rsid w:val="00414476"/>
    <w:rsid w:val="00414480"/>
    <w:rsid w:val="00414586"/>
    <w:rsid w:val="004149D8"/>
    <w:rsid w:val="00414C2E"/>
    <w:rsid w:val="00414D45"/>
    <w:rsid w:val="004151CF"/>
    <w:rsid w:val="0041524B"/>
    <w:rsid w:val="00415440"/>
    <w:rsid w:val="0041575A"/>
    <w:rsid w:val="00415D3B"/>
    <w:rsid w:val="00415F1E"/>
    <w:rsid w:val="00415F4D"/>
    <w:rsid w:val="00416364"/>
    <w:rsid w:val="00416454"/>
    <w:rsid w:val="0041668B"/>
    <w:rsid w:val="00416EC2"/>
    <w:rsid w:val="004176F7"/>
    <w:rsid w:val="0041779E"/>
    <w:rsid w:val="00417806"/>
    <w:rsid w:val="0042047F"/>
    <w:rsid w:val="0042054C"/>
    <w:rsid w:val="00420AA6"/>
    <w:rsid w:val="00420B9F"/>
    <w:rsid w:val="00420DB9"/>
    <w:rsid w:val="00421917"/>
    <w:rsid w:val="0042192C"/>
    <w:rsid w:val="004219F0"/>
    <w:rsid w:val="00421A35"/>
    <w:rsid w:val="00421B7B"/>
    <w:rsid w:val="00422260"/>
    <w:rsid w:val="004228FA"/>
    <w:rsid w:val="004230A0"/>
    <w:rsid w:val="004231B2"/>
    <w:rsid w:val="004232B9"/>
    <w:rsid w:val="004233E1"/>
    <w:rsid w:val="0042355D"/>
    <w:rsid w:val="00423677"/>
    <w:rsid w:val="00423EC6"/>
    <w:rsid w:val="0042413F"/>
    <w:rsid w:val="00424220"/>
    <w:rsid w:val="004246C0"/>
    <w:rsid w:val="00424D73"/>
    <w:rsid w:val="00424F62"/>
    <w:rsid w:val="00425290"/>
    <w:rsid w:val="00425560"/>
    <w:rsid w:val="0042569A"/>
    <w:rsid w:val="004256EF"/>
    <w:rsid w:val="00425B08"/>
    <w:rsid w:val="004260FE"/>
    <w:rsid w:val="00426164"/>
    <w:rsid w:val="00426181"/>
    <w:rsid w:val="00426210"/>
    <w:rsid w:val="00426314"/>
    <w:rsid w:val="004264BC"/>
    <w:rsid w:val="0042662F"/>
    <w:rsid w:val="00426711"/>
    <w:rsid w:val="00426910"/>
    <w:rsid w:val="00426980"/>
    <w:rsid w:val="00426CC5"/>
    <w:rsid w:val="0042758C"/>
    <w:rsid w:val="00427780"/>
    <w:rsid w:val="00427BC4"/>
    <w:rsid w:val="00427FBB"/>
    <w:rsid w:val="00430013"/>
    <w:rsid w:val="00430373"/>
    <w:rsid w:val="004305CE"/>
    <w:rsid w:val="00430795"/>
    <w:rsid w:val="00430AD7"/>
    <w:rsid w:val="00430D16"/>
    <w:rsid w:val="00430D9D"/>
    <w:rsid w:val="00431108"/>
    <w:rsid w:val="00431335"/>
    <w:rsid w:val="00431489"/>
    <w:rsid w:val="0043187B"/>
    <w:rsid w:val="00431940"/>
    <w:rsid w:val="004319F8"/>
    <w:rsid w:val="00431B2F"/>
    <w:rsid w:val="00431E55"/>
    <w:rsid w:val="00431F9F"/>
    <w:rsid w:val="00432045"/>
    <w:rsid w:val="00432063"/>
    <w:rsid w:val="004321F6"/>
    <w:rsid w:val="004322CA"/>
    <w:rsid w:val="004322FB"/>
    <w:rsid w:val="00432437"/>
    <w:rsid w:val="004325DF"/>
    <w:rsid w:val="00432632"/>
    <w:rsid w:val="004327E7"/>
    <w:rsid w:val="0043291C"/>
    <w:rsid w:val="004329BE"/>
    <w:rsid w:val="00433044"/>
    <w:rsid w:val="004332BB"/>
    <w:rsid w:val="004336C2"/>
    <w:rsid w:val="00433764"/>
    <w:rsid w:val="0043388E"/>
    <w:rsid w:val="00433A3C"/>
    <w:rsid w:val="00433CAD"/>
    <w:rsid w:val="00434088"/>
    <w:rsid w:val="004342D6"/>
    <w:rsid w:val="0043483D"/>
    <w:rsid w:val="00434893"/>
    <w:rsid w:val="00434B2F"/>
    <w:rsid w:val="00434C91"/>
    <w:rsid w:val="00434E16"/>
    <w:rsid w:val="00435179"/>
    <w:rsid w:val="0043533D"/>
    <w:rsid w:val="00435AB1"/>
    <w:rsid w:val="00435F72"/>
    <w:rsid w:val="004362F9"/>
    <w:rsid w:val="004363E8"/>
    <w:rsid w:val="00436710"/>
    <w:rsid w:val="0043673A"/>
    <w:rsid w:val="004368C4"/>
    <w:rsid w:val="00436ABC"/>
    <w:rsid w:val="00436BA7"/>
    <w:rsid w:val="00436BD4"/>
    <w:rsid w:val="00436E26"/>
    <w:rsid w:val="004374E9"/>
    <w:rsid w:val="004375B9"/>
    <w:rsid w:val="0043773A"/>
    <w:rsid w:val="00437C67"/>
    <w:rsid w:val="00437EA7"/>
    <w:rsid w:val="0044001D"/>
    <w:rsid w:val="0044037E"/>
    <w:rsid w:val="004406BF"/>
    <w:rsid w:val="0044086C"/>
    <w:rsid w:val="00440B27"/>
    <w:rsid w:val="00440D38"/>
    <w:rsid w:val="00440F13"/>
    <w:rsid w:val="004413CA"/>
    <w:rsid w:val="004416D8"/>
    <w:rsid w:val="004417A2"/>
    <w:rsid w:val="004418F2"/>
    <w:rsid w:val="00441C26"/>
    <w:rsid w:val="00441F1B"/>
    <w:rsid w:val="00442634"/>
    <w:rsid w:val="0044270E"/>
    <w:rsid w:val="004428C7"/>
    <w:rsid w:val="004428D0"/>
    <w:rsid w:val="00442A65"/>
    <w:rsid w:val="00442A6B"/>
    <w:rsid w:val="00442A8D"/>
    <w:rsid w:val="00442AAD"/>
    <w:rsid w:val="00442CB2"/>
    <w:rsid w:val="004431CD"/>
    <w:rsid w:val="00443248"/>
    <w:rsid w:val="004432A4"/>
    <w:rsid w:val="0044378E"/>
    <w:rsid w:val="00443AA3"/>
    <w:rsid w:val="00444185"/>
    <w:rsid w:val="004442C9"/>
    <w:rsid w:val="004443A7"/>
    <w:rsid w:val="00444420"/>
    <w:rsid w:val="0044442C"/>
    <w:rsid w:val="004444B7"/>
    <w:rsid w:val="00444758"/>
    <w:rsid w:val="004448C4"/>
    <w:rsid w:val="00444D69"/>
    <w:rsid w:val="00444EB1"/>
    <w:rsid w:val="00445188"/>
    <w:rsid w:val="00445237"/>
    <w:rsid w:val="00445434"/>
    <w:rsid w:val="00445941"/>
    <w:rsid w:val="00445F8F"/>
    <w:rsid w:val="004464DC"/>
    <w:rsid w:val="004464EB"/>
    <w:rsid w:val="00446D0A"/>
    <w:rsid w:val="00446E67"/>
    <w:rsid w:val="00446FB3"/>
    <w:rsid w:val="004472D8"/>
    <w:rsid w:val="00447733"/>
    <w:rsid w:val="00447A13"/>
    <w:rsid w:val="00447D26"/>
    <w:rsid w:val="00447DFC"/>
    <w:rsid w:val="004501CB"/>
    <w:rsid w:val="004501D6"/>
    <w:rsid w:val="004501FB"/>
    <w:rsid w:val="0045026D"/>
    <w:rsid w:val="004506C5"/>
    <w:rsid w:val="004509C9"/>
    <w:rsid w:val="004511AE"/>
    <w:rsid w:val="0045123D"/>
    <w:rsid w:val="00451410"/>
    <w:rsid w:val="00451B2C"/>
    <w:rsid w:val="00451F21"/>
    <w:rsid w:val="004524D3"/>
    <w:rsid w:val="00452806"/>
    <w:rsid w:val="004529CE"/>
    <w:rsid w:val="00452C01"/>
    <w:rsid w:val="00452D55"/>
    <w:rsid w:val="00453453"/>
    <w:rsid w:val="004535F6"/>
    <w:rsid w:val="00453B96"/>
    <w:rsid w:val="00453DF0"/>
    <w:rsid w:val="00453F6B"/>
    <w:rsid w:val="004541F1"/>
    <w:rsid w:val="00454283"/>
    <w:rsid w:val="00454E69"/>
    <w:rsid w:val="00454F3D"/>
    <w:rsid w:val="0045512F"/>
    <w:rsid w:val="00455500"/>
    <w:rsid w:val="00455729"/>
    <w:rsid w:val="0045572B"/>
    <w:rsid w:val="00455A49"/>
    <w:rsid w:val="00455C9D"/>
    <w:rsid w:val="00455D45"/>
    <w:rsid w:val="00455FC1"/>
    <w:rsid w:val="00456258"/>
    <w:rsid w:val="00456AC7"/>
    <w:rsid w:val="00456B00"/>
    <w:rsid w:val="00456E8C"/>
    <w:rsid w:val="00456EE4"/>
    <w:rsid w:val="004572DA"/>
    <w:rsid w:val="0045798A"/>
    <w:rsid w:val="004606CE"/>
    <w:rsid w:val="00460719"/>
    <w:rsid w:val="004609C1"/>
    <w:rsid w:val="004610A1"/>
    <w:rsid w:val="00461306"/>
    <w:rsid w:val="00461369"/>
    <w:rsid w:val="004615B4"/>
    <w:rsid w:val="00461AAF"/>
    <w:rsid w:val="00461F93"/>
    <w:rsid w:val="00462484"/>
    <w:rsid w:val="00462882"/>
    <w:rsid w:val="00463314"/>
    <w:rsid w:val="004639AA"/>
    <w:rsid w:val="00463AE1"/>
    <w:rsid w:val="0046408C"/>
    <w:rsid w:val="00464595"/>
    <w:rsid w:val="0046500D"/>
    <w:rsid w:val="0046509D"/>
    <w:rsid w:val="00465233"/>
    <w:rsid w:val="00465257"/>
    <w:rsid w:val="00465287"/>
    <w:rsid w:val="004652DA"/>
    <w:rsid w:val="00465639"/>
    <w:rsid w:val="004657F1"/>
    <w:rsid w:val="004658B5"/>
    <w:rsid w:val="0046593F"/>
    <w:rsid w:val="00465B29"/>
    <w:rsid w:val="0046638E"/>
    <w:rsid w:val="0046691A"/>
    <w:rsid w:val="00466AEA"/>
    <w:rsid w:val="00466F4F"/>
    <w:rsid w:val="00467029"/>
    <w:rsid w:val="004673AE"/>
    <w:rsid w:val="00467473"/>
    <w:rsid w:val="004702AC"/>
    <w:rsid w:val="004702DE"/>
    <w:rsid w:val="004708E2"/>
    <w:rsid w:val="00470B50"/>
    <w:rsid w:val="004713E4"/>
    <w:rsid w:val="00471456"/>
    <w:rsid w:val="004714FE"/>
    <w:rsid w:val="0047181C"/>
    <w:rsid w:val="00471975"/>
    <w:rsid w:val="00471D0B"/>
    <w:rsid w:val="00471E09"/>
    <w:rsid w:val="00471E89"/>
    <w:rsid w:val="00471EA5"/>
    <w:rsid w:val="004723FE"/>
    <w:rsid w:val="0047243C"/>
    <w:rsid w:val="00472561"/>
    <w:rsid w:val="00472A0B"/>
    <w:rsid w:val="00472A79"/>
    <w:rsid w:val="00472C21"/>
    <w:rsid w:val="00472D49"/>
    <w:rsid w:val="00472F1E"/>
    <w:rsid w:val="004730FE"/>
    <w:rsid w:val="004733EC"/>
    <w:rsid w:val="00473488"/>
    <w:rsid w:val="00473627"/>
    <w:rsid w:val="004736F9"/>
    <w:rsid w:val="00473D9D"/>
    <w:rsid w:val="00473E79"/>
    <w:rsid w:val="00473F19"/>
    <w:rsid w:val="004740B8"/>
    <w:rsid w:val="0047428A"/>
    <w:rsid w:val="004744AA"/>
    <w:rsid w:val="00474833"/>
    <w:rsid w:val="00474B6B"/>
    <w:rsid w:val="00474C6F"/>
    <w:rsid w:val="00474FE6"/>
    <w:rsid w:val="00475B26"/>
    <w:rsid w:val="00475C1E"/>
    <w:rsid w:val="00475C3C"/>
    <w:rsid w:val="00475CF3"/>
    <w:rsid w:val="00475E22"/>
    <w:rsid w:val="00476029"/>
    <w:rsid w:val="004763FA"/>
    <w:rsid w:val="00476C06"/>
    <w:rsid w:val="00476F24"/>
    <w:rsid w:val="004773A2"/>
    <w:rsid w:val="004777D9"/>
    <w:rsid w:val="00477ACF"/>
    <w:rsid w:val="00477F2B"/>
    <w:rsid w:val="0048034E"/>
    <w:rsid w:val="0048038C"/>
    <w:rsid w:val="00480526"/>
    <w:rsid w:val="0048088E"/>
    <w:rsid w:val="00480A33"/>
    <w:rsid w:val="00480BB8"/>
    <w:rsid w:val="00480C0F"/>
    <w:rsid w:val="00480F2B"/>
    <w:rsid w:val="00480FF4"/>
    <w:rsid w:val="00481120"/>
    <w:rsid w:val="0048124E"/>
    <w:rsid w:val="00481484"/>
    <w:rsid w:val="0048153B"/>
    <w:rsid w:val="00481693"/>
    <w:rsid w:val="00481E71"/>
    <w:rsid w:val="00481EF1"/>
    <w:rsid w:val="0048202D"/>
    <w:rsid w:val="004823F2"/>
    <w:rsid w:val="004825F5"/>
    <w:rsid w:val="00482720"/>
    <w:rsid w:val="004828CA"/>
    <w:rsid w:val="00482CAB"/>
    <w:rsid w:val="004830A9"/>
    <w:rsid w:val="00483118"/>
    <w:rsid w:val="004835E7"/>
    <w:rsid w:val="00483782"/>
    <w:rsid w:val="00483B00"/>
    <w:rsid w:val="00483EE1"/>
    <w:rsid w:val="00483EFB"/>
    <w:rsid w:val="0048406F"/>
    <w:rsid w:val="00484225"/>
    <w:rsid w:val="0048478B"/>
    <w:rsid w:val="004847B0"/>
    <w:rsid w:val="004848C4"/>
    <w:rsid w:val="00484D22"/>
    <w:rsid w:val="00484D6E"/>
    <w:rsid w:val="00484F7B"/>
    <w:rsid w:val="0048560A"/>
    <w:rsid w:val="004859E1"/>
    <w:rsid w:val="00485EFE"/>
    <w:rsid w:val="004863D9"/>
    <w:rsid w:val="00486532"/>
    <w:rsid w:val="004867E2"/>
    <w:rsid w:val="0048691D"/>
    <w:rsid w:val="00486F9B"/>
    <w:rsid w:val="00487A7F"/>
    <w:rsid w:val="00487AE9"/>
    <w:rsid w:val="00487CC1"/>
    <w:rsid w:val="00487D1E"/>
    <w:rsid w:val="00490B17"/>
    <w:rsid w:val="00490B81"/>
    <w:rsid w:val="00490C4F"/>
    <w:rsid w:val="00490FEA"/>
    <w:rsid w:val="00491256"/>
    <w:rsid w:val="00491370"/>
    <w:rsid w:val="00491789"/>
    <w:rsid w:val="00491B3A"/>
    <w:rsid w:val="00491C52"/>
    <w:rsid w:val="00491D6D"/>
    <w:rsid w:val="0049210E"/>
    <w:rsid w:val="00492134"/>
    <w:rsid w:val="0049234D"/>
    <w:rsid w:val="00492AAC"/>
    <w:rsid w:val="00492AED"/>
    <w:rsid w:val="00492CFD"/>
    <w:rsid w:val="004930DD"/>
    <w:rsid w:val="004931F3"/>
    <w:rsid w:val="004935DD"/>
    <w:rsid w:val="0049383D"/>
    <w:rsid w:val="00493974"/>
    <w:rsid w:val="00493A4B"/>
    <w:rsid w:val="00493AD6"/>
    <w:rsid w:val="00493FB1"/>
    <w:rsid w:val="004940B4"/>
    <w:rsid w:val="00494207"/>
    <w:rsid w:val="0049421E"/>
    <w:rsid w:val="00494262"/>
    <w:rsid w:val="00494392"/>
    <w:rsid w:val="004943D5"/>
    <w:rsid w:val="00494679"/>
    <w:rsid w:val="00494955"/>
    <w:rsid w:val="00494AC0"/>
    <w:rsid w:val="00494DD5"/>
    <w:rsid w:val="00495201"/>
    <w:rsid w:val="004952A9"/>
    <w:rsid w:val="004953FA"/>
    <w:rsid w:val="00495D44"/>
    <w:rsid w:val="00495D71"/>
    <w:rsid w:val="0049611A"/>
    <w:rsid w:val="00496192"/>
    <w:rsid w:val="004962D2"/>
    <w:rsid w:val="00496764"/>
    <w:rsid w:val="004968A7"/>
    <w:rsid w:val="0049737C"/>
    <w:rsid w:val="0049751A"/>
    <w:rsid w:val="00497593"/>
    <w:rsid w:val="0049787B"/>
    <w:rsid w:val="00497936"/>
    <w:rsid w:val="00497E0D"/>
    <w:rsid w:val="00497EEF"/>
    <w:rsid w:val="004A0027"/>
    <w:rsid w:val="004A0062"/>
    <w:rsid w:val="004A01D6"/>
    <w:rsid w:val="004A0DA1"/>
    <w:rsid w:val="004A0E7F"/>
    <w:rsid w:val="004A119D"/>
    <w:rsid w:val="004A1270"/>
    <w:rsid w:val="004A13A0"/>
    <w:rsid w:val="004A13D6"/>
    <w:rsid w:val="004A153A"/>
    <w:rsid w:val="004A17BC"/>
    <w:rsid w:val="004A1BFB"/>
    <w:rsid w:val="004A1EA5"/>
    <w:rsid w:val="004A2A40"/>
    <w:rsid w:val="004A2D35"/>
    <w:rsid w:val="004A2ECA"/>
    <w:rsid w:val="004A30A3"/>
    <w:rsid w:val="004A3A6D"/>
    <w:rsid w:val="004A3F2D"/>
    <w:rsid w:val="004A415F"/>
    <w:rsid w:val="004A427B"/>
    <w:rsid w:val="004A45F9"/>
    <w:rsid w:val="004A46C4"/>
    <w:rsid w:val="004A4A95"/>
    <w:rsid w:val="004A5287"/>
    <w:rsid w:val="004A52E9"/>
    <w:rsid w:val="004A58A5"/>
    <w:rsid w:val="004A5904"/>
    <w:rsid w:val="004A6040"/>
    <w:rsid w:val="004A6597"/>
    <w:rsid w:val="004A676C"/>
    <w:rsid w:val="004A68D8"/>
    <w:rsid w:val="004A6F28"/>
    <w:rsid w:val="004A6FAF"/>
    <w:rsid w:val="004A70FC"/>
    <w:rsid w:val="004A729F"/>
    <w:rsid w:val="004A768D"/>
    <w:rsid w:val="004A7848"/>
    <w:rsid w:val="004A793B"/>
    <w:rsid w:val="004A7C89"/>
    <w:rsid w:val="004B047B"/>
    <w:rsid w:val="004B0659"/>
    <w:rsid w:val="004B07F3"/>
    <w:rsid w:val="004B0C97"/>
    <w:rsid w:val="004B0F9D"/>
    <w:rsid w:val="004B18BC"/>
    <w:rsid w:val="004B1CB4"/>
    <w:rsid w:val="004B218D"/>
    <w:rsid w:val="004B257B"/>
    <w:rsid w:val="004B25B3"/>
    <w:rsid w:val="004B2845"/>
    <w:rsid w:val="004B2BC8"/>
    <w:rsid w:val="004B2C62"/>
    <w:rsid w:val="004B2C9F"/>
    <w:rsid w:val="004B2D14"/>
    <w:rsid w:val="004B2E6A"/>
    <w:rsid w:val="004B2F18"/>
    <w:rsid w:val="004B2F77"/>
    <w:rsid w:val="004B30B9"/>
    <w:rsid w:val="004B325E"/>
    <w:rsid w:val="004B327A"/>
    <w:rsid w:val="004B3708"/>
    <w:rsid w:val="004B3A58"/>
    <w:rsid w:val="004B3DDB"/>
    <w:rsid w:val="004B4386"/>
    <w:rsid w:val="004B44FD"/>
    <w:rsid w:val="004B4573"/>
    <w:rsid w:val="004B46AB"/>
    <w:rsid w:val="004B4B84"/>
    <w:rsid w:val="004B4C92"/>
    <w:rsid w:val="004B5042"/>
    <w:rsid w:val="004B526E"/>
    <w:rsid w:val="004B529C"/>
    <w:rsid w:val="004B52CC"/>
    <w:rsid w:val="004B5721"/>
    <w:rsid w:val="004B57C4"/>
    <w:rsid w:val="004B5977"/>
    <w:rsid w:val="004B5B46"/>
    <w:rsid w:val="004B5CFC"/>
    <w:rsid w:val="004B606A"/>
    <w:rsid w:val="004B60A2"/>
    <w:rsid w:val="004B618A"/>
    <w:rsid w:val="004B66C4"/>
    <w:rsid w:val="004B66E8"/>
    <w:rsid w:val="004B6EE5"/>
    <w:rsid w:val="004B6F79"/>
    <w:rsid w:val="004B774D"/>
    <w:rsid w:val="004B798C"/>
    <w:rsid w:val="004B79AE"/>
    <w:rsid w:val="004B7A51"/>
    <w:rsid w:val="004B7DDC"/>
    <w:rsid w:val="004B7DE9"/>
    <w:rsid w:val="004B7DED"/>
    <w:rsid w:val="004C01DD"/>
    <w:rsid w:val="004C01DE"/>
    <w:rsid w:val="004C0585"/>
    <w:rsid w:val="004C06EF"/>
    <w:rsid w:val="004C08E3"/>
    <w:rsid w:val="004C0A70"/>
    <w:rsid w:val="004C0FD1"/>
    <w:rsid w:val="004C11BE"/>
    <w:rsid w:val="004C1B1F"/>
    <w:rsid w:val="004C1C5B"/>
    <w:rsid w:val="004C21DA"/>
    <w:rsid w:val="004C246B"/>
    <w:rsid w:val="004C2AC2"/>
    <w:rsid w:val="004C2B35"/>
    <w:rsid w:val="004C2CD9"/>
    <w:rsid w:val="004C2F2E"/>
    <w:rsid w:val="004C2FEA"/>
    <w:rsid w:val="004C3026"/>
    <w:rsid w:val="004C3328"/>
    <w:rsid w:val="004C3B02"/>
    <w:rsid w:val="004C3C75"/>
    <w:rsid w:val="004C44B7"/>
    <w:rsid w:val="004C451B"/>
    <w:rsid w:val="004C4554"/>
    <w:rsid w:val="004C4762"/>
    <w:rsid w:val="004C47CB"/>
    <w:rsid w:val="004C49B6"/>
    <w:rsid w:val="004C4ACA"/>
    <w:rsid w:val="004C4AED"/>
    <w:rsid w:val="004C4C4F"/>
    <w:rsid w:val="004C4D5F"/>
    <w:rsid w:val="004C4EB4"/>
    <w:rsid w:val="004C5A0B"/>
    <w:rsid w:val="004C5FBB"/>
    <w:rsid w:val="004C6587"/>
    <w:rsid w:val="004C67C2"/>
    <w:rsid w:val="004C6AB1"/>
    <w:rsid w:val="004C6AB5"/>
    <w:rsid w:val="004C7136"/>
    <w:rsid w:val="004C73B5"/>
    <w:rsid w:val="004C746C"/>
    <w:rsid w:val="004C7652"/>
    <w:rsid w:val="004C7B2C"/>
    <w:rsid w:val="004C7BF0"/>
    <w:rsid w:val="004D0092"/>
    <w:rsid w:val="004D019C"/>
    <w:rsid w:val="004D0395"/>
    <w:rsid w:val="004D1040"/>
    <w:rsid w:val="004D105A"/>
    <w:rsid w:val="004D1248"/>
    <w:rsid w:val="004D1568"/>
    <w:rsid w:val="004D193D"/>
    <w:rsid w:val="004D1B3C"/>
    <w:rsid w:val="004D1F48"/>
    <w:rsid w:val="004D21C7"/>
    <w:rsid w:val="004D2523"/>
    <w:rsid w:val="004D2BEE"/>
    <w:rsid w:val="004D2C2D"/>
    <w:rsid w:val="004D321C"/>
    <w:rsid w:val="004D38A2"/>
    <w:rsid w:val="004D397C"/>
    <w:rsid w:val="004D3DA7"/>
    <w:rsid w:val="004D4319"/>
    <w:rsid w:val="004D48C0"/>
    <w:rsid w:val="004D49F3"/>
    <w:rsid w:val="004D4A44"/>
    <w:rsid w:val="004D526E"/>
    <w:rsid w:val="004D5C7D"/>
    <w:rsid w:val="004D5CB0"/>
    <w:rsid w:val="004D5F0D"/>
    <w:rsid w:val="004D648A"/>
    <w:rsid w:val="004D65A5"/>
    <w:rsid w:val="004D69B5"/>
    <w:rsid w:val="004D6BC2"/>
    <w:rsid w:val="004D6DFC"/>
    <w:rsid w:val="004D6E55"/>
    <w:rsid w:val="004D7180"/>
    <w:rsid w:val="004D7227"/>
    <w:rsid w:val="004D73CF"/>
    <w:rsid w:val="004D768C"/>
    <w:rsid w:val="004D7910"/>
    <w:rsid w:val="004D7AB8"/>
    <w:rsid w:val="004D7B5E"/>
    <w:rsid w:val="004D7C2A"/>
    <w:rsid w:val="004D7CBC"/>
    <w:rsid w:val="004E009D"/>
    <w:rsid w:val="004E03AA"/>
    <w:rsid w:val="004E03E5"/>
    <w:rsid w:val="004E05B1"/>
    <w:rsid w:val="004E0C15"/>
    <w:rsid w:val="004E0D4C"/>
    <w:rsid w:val="004E0E7F"/>
    <w:rsid w:val="004E0EB8"/>
    <w:rsid w:val="004E18E9"/>
    <w:rsid w:val="004E1B78"/>
    <w:rsid w:val="004E221A"/>
    <w:rsid w:val="004E221D"/>
    <w:rsid w:val="004E238D"/>
    <w:rsid w:val="004E2394"/>
    <w:rsid w:val="004E24AA"/>
    <w:rsid w:val="004E256F"/>
    <w:rsid w:val="004E265E"/>
    <w:rsid w:val="004E2ADC"/>
    <w:rsid w:val="004E2FD4"/>
    <w:rsid w:val="004E3061"/>
    <w:rsid w:val="004E379C"/>
    <w:rsid w:val="004E38F5"/>
    <w:rsid w:val="004E3EE4"/>
    <w:rsid w:val="004E43B2"/>
    <w:rsid w:val="004E451E"/>
    <w:rsid w:val="004E4565"/>
    <w:rsid w:val="004E4626"/>
    <w:rsid w:val="004E46F0"/>
    <w:rsid w:val="004E4799"/>
    <w:rsid w:val="004E487A"/>
    <w:rsid w:val="004E49A6"/>
    <w:rsid w:val="004E4A65"/>
    <w:rsid w:val="004E5043"/>
    <w:rsid w:val="004E53EB"/>
    <w:rsid w:val="004E573C"/>
    <w:rsid w:val="004E59ED"/>
    <w:rsid w:val="004E5A42"/>
    <w:rsid w:val="004E5C8A"/>
    <w:rsid w:val="004E6322"/>
    <w:rsid w:val="004E64EF"/>
    <w:rsid w:val="004E6759"/>
    <w:rsid w:val="004E675B"/>
    <w:rsid w:val="004E67CB"/>
    <w:rsid w:val="004E6D79"/>
    <w:rsid w:val="004E6DFE"/>
    <w:rsid w:val="004E7203"/>
    <w:rsid w:val="004E74DA"/>
    <w:rsid w:val="004E7550"/>
    <w:rsid w:val="004E75AC"/>
    <w:rsid w:val="004E7829"/>
    <w:rsid w:val="004E79AC"/>
    <w:rsid w:val="004E7A39"/>
    <w:rsid w:val="004E7BE5"/>
    <w:rsid w:val="004E7EDA"/>
    <w:rsid w:val="004F0175"/>
    <w:rsid w:val="004F02C6"/>
    <w:rsid w:val="004F03E9"/>
    <w:rsid w:val="004F0416"/>
    <w:rsid w:val="004F0B8C"/>
    <w:rsid w:val="004F120A"/>
    <w:rsid w:val="004F128D"/>
    <w:rsid w:val="004F12FB"/>
    <w:rsid w:val="004F14E1"/>
    <w:rsid w:val="004F1734"/>
    <w:rsid w:val="004F1950"/>
    <w:rsid w:val="004F19CF"/>
    <w:rsid w:val="004F1D02"/>
    <w:rsid w:val="004F1F20"/>
    <w:rsid w:val="004F23FC"/>
    <w:rsid w:val="004F24BD"/>
    <w:rsid w:val="004F250F"/>
    <w:rsid w:val="004F2655"/>
    <w:rsid w:val="004F2679"/>
    <w:rsid w:val="004F27A4"/>
    <w:rsid w:val="004F299C"/>
    <w:rsid w:val="004F29A1"/>
    <w:rsid w:val="004F2EC3"/>
    <w:rsid w:val="004F2F18"/>
    <w:rsid w:val="004F2F21"/>
    <w:rsid w:val="004F3091"/>
    <w:rsid w:val="004F333C"/>
    <w:rsid w:val="004F337C"/>
    <w:rsid w:val="004F36BE"/>
    <w:rsid w:val="004F3D66"/>
    <w:rsid w:val="004F3DE5"/>
    <w:rsid w:val="004F43A1"/>
    <w:rsid w:val="004F4E4E"/>
    <w:rsid w:val="004F4F0B"/>
    <w:rsid w:val="004F542A"/>
    <w:rsid w:val="004F580E"/>
    <w:rsid w:val="004F5A60"/>
    <w:rsid w:val="004F5CAE"/>
    <w:rsid w:val="004F5DB6"/>
    <w:rsid w:val="004F601E"/>
    <w:rsid w:val="004F6488"/>
    <w:rsid w:val="004F6913"/>
    <w:rsid w:val="004F6A1C"/>
    <w:rsid w:val="004F6A39"/>
    <w:rsid w:val="004F6B11"/>
    <w:rsid w:val="004F7369"/>
    <w:rsid w:val="004F7554"/>
    <w:rsid w:val="004F7865"/>
    <w:rsid w:val="004F7C15"/>
    <w:rsid w:val="004F7F92"/>
    <w:rsid w:val="0050013E"/>
    <w:rsid w:val="005003F0"/>
    <w:rsid w:val="005005B9"/>
    <w:rsid w:val="00500741"/>
    <w:rsid w:val="00500AB4"/>
    <w:rsid w:val="00500C33"/>
    <w:rsid w:val="00501184"/>
    <w:rsid w:val="005012D3"/>
    <w:rsid w:val="005016ED"/>
    <w:rsid w:val="0050174E"/>
    <w:rsid w:val="00501854"/>
    <w:rsid w:val="00501B2E"/>
    <w:rsid w:val="00501D43"/>
    <w:rsid w:val="00501F74"/>
    <w:rsid w:val="0050219B"/>
    <w:rsid w:val="00502398"/>
    <w:rsid w:val="00502B3C"/>
    <w:rsid w:val="00502BDC"/>
    <w:rsid w:val="00502FC2"/>
    <w:rsid w:val="00503314"/>
    <w:rsid w:val="005033EC"/>
    <w:rsid w:val="005035C4"/>
    <w:rsid w:val="00503B6D"/>
    <w:rsid w:val="00503CC2"/>
    <w:rsid w:val="00503F17"/>
    <w:rsid w:val="00503F3A"/>
    <w:rsid w:val="0050405D"/>
    <w:rsid w:val="0050427F"/>
    <w:rsid w:val="005043A0"/>
    <w:rsid w:val="005047C7"/>
    <w:rsid w:val="00504A0C"/>
    <w:rsid w:val="00504A82"/>
    <w:rsid w:val="005050D9"/>
    <w:rsid w:val="0050510D"/>
    <w:rsid w:val="0050526B"/>
    <w:rsid w:val="005052E3"/>
    <w:rsid w:val="005054C1"/>
    <w:rsid w:val="0050571B"/>
    <w:rsid w:val="00505985"/>
    <w:rsid w:val="00505E73"/>
    <w:rsid w:val="00505FBF"/>
    <w:rsid w:val="00506104"/>
    <w:rsid w:val="0050621C"/>
    <w:rsid w:val="005066CE"/>
    <w:rsid w:val="00506928"/>
    <w:rsid w:val="00506A5F"/>
    <w:rsid w:val="00507477"/>
    <w:rsid w:val="005074F7"/>
    <w:rsid w:val="00507574"/>
    <w:rsid w:val="005077EF"/>
    <w:rsid w:val="00510140"/>
    <w:rsid w:val="0051029C"/>
    <w:rsid w:val="00510460"/>
    <w:rsid w:val="00510576"/>
    <w:rsid w:val="00510C62"/>
    <w:rsid w:val="00510ECA"/>
    <w:rsid w:val="00510FC7"/>
    <w:rsid w:val="00511074"/>
    <w:rsid w:val="005110EA"/>
    <w:rsid w:val="005111EE"/>
    <w:rsid w:val="005114E7"/>
    <w:rsid w:val="00511777"/>
    <w:rsid w:val="00511AD5"/>
    <w:rsid w:val="00511B92"/>
    <w:rsid w:val="00511D15"/>
    <w:rsid w:val="00511DC7"/>
    <w:rsid w:val="00511F85"/>
    <w:rsid w:val="0051220F"/>
    <w:rsid w:val="005125DC"/>
    <w:rsid w:val="00512618"/>
    <w:rsid w:val="00512742"/>
    <w:rsid w:val="00512763"/>
    <w:rsid w:val="00512A9F"/>
    <w:rsid w:val="00512F22"/>
    <w:rsid w:val="00513067"/>
    <w:rsid w:val="0051308D"/>
    <w:rsid w:val="0051359B"/>
    <w:rsid w:val="00513667"/>
    <w:rsid w:val="00513A1B"/>
    <w:rsid w:val="00513A62"/>
    <w:rsid w:val="00513E11"/>
    <w:rsid w:val="005142C5"/>
    <w:rsid w:val="00514479"/>
    <w:rsid w:val="005149EA"/>
    <w:rsid w:val="00514E81"/>
    <w:rsid w:val="00514F27"/>
    <w:rsid w:val="0051501B"/>
    <w:rsid w:val="005152A1"/>
    <w:rsid w:val="005152B5"/>
    <w:rsid w:val="005152DA"/>
    <w:rsid w:val="0051547B"/>
    <w:rsid w:val="00515886"/>
    <w:rsid w:val="005158B7"/>
    <w:rsid w:val="0051591E"/>
    <w:rsid w:val="00515D06"/>
    <w:rsid w:val="00515E0C"/>
    <w:rsid w:val="00516075"/>
    <w:rsid w:val="0051611B"/>
    <w:rsid w:val="00516857"/>
    <w:rsid w:val="00517136"/>
    <w:rsid w:val="00517639"/>
    <w:rsid w:val="005176AF"/>
    <w:rsid w:val="0051794C"/>
    <w:rsid w:val="00520029"/>
    <w:rsid w:val="00520143"/>
    <w:rsid w:val="0052028C"/>
    <w:rsid w:val="0052034B"/>
    <w:rsid w:val="005205B8"/>
    <w:rsid w:val="00520AD0"/>
    <w:rsid w:val="00520AF3"/>
    <w:rsid w:val="00520BD5"/>
    <w:rsid w:val="00520E88"/>
    <w:rsid w:val="0052123C"/>
    <w:rsid w:val="005212A7"/>
    <w:rsid w:val="00521310"/>
    <w:rsid w:val="00521314"/>
    <w:rsid w:val="00521319"/>
    <w:rsid w:val="00521BF5"/>
    <w:rsid w:val="00521DCA"/>
    <w:rsid w:val="00522005"/>
    <w:rsid w:val="0052245B"/>
    <w:rsid w:val="00522AF5"/>
    <w:rsid w:val="00522BC8"/>
    <w:rsid w:val="00522F85"/>
    <w:rsid w:val="0052338E"/>
    <w:rsid w:val="00523442"/>
    <w:rsid w:val="005234D4"/>
    <w:rsid w:val="00523C28"/>
    <w:rsid w:val="00524897"/>
    <w:rsid w:val="005248C1"/>
    <w:rsid w:val="00524A37"/>
    <w:rsid w:val="00524A5B"/>
    <w:rsid w:val="00524B70"/>
    <w:rsid w:val="0052511D"/>
    <w:rsid w:val="00525A2E"/>
    <w:rsid w:val="00525F21"/>
    <w:rsid w:val="00526030"/>
    <w:rsid w:val="005262EB"/>
    <w:rsid w:val="00526F8D"/>
    <w:rsid w:val="005271A8"/>
    <w:rsid w:val="00527BB3"/>
    <w:rsid w:val="00530475"/>
    <w:rsid w:val="005307C2"/>
    <w:rsid w:val="00530CA8"/>
    <w:rsid w:val="00531163"/>
    <w:rsid w:val="005312A7"/>
    <w:rsid w:val="0053176B"/>
    <w:rsid w:val="00531871"/>
    <w:rsid w:val="0053195C"/>
    <w:rsid w:val="00531B73"/>
    <w:rsid w:val="005320E7"/>
    <w:rsid w:val="00532348"/>
    <w:rsid w:val="00532384"/>
    <w:rsid w:val="00532508"/>
    <w:rsid w:val="005325E5"/>
    <w:rsid w:val="0053289E"/>
    <w:rsid w:val="00533127"/>
    <w:rsid w:val="00534000"/>
    <w:rsid w:val="0053400F"/>
    <w:rsid w:val="005341B3"/>
    <w:rsid w:val="005343FC"/>
    <w:rsid w:val="0053457B"/>
    <w:rsid w:val="00534647"/>
    <w:rsid w:val="00534711"/>
    <w:rsid w:val="00534BA3"/>
    <w:rsid w:val="00534CEC"/>
    <w:rsid w:val="00534E82"/>
    <w:rsid w:val="005351D0"/>
    <w:rsid w:val="00535632"/>
    <w:rsid w:val="005357D8"/>
    <w:rsid w:val="00536056"/>
    <w:rsid w:val="0053654F"/>
    <w:rsid w:val="00536DDE"/>
    <w:rsid w:val="00536F3C"/>
    <w:rsid w:val="00536F42"/>
    <w:rsid w:val="00537182"/>
    <w:rsid w:val="00537396"/>
    <w:rsid w:val="0053741A"/>
    <w:rsid w:val="005376CF"/>
    <w:rsid w:val="00537F12"/>
    <w:rsid w:val="00537F35"/>
    <w:rsid w:val="00540342"/>
    <w:rsid w:val="005403DE"/>
    <w:rsid w:val="00540485"/>
    <w:rsid w:val="00540BAA"/>
    <w:rsid w:val="00540D4B"/>
    <w:rsid w:val="00540E45"/>
    <w:rsid w:val="005411AE"/>
    <w:rsid w:val="00541D70"/>
    <w:rsid w:val="00541EDD"/>
    <w:rsid w:val="00541F1D"/>
    <w:rsid w:val="00542541"/>
    <w:rsid w:val="005425FC"/>
    <w:rsid w:val="00542730"/>
    <w:rsid w:val="00542743"/>
    <w:rsid w:val="00542C2D"/>
    <w:rsid w:val="00542F02"/>
    <w:rsid w:val="005431DB"/>
    <w:rsid w:val="005432B1"/>
    <w:rsid w:val="005435FF"/>
    <w:rsid w:val="00543785"/>
    <w:rsid w:val="00543AB0"/>
    <w:rsid w:val="005443A8"/>
    <w:rsid w:val="00544697"/>
    <w:rsid w:val="005449DA"/>
    <w:rsid w:val="00544AC9"/>
    <w:rsid w:val="00544C9E"/>
    <w:rsid w:val="00544F39"/>
    <w:rsid w:val="00545239"/>
    <w:rsid w:val="005452AE"/>
    <w:rsid w:val="00545398"/>
    <w:rsid w:val="0054553B"/>
    <w:rsid w:val="0054554C"/>
    <w:rsid w:val="00545699"/>
    <w:rsid w:val="00545704"/>
    <w:rsid w:val="00545B56"/>
    <w:rsid w:val="005463D1"/>
    <w:rsid w:val="0054669A"/>
    <w:rsid w:val="00546DC7"/>
    <w:rsid w:val="0054728C"/>
    <w:rsid w:val="005478BD"/>
    <w:rsid w:val="005479E3"/>
    <w:rsid w:val="00547C1D"/>
    <w:rsid w:val="005500A4"/>
    <w:rsid w:val="005501EB"/>
    <w:rsid w:val="005505D8"/>
    <w:rsid w:val="00550745"/>
    <w:rsid w:val="00550867"/>
    <w:rsid w:val="00550966"/>
    <w:rsid w:val="00550C81"/>
    <w:rsid w:val="00550DBB"/>
    <w:rsid w:val="00550FE9"/>
    <w:rsid w:val="0055135B"/>
    <w:rsid w:val="00551602"/>
    <w:rsid w:val="0055165F"/>
    <w:rsid w:val="00551985"/>
    <w:rsid w:val="00551D5D"/>
    <w:rsid w:val="00551ECF"/>
    <w:rsid w:val="00552111"/>
    <w:rsid w:val="005524E6"/>
    <w:rsid w:val="005526CE"/>
    <w:rsid w:val="005529FD"/>
    <w:rsid w:val="00552B62"/>
    <w:rsid w:val="00552BD3"/>
    <w:rsid w:val="00552C57"/>
    <w:rsid w:val="00552FD7"/>
    <w:rsid w:val="005531FD"/>
    <w:rsid w:val="005532A0"/>
    <w:rsid w:val="005536E8"/>
    <w:rsid w:val="00553A7C"/>
    <w:rsid w:val="00553FBB"/>
    <w:rsid w:val="005540E9"/>
    <w:rsid w:val="0055423B"/>
    <w:rsid w:val="00554419"/>
    <w:rsid w:val="00555109"/>
    <w:rsid w:val="00555455"/>
    <w:rsid w:val="00555796"/>
    <w:rsid w:val="00555986"/>
    <w:rsid w:val="00555B2E"/>
    <w:rsid w:val="00555B9F"/>
    <w:rsid w:val="00555E66"/>
    <w:rsid w:val="0055617E"/>
    <w:rsid w:val="00556217"/>
    <w:rsid w:val="0055626A"/>
    <w:rsid w:val="005563BF"/>
    <w:rsid w:val="00556483"/>
    <w:rsid w:val="005565C1"/>
    <w:rsid w:val="00556B35"/>
    <w:rsid w:val="00556B5A"/>
    <w:rsid w:val="0055741A"/>
    <w:rsid w:val="0055758D"/>
    <w:rsid w:val="00557814"/>
    <w:rsid w:val="00557BA4"/>
    <w:rsid w:val="00557C02"/>
    <w:rsid w:val="00557E52"/>
    <w:rsid w:val="00557F4E"/>
    <w:rsid w:val="0056023F"/>
    <w:rsid w:val="00560C04"/>
    <w:rsid w:val="00560D4B"/>
    <w:rsid w:val="00560DDF"/>
    <w:rsid w:val="00560EEE"/>
    <w:rsid w:val="00560EFA"/>
    <w:rsid w:val="00560F40"/>
    <w:rsid w:val="00560FA7"/>
    <w:rsid w:val="00561198"/>
    <w:rsid w:val="005611B7"/>
    <w:rsid w:val="005618D4"/>
    <w:rsid w:val="005619D6"/>
    <w:rsid w:val="005619E7"/>
    <w:rsid w:val="00561A19"/>
    <w:rsid w:val="00561B1B"/>
    <w:rsid w:val="00562953"/>
    <w:rsid w:val="00562C22"/>
    <w:rsid w:val="00562F47"/>
    <w:rsid w:val="00563BA1"/>
    <w:rsid w:val="00564437"/>
    <w:rsid w:val="005644C5"/>
    <w:rsid w:val="005647A5"/>
    <w:rsid w:val="00564867"/>
    <w:rsid w:val="00564D9A"/>
    <w:rsid w:val="005653BD"/>
    <w:rsid w:val="00565563"/>
    <w:rsid w:val="0056559A"/>
    <w:rsid w:val="0056583F"/>
    <w:rsid w:val="00565A58"/>
    <w:rsid w:val="00565C79"/>
    <w:rsid w:val="00565DF0"/>
    <w:rsid w:val="00565E17"/>
    <w:rsid w:val="0056652A"/>
    <w:rsid w:val="005665D8"/>
    <w:rsid w:val="0056696F"/>
    <w:rsid w:val="00566AD0"/>
    <w:rsid w:val="00566B02"/>
    <w:rsid w:val="0056731A"/>
    <w:rsid w:val="00567627"/>
    <w:rsid w:val="00567683"/>
    <w:rsid w:val="00567883"/>
    <w:rsid w:val="005679DB"/>
    <w:rsid w:val="00567ABF"/>
    <w:rsid w:val="00570E80"/>
    <w:rsid w:val="00571202"/>
    <w:rsid w:val="00571558"/>
    <w:rsid w:val="00571E52"/>
    <w:rsid w:val="005720B8"/>
    <w:rsid w:val="005720D9"/>
    <w:rsid w:val="00572269"/>
    <w:rsid w:val="0057244A"/>
    <w:rsid w:val="005727E3"/>
    <w:rsid w:val="0057282D"/>
    <w:rsid w:val="00572ACF"/>
    <w:rsid w:val="00572C8E"/>
    <w:rsid w:val="00572CF6"/>
    <w:rsid w:val="00572E2C"/>
    <w:rsid w:val="00572E8D"/>
    <w:rsid w:val="00572E9D"/>
    <w:rsid w:val="00572F26"/>
    <w:rsid w:val="00573987"/>
    <w:rsid w:val="00573B20"/>
    <w:rsid w:val="00573CEC"/>
    <w:rsid w:val="00573F46"/>
    <w:rsid w:val="00574020"/>
    <w:rsid w:val="005743FE"/>
    <w:rsid w:val="00574657"/>
    <w:rsid w:val="005748CD"/>
    <w:rsid w:val="005750C5"/>
    <w:rsid w:val="005752DE"/>
    <w:rsid w:val="00575356"/>
    <w:rsid w:val="0057540D"/>
    <w:rsid w:val="00575680"/>
    <w:rsid w:val="0057584F"/>
    <w:rsid w:val="00575AB9"/>
    <w:rsid w:val="00575BF2"/>
    <w:rsid w:val="00575C15"/>
    <w:rsid w:val="00575D60"/>
    <w:rsid w:val="00575D8D"/>
    <w:rsid w:val="00576090"/>
    <w:rsid w:val="00576359"/>
    <w:rsid w:val="00576533"/>
    <w:rsid w:val="0057657B"/>
    <w:rsid w:val="0057673D"/>
    <w:rsid w:val="00576972"/>
    <w:rsid w:val="00576B69"/>
    <w:rsid w:val="00576C5C"/>
    <w:rsid w:val="0057708D"/>
    <w:rsid w:val="00577248"/>
    <w:rsid w:val="00577275"/>
    <w:rsid w:val="0058000B"/>
    <w:rsid w:val="0058014F"/>
    <w:rsid w:val="00580828"/>
    <w:rsid w:val="005809BC"/>
    <w:rsid w:val="00580B98"/>
    <w:rsid w:val="00580CEF"/>
    <w:rsid w:val="00580D58"/>
    <w:rsid w:val="005811A7"/>
    <w:rsid w:val="0058166E"/>
    <w:rsid w:val="0058189C"/>
    <w:rsid w:val="0058192D"/>
    <w:rsid w:val="00581AEB"/>
    <w:rsid w:val="00581B87"/>
    <w:rsid w:val="00581CE9"/>
    <w:rsid w:val="005826BA"/>
    <w:rsid w:val="00582F84"/>
    <w:rsid w:val="005831B6"/>
    <w:rsid w:val="0058331F"/>
    <w:rsid w:val="005833F6"/>
    <w:rsid w:val="00583571"/>
    <w:rsid w:val="00583699"/>
    <w:rsid w:val="005838CB"/>
    <w:rsid w:val="00583902"/>
    <w:rsid w:val="00583C2F"/>
    <w:rsid w:val="0058405C"/>
    <w:rsid w:val="005845BF"/>
    <w:rsid w:val="005845E5"/>
    <w:rsid w:val="00584E2A"/>
    <w:rsid w:val="00584FFA"/>
    <w:rsid w:val="00585729"/>
    <w:rsid w:val="00585C3A"/>
    <w:rsid w:val="00585CDD"/>
    <w:rsid w:val="00585D80"/>
    <w:rsid w:val="00585D98"/>
    <w:rsid w:val="005864BC"/>
    <w:rsid w:val="00586755"/>
    <w:rsid w:val="00586DFE"/>
    <w:rsid w:val="00586E59"/>
    <w:rsid w:val="00586E6B"/>
    <w:rsid w:val="00587058"/>
    <w:rsid w:val="005873C1"/>
    <w:rsid w:val="00587435"/>
    <w:rsid w:val="0058756E"/>
    <w:rsid w:val="00587CA4"/>
    <w:rsid w:val="00590072"/>
    <w:rsid w:val="005902A9"/>
    <w:rsid w:val="005903D3"/>
    <w:rsid w:val="005903EA"/>
    <w:rsid w:val="00590C86"/>
    <w:rsid w:val="00590C92"/>
    <w:rsid w:val="00590F63"/>
    <w:rsid w:val="00590F74"/>
    <w:rsid w:val="00591177"/>
    <w:rsid w:val="005912CA"/>
    <w:rsid w:val="00591957"/>
    <w:rsid w:val="00591C27"/>
    <w:rsid w:val="00591C72"/>
    <w:rsid w:val="00591FBA"/>
    <w:rsid w:val="00592052"/>
    <w:rsid w:val="0059215D"/>
    <w:rsid w:val="0059221B"/>
    <w:rsid w:val="00592237"/>
    <w:rsid w:val="005924E6"/>
    <w:rsid w:val="00592AD1"/>
    <w:rsid w:val="005930AA"/>
    <w:rsid w:val="005930C7"/>
    <w:rsid w:val="005935CF"/>
    <w:rsid w:val="005935F8"/>
    <w:rsid w:val="00593885"/>
    <w:rsid w:val="00593A0E"/>
    <w:rsid w:val="00593DD1"/>
    <w:rsid w:val="00594057"/>
    <w:rsid w:val="0059449D"/>
    <w:rsid w:val="005947D2"/>
    <w:rsid w:val="00594E2A"/>
    <w:rsid w:val="005956CA"/>
    <w:rsid w:val="00595B04"/>
    <w:rsid w:val="00595B87"/>
    <w:rsid w:val="00595CF0"/>
    <w:rsid w:val="0059656D"/>
    <w:rsid w:val="0059665B"/>
    <w:rsid w:val="00596701"/>
    <w:rsid w:val="00596B7F"/>
    <w:rsid w:val="00596C21"/>
    <w:rsid w:val="00596C44"/>
    <w:rsid w:val="00596E3C"/>
    <w:rsid w:val="00596EA2"/>
    <w:rsid w:val="00596ECC"/>
    <w:rsid w:val="00597002"/>
    <w:rsid w:val="005970D0"/>
    <w:rsid w:val="00597322"/>
    <w:rsid w:val="00597561"/>
    <w:rsid w:val="005975FE"/>
    <w:rsid w:val="00597A9D"/>
    <w:rsid w:val="00597BF9"/>
    <w:rsid w:val="00597C3F"/>
    <w:rsid w:val="00597C5B"/>
    <w:rsid w:val="00597C65"/>
    <w:rsid w:val="00597D7A"/>
    <w:rsid w:val="00597E0A"/>
    <w:rsid w:val="00597FC2"/>
    <w:rsid w:val="005A0114"/>
    <w:rsid w:val="005A064E"/>
    <w:rsid w:val="005A093A"/>
    <w:rsid w:val="005A0A5C"/>
    <w:rsid w:val="005A0A6E"/>
    <w:rsid w:val="005A0B23"/>
    <w:rsid w:val="005A0C11"/>
    <w:rsid w:val="005A155A"/>
    <w:rsid w:val="005A156E"/>
    <w:rsid w:val="005A1907"/>
    <w:rsid w:val="005A2804"/>
    <w:rsid w:val="005A2924"/>
    <w:rsid w:val="005A2C51"/>
    <w:rsid w:val="005A2CA2"/>
    <w:rsid w:val="005A2D9B"/>
    <w:rsid w:val="005A2FB7"/>
    <w:rsid w:val="005A2FE6"/>
    <w:rsid w:val="005A309A"/>
    <w:rsid w:val="005A373D"/>
    <w:rsid w:val="005A3999"/>
    <w:rsid w:val="005A3AAC"/>
    <w:rsid w:val="005A3CCC"/>
    <w:rsid w:val="005A3D60"/>
    <w:rsid w:val="005A45D9"/>
    <w:rsid w:val="005A5318"/>
    <w:rsid w:val="005A531C"/>
    <w:rsid w:val="005A557F"/>
    <w:rsid w:val="005A55F6"/>
    <w:rsid w:val="005A568C"/>
    <w:rsid w:val="005A5727"/>
    <w:rsid w:val="005A60F7"/>
    <w:rsid w:val="005A61D3"/>
    <w:rsid w:val="005A6297"/>
    <w:rsid w:val="005A63D8"/>
    <w:rsid w:val="005A6B2A"/>
    <w:rsid w:val="005A6E36"/>
    <w:rsid w:val="005A75A3"/>
    <w:rsid w:val="005A7790"/>
    <w:rsid w:val="005A7CBE"/>
    <w:rsid w:val="005B097E"/>
    <w:rsid w:val="005B0B58"/>
    <w:rsid w:val="005B0BC4"/>
    <w:rsid w:val="005B0C18"/>
    <w:rsid w:val="005B0D96"/>
    <w:rsid w:val="005B0E48"/>
    <w:rsid w:val="005B0E73"/>
    <w:rsid w:val="005B1123"/>
    <w:rsid w:val="005B1135"/>
    <w:rsid w:val="005B115E"/>
    <w:rsid w:val="005B119A"/>
    <w:rsid w:val="005B175E"/>
    <w:rsid w:val="005B19CA"/>
    <w:rsid w:val="005B1D20"/>
    <w:rsid w:val="005B201A"/>
    <w:rsid w:val="005B219A"/>
    <w:rsid w:val="005B2309"/>
    <w:rsid w:val="005B252A"/>
    <w:rsid w:val="005B2C76"/>
    <w:rsid w:val="005B2CFF"/>
    <w:rsid w:val="005B2EFE"/>
    <w:rsid w:val="005B3062"/>
    <w:rsid w:val="005B3132"/>
    <w:rsid w:val="005B31B8"/>
    <w:rsid w:val="005B326C"/>
    <w:rsid w:val="005B3BF0"/>
    <w:rsid w:val="005B3F6A"/>
    <w:rsid w:val="005B3F6D"/>
    <w:rsid w:val="005B3FD4"/>
    <w:rsid w:val="005B43E5"/>
    <w:rsid w:val="005B4C28"/>
    <w:rsid w:val="005B4E53"/>
    <w:rsid w:val="005B4F14"/>
    <w:rsid w:val="005B5024"/>
    <w:rsid w:val="005B5326"/>
    <w:rsid w:val="005B5857"/>
    <w:rsid w:val="005B5899"/>
    <w:rsid w:val="005B5943"/>
    <w:rsid w:val="005B59FD"/>
    <w:rsid w:val="005B5C81"/>
    <w:rsid w:val="005B5DDC"/>
    <w:rsid w:val="005B62A4"/>
    <w:rsid w:val="005B62EE"/>
    <w:rsid w:val="005B640F"/>
    <w:rsid w:val="005B65FD"/>
    <w:rsid w:val="005B66FB"/>
    <w:rsid w:val="005B6786"/>
    <w:rsid w:val="005B6F3C"/>
    <w:rsid w:val="005B7060"/>
    <w:rsid w:val="005B717E"/>
    <w:rsid w:val="005B72BA"/>
    <w:rsid w:val="005B73C5"/>
    <w:rsid w:val="005B7882"/>
    <w:rsid w:val="005B7A48"/>
    <w:rsid w:val="005B7ACB"/>
    <w:rsid w:val="005B7EE2"/>
    <w:rsid w:val="005C01F6"/>
    <w:rsid w:val="005C0520"/>
    <w:rsid w:val="005C06B1"/>
    <w:rsid w:val="005C0AEC"/>
    <w:rsid w:val="005C0B38"/>
    <w:rsid w:val="005C0F27"/>
    <w:rsid w:val="005C103F"/>
    <w:rsid w:val="005C12EC"/>
    <w:rsid w:val="005C19C4"/>
    <w:rsid w:val="005C1B83"/>
    <w:rsid w:val="005C1CFB"/>
    <w:rsid w:val="005C23CB"/>
    <w:rsid w:val="005C24E1"/>
    <w:rsid w:val="005C25FF"/>
    <w:rsid w:val="005C2697"/>
    <w:rsid w:val="005C277B"/>
    <w:rsid w:val="005C2AAB"/>
    <w:rsid w:val="005C2D55"/>
    <w:rsid w:val="005C30F7"/>
    <w:rsid w:val="005C346B"/>
    <w:rsid w:val="005C353E"/>
    <w:rsid w:val="005C369E"/>
    <w:rsid w:val="005C3716"/>
    <w:rsid w:val="005C3717"/>
    <w:rsid w:val="005C3B18"/>
    <w:rsid w:val="005C3E7A"/>
    <w:rsid w:val="005C3E93"/>
    <w:rsid w:val="005C4335"/>
    <w:rsid w:val="005C4697"/>
    <w:rsid w:val="005C46E6"/>
    <w:rsid w:val="005C46F3"/>
    <w:rsid w:val="005C4727"/>
    <w:rsid w:val="005C4769"/>
    <w:rsid w:val="005C4855"/>
    <w:rsid w:val="005C4A0F"/>
    <w:rsid w:val="005C5062"/>
    <w:rsid w:val="005C593F"/>
    <w:rsid w:val="005C594A"/>
    <w:rsid w:val="005C5ABC"/>
    <w:rsid w:val="005C5E99"/>
    <w:rsid w:val="005C5FCD"/>
    <w:rsid w:val="005C60C3"/>
    <w:rsid w:val="005C6443"/>
    <w:rsid w:val="005C66BE"/>
    <w:rsid w:val="005C69FE"/>
    <w:rsid w:val="005C6C2E"/>
    <w:rsid w:val="005C6DD2"/>
    <w:rsid w:val="005C6F36"/>
    <w:rsid w:val="005C6FD0"/>
    <w:rsid w:val="005C7108"/>
    <w:rsid w:val="005C72B9"/>
    <w:rsid w:val="005C73C2"/>
    <w:rsid w:val="005D0312"/>
    <w:rsid w:val="005D0329"/>
    <w:rsid w:val="005D03B9"/>
    <w:rsid w:val="005D044D"/>
    <w:rsid w:val="005D0537"/>
    <w:rsid w:val="005D0ABD"/>
    <w:rsid w:val="005D0B31"/>
    <w:rsid w:val="005D0CCE"/>
    <w:rsid w:val="005D0D8E"/>
    <w:rsid w:val="005D0DEF"/>
    <w:rsid w:val="005D0EDA"/>
    <w:rsid w:val="005D1254"/>
    <w:rsid w:val="005D14ED"/>
    <w:rsid w:val="005D157D"/>
    <w:rsid w:val="005D179F"/>
    <w:rsid w:val="005D17DE"/>
    <w:rsid w:val="005D18AD"/>
    <w:rsid w:val="005D1B2B"/>
    <w:rsid w:val="005D22A4"/>
    <w:rsid w:val="005D25E3"/>
    <w:rsid w:val="005D262F"/>
    <w:rsid w:val="005D26B4"/>
    <w:rsid w:val="005D2CD7"/>
    <w:rsid w:val="005D2E9F"/>
    <w:rsid w:val="005D3344"/>
    <w:rsid w:val="005D36C1"/>
    <w:rsid w:val="005D38A2"/>
    <w:rsid w:val="005D3EB7"/>
    <w:rsid w:val="005D448E"/>
    <w:rsid w:val="005D4525"/>
    <w:rsid w:val="005D459A"/>
    <w:rsid w:val="005D481B"/>
    <w:rsid w:val="005D4A46"/>
    <w:rsid w:val="005D4AE2"/>
    <w:rsid w:val="005D4BFF"/>
    <w:rsid w:val="005D4C01"/>
    <w:rsid w:val="005D4D0B"/>
    <w:rsid w:val="005D55C8"/>
    <w:rsid w:val="005D5B01"/>
    <w:rsid w:val="005D5C97"/>
    <w:rsid w:val="005D5D0C"/>
    <w:rsid w:val="005D5F78"/>
    <w:rsid w:val="005D62A0"/>
    <w:rsid w:val="005D645A"/>
    <w:rsid w:val="005D6F11"/>
    <w:rsid w:val="005D7011"/>
    <w:rsid w:val="005D7211"/>
    <w:rsid w:val="005D7289"/>
    <w:rsid w:val="005D77B0"/>
    <w:rsid w:val="005D78E1"/>
    <w:rsid w:val="005D7BF9"/>
    <w:rsid w:val="005D7EFD"/>
    <w:rsid w:val="005E0036"/>
    <w:rsid w:val="005E0062"/>
    <w:rsid w:val="005E0A0D"/>
    <w:rsid w:val="005E0E5C"/>
    <w:rsid w:val="005E14DC"/>
    <w:rsid w:val="005E15C1"/>
    <w:rsid w:val="005E1986"/>
    <w:rsid w:val="005E1995"/>
    <w:rsid w:val="005E1B4C"/>
    <w:rsid w:val="005E1C6A"/>
    <w:rsid w:val="005E1CC6"/>
    <w:rsid w:val="005E1D50"/>
    <w:rsid w:val="005E1F61"/>
    <w:rsid w:val="005E2269"/>
    <w:rsid w:val="005E232F"/>
    <w:rsid w:val="005E25B0"/>
    <w:rsid w:val="005E2927"/>
    <w:rsid w:val="005E2AB8"/>
    <w:rsid w:val="005E2B58"/>
    <w:rsid w:val="005E2BDE"/>
    <w:rsid w:val="005E31D7"/>
    <w:rsid w:val="005E32BB"/>
    <w:rsid w:val="005E3376"/>
    <w:rsid w:val="005E3739"/>
    <w:rsid w:val="005E39B1"/>
    <w:rsid w:val="005E4105"/>
    <w:rsid w:val="005E432D"/>
    <w:rsid w:val="005E4DAE"/>
    <w:rsid w:val="005E4F5D"/>
    <w:rsid w:val="005E4FAD"/>
    <w:rsid w:val="005E4FD7"/>
    <w:rsid w:val="005E55AB"/>
    <w:rsid w:val="005E57FD"/>
    <w:rsid w:val="005E5A1D"/>
    <w:rsid w:val="005E6379"/>
    <w:rsid w:val="005E660C"/>
    <w:rsid w:val="005E68A9"/>
    <w:rsid w:val="005E692A"/>
    <w:rsid w:val="005E6CBC"/>
    <w:rsid w:val="005E7002"/>
    <w:rsid w:val="005E72FF"/>
    <w:rsid w:val="005E7303"/>
    <w:rsid w:val="005E73C0"/>
    <w:rsid w:val="005E7402"/>
    <w:rsid w:val="005E7771"/>
    <w:rsid w:val="005E7D55"/>
    <w:rsid w:val="005E7EDD"/>
    <w:rsid w:val="005F0286"/>
    <w:rsid w:val="005F042F"/>
    <w:rsid w:val="005F07ED"/>
    <w:rsid w:val="005F09BD"/>
    <w:rsid w:val="005F09D2"/>
    <w:rsid w:val="005F0B6E"/>
    <w:rsid w:val="005F0DC1"/>
    <w:rsid w:val="005F10FC"/>
    <w:rsid w:val="005F1B05"/>
    <w:rsid w:val="005F1C55"/>
    <w:rsid w:val="005F1FAF"/>
    <w:rsid w:val="005F2438"/>
    <w:rsid w:val="005F2706"/>
    <w:rsid w:val="005F28CC"/>
    <w:rsid w:val="005F2C20"/>
    <w:rsid w:val="005F339D"/>
    <w:rsid w:val="005F3590"/>
    <w:rsid w:val="005F37F8"/>
    <w:rsid w:val="005F38AD"/>
    <w:rsid w:val="005F3CAB"/>
    <w:rsid w:val="005F3E5D"/>
    <w:rsid w:val="005F4329"/>
    <w:rsid w:val="005F47AA"/>
    <w:rsid w:val="005F4A5E"/>
    <w:rsid w:val="005F4B95"/>
    <w:rsid w:val="005F4BB6"/>
    <w:rsid w:val="005F4CAF"/>
    <w:rsid w:val="005F4ED8"/>
    <w:rsid w:val="005F4F9E"/>
    <w:rsid w:val="005F5501"/>
    <w:rsid w:val="005F5556"/>
    <w:rsid w:val="005F555F"/>
    <w:rsid w:val="005F5668"/>
    <w:rsid w:val="005F592F"/>
    <w:rsid w:val="005F63B1"/>
    <w:rsid w:val="005F63F8"/>
    <w:rsid w:val="005F6A8F"/>
    <w:rsid w:val="005F6BB7"/>
    <w:rsid w:val="005F72CF"/>
    <w:rsid w:val="005F753D"/>
    <w:rsid w:val="005F7588"/>
    <w:rsid w:val="0060057E"/>
    <w:rsid w:val="006007F2"/>
    <w:rsid w:val="00600A1B"/>
    <w:rsid w:val="00600EB4"/>
    <w:rsid w:val="00600FDF"/>
    <w:rsid w:val="006012EA"/>
    <w:rsid w:val="006013C6"/>
    <w:rsid w:val="006015A7"/>
    <w:rsid w:val="006015F9"/>
    <w:rsid w:val="00601774"/>
    <w:rsid w:val="00601C9E"/>
    <w:rsid w:val="006022C2"/>
    <w:rsid w:val="006022EC"/>
    <w:rsid w:val="006028D3"/>
    <w:rsid w:val="00602A3F"/>
    <w:rsid w:val="00602A99"/>
    <w:rsid w:val="00602BF9"/>
    <w:rsid w:val="00602C0F"/>
    <w:rsid w:val="00602E68"/>
    <w:rsid w:val="00603801"/>
    <w:rsid w:val="0060397C"/>
    <w:rsid w:val="00603DB9"/>
    <w:rsid w:val="00604024"/>
    <w:rsid w:val="0060402A"/>
    <w:rsid w:val="0060410E"/>
    <w:rsid w:val="0060423D"/>
    <w:rsid w:val="00604395"/>
    <w:rsid w:val="006043A1"/>
    <w:rsid w:val="00604517"/>
    <w:rsid w:val="00604528"/>
    <w:rsid w:val="006047AB"/>
    <w:rsid w:val="006047F1"/>
    <w:rsid w:val="00605039"/>
    <w:rsid w:val="00605952"/>
    <w:rsid w:val="006059AE"/>
    <w:rsid w:val="00605AD9"/>
    <w:rsid w:val="00605DF8"/>
    <w:rsid w:val="00606097"/>
    <w:rsid w:val="00606621"/>
    <w:rsid w:val="0060665F"/>
    <w:rsid w:val="00606A45"/>
    <w:rsid w:val="00606C05"/>
    <w:rsid w:val="00606C34"/>
    <w:rsid w:val="00606FB8"/>
    <w:rsid w:val="00606FBA"/>
    <w:rsid w:val="0060719D"/>
    <w:rsid w:val="00607669"/>
    <w:rsid w:val="006076F4"/>
    <w:rsid w:val="00607729"/>
    <w:rsid w:val="006078E4"/>
    <w:rsid w:val="00607AFD"/>
    <w:rsid w:val="00607D44"/>
    <w:rsid w:val="00607F81"/>
    <w:rsid w:val="00607FA8"/>
    <w:rsid w:val="0061035A"/>
    <w:rsid w:val="00611082"/>
    <w:rsid w:val="0061120B"/>
    <w:rsid w:val="006113FB"/>
    <w:rsid w:val="006116A4"/>
    <w:rsid w:val="006117B0"/>
    <w:rsid w:val="00611B12"/>
    <w:rsid w:val="00611CA1"/>
    <w:rsid w:val="00611EB0"/>
    <w:rsid w:val="006123F5"/>
    <w:rsid w:val="0061263B"/>
    <w:rsid w:val="006127EB"/>
    <w:rsid w:val="006127FD"/>
    <w:rsid w:val="00612CFC"/>
    <w:rsid w:val="00612F97"/>
    <w:rsid w:val="0061345D"/>
    <w:rsid w:val="00613591"/>
    <w:rsid w:val="00613638"/>
    <w:rsid w:val="00613673"/>
    <w:rsid w:val="0061394D"/>
    <w:rsid w:val="00613997"/>
    <w:rsid w:val="00613C3B"/>
    <w:rsid w:val="00613F77"/>
    <w:rsid w:val="00614153"/>
    <w:rsid w:val="006142A6"/>
    <w:rsid w:val="00614F15"/>
    <w:rsid w:val="00615163"/>
    <w:rsid w:val="00615494"/>
    <w:rsid w:val="0061549B"/>
    <w:rsid w:val="00615581"/>
    <w:rsid w:val="006157A1"/>
    <w:rsid w:val="00615C80"/>
    <w:rsid w:val="00616073"/>
    <w:rsid w:val="0061627A"/>
    <w:rsid w:val="006162B8"/>
    <w:rsid w:val="00616637"/>
    <w:rsid w:val="006167FD"/>
    <w:rsid w:val="00616802"/>
    <w:rsid w:val="006168B6"/>
    <w:rsid w:val="00616921"/>
    <w:rsid w:val="006169BB"/>
    <w:rsid w:val="006171EF"/>
    <w:rsid w:val="006172AF"/>
    <w:rsid w:val="00617331"/>
    <w:rsid w:val="00617E12"/>
    <w:rsid w:val="00620123"/>
    <w:rsid w:val="00620736"/>
    <w:rsid w:val="00620A31"/>
    <w:rsid w:val="00620A53"/>
    <w:rsid w:val="00620C25"/>
    <w:rsid w:val="00620E0B"/>
    <w:rsid w:val="00620E28"/>
    <w:rsid w:val="00620E92"/>
    <w:rsid w:val="006210C0"/>
    <w:rsid w:val="0062121C"/>
    <w:rsid w:val="00621301"/>
    <w:rsid w:val="006213F4"/>
    <w:rsid w:val="00621477"/>
    <w:rsid w:val="006215AF"/>
    <w:rsid w:val="0062189B"/>
    <w:rsid w:val="00621A3D"/>
    <w:rsid w:val="00621ADA"/>
    <w:rsid w:val="00623052"/>
    <w:rsid w:val="00623309"/>
    <w:rsid w:val="0062343B"/>
    <w:rsid w:val="00623749"/>
    <w:rsid w:val="00623D5F"/>
    <w:rsid w:val="00623F7B"/>
    <w:rsid w:val="006241A7"/>
    <w:rsid w:val="006243B4"/>
    <w:rsid w:val="0062468E"/>
    <w:rsid w:val="006246BC"/>
    <w:rsid w:val="006248D3"/>
    <w:rsid w:val="006249FC"/>
    <w:rsid w:val="00624BD4"/>
    <w:rsid w:val="006252C9"/>
    <w:rsid w:val="00625540"/>
    <w:rsid w:val="006258AA"/>
    <w:rsid w:val="00625CED"/>
    <w:rsid w:val="00625E4F"/>
    <w:rsid w:val="0062601A"/>
    <w:rsid w:val="0062609A"/>
    <w:rsid w:val="0062666A"/>
    <w:rsid w:val="0062667A"/>
    <w:rsid w:val="00626825"/>
    <w:rsid w:val="0062690D"/>
    <w:rsid w:val="00626975"/>
    <w:rsid w:val="00626CDA"/>
    <w:rsid w:val="00626FD3"/>
    <w:rsid w:val="00627090"/>
    <w:rsid w:val="0062778A"/>
    <w:rsid w:val="00627987"/>
    <w:rsid w:val="00627A21"/>
    <w:rsid w:val="00627A57"/>
    <w:rsid w:val="00627D8C"/>
    <w:rsid w:val="00627E38"/>
    <w:rsid w:val="00627F31"/>
    <w:rsid w:val="006300F4"/>
    <w:rsid w:val="006303CB"/>
    <w:rsid w:val="00630AD1"/>
    <w:rsid w:val="00630F3D"/>
    <w:rsid w:val="0063111F"/>
    <w:rsid w:val="006311E5"/>
    <w:rsid w:val="0063158F"/>
    <w:rsid w:val="00631D6B"/>
    <w:rsid w:val="00631E8E"/>
    <w:rsid w:val="006320DC"/>
    <w:rsid w:val="00632183"/>
    <w:rsid w:val="0063262B"/>
    <w:rsid w:val="00632788"/>
    <w:rsid w:val="006330A1"/>
    <w:rsid w:val="00633355"/>
    <w:rsid w:val="006334CD"/>
    <w:rsid w:val="00633B5B"/>
    <w:rsid w:val="00633B76"/>
    <w:rsid w:val="00633F40"/>
    <w:rsid w:val="0063479F"/>
    <w:rsid w:val="00634BB2"/>
    <w:rsid w:val="00634BFD"/>
    <w:rsid w:val="00634D44"/>
    <w:rsid w:val="00634EC2"/>
    <w:rsid w:val="00634FAB"/>
    <w:rsid w:val="006353F0"/>
    <w:rsid w:val="00635538"/>
    <w:rsid w:val="0063564F"/>
    <w:rsid w:val="006357B5"/>
    <w:rsid w:val="00635AB6"/>
    <w:rsid w:val="00635FC5"/>
    <w:rsid w:val="006360D6"/>
    <w:rsid w:val="00636191"/>
    <w:rsid w:val="006362A0"/>
    <w:rsid w:val="006364A1"/>
    <w:rsid w:val="006364C9"/>
    <w:rsid w:val="0063678E"/>
    <w:rsid w:val="00636857"/>
    <w:rsid w:val="00636963"/>
    <w:rsid w:val="00636A7D"/>
    <w:rsid w:val="00636BD1"/>
    <w:rsid w:val="00636CB0"/>
    <w:rsid w:val="00636CFA"/>
    <w:rsid w:val="00636F46"/>
    <w:rsid w:val="006372AA"/>
    <w:rsid w:val="00637327"/>
    <w:rsid w:val="00637789"/>
    <w:rsid w:val="006378A9"/>
    <w:rsid w:val="00637BFD"/>
    <w:rsid w:val="00637C5C"/>
    <w:rsid w:val="00637E1C"/>
    <w:rsid w:val="00637F08"/>
    <w:rsid w:val="0064021E"/>
    <w:rsid w:val="0064033B"/>
    <w:rsid w:val="006404D1"/>
    <w:rsid w:val="00640AD6"/>
    <w:rsid w:val="00640F33"/>
    <w:rsid w:val="00640FB2"/>
    <w:rsid w:val="006410FE"/>
    <w:rsid w:val="0064127A"/>
    <w:rsid w:val="00641626"/>
    <w:rsid w:val="00641691"/>
    <w:rsid w:val="00641BC6"/>
    <w:rsid w:val="00641BF1"/>
    <w:rsid w:val="00641C24"/>
    <w:rsid w:val="00641C4E"/>
    <w:rsid w:val="00641FB3"/>
    <w:rsid w:val="00642076"/>
    <w:rsid w:val="0064218B"/>
    <w:rsid w:val="006423AE"/>
    <w:rsid w:val="006427A0"/>
    <w:rsid w:val="00642EED"/>
    <w:rsid w:val="0064301F"/>
    <w:rsid w:val="00643200"/>
    <w:rsid w:val="00643282"/>
    <w:rsid w:val="00643399"/>
    <w:rsid w:val="006433B5"/>
    <w:rsid w:val="00643A24"/>
    <w:rsid w:val="006441D3"/>
    <w:rsid w:val="0064426C"/>
    <w:rsid w:val="00644318"/>
    <w:rsid w:val="0064434C"/>
    <w:rsid w:val="0064499A"/>
    <w:rsid w:val="00644AE1"/>
    <w:rsid w:val="00644C4D"/>
    <w:rsid w:val="00644D48"/>
    <w:rsid w:val="00644E2E"/>
    <w:rsid w:val="00645018"/>
    <w:rsid w:val="00646219"/>
    <w:rsid w:val="00646542"/>
    <w:rsid w:val="00646F46"/>
    <w:rsid w:val="006471CC"/>
    <w:rsid w:val="006472FE"/>
    <w:rsid w:val="00647575"/>
    <w:rsid w:val="00647614"/>
    <w:rsid w:val="00647805"/>
    <w:rsid w:val="006478D2"/>
    <w:rsid w:val="006479BD"/>
    <w:rsid w:val="00647A29"/>
    <w:rsid w:val="00647F42"/>
    <w:rsid w:val="00647FBF"/>
    <w:rsid w:val="006502C9"/>
    <w:rsid w:val="0065079F"/>
    <w:rsid w:val="0065080B"/>
    <w:rsid w:val="00650846"/>
    <w:rsid w:val="006509C1"/>
    <w:rsid w:val="00650C13"/>
    <w:rsid w:val="00650EA3"/>
    <w:rsid w:val="00651124"/>
    <w:rsid w:val="006511E2"/>
    <w:rsid w:val="00651863"/>
    <w:rsid w:val="00651A7D"/>
    <w:rsid w:val="00651E77"/>
    <w:rsid w:val="006525DC"/>
    <w:rsid w:val="006528F4"/>
    <w:rsid w:val="00652A28"/>
    <w:rsid w:val="00652AA5"/>
    <w:rsid w:val="00652F8B"/>
    <w:rsid w:val="0065302C"/>
    <w:rsid w:val="006530EB"/>
    <w:rsid w:val="006532CD"/>
    <w:rsid w:val="0065333D"/>
    <w:rsid w:val="00653747"/>
    <w:rsid w:val="0065379F"/>
    <w:rsid w:val="006537E1"/>
    <w:rsid w:val="00653A24"/>
    <w:rsid w:val="00653B17"/>
    <w:rsid w:val="00653B2C"/>
    <w:rsid w:val="00653CE3"/>
    <w:rsid w:val="00653DE1"/>
    <w:rsid w:val="00653FF1"/>
    <w:rsid w:val="00654050"/>
    <w:rsid w:val="006541C4"/>
    <w:rsid w:val="00654504"/>
    <w:rsid w:val="00654A0F"/>
    <w:rsid w:val="00654A9E"/>
    <w:rsid w:val="00654F1F"/>
    <w:rsid w:val="00655066"/>
    <w:rsid w:val="006552D4"/>
    <w:rsid w:val="0065541E"/>
    <w:rsid w:val="00655478"/>
    <w:rsid w:val="00655838"/>
    <w:rsid w:val="00655B4A"/>
    <w:rsid w:val="00655C55"/>
    <w:rsid w:val="00655EA0"/>
    <w:rsid w:val="00656188"/>
    <w:rsid w:val="00656204"/>
    <w:rsid w:val="00656280"/>
    <w:rsid w:val="0065672B"/>
    <w:rsid w:val="006568D1"/>
    <w:rsid w:val="00656A38"/>
    <w:rsid w:val="00656BEC"/>
    <w:rsid w:val="00656C4B"/>
    <w:rsid w:val="00656E84"/>
    <w:rsid w:val="00656EE9"/>
    <w:rsid w:val="00656F2F"/>
    <w:rsid w:val="0065715A"/>
    <w:rsid w:val="00657390"/>
    <w:rsid w:val="006577EA"/>
    <w:rsid w:val="00657D70"/>
    <w:rsid w:val="00657E84"/>
    <w:rsid w:val="00657F6C"/>
    <w:rsid w:val="00660031"/>
    <w:rsid w:val="0066050D"/>
    <w:rsid w:val="0066082D"/>
    <w:rsid w:val="00660D51"/>
    <w:rsid w:val="006610F1"/>
    <w:rsid w:val="0066185A"/>
    <w:rsid w:val="0066195C"/>
    <w:rsid w:val="00661A0D"/>
    <w:rsid w:val="00661AA9"/>
    <w:rsid w:val="00661C6B"/>
    <w:rsid w:val="00661C80"/>
    <w:rsid w:val="00661EA0"/>
    <w:rsid w:val="006620DB"/>
    <w:rsid w:val="006621EB"/>
    <w:rsid w:val="00662BFC"/>
    <w:rsid w:val="00662C13"/>
    <w:rsid w:val="00662D35"/>
    <w:rsid w:val="00662D3E"/>
    <w:rsid w:val="006630BA"/>
    <w:rsid w:val="006635A7"/>
    <w:rsid w:val="0066421B"/>
    <w:rsid w:val="00664352"/>
    <w:rsid w:val="0066440E"/>
    <w:rsid w:val="006646D4"/>
    <w:rsid w:val="00664797"/>
    <w:rsid w:val="006648F9"/>
    <w:rsid w:val="00664B37"/>
    <w:rsid w:val="00664E26"/>
    <w:rsid w:val="00665126"/>
    <w:rsid w:val="00665225"/>
    <w:rsid w:val="006652F0"/>
    <w:rsid w:val="00666475"/>
    <w:rsid w:val="00666A23"/>
    <w:rsid w:val="00666A90"/>
    <w:rsid w:val="00666C28"/>
    <w:rsid w:val="006670B4"/>
    <w:rsid w:val="00667198"/>
    <w:rsid w:val="006676FC"/>
    <w:rsid w:val="0066780D"/>
    <w:rsid w:val="00667BE3"/>
    <w:rsid w:val="00667F87"/>
    <w:rsid w:val="00670038"/>
    <w:rsid w:val="00670161"/>
    <w:rsid w:val="006703D8"/>
    <w:rsid w:val="006709F1"/>
    <w:rsid w:val="00671004"/>
    <w:rsid w:val="0067137B"/>
    <w:rsid w:val="00671697"/>
    <w:rsid w:val="00671B04"/>
    <w:rsid w:val="00671DEA"/>
    <w:rsid w:val="00671EB1"/>
    <w:rsid w:val="006720D0"/>
    <w:rsid w:val="0067215A"/>
    <w:rsid w:val="00672385"/>
    <w:rsid w:val="006725EA"/>
    <w:rsid w:val="00672646"/>
    <w:rsid w:val="0067265D"/>
    <w:rsid w:val="006726EE"/>
    <w:rsid w:val="0067276D"/>
    <w:rsid w:val="00672D0F"/>
    <w:rsid w:val="00672DAD"/>
    <w:rsid w:val="00672FED"/>
    <w:rsid w:val="00673831"/>
    <w:rsid w:val="00673A77"/>
    <w:rsid w:val="00673FBF"/>
    <w:rsid w:val="00674534"/>
    <w:rsid w:val="00674A70"/>
    <w:rsid w:val="00674B97"/>
    <w:rsid w:val="00674C15"/>
    <w:rsid w:val="00674E42"/>
    <w:rsid w:val="00674EC6"/>
    <w:rsid w:val="00674FF1"/>
    <w:rsid w:val="0067588D"/>
    <w:rsid w:val="00675918"/>
    <w:rsid w:val="006759CB"/>
    <w:rsid w:val="00675AC2"/>
    <w:rsid w:val="00675B4A"/>
    <w:rsid w:val="00675D37"/>
    <w:rsid w:val="00675E2F"/>
    <w:rsid w:val="00675F18"/>
    <w:rsid w:val="006760A2"/>
    <w:rsid w:val="00676563"/>
    <w:rsid w:val="00676743"/>
    <w:rsid w:val="006769E9"/>
    <w:rsid w:val="00676CD3"/>
    <w:rsid w:val="00676F44"/>
    <w:rsid w:val="006772AB"/>
    <w:rsid w:val="00677373"/>
    <w:rsid w:val="006776A5"/>
    <w:rsid w:val="0067798A"/>
    <w:rsid w:val="00677993"/>
    <w:rsid w:val="00680354"/>
    <w:rsid w:val="006811EC"/>
    <w:rsid w:val="006813F8"/>
    <w:rsid w:val="00681CA2"/>
    <w:rsid w:val="00681D34"/>
    <w:rsid w:val="00681E6A"/>
    <w:rsid w:val="00682112"/>
    <w:rsid w:val="006825AA"/>
    <w:rsid w:val="006826D7"/>
    <w:rsid w:val="00682708"/>
    <w:rsid w:val="00682BA6"/>
    <w:rsid w:val="00682DF2"/>
    <w:rsid w:val="00682F98"/>
    <w:rsid w:val="00683171"/>
    <w:rsid w:val="006834AE"/>
    <w:rsid w:val="006835C9"/>
    <w:rsid w:val="00683658"/>
    <w:rsid w:val="0068369C"/>
    <w:rsid w:val="006839E3"/>
    <w:rsid w:val="00683BE0"/>
    <w:rsid w:val="00683C9E"/>
    <w:rsid w:val="00683CDA"/>
    <w:rsid w:val="006842E4"/>
    <w:rsid w:val="00684963"/>
    <w:rsid w:val="00684EDE"/>
    <w:rsid w:val="00684F1A"/>
    <w:rsid w:val="00685016"/>
    <w:rsid w:val="006852B8"/>
    <w:rsid w:val="006857B8"/>
    <w:rsid w:val="00685A13"/>
    <w:rsid w:val="00685A1A"/>
    <w:rsid w:val="00685A7E"/>
    <w:rsid w:val="00685C9A"/>
    <w:rsid w:val="00685FB4"/>
    <w:rsid w:val="00685FFB"/>
    <w:rsid w:val="006860A3"/>
    <w:rsid w:val="006861AC"/>
    <w:rsid w:val="00686957"/>
    <w:rsid w:val="00686AE9"/>
    <w:rsid w:val="00686BC8"/>
    <w:rsid w:val="00686C38"/>
    <w:rsid w:val="00687099"/>
    <w:rsid w:val="006872BA"/>
    <w:rsid w:val="006873BD"/>
    <w:rsid w:val="006875F4"/>
    <w:rsid w:val="0068770F"/>
    <w:rsid w:val="00687755"/>
    <w:rsid w:val="006879DC"/>
    <w:rsid w:val="00687D73"/>
    <w:rsid w:val="00690130"/>
    <w:rsid w:val="00690795"/>
    <w:rsid w:val="00690892"/>
    <w:rsid w:val="0069150C"/>
    <w:rsid w:val="00691648"/>
    <w:rsid w:val="006917D7"/>
    <w:rsid w:val="00691A1A"/>
    <w:rsid w:val="00691A84"/>
    <w:rsid w:val="00691DA5"/>
    <w:rsid w:val="006921C2"/>
    <w:rsid w:val="0069223C"/>
    <w:rsid w:val="0069248A"/>
    <w:rsid w:val="00692588"/>
    <w:rsid w:val="006929CB"/>
    <w:rsid w:val="00692A34"/>
    <w:rsid w:val="00692CFE"/>
    <w:rsid w:val="0069334C"/>
    <w:rsid w:val="0069363E"/>
    <w:rsid w:val="00693718"/>
    <w:rsid w:val="0069373C"/>
    <w:rsid w:val="00693A08"/>
    <w:rsid w:val="00693B02"/>
    <w:rsid w:val="00693C83"/>
    <w:rsid w:val="00693F2C"/>
    <w:rsid w:val="00694087"/>
    <w:rsid w:val="00694103"/>
    <w:rsid w:val="0069434C"/>
    <w:rsid w:val="006944B3"/>
    <w:rsid w:val="00694765"/>
    <w:rsid w:val="006948AF"/>
    <w:rsid w:val="006948BB"/>
    <w:rsid w:val="006949A3"/>
    <w:rsid w:val="00694BF4"/>
    <w:rsid w:val="00694CF0"/>
    <w:rsid w:val="00694D72"/>
    <w:rsid w:val="00694F44"/>
    <w:rsid w:val="006952D1"/>
    <w:rsid w:val="00695F67"/>
    <w:rsid w:val="00696327"/>
    <w:rsid w:val="00696E66"/>
    <w:rsid w:val="00696EF9"/>
    <w:rsid w:val="00696F51"/>
    <w:rsid w:val="006973A3"/>
    <w:rsid w:val="0069748F"/>
    <w:rsid w:val="006974C4"/>
    <w:rsid w:val="006979A5"/>
    <w:rsid w:val="00697A23"/>
    <w:rsid w:val="00697C33"/>
    <w:rsid w:val="00697F8F"/>
    <w:rsid w:val="006A013A"/>
    <w:rsid w:val="006A016F"/>
    <w:rsid w:val="006A0229"/>
    <w:rsid w:val="006A0381"/>
    <w:rsid w:val="006A03A6"/>
    <w:rsid w:val="006A068A"/>
    <w:rsid w:val="006A08C2"/>
    <w:rsid w:val="006A0B19"/>
    <w:rsid w:val="006A0B5C"/>
    <w:rsid w:val="006A0BF2"/>
    <w:rsid w:val="006A0C56"/>
    <w:rsid w:val="006A0DF7"/>
    <w:rsid w:val="006A1026"/>
    <w:rsid w:val="006A14C4"/>
    <w:rsid w:val="006A15F1"/>
    <w:rsid w:val="006A1C93"/>
    <w:rsid w:val="006A1CBA"/>
    <w:rsid w:val="006A205F"/>
    <w:rsid w:val="006A215D"/>
    <w:rsid w:val="006A238E"/>
    <w:rsid w:val="006A279A"/>
    <w:rsid w:val="006A295B"/>
    <w:rsid w:val="006A2E63"/>
    <w:rsid w:val="006A3083"/>
    <w:rsid w:val="006A3209"/>
    <w:rsid w:val="006A3228"/>
    <w:rsid w:val="006A3286"/>
    <w:rsid w:val="006A35AE"/>
    <w:rsid w:val="006A375C"/>
    <w:rsid w:val="006A3942"/>
    <w:rsid w:val="006A3DEA"/>
    <w:rsid w:val="006A3E36"/>
    <w:rsid w:val="006A42A3"/>
    <w:rsid w:val="006A42D9"/>
    <w:rsid w:val="006A4321"/>
    <w:rsid w:val="006A435F"/>
    <w:rsid w:val="006A43D9"/>
    <w:rsid w:val="006A4682"/>
    <w:rsid w:val="006A4915"/>
    <w:rsid w:val="006A4B74"/>
    <w:rsid w:val="006A4FAE"/>
    <w:rsid w:val="006A4FCB"/>
    <w:rsid w:val="006A4FDC"/>
    <w:rsid w:val="006A512C"/>
    <w:rsid w:val="006A5193"/>
    <w:rsid w:val="006A52C6"/>
    <w:rsid w:val="006A5361"/>
    <w:rsid w:val="006A56E7"/>
    <w:rsid w:val="006A571D"/>
    <w:rsid w:val="006A677A"/>
    <w:rsid w:val="006A6983"/>
    <w:rsid w:val="006A6B99"/>
    <w:rsid w:val="006A6C3A"/>
    <w:rsid w:val="006A73B0"/>
    <w:rsid w:val="006A7529"/>
    <w:rsid w:val="006A7E5F"/>
    <w:rsid w:val="006B0320"/>
    <w:rsid w:val="006B1176"/>
    <w:rsid w:val="006B1431"/>
    <w:rsid w:val="006B1AAF"/>
    <w:rsid w:val="006B1AB9"/>
    <w:rsid w:val="006B1AE8"/>
    <w:rsid w:val="006B260A"/>
    <w:rsid w:val="006B261B"/>
    <w:rsid w:val="006B2BAC"/>
    <w:rsid w:val="006B2C90"/>
    <w:rsid w:val="006B306A"/>
    <w:rsid w:val="006B34A2"/>
    <w:rsid w:val="006B35E6"/>
    <w:rsid w:val="006B36C3"/>
    <w:rsid w:val="006B37F9"/>
    <w:rsid w:val="006B3EBF"/>
    <w:rsid w:val="006B4050"/>
    <w:rsid w:val="006B465A"/>
    <w:rsid w:val="006B46E1"/>
    <w:rsid w:val="006B4C19"/>
    <w:rsid w:val="006B5134"/>
    <w:rsid w:val="006B524B"/>
    <w:rsid w:val="006B5873"/>
    <w:rsid w:val="006B5A9D"/>
    <w:rsid w:val="006B6068"/>
    <w:rsid w:val="006B65E5"/>
    <w:rsid w:val="006B6DD0"/>
    <w:rsid w:val="006B7B50"/>
    <w:rsid w:val="006C011D"/>
    <w:rsid w:val="006C015F"/>
    <w:rsid w:val="006C01C2"/>
    <w:rsid w:val="006C0236"/>
    <w:rsid w:val="006C036F"/>
    <w:rsid w:val="006C0399"/>
    <w:rsid w:val="006C073C"/>
    <w:rsid w:val="006C0B28"/>
    <w:rsid w:val="006C10C2"/>
    <w:rsid w:val="006C124A"/>
    <w:rsid w:val="006C138A"/>
    <w:rsid w:val="006C140F"/>
    <w:rsid w:val="006C1802"/>
    <w:rsid w:val="006C182C"/>
    <w:rsid w:val="006C1A8F"/>
    <w:rsid w:val="006C1AC0"/>
    <w:rsid w:val="006C1C47"/>
    <w:rsid w:val="006C1D89"/>
    <w:rsid w:val="006C1F87"/>
    <w:rsid w:val="006C20B2"/>
    <w:rsid w:val="006C228A"/>
    <w:rsid w:val="006C24FD"/>
    <w:rsid w:val="006C25F5"/>
    <w:rsid w:val="006C2A8E"/>
    <w:rsid w:val="006C2BE4"/>
    <w:rsid w:val="006C3255"/>
    <w:rsid w:val="006C3321"/>
    <w:rsid w:val="006C3379"/>
    <w:rsid w:val="006C372E"/>
    <w:rsid w:val="006C38EC"/>
    <w:rsid w:val="006C3F26"/>
    <w:rsid w:val="006C42C2"/>
    <w:rsid w:val="006C4DEC"/>
    <w:rsid w:val="006C525F"/>
    <w:rsid w:val="006C56DD"/>
    <w:rsid w:val="006C578F"/>
    <w:rsid w:val="006C588E"/>
    <w:rsid w:val="006C5A2B"/>
    <w:rsid w:val="006C5BB2"/>
    <w:rsid w:val="006C5C64"/>
    <w:rsid w:val="006C6660"/>
    <w:rsid w:val="006C67A2"/>
    <w:rsid w:val="006C685F"/>
    <w:rsid w:val="006C6A8F"/>
    <w:rsid w:val="006C6CBA"/>
    <w:rsid w:val="006C6EA6"/>
    <w:rsid w:val="006C7129"/>
    <w:rsid w:val="006C7725"/>
    <w:rsid w:val="006C785F"/>
    <w:rsid w:val="006C78D3"/>
    <w:rsid w:val="006C7905"/>
    <w:rsid w:val="006C7DC7"/>
    <w:rsid w:val="006C7DDC"/>
    <w:rsid w:val="006D01D5"/>
    <w:rsid w:val="006D032D"/>
    <w:rsid w:val="006D0406"/>
    <w:rsid w:val="006D05CE"/>
    <w:rsid w:val="006D0766"/>
    <w:rsid w:val="006D0A29"/>
    <w:rsid w:val="006D0A79"/>
    <w:rsid w:val="006D0D17"/>
    <w:rsid w:val="006D0D41"/>
    <w:rsid w:val="006D0EC1"/>
    <w:rsid w:val="006D0EFB"/>
    <w:rsid w:val="006D0F7F"/>
    <w:rsid w:val="006D1415"/>
    <w:rsid w:val="006D1495"/>
    <w:rsid w:val="006D154B"/>
    <w:rsid w:val="006D15BE"/>
    <w:rsid w:val="006D1969"/>
    <w:rsid w:val="006D1E45"/>
    <w:rsid w:val="006D2067"/>
    <w:rsid w:val="006D24B5"/>
    <w:rsid w:val="006D27EC"/>
    <w:rsid w:val="006D28CC"/>
    <w:rsid w:val="006D2AF2"/>
    <w:rsid w:val="006D2D88"/>
    <w:rsid w:val="006D2DA9"/>
    <w:rsid w:val="006D2E24"/>
    <w:rsid w:val="006D2EB9"/>
    <w:rsid w:val="006D336B"/>
    <w:rsid w:val="006D3653"/>
    <w:rsid w:val="006D37C2"/>
    <w:rsid w:val="006D3C7D"/>
    <w:rsid w:val="006D40AD"/>
    <w:rsid w:val="006D4109"/>
    <w:rsid w:val="006D426F"/>
    <w:rsid w:val="006D4317"/>
    <w:rsid w:val="006D452F"/>
    <w:rsid w:val="006D4659"/>
    <w:rsid w:val="006D4CBC"/>
    <w:rsid w:val="006D4DED"/>
    <w:rsid w:val="006D4E1E"/>
    <w:rsid w:val="006D4F38"/>
    <w:rsid w:val="006D5092"/>
    <w:rsid w:val="006D56F1"/>
    <w:rsid w:val="006D5A33"/>
    <w:rsid w:val="006D5D5F"/>
    <w:rsid w:val="006D6071"/>
    <w:rsid w:val="006D6877"/>
    <w:rsid w:val="006D68FB"/>
    <w:rsid w:val="006D69A8"/>
    <w:rsid w:val="006D6EA4"/>
    <w:rsid w:val="006D70E0"/>
    <w:rsid w:val="006D77CB"/>
    <w:rsid w:val="006E0B4B"/>
    <w:rsid w:val="006E0D7B"/>
    <w:rsid w:val="006E1024"/>
    <w:rsid w:val="006E15C8"/>
    <w:rsid w:val="006E18DE"/>
    <w:rsid w:val="006E1C25"/>
    <w:rsid w:val="006E1CC4"/>
    <w:rsid w:val="006E223F"/>
    <w:rsid w:val="006E2683"/>
    <w:rsid w:val="006E2868"/>
    <w:rsid w:val="006E2AAB"/>
    <w:rsid w:val="006E2B47"/>
    <w:rsid w:val="006E2BA4"/>
    <w:rsid w:val="006E30B1"/>
    <w:rsid w:val="006E3624"/>
    <w:rsid w:val="006E3E34"/>
    <w:rsid w:val="006E3F49"/>
    <w:rsid w:val="006E4134"/>
    <w:rsid w:val="006E4247"/>
    <w:rsid w:val="006E44B0"/>
    <w:rsid w:val="006E4824"/>
    <w:rsid w:val="006E4A29"/>
    <w:rsid w:val="006E4BAA"/>
    <w:rsid w:val="006E4C5E"/>
    <w:rsid w:val="006E551B"/>
    <w:rsid w:val="006E55A9"/>
    <w:rsid w:val="006E6507"/>
    <w:rsid w:val="006E6613"/>
    <w:rsid w:val="006E6764"/>
    <w:rsid w:val="006E6942"/>
    <w:rsid w:val="006E69B4"/>
    <w:rsid w:val="006E6A05"/>
    <w:rsid w:val="006E6A1A"/>
    <w:rsid w:val="006E6ACB"/>
    <w:rsid w:val="006E6B39"/>
    <w:rsid w:val="006E6B6B"/>
    <w:rsid w:val="006E715A"/>
    <w:rsid w:val="006E7512"/>
    <w:rsid w:val="006E766D"/>
    <w:rsid w:val="006E7C5F"/>
    <w:rsid w:val="006E7E71"/>
    <w:rsid w:val="006E7FFC"/>
    <w:rsid w:val="006F01D6"/>
    <w:rsid w:val="006F0240"/>
    <w:rsid w:val="006F118B"/>
    <w:rsid w:val="006F14CA"/>
    <w:rsid w:val="006F157E"/>
    <w:rsid w:val="006F1864"/>
    <w:rsid w:val="006F19E5"/>
    <w:rsid w:val="006F1D6D"/>
    <w:rsid w:val="006F1E25"/>
    <w:rsid w:val="006F1E60"/>
    <w:rsid w:val="006F1FD8"/>
    <w:rsid w:val="006F2083"/>
    <w:rsid w:val="006F2194"/>
    <w:rsid w:val="006F21F2"/>
    <w:rsid w:val="006F220A"/>
    <w:rsid w:val="006F2537"/>
    <w:rsid w:val="006F295F"/>
    <w:rsid w:val="006F29FE"/>
    <w:rsid w:val="006F2A55"/>
    <w:rsid w:val="006F306C"/>
    <w:rsid w:val="006F356D"/>
    <w:rsid w:val="006F3676"/>
    <w:rsid w:val="006F3C39"/>
    <w:rsid w:val="006F44C0"/>
    <w:rsid w:val="006F49AE"/>
    <w:rsid w:val="006F4D00"/>
    <w:rsid w:val="006F4F31"/>
    <w:rsid w:val="006F5058"/>
    <w:rsid w:val="006F51CD"/>
    <w:rsid w:val="006F51F2"/>
    <w:rsid w:val="006F5708"/>
    <w:rsid w:val="006F5952"/>
    <w:rsid w:val="006F5A44"/>
    <w:rsid w:val="006F5AF5"/>
    <w:rsid w:val="006F5DAC"/>
    <w:rsid w:val="006F608F"/>
    <w:rsid w:val="006F6152"/>
    <w:rsid w:val="006F63A5"/>
    <w:rsid w:val="006F64F1"/>
    <w:rsid w:val="006F67E5"/>
    <w:rsid w:val="006F6BF7"/>
    <w:rsid w:val="006F6CD4"/>
    <w:rsid w:val="006F6D15"/>
    <w:rsid w:val="006F6D46"/>
    <w:rsid w:val="006F6E00"/>
    <w:rsid w:val="006F70DC"/>
    <w:rsid w:val="006F7689"/>
    <w:rsid w:val="006F77AF"/>
    <w:rsid w:val="006F782F"/>
    <w:rsid w:val="006F7AD0"/>
    <w:rsid w:val="006F7E53"/>
    <w:rsid w:val="006F7EAC"/>
    <w:rsid w:val="006F7FEB"/>
    <w:rsid w:val="007000D8"/>
    <w:rsid w:val="00700762"/>
    <w:rsid w:val="0070076E"/>
    <w:rsid w:val="00700BE4"/>
    <w:rsid w:val="00700F0E"/>
    <w:rsid w:val="0070142B"/>
    <w:rsid w:val="007014D6"/>
    <w:rsid w:val="00701537"/>
    <w:rsid w:val="00701694"/>
    <w:rsid w:val="00701C79"/>
    <w:rsid w:val="00702097"/>
    <w:rsid w:val="00702696"/>
    <w:rsid w:val="0070276E"/>
    <w:rsid w:val="007028AA"/>
    <w:rsid w:val="00702F15"/>
    <w:rsid w:val="00702F8F"/>
    <w:rsid w:val="00702FD7"/>
    <w:rsid w:val="00703258"/>
    <w:rsid w:val="00703610"/>
    <w:rsid w:val="00703893"/>
    <w:rsid w:val="00703AEB"/>
    <w:rsid w:val="00703D98"/>
    <w:rsid w:val="00703ECD"/>
    <w:rsid w:val="0070443C"/>
    <w:rsid w:val="00704865"/>
    <w:rsid w:val="007048CC"/>
    <w:rsid w:val="00704B5D"/>
    <w:rsid w:val="00704BCD"/>
    <w:rsid w:val="00704E9D"/>
    <w:rsid w:val="00704FE1"/>
    <w:rsid w:val="00705120"/>
    <w:rsid w:val="00705A99"/>
    <w:rsid w:val="0070659D"/>
    <w:rsid w:val="00706674"/>
    <w:rsid w:val="00706716"/>
    <w:rsid w:val="0070690A"/>
    <w:rsid w:val="00706B00"/>
    <w:rsid w:val="00706CEF"/>
    <w:rsid w:val="00706FB2"/>
    <w:rsid w:val="00707006"/>
    <w:rsid w:val="00707051"/>
    <w:rsid w:val="00707153"/>
    <w:rsid w:val="007071F7"/>
    <w:rsid w:val="00707386"/>
    <w:rsid w:val="00707706"/>
    <w:rsid w:val="007079FC"/>
    <w:rsid w:val="00707AC9"/>
    <w:rsid w:val="00707F62"/>
    <w:rsid w:val="00710034"/>
    <w:rsid w:val="00710360"/>
    <w:rsid w:val="0071061A"/>
    <w:rsid w:val="007108AE"/>
    <w:rsid w:val="00710A30"/>
    <w:rsid w:val="00710CE7"/>
    <w:rsid w:val="00710FEA"/>
    <w:rsid w:val="00711932"/>
    <w:rsid w:val="0071195B"/>
    <w:rsid w:val="00711A36"/>
    <w:rsid w:val="00711E11"/>
    <w:rsid w:val="007123EF"/>
    <w:rsid w:val="007125D3"/>
    <w:rsid w:val="0071263A"/>
    <w:rsid w:val="0071284F"/>
    <w:rsid w:val="007128AD"/>
    <w:rsid w:val="00712A76"/>
    <w:rsid w:val="00712C9D"/>
    <w:rsid w:val="00713164"/>
    <w:rsid w:val="007132CD"/>
    <w:rsid w:val="00713549"/>
    <w:rsid w:val="00713CA2"/>
    <w:rsid w:val="007142F7"/>
    <w:rsid w:val="007144E6"/>
    <w:rsid w:val="007145F7"/>
    <w:rsid w:val="007146FB"/>
    <w:rsid w:val="0071473D"/>
    <w:rsid w:val="0071484A"/>
    <w:rsid w:val="0071485D"/>
    <w:rsid w:val="007149AC"/>
    <w:rsid w:val="007149E6"/>
    <w:rsid w:val="00714A68"/>
    <w:rsid w:val="00714C26"/>
    <w:rsid w:val="00714CEC"/>
    <w:rsid w:val="00714EFA"/>
    <w:rsid w:val="0071529C"/>
    <w:rsid w:val="00715365"/>
    <w:rsid w:val="007154F2"/>
    <w:rsid w:val="007155C3"/>
    <w:rsid w:val="00715AAC"/>
    <w:rsid w:val="00715AF9"/>
    <w:rsid w:val="00715DB6"/>
    <w:rsid w:val="00715DC1"/>
    <w:rsid w:val="00716895"/>
    <w:rsid w:val="00716A71"/>
    <w:rsid w:val="00716BFE"/>
    <w:rsid w:val="00716D41"/>
    <w:rsid w:val="00716E0C"/>
    <w:rsid w:val="007170DA"/>
    <w:rsid w:val="00717112"/>
    <w:rsid w:val="00717163"/>
    <w:rsid w:val="007172AD"/>
    <w:rsid w:val="00717546"/>
    <w:rsid w:val="00717630"/>
    <w:rsid w:val="007177EB"/>
    <w:rsid w:val="0071783F"/>
    <w:rsid w:val="00717DB7"/>
    <w:rsid w:val="00717E94"/>
    <w:rsid w:val="00717F5E"/>
    <w:rsid w:val="00720187"/>
    <w:rsid w:val="007203A4"/>
    <w:rsid w:val="007205CB"/>
    <w:rsid w:val="00720801"/>
    <w:rsid w:val="00720E2D"/>
    <w:rsid w:val="00720F84"/>
    <w:rsid w:val="0072101A"/>
    <w:rsid w:val="00721C4F"/>
    <w:rsid w:val="00721CEA"/>
    <w:rsid w:val="00721D74"/>
    <w:rsid w:val="00721E68"/>
    <w:rsid w:val="00722031"/>
    <w:rsid w:val="0072219A"/>
    <w:rsid w:val="0072247C"/>
    <w:rsid w:val="00722B1B"/>
    <w:rsid w:val="00722C34"/>
    <w:rsid w:val="00722F6A"/>
    <w:rsid w:val="0072317F"/>
    <w:rsid w:val="007231F9"/>
    <w:rsid w:val="00723292"/>
    <w:rsid w:val="007232E6"/>
    <w:rsid w:val="00723643"/>
    <w:rsid w:val="007236F1"/>
    <w:rsid w:val="00723988"/>
    <w:rsid w:val="00723BD5"/>
    <w:rsid w:val="00723F84"/>
    <w:rsid w:val="0072416F"/>
    <w:rsid w:val="00724A27"/>
    <w:rsid w:val="00724BD1"/>
    <w:rsid w:val="00724FBB"/>
    <w:rsid w:val="0072508D"/>
    <w:rsid w:val="0072517A"/>
    <w:rsid w:val="007254FC"/>
    <w:rsid w:val="00725687"/>
    <w:rsid w:val="007256DD"/>
    <w:rsid w:val="00725726"/>
    <w:rsid w:val="00725BA5"/>
    <w:rsid w:val="00725BEC"/>
    <w:rsid w:val="00725FB5"/>
    <w:rsid w:val="00725FB6"/>
    <w:rsid w:val="007260ED"/>
    <w:rsid w:val="007267DF"/>
    <w:rsid w:val="00726992"/>
    <w:rsid w:val="00726B30"/>
    <w:rsid w:val="00726B9E"/>
    <w:rsid w:val="00727A72"/>
    <w:rsid w:val="00727B16"/>
    <w:rsid w:val="00727C94"/>
    <w:rsid w:val="00727D97"/>
    <w:rsid w:val="00727E6F"/>
    <w:rsid w:val="00730448"/>
    <w:rsid w:val="00730CB2"/>
    <w:rsid w:val="0073158B"/>
    <w:rsid w:val="007315F6"/>
    <w:rsid w:val="0073187A"/>
    <w:rsid w:val="007318BB"/>
    <w:rsid w:val="00731AD0"/>
    <w:rsid w:val="00731B0A"/>
    <w:rsid w:val="00731EAE"/>
    <w:rsid w:val="0073202B"/>
    <w:rsid w:val="00732032"/>
    <w:rsid w:val="00732079"/>
    <w:rsid w:val="0073223C"/>
    <w:rsid w:val="007325C9"/>
    <w:rsid w:val="007326FE"/>
    <w:rsid w:val="00732A9D"/>
    <w:rsid w:val="00732B3D"/>
    <w:rsid w:val="00732DC0"/>
    <w:rsid w:val="00733073"/>
    <w:rsid w:val="00733107"/>
    <w:rsid w:val="00733212"/>
    <w:rsid w:val="0073324F"/>
    <w:rsid w:val="007334EF"/>
    <w:rsid w:val="00733856"/>
    <w:rsid w:val="00733A12"/>
    <w:rsid w:val="0073409D"/>
    <w:rsid w:val="0073412B"/>
    <w:rsid w:val="00734174"/>
    <w:rsid w:val="00734678"/>
    <w:rsid w:val="007347B4"/>
    <w:rsid w:val="0073495E"/>
    <w:rsid w:val="00734F72"/>
    <w:rsid w:val="00735033"/>
    <w:rsid w:val="007350AC"/>
    <w:rsid w:val="007351EE"/>
    <w:rsid w:val="00735271"/>
    <w:rsid w:val="00735328"/>
    <w:rsid w:val="00735485"/>
    <w:rsid w:val="00735555"/>
    <w:rsid w:val="00735E7F"/>
    <w:rsid w:val="00735F5A"/>
    <w:rsid w:val="007360A3"/>
    <w:rsid w:val="007360CC"/>
    <w:rsid w:val="00736111"/>
    <w:rsid w:val="007365AC"/>
    <w:rsid w:val="0073678F"/>
    <w:rsid w:val="0073685B"/>
    <w:rsid w:val="007369A8"/>
    <w:rsid w:val="00736B47"/>
    <w:rsid w:val="00736C39"/>
    <w:rsid w:val="00736C3D"/>
    <w:rsid w:val="00736F9C"/>
    <w:rsid w:val="0073756A"/>
    <w:rsid w:val="00737713"/>
    <w:rsid w:val="00737B19"/>
    <w:rsid w:val="00740494"/>
    <w:rsid w:val="007404C3"/>
    <w:rsid w:val="007405C1"/>
    <w:rsid w:val="007407B8"/>
    <w:rsid w:val="00740A71"/>
    <w:rsid w:val="0074131C"/>
    <w:rsid w:val="00741757"/>
    <w:rsid w:val="0074181A"/>
    <w:rsid w:val="00741D18"/>
    <w:rsid w:val="00741E53"/>
    <w:rsid w:val="0074275C"/>
    <w:rsid w:val="0074278D"/>
    <w:rsid w:val="00742C7C"/>
    <w:rsid w:val="00742FE7"/>
    <w:rsid w:val="00742FF0"/>
    <w:rsid w:val="00743489"/>
    <w:rsid w:val="00743525"/>
    <w:rsid w:val="00743888"/>
    <w:rsid w:val="00743CB9"/>
    <w:rsid w:val="00743DFE"/>
    <w:rsid w:val="007442D9"/>
    <w:rsid w:val="007444C1"/>
    <w:rsid w:val="00744839"/>
    <w:rsid w:val="007449BF"/>
    <w:rsid w:val="00744A7E"/>
    <w:rsid w:val="00744C76"/>
    <w:rsid w:val="00744CBC"/>
    <w:rsid w:val="00745497"/>
    <w:rsid w:val="007455E6"/>
    <w:rsid w:val="00745665"/>
    <w:rsid w:val="00745803"/>
    <w:rsid w:val="00745D0F"/>
    <w:rsid w:val="00745D5D"/>
    <w:rsid w:val="00745DC9"/>
    <w:rsid w:val="00746310"/>
    <w:rsid w:val="0074636E"/>
    <w:rsid w:val="007463FE"/>
    <w:rsid w:val="00746BC0"/>
    <w:rsid w:val="00746D24"/>
    <w:rsid w:val="007471C5"/>
    <w:rsid w:val="00747202"/>
    <w:rsid w:val="00747399"/>
    <w:rsid w:val="0074754F"/>
    <w:rsid w:val="00747550"/>
    <w:rsid w:val="007475ED"/>
    <w:rsid w:val="00747912"/>
    <w:rsid w:val="00747960"/>
    <w:rsid w:val="00747E4E"/>
    <w:rsid w:val="00747FA1"/>
    <w:rsid w:val="0075036B"/>
    <w:rsid w:val="00750517"/>
    <w:rsid w:val="0075062D"/>
    <w:rsid w:val="007506D4"/>
    <w:rsid w:val="0075087D"/>
    <w:rsid w:val="00750D32"/>
    <w:rsid w:val="00750E50"/>
    <w:rsid w:val="007510B4"/>
    <w:rsid w:val="007516B8"/>
    <w:rsid w:val="00751E0C"/>
    <w:rsid w:val="00752071"/>
    <w:rsid w:val="00752125"/>
    <w:rsid w:val="00752142"/>
    <w:rsid w:val="007523F9"/>
    <w:rsid w:val="00752497"/>
    <w:rsid w:val="007524A9"/>
    <w:rsid w:val="00752DD0"/>
    <w:rsid w:val="0075324B"/>
    <w:rsid w:val="0075357E"/>
    <w:rsid w:val="007539F3"/>
    <w:rsid w:val="00753AC9"/>
    <w:rsid w:val="00753B29"/>
    <w:rsid w:val="00753C72"/>
    <w:rsid w:val="00753D16"/>
    <w:rsid w:val="00754230"/>
    <w:rsid w:val="0075428D"/>
    <w:rsid w:val="007545AD"/>
    <w:rsid w:val="00754607"/>
    <w:rsid w:val="007546C4"/>
    <w:rsid w:val="00754BDD"/>
    <w:rsid w:val="00754D24"/>
    <w:rsid w:val="00755314"/>
    <w:rsid w:val="007556F7"/>
    <w:rsid w:val="00755B41"/>
    <w:rsid w:val="00755B98"/>
    <w:rsid w:val="00755CF1"/>
    <w:rsid w:val="00755DC0"/>
    <w:rsid w:val="00755EA9"/>
    <w:rsid w:val="007562A9"/>
    <w:rsid w:val="0075654C"/>
    <w:rsid w:val="007567C8"/>
    <w:rsid w:val="00756858"/>
    <w:rsid w:val="007568D0"/>
    <w:rsid w:val="00757065"/>
    <w:rsid w:val="007570F7"/>
    <w:rsid w:val="00757135"/>
    <w:rsid w:val="007572A3"/>
    <w:rsid w:val="007573E8"/>
    <w:rsid w:val="00757866"/>
    <w:rsid w:val="00757F11"/>
    <w:rsid w:val="007600B1"/>
    <w:rsid w:val="00760452"/>
    <w:rsid w:val="00760982"/>
    <w:rsid w:val="00760C27"/>
    <w:rsid w:val="00760C4E"/>
    <w:rsid w:val="00760F9E"/>
    <w:rsid w:val="0076106D"/>
    <w:rsid w:val="007611AE"/>
    <w:rsid w:val="00761570"/>
    <w:rsid w:val="00761630"/>
    <w:rsid w:val="007616E6"/>
    <w:rsid w:val="007619FC"/>
    <w:rsid w:val="00761B15"/>
    <w:rsid w:val="00761D43"/>
    <w:rsid w:val="00761D5E"/>
    <w:rsid w:val="00761F41"/>
    <w:rsid w:val="007623B7"/>
    <w:rsid w:val="0076244C"/>
    <w:rsid w:val="007624BF"/>
    <w:rsid w:val="00762648"/>
    <w:rsid w:val="00762720"/>
    <w:rsid w:val="007627BE"/>
    <w:rsid w:val="00762B4B"/>
    <w:rsid w:val="0076303B"/>
    <w:rsid w:val="007630A6"/>
    <w:rsid w:val="007631DC"/>
    <w:rsid w:val="0076353C"/>
    <w:rsid w:val="00763BD1"/>
    <w:rsid w:val="00764329"/>
    <w:rsid w:val="007648D8"/>
    <w:rsid w:val="00764C90"/>
    <w:rsid w:val="00764EF9"/>
    <w:rsid w:val="00764F03"/>
    <w:rsid w:val="00765141"/>
    <w:rsid w:val="007658C5"/>
    <w:rsid w:val="00765A3A"/>
    <w:rsid w:val="00765AB7"/>
    <w:rsid w:val="00765B1A"/>
    <w:rsid w:val="00765DC1"/>
    <w:rsid w:val="00766160"/>
    <w:rsid w:val="00766D3C"/>
    <w:rsid w:val="00766E65"/>
    <w:rsid w:val="007671FC"/>
    <w:rsid w:val="00767738"/>
    <w:rsid w:val="0076789C"/>
    <w:rsid w:val="00767A7E"/>
    <w:rsid w:val="00767C3C"/>
    <w:rsid w:val="00767E61"/>
    <w:rsid w:val="00767EAF"/>
    <w:rsid w:val="00767F70"/>
    <w:rsid w:val="00770E08"/>
    <w:rsid w:val="0077133B"/>
    <w:rsid w:val="00771621"/>
    <w:rsid w:val="00771905"/>
    <w:rsid w:val="0077193F"/>
    <w:rsid w:val="00771CA6"/>
    <w:rsid w:val="00771D0E"/>
    <w:rsid w:val="00772B1B"/>
    <w:rsid w:val="00772DFC"/>
    <w:rsid w:val="00773471"/>
    <w:rsid w:val="0077353E"/>
    <w:rsid w:val="007735A9"/>
    <w:rsid w:val="007735BA"/>
    <w:rsid w:val="0077361F"/>
    <w:rsid w:val="007738F3"/>
    <w:rsid w:val="007741E0"/>
    <w:rsid w:val="0077440F"/>
    <w:rsid w:val="007746F5"/>
    <w:rsid w:val="00774737"/>
    <w:rsid w:val="00774A8B"/>
    <w:rsid w:val="0077511A"/>
    <w:rsid w:val="007751F1"/>
    <w:rsid w:val="0077594E"/>
    <w:rsid w:val="00775B49"/>
    <w:rsid w:val="00775DE5"/>
    <w:rsid w:val="00775E05"/>
    <w:rsid w:val="007763ED"/>
    <w:rsid w:val="007764A1"/>
    <w:rsid w:val="00776693"/>
    <w:rsid w:val="007766D7"/>
    <w:rsid w:val="00776A29"/>
    <w:rsid w:val="00776D9F"/>
    <w:rsid w:val="00776E0D"/>
    <w:rsid w:val="00777335"/>
    <w:rsid w:val="00777490"/>
    <w:rsid w:val="007774A9"/>
    <w:rsid w:val="00777AC7"/>
    <w:rsid w:val="00777C86"/>
    <w:rsid w:val="00777CFB"/>
    <w:rsid w:val="00780325"/>
    <w:rsid w:val="0078032E"/>
    <w:rsid w:val="00780366"/>
    <w:rsid w:val="007808EA"/>
    <w:rsid w:val="00780EF3"/>
    <w:rsid w:val="00781148"/>
    <w:rsid w:val="00781247"/>
    <w:rsid w:val="0078131E"/>
    <w:rsid w:val="007817AB"/>
    <w:rsid w:val="007817FF"/>
    <w:rsid w:val="00781B15"/>
    <w:rsid w:val="007821EB"/>
    <w:rsid w:val="007824B4"/>
    <w:rsid w:val="00782959"/>
    <w:rsid w:val="00782968"/>
    <w:rsid w:val="00782E64"/>
    <w:rsid w:val="00782F74"/>
    <w:rsid w:val="0078300C"/>
    <w:rsid w:val="007838E2"/>
    <w:rsid w:val="007843F2"/>
    <w:rsid w:val="007846FA"/>
    <w:rsid w:val="00784914"/>
    <w:rsid w:val="0078499A"/>
    <w:rsid w:val="00784CD4"/>
    <w:rsid w:val="00784E96"/>
    <w:rsid w:val="00785A51"/>
    <w:rsid w:val="00785A9F"/>
    <w:rsid w:val="00785E2D"/>
    <w:rsid w:val="00786198"/>
    <w:rsid w:val="00786203"/>
    <w:rsid w:val="00786213"/>
    <w:rsid w:val="00786351"/>
    <w:rsid w:val="007863B2"/>
    <w:rsid w:val="0078648E"/>
    <w:rsid w:val="007864D3"/>
    <w:rsid w:val="00786671"/>
    <w:rsid w:val="00786DB4"/>
    <w:rsid w:val="0078758E"/>
    <w:rsid w:val="007878E4"/>
    <w:rsid w:val="00787C74"/>
    <w:rsid w:val="00787ECF"/>
    <w:rsid w:val="00790415"/>
    <w:rsid w:val="0079087C"/>
    <w:rsid w:val="00790DB8"/>
    <w:rsid w:val="00790EA0"/>
    <w:rsid w:val="00790F7F"/>
    <w:rsid w:val="0079105D"/>
    <w:rsid w:val="00791195"/>
    <w:rsid w:val="00791362"/>
    <w:rsid w:val="0079145E"/>
    <w:rsid w:val="00791803"/>
    <w:rsid w:val="00791B21"/>
    <w:rsid w:val="00791CC6"/>
    <w:rsid w:val="00792400"/>
    <w:rsid w:val="007925DF"/>
    <w:rsid w:val="0079300C"/>
    <w:rsid w:val="007935FA"/>
    <w:rsid w:val="0079363A"/>
    <w:rsid w:val="00793EFB"/>
    <w:rsid w:val="007940C1"/>
    <w:rsid w:val="007942AB"/>
    <w:rsid w:val="007942BF"/>
    <w:rsid w:val="00794E5D"/>
    <w:rsid w:val="00795171"/>
    <w:rsid w:val="007952AC"/>
    <w:rsid w:val="00795386"/>
    <w:rsid w:val="0079547F"/>
    <w:rsid w:val="007959BA"/>
    <w:rsid w:val="00795B81"/>
    <w:rsid w:val="00795F92"/>
    <w:rsid w:val="00795FEE"/>
    <w:rsid w:val="007965E0"/>
    <w:rsid w:val="007967F5"/>
    <w:rsid w:val="007968F0"/>
    <w:rsid w:val="00796BCB"/>
    <w:rsid w:val="00796CF1"/>
    <w:rsid w:val="00796DCB"/>
    <w:rsid w:val="0079703C"/>
    <w:rsid w:val="00797127"/>
    <w:rsid w:val="007972E3"/>
    <w:rsid w:val="007973DB"/>
    <w:rsid w:val="00797812"/>
    <w:rsid w:val="00797836"/>
    <w:rsid w:val="00797A82"/>
    <w:rsid w:val="00797C3C"/>
    <w:rsid w:val="007A0315"/>
    <w:rsid w:val="007A0609"/>
    <w:rsid w:val="007A08AA"/>
    <w:rsid w:val="007A0A12"/>
    <w:rsid w:val="007A0F70"/>
    <w:rsid w:val="007A1099"/>
    <w:rsid w:val="007A10B7"/>
    <w:rsid w:val="007A132D"/>
    <w:rsid w:val="007A1345"/>
    <w:rsid w:val="007A13C0"/>
    <w:rsid w:val="007A1522"/>
    <w:rsid w:val="007A1539"/>
    <w:rsid w:val="007A15E5"/>
    <w:rsid w:val="007A15F4"/>
    <w:rsid w:val="007A1CDB"/>
    <w:rsid w:val="007A2305"/>
    <w:rsid w:val="007A2407"/>
    <w:rsid w:val="007A2427"/>
    <w:rsid w:val="007A24C1"/>
    <w:rsid w:val="007A2602"/>
    <w:rsid w:val="007A27FB"/>
    <w:rsid w:val="007A2DDB"/>
    <w:rsid w:val="007A31AA"/>
    <w:rsid w:val="007A36CE"/>
    <w:rsid w:val="007A376D"/>
    <w:rsid w:val="007A380A"/>
    <w:rsid w:val="007A381F"/>
    <w:rsid w:val="007A3AB4"/>
    <w:rsid w:val="007A3D1B"/>
    <w:rsid w:val="007A3D62"/>
    <w:rsid w:val="007A3DC2"/>
    <w:rsid w:val="007A3F31"/>
    <w:rsid w:val="007A4453"/>
    <w:rsid w:val="007A4583"/>
    <w:rsid w:val="007A4737"/>
    <w:rsid w:val="007A4D81"/>
    <w:rsid w:val="007A4F99"/>
    <w:rsid w:val="007A510B"/>
    <w:rsid w:val="007A5412"/>
    <w:rsid w:val="007A54EE"/>
    <w:rsid w:val="007A5853"/>
    <w:rsid w:val="007A67E9"/>
    <w:rsid w:val="007A6D2B"/>
    <w:rsid w:val="007A70BA"/>
    <w:rsid w:val="007A7C1C"/>
    <w:rsid w:val="007A7CCD"/>
    <w:rsid w:val="007B0128"/>
    <w:rsid w:val="007B0194"/>
    <w:rsid w:val="007B023F"/>
    <w:rsid w:val="007B02D0"/>
    <w:rsid w:val="007B04F4"/>
    <w:rsid w:val="007B0504"/>
    <w:rsid w:val="007B057D"/>
    <w:rsid w:val="007B06A0"/>
    <w:rsid w:val="007B06AF"/>
    <w:rsid w:val="007B09C7"/>
    <w:rsid w:val="007B0D68"/>
    <w:rsid w:val="007B0F0C"/>
    <w:rsid w:val="007B1839"/>
    <w:rsid w:val="007B19EA"/>
    <w:rsid w:val="007B1AA7"/>
    <w:rsid w:val="007B1ACD"/>
    <w:rsid w:val="007B1C05"/>
    <w:rsid w:val="007B1C2B"/>
    <w:rsid w:val="007B1C8A"/>
    <w:rsid w:val="007B1D5A"/>
    <w:rsid w:val="007B1FF7"/>
    <w:rsid w:val="007B219C"/>
    <w:rsid w:val="007B21A4"/>
    <w:rsid w:val="007B251D"/>
    <w:rsid w:val="007B2837"/>
    <w:rsid w:val="007B2DCF"/>
    <w:rsid w:val="007B330B"/>
    <w:rsid w:val="007B3533"/>
    <w:rsid w:val="007B3CAE"/>
    <w:rsid w:val="007B3D32"/>
    <w:rsid w:val="007B4B1F"/>
    <w:rsid w:val="007B4B4E"/>
    <w:rsid w:val="007B4DC7"/>
    <w:rsid w:val="007B4F58"/>
    <w:rsid w:val="007B4FC2"/>
    <w:rsid w:val="007B528D"/>
    <w:rsid w:val="007B5386"/>
    <w:rsid w:val="007B549E"/>
    <w:rsid w:val="007B5AEC"/>
    <w:rsid w:val="007B5B06"/>
    <w:rsid w:val="007B6146"/>
    <w:rsid w:val="007B6248"/>
    <w:rsid w:val="007B63CA"/>
    <w:rsid w:val="007B6A1C"/>
    <w:rsid w:val="007B6ED6"/>
    <w:rsid w:val="007B6F23"/>
    <w:rsid w:val="007B6F2B"/>
    <w:rsid w:val="007B6F42"/>
    <w:rsid w:val="007B70E0"/>
    <w:rsid w:val="007B7110"/>
    <w:rsid w:val="007B721F"/>
    <w:rsid w:val="007B7401"/>
    <w:rsid w:val="007B74CC"/>
    <w:rsid w:val="007B77D1"/>
    <w:rsid w:val="007B7832"/>
    <w:rsid w:val="007B793F"/>
    <w:rsid w:val="007B7C22"/>
    <w:rsid w:val="007B7D94"/>
    <w:rsid w:val="007B7FF0"/>
    <w:rsid w:val="007C03AD"/>
    <w:rsid w:val="007C0467"/>
    <w:rsid w:val="007C05A9"/>
    <w:rsid w:val="007C062B"/>
    <w:rsid w:val="007C07C7"/>
    <w:rsid w:val="007C0C4A"/>
    <w:rsid w:val="007C0E0B"/>
    <w:rsid w:val="007C13A3"/>
    <w:rsid w:val="007C1CD9"/>
    <w:rsid w:val="007C1E3F"/>
    <w:rsid w:val="007C1E91"/>
    <w:rsid w:val="007C1FD7"/>
    <w:rsid w:val="007C2277"/>
    <w:rsid w:val="007C263F"/>
    <w:rsid w:val="007C2C31"/>
    <w:rsid w:val="007C2E87"/>
    <w:rsid w:val="007C31DF"/>
    <w:rsid w:val="007C32EF"/>
    <w:rsid w:val="007C3451"/>
    <w:rsid w:val="007C361D"/>
    <w:rsid w:val="007C3680"/>
    <w:rsid w:val="007C394F"/>
    <w:rsid w:val="007C39C6"/>
    <w:rsid w:val="007C3E33"/>
    <w:rsid w:val="007C404E"/>
    <w:rsid w:val="007C442D"/>
    <w:rsid w:val="007C465E"/>
    <w:rsid w:val="007C4848"/>
    <w:rsid w:val="007C4B84"/>
    <w:rsid w:val="007C4C0F"/>
    <w:rsid w:val="007C4C9E"/>
    <w:rsid w:val="007C5077"/>
    <w:rsid w:val="007C50C8"/>
    <w:rsid w:val="007C518B"/>
    <w:rsid w:val="007C5198"/>
    <w:rsid w:val="007C58C4"/>
    <w:rsid w:val="007C5C41"/>
    <w:rsid w:val="007C5D0B"/>
    <w:rsid w:val="007C5E88"/>
    <w:rsid w:val="007C5EEC"/>
    <w:rsid w:val="007C6211"/>
    <w:rsid w:val="007C6293"/>
    <w:rsid w:val="007C634F"/>
    <w:rsid w:val="007C6664"/>
    <w:rsid w:val="007C667D"/>
    <w:rsid w:val="007C6C45"/>
    <w:rsid w:val="007C6CDD"/>
    <w:rsid w:val="007C6F10"/>
    <w:rsid w:val="007C70FF"/>
    <w:rsid w:val="007C71EA"/>
    <w:rsid w:val="007C7389"/>
    <w:rsid w:val="007C7468"/>
    <w:rsid w:val="007C7A60"/>
    <w:rsid w:val="007C7C25"/>
    <w:rsid w:val="007C7DD2"/>
    <w:rsid w:val="007C7E57"/>
    <w:rsid w:val="007D004F"/>
    <w:rsid w:val="007D00E4"/>
    <w:rsid w:val="007D021F"/>
    <w:rsid w:val="007D035F"/>
    <w:rsid w:val="007D06B2"/>
    <w:rsid w:val="007D0B38"/>
    <w:rsid w:val="007D0DC9"/>
    <w:rsid w:val="007D0E62"/>
    <w:rsid w:val="007D1123"/>
    <w:rsid w:val="007D1152"/>
    <w:rsid w:val="007D1A61"/>
    <w:rsid w:val="007D1BE5"/>
    <w:rsid w:val="007D1E0C"/>
    <w:rsid w:val="007D2189"/>
    <w:rsid w:val="007D2552"/>
    <w:rsid w:val="007D2C6E"/>
    <w:rsid w:val="007D3411"/>
    <w:rsid w:val="007D3452"/>
    <w:rsid w:val="007D3532"/>
    <w:rsid w:val="007D3750"/>
    <w:rsid w:val="007D3962"/>
    <w:rsid w:val="007D3BEB"/>
    <w:rsid w:val="007D40E6"/>
    <w:rsid w:val="007D4AF4"/>
    <w:rsid w:val="007D4BC4"/>
    <w:rsid w:val="007D4CB1"/>
    <w:rsid w:val="007D50CE"/>
    <w:rsid w:val="007D5367"/>
    <w:rsid w:val="007D5440"/>
    <w:rsid w:val="007D5534"/>
    <w:rsid w:val="007D55E1"/>
    <w:rsid w:val="007D5615"/>
    <w:rsid w:val="007D596D"/>
    <w:rsid w:val="007D5972"/>
    <w:rsid w:val="007D5FCE"/>
    <w:rsid w:val="007D649B"/>
    <w:rsid w:val="007D69EB"/>
    <w:rsid w:val="007D6AE9"/>
    <w:rsid w:val="007D6E89"/>
    <w:rsid w:val="007D6F55"/>
    <w:rsid w:val="007D7447"/>
    <w:rsid w:val="007D75CD"/>
    <w:rsid w:val="007D7728"/>
    <w:rsid w:val="007D773C"/>
    <w:rsid w:val="007D7974"/>
    <w:rsid w:val="007D7C20"/>
    <w:rsid w:val="007D7D18"/>
    <w:rsid w:val="007D7E35"/>
    <w:rsid w:val="007E04E0"/>
    <w:rsid w:val="007E05CA"/>
    <w:rsid w:val="007E0631"/>
    <w:rsid w:val="007E0736"/>
    <w:rsid w:val="007E07C3"/>
    <w:rsid w:val="007E087E"/>
    <w:rsid w:val="007E0ACE"/>
    <w:rsid w:val="007E0CAC"/>
    <w:rsid w:val="007E0CD7"/>
    <w:rsid w:val="007E123C"/>
    <w:rsid w:val="007E128F"/>
    <w:rsid w:val="007E12E0"/>
    <w:rsid w:val="007E1607"/>
    <w:rsid w:val="007E1B59"/>
    <w:rsid w:val="007E20AF"/>
    <w:rsid w:val="007E2254"/>
    <w:rsid w:val="007E2F4E"/>
    <w:rsid w:val="007E32AE"/>
    <w:rsid w:val="007E36C1"/>
    <w:rsid w:val="007E3A27"/>
    <w:rsid w:val="007E405C"/>
    <w:rsid w:val="007E43E9"/>
    <w:rsid w:val="007E44F2"/>
    <w:rsid w:val="007E4545"/>
    <w:rsid w:val="007E4574"/>
    <w:rsid w:val="007E49CA"/>
    <w:rsid w:val="007E4B93"/>
    <w:rsid w:val="007E4C1C"/>
    <w:rsid w:val="007E4F68"/>
    <w:rsid w:val="007E5087"/>
    <w:rsid w:val="007E512E"/>
    <w:rsid w:val="007E5411"/>
    <w:rsid w:val="007E56EE"/>
    <w:rsid w:val="007E5D06"/>
    <w:rsid w:val="007E5D49"/>
    <w:rsid w:val="007E5D88"/>
    <w:rsid w:val="007E62FA"/>
    <w:rsid w:val="007E63FA"/>
    <w:rsid w:val="007E6537"/>
    <w:rsid w:val="007E6673"/>
    <w:rsid w:val="007E6DE1"/>
    <w:rsid w:val="007E7059"/>
    <w:rsid w:val="007E74B7"/>
    <w:rsid w:val="007E7723"/>
    <w:rsid w:val="007E7991"/>
    <w:rsid w:val="007E7F2D"/>
    <w:rsid w:val="007F0061"/>
    <w:rsid w:val="007F01FD"/>
    <w:rsid w:val="007F02FB"/>
    <w:rsid w:val="007F0609"/>
    <w:rsid w:val="007F0DDA"/>
    <w:rsid w:val="007F1017"/>
    <w:rsid w:val="007F138C"/>
    <w:rsid w:val="007F1583"/>
    <w:rsid w:val="007F18AE"/>
    <w:rsid w:val="007F18F2"/>
    <w:rsid w:val="007F1B95"/>
    <w:rsid w:val="007F1D2F"/>
    <w:rsid w:val="007F2052"/>
    <w:rsid w:val="007F2E5E"/>
    <w:rsid w:val="007F2FFF"/>
    <w:rsid w:val="007F38E5"/>
    <w:rsid w:val="007F3965"/>
    <w:rsid w:val="007F3A35"/>
    <w:rsid w:val="007F3A5B"/>
    <w:rsid w:val="007F3DA0"/>
    <w:rsid w:val="007F3DE6"/>
    <w:rsid w:val="007F41E5"/>
    <w:rsid w:val="007F45E8"/>
    <w:rsid w:val="007F4A3F"/>
    <w:rsid w:val="007F4A61"/>
    <w:rsid w:val="007F4D74"/>
    <w:rsid w:val="007F5255"/>
    <w:rsid w:val="007F56CC"/>
    <w:rsid w:val="007F5C87"/>
    <w:rsid w:val="007F5D81"/>
    <w:rsid w:val="007F614C"/>
    <w:rsid w:val="007F61C2"/>
    <w:rsid w:val="007F67AC"/>
    <w:rsid w:val="007F6938"/>
    <w:rsid w:val="007F6D69"/>
    <w:rsid w:val="007F739E"/>
    <w:rsid w:val="007F745F"/>
    <w:rsid w:val="007F748F"/>
    <w:rsid w:val="007F7863"/>
    <w:rsid w:val="007F7996"/>
    <w:rsid w:val="007F7A8A"/>
    <w:rsid w:val="007F7BEE"/>
    <w:rsid w:val="007F7C45"/>
    <w:rsid w:val="007F7C60"/>
    <w:rsid w:val="007F7DD2"/>
    <w:rsid w:val="007F7EB8"/>
    <w:rsid w:val="007F7FD6"/>
    <w:rsid w:val="008006DC"/>
    <w:rsid w:val="008008F3"/>
    <w:rsid w:val="00800A16"/>
    <w:rsid w:val="00800A2B"/>
    <w:rsid w:val="00800C5C"/>
    <w:rsid w:val="00801038"/>
    <w:rsid w:val="0080114C"/>
    <w:rsid w:val="00801632"/>
    <w:rsid w:val="00801863"/>
    <w:rsid w:val="008019AF"/>
    <w:rsid w:val="00801A98"/>
    <w:rsid w:val="00801E0D"/>
    <w:rsid w:val="008026F2"/>
    <w:rsid w:val="0080314C"/>
    <w:rsid w:val="00803713"/>
    <w:rsid w:val="00803D57"/>
    <w:rsid w:val="00803EDD"/>
    <w:rsid w:val="008041C4"/>
    <w:rsid w:val="008041DA"/>
    <w:rsid w:val="0080424A"/>
    <w:rsid w:val="00804D41"/>
    <w:rsid w:val="00804F5D"/>
    <w:rsid w:val="0080500F"/>
    <w:rsid w:val="00805142"/>
    <w:rsid w:val="0080566B"/>
    <w:rsid w:val="008056A3"/>
    <w:rsid w:val="00805FCE"/>
    <w:rsid w:val="00806005"/>
    <w:rsid w:val="0080618A"/>
    <w:rsid w:val="00806204"/>
    <w:rsid w:val="0080659D"/>
    <w:rsid w:val="008065CC"/>
    <w:rsid w:val="00806812"/>
    <w:rsid w:val="008069D1"/>
    <w:rsid w:val="00806D80"/>
    <w:rsid w:val="00806D88"/>
    <w:rsid w:val="0080742E"/>
    <w:rsid w:val="008078EF"/>
    <w:rsid w:val="00807A8B"/>
    <w:rsid w:val="00807B3E"/>
    <w:rsid w:val="00810099"/>
    <w:rsid w:val="00810169"/>
    <w:rsid w:val="008102FF"/>
    <w:rsid w:val="008103D1"/>
    <w:rsid w:val="008106B6"/>
    <w:rsid w:val="00810724"/>
    <w:rsid w:val="008108F6"/>
    <w:rsid w:val="00810D8A"/>
    <w:rsid w:val="00811044"/>
    <w:rsid w:val="0081132F"/>
    <w:rsid w:val="00811383"/>
    <w:rsid w:val="008115F5"/>
    <w:rsid w:val="00811794"/>
    <w:rsid w:val="00811BFE"/>
    <w:rsid w:val="00811D36"/>
    <w:rsid w:val="00812149"/>
    <w:rsid w:val="0081232C"/>
    <w:rsid w:val="00812375"/>
    <w:rsid w:val="008125A1"/>
    <w:rsid w:val="0081265A"/>
    <w:rsid w:val="0081269B"/>
    <w:rsid w:val="008128DB"/>
    <w:rsid w:val="008128FF"/>
    <w:rsid w:val="00812CAC"/>
    <w:rsid w:val="008136DB"/>
    <w:rsid w:val="00813A4A"/>
    <w:rsid w:val="00813A58"/>
    <w:rsid w:val="00813B16"/>
    <w:rsid w:val="00813D10"/>
    <w:rsid w:val="00813E9E"/>
    <w:rsid w:val="00814563"/>
    <w:rsid w:val="00814612"/>
    <w:rsid w:val="0081483E"/>
    <w:rsid w:val="00814891"/>
    <w:rsid w:val="00814ABF"/>
    <w:rsid w:val="00814C34"/>
    <w:rsid w:val="008150A9"/>
    <w:rsid w:val="008150AA"/>
    <w:rsid w:val="0081519E"/>
    <w:rsid w:val="0081537A"/>
    <w:rsid w:val="00815485"/>
    <w:rsid w:val="00815507"/>
    <w:rsid w:val="008155D9"/>
    <w:rsid w:val="008159F1"/>
    <w:rsid w:val="00815A85"/>
    <w:rsid w:val="00815AF4"/>
    <w:rsid w:val="00815BE0"/>
    <w:rsid w:val="00815E9E"/>
    <w:rsid w:val="00816361"/>
    <w:rsid w:val="008166EF"/>
    <w:rsid w:val="008167AD"/>
    <w:rsid w:val="00816F54"/>
    <w:rsid w:val="00816FEF"/>
    <w:rsid w:val="008171AE"/>
    <w:rsid w:val="00817229"/>
    <w:rsid w:val="0081758D"/>
    <w:rsid w:val="00817728"/>
    <w:rsid w:val="00817811"/>
    <w:rsid w:val="00817847"/>
    <w:rsid w:val="00817B82"/>
    <w:rsid w:val="00817BB6"/>
    <w:rsid w:val="00817BEF"/>
    <w:rsid w:val="00817D30"/>
    <w:rsid w:val="008204DF"/>
    <w:rsid w:val="008208FF"/>
    <w:rsid w:val="00820A8C"/>
    <w:rsid w:val="00820EC4"/>
    <w:rsid w:val="008212AD"/>
    <w:rsid w:val="008212C7"/>
    <w:rsid w:val="00821424"/>
    <w:rsid w:val="008214FA"/>
    <w:rsid w:val="008215FB"/>
    <w:rsid w:val="00821614"/>
    <w:rsid w:val="008216B6"/>
    <w:rsid w:val="008218AE"/>
    <w:rsid w:val="00821BD0"/>
    <w:rsid w:val="00821BFB"/>
    <w:rsid w:val="0082209A"/>
    <w:rsid w:val="008220CC"/>
    <w:rsid w:val="0082285D"/>
    <w:rsid w:val="00822A3E"/>
    <w:rsid w:val="00823174"/>
    <w:rsid w:val="0082358C"/>
    <w:rsid w:val="00823D55"/>
    <w:rsid w:val="008245BE"/>
    <w:rsid w:val="00824CC2"/>
    <w:rsid w:val="00825675"/>
    <w:rsid w:val="00825751"/>
    <w:rsid w:val="008259BD"/>
    <w:rsid w:val="00825B39"/>
    <w:rsid w:val="00825CE2"/>
    <w:rsid w:val="00825D15"/>
    <w:rsid w:val="008264A1"/>
    <w:rsid w:val="008264EB"/>
    <w:rsid w:val="00826704"/>
    <w:rsid w:val="00826809"/>
    <w:rsid w:val="008268CE"/>
    <w:rsid w:val="0082692F"/>
    <w:rsid w:val="00826BA9"/>
    <w:rsid w:val="00826D34"/>
    <w:rsid w:val="00827191"/>
    <w:rsid w:val="008272D0"/>
    <w:rsid w:val="00827421"/>
    <w:rsid w:val="008274C5"/>
    <w:rsid w:val="00827645"/>
    <w:rsid w:val="00827ACE"/>
    <w:rsid w:val="00827C23"/>
    <w:rsid w:val="00827C6A"/>
    <w:rsid w:val="00827D31"/>
    <w:rsid w:val="00827F01"/>
    <w:rsid w:val="00830665"/>
    <w:rsid w:val="008311DB"/>
    <w:rsid w:val="00831376"/>
    <w:rsid w:val="00831C21"/>
    <w:rsid w:val="00832238"/>
    <w:rsid w:val="00832503"/>
    <w:rsid w:val="00832548"/>
    <w:rsid w:val="00832600"/>
    <w:rsid w:val="00832955"/>
    <w:rsid w:val="00832D8B"/>
    <w:rsid w:val="00833459"/>
    <w:rsid w:val="0083349B"/>
    <w:rsid w:val="00833647"/>
    <w:rsid w:val="008336F5"/>
    <w:rsid w:val="00833839"/>
    <w:rsid w:val="008339B9"/>
    <w:rsid w:val="00833B05"/>
    <w:rsid w:val="00833DAF"/>
    <w:rsid w:val="00834137"/>
    <w:rsid w:val="00834670"/>
    <w:rsid w:val="00834878"/>
    <w:rsid w:val="00834984"/>
    <w:rsid w:val="00834CF0"/>
    <w:rsid w:val="008353EB"/>
    <w:rsid w:val="00835981"/>
    <w:rsid w:val="00835DBA"/>
    <w:rsid w:val="00835E4B"/>
    <w:rsid w:val="00835F82"/>
    <w:rsid w:val="00836170"/>
    <w:rsid w:val="0083627C"/>
    <w:rsid w:val="008362B4"/>
    <w:rsid w:val="00836A04"/>
    <w:rsid w:val="00836AAC"/>
    <w:rsid w:val="00836BE3"/>
    <w:rsid w:val="00836E32"/>
    <w:rsid w:val="0083729B"/>
    <w:rsid w:val="00837497"/>
    <w:rsid w:val="008376D4"/>
    <w:rsid w:val="00837A3D"/>
    <w:rsid w:val="00837B8A"/>
    <w:rsid w:val="00837C41"/>
    <w:rsid w:val="00837D43"/>
    <w:rsid w:val="00837E95"/>
    <w:rsid w:val="00837F80"/>
    <w:rsid w:val="00837FE6"/>
    <w:rsid w:val="00840157"/>
    <w:rsid w:val="008401FA"/>
    <w:rsid w:val="0084035C"/>
    <w:rsid w:val="00840674"/>
    <w:rsid w:val="008408F8"/>
    <w:rsid w:val="00840B0D"/>
    <w:rsid w:val="00840C3D"/>
    <w:rsid w:val="00840CA2"/>
    <w:rsid w:val="00840D8C"/>
    <w:rsid w:val="00840D92"/>
    <w:rsid w:val="00840DD3"/>
    <w:rsid w:val="008413D4"/>
    <w:rsid w:val="008415E0"/>
    <w:rsid w:val="008416E1"/>
    <w:rsid w:val="008416ED"/>
    <w:rsid w:val="00841839"/>
    <w:rsid w:val="00841C4B"/>
    <w:rsid w:val="00841FC1"/>
    <w:rsid w:val="0084225E"/>
    <w:rsid w:val="00842268"/>
    <w:rsid w:val="00842D2C"/>
    <w:rsid w:val="00843127"/>
    <w:rsid w:val="00843441"/>
    <w:rsid w:val="0084374F"/>
    <w:rsid w:val="00843BAD"/>
    <w:rsid w:val="0084448E"/>
    <w:rsid w:val="008444E6"/>
    <w:rsid w:val="00844742"/>
    <w:rsid w:val="008448FB"/>
    <w:rsid w:val="00844933"/>
    <w:rsid w:val="0084499E"/>
    <w:rsid w:val="00844A22"/>
    <w:rsid w:val="00844BDF"/>
    <w:rsid w:val="00844EDA"/>
    <w:rsid w:val="0084582F"/>
    <w:rsid w:val="0084619C"/>
    <w:rsid w:val="00846217"/>
    <w:rsid w:val="00846391"/>
    <w:rsid w:val="00846436"/>
    <w:rsid w:val="008467BF"/>
    <w:rsid w:val="008469EA"/>
    <w:rsid w:val="00846E14"/>
    <w:rsid w:val="00846F7D"/>
    <w:rsid w:val="008470E6"/>
    <w:rsid w:val="00847265"/>
    <w:rsid w:val="00847386"/>
    <w:rsid w:val="00847396"/>
    <w:rsid w:val="0084754F"/>
    <w:rsid w:val="00847703"/>
    <w:rsid w:val="00847973"/>
    <w:rsid w:val="00847D62"/>
    <w:rsid w:val="00847DF5"/>
    <w:rsid w:val="00850CDE"/>
    <w:rsid w:val="00850D5E"/>
    <w:rsid w:val="00850E83"/>
    <w:rsid w:val="00850FB5"/>
    <w:rsid w:val="008510F7"/>
    <w:rsid w:val="00851273"/>
    <w:rsid w:val="008515E6"/>
    <w:rsid w:val="00851730"/>
    <w:rsid w:val="0085180B"/>
    <w:rsid w:val="008521E6"/>
    <w:rsid w:val="00852245"/>
    <w:rsid w:val="008526F8"/>
    <w:rsid w:val="008529F5"/>
    <w:rsid w:val="00852BB4"/>
    <w:rsid w:val="00852C36"/>
    <w:rsid w:val="0085309D"/>
    <w:rsid w:val="00853898"/>
    <w:rsid w:val="00853A7A"/>
    <w:rsid w:val="00853ABC"/>
    <w:rsid w:val="00853C30"/>
    <w:rsid w:val="00853E04"/>
    <w:rsid w:val="00853F48"/>
    <w:rsid w:val="008545AA"/>
    <w:rsid w:val="0085470E"/>
    <w:rsid w:val="0085493A"/>
    <w:rsid w:val="00854A1C"/>
    <w:rsid w:val="00854A37"/>
    <w:rsid w:val="00854BFA"/>
    <w:rsid w:val="00854C8F"/>
    <w:rsid w:val="00854CD3"/>
    <w:rsid w:val="00854DD0"/>
    <w:rsid w:val="00854E2B"/>
    <w:rsid w:val="00854E8B"/>
    <w:rsid w:val="00854F93"/>
    <w:rsid w:val="0085523B"/>
    <w:rsid w:val="008554CE"/>
    <w:rsid w:val="008560EC"/>
    <w:rsid w:val="0085676A"/>
    <w:rsid w:val="00856897"/>
    <w:rsid w:val="00856A0B"/>
    <w:rsid w:val="00856E9A"/>
    <w:rsid w:val="00856FB1"/>
    <w:rsid w:val="00857289"/>
    <w:rsid w:val="008572CF"/>
    <w:rsid w:val="00857963"/>
    <w:rsid w:val="00857A42"/>
    <w:rsid w:val="00857C01"/>
    <w:rsid w:val="00857E17"/>
    <w:rsid w:val="00857FF4"/>
    <w:rsid w:val="00860097"/>
    <w:rsid w:val="008600F7"/>
    <w:rsid w:val="00860248"/>
    <w:rsid w:val="00860339"/>
    <w:rsid w:val="0086075D"/>
    <w:rsid w:val="008607ED"/>
    <w:rsid w:val="008608CF"/>
    <w:rsid w:val="00860969"/>
    <w:rsid w:val="00860A28"/>
    <w:rsid w:val="00860DE5"/>
    <w:rsid w:val="00861042"/>
    <w:rsid w:val="00861209"/>
    <w:rsid w:val="008615ED"/>
    <w:rsid w:val="008616E8"/>
    <w:rsid w:val="00861A56"/>
    <w:rsid w:val="00861AFF"/>
    <w:rsid w:val="00861C73"/>
    <w:rsid w:val="00861E06"/>
    <w:rsid w:val="00861EEC"/>
    <w:rsid w:val="00861F1A"/>
    <w:rsid w:val="00862071"/>
    <w:rsid w:val="008623EA"/>
    <w:rsid w:val="00862502"/>
    <w:rsid w:val="00862696"/>
    <w:rsid w:val="0086279B"/>
    <w:rsid w:val="008627F9"/>
    <w:rsid w:val="0086287D"/>
    <w:rsid w:val="008629D6"/>
    <w:rsid w:val="00862A45"/>
    <w:rsid w:val="00862CB4"/>
    <w:rsid w:val="00862CC1"/>
    <w:rsid w:val="00862D89"/>
    <w:rsid w:val="00862D96"/>
    <w:rsid w:val="008636AA"/>
    <w:rsid w:val="008642A7"/>
    <w:rsid w:val="00864535"/>
    <w:rsid w:val="00864965"/>
    <w:rsid w:val="0086499D"/>
    <w:rsid w:val="00864BB0"/>
    <w:rsid w:val="00865031"/>
    <w:rsid w:val="008651C9"/>
    <w:rsid w:val="00865225"/>
    <w:rsid w:val="0086579B"/>
    <w:rsid w:val="00865DB7"/>
    <w:rsid w:val="008660D4"/>
    <w:rsid w:val="0086625D"/>
    <w:rsid w:val="0086640D"/>
    <w:rsid w:val="00866636"/>
    <w:rsid w:val="00866679"/>
    <w:rsid w:val="0086689E"/>
    <w:rsid w:val="00866A0D"/>
    <w:rsid w:val="00866BC4"/>
    <w:rsid w:val="00866C56"/>
    <w:rsid w:val="008670F0"/>
    <w:rsid w:val="00867250"/>
    <w:rsid w:val="008674E5"/>
    <w:rsid w:val="0086758F"/>
    <w:rsid w:val="00867863"/>
    <w:rsid w:val="00867885"/>
    <w:rsid w:val="008679F4"/>
    <w:rsid w:val="00867A20"/>
    <w:rsid w:val="00867DE1"/>
    <w:rsid w:val="00867EFD"/>
    <w:rsid w:val="0087022E"/>
    <w:rsid w:val="008703AB"/>
    <w:rsid w:val="008706EB"/>
    <w:rsid w:val="00870750"/>
    <w:rsid w:val="0087098D"/>
    <w:rsid w:val="00870B7D"/>
    <w:rsid w:val="00870BB9"/>
    <w:rsid w:val="00870DDA"/>
    <w:rsid w:val="00870F80"/>
    <w:rsid w:val="00871A4B"/>
    <w:rsid w:val="00871A66"/>
    <w:rsid w:val="00871F58"/>
    <w:rsid w:val="00871FA9"/>
    <w:rsid w:val="008721BA"/>
    <w:rsid w:val="008726C0"/>
    <w:rsid w:val="0087277B"/>
    <w:rsid w:val="008728E9"/>
    <w:rsid w:val="00872A92"/>
    <w:rsid w:val="00872AF9"/>
    <w:rsid w:val="00872B12"/>
    <w:rsid w:val="00872CCA"/>
    <w:rsid w:val="00872F43"/>
    <w:rsid w:val="00873102"/>
    <w:rsid w:val="0087328D"/>
    <w:rsid w:val="00873631"/>
    <w:rsid w:val="00874268"/>
    <w:rsid w:val="00874728"/>
    <w:rsid w:val="0087474E"/>
    <w:rsid w:val="008748B3"/>
    <w:rsid w:val="008748C5"/>
    <w:rsid w:val="008748E9"/>
    <w:rsid w:val="00874C76"/>
    <w:rsid w:val="0087522A"/>
    <w:rsid w:val="00875433"/>
    <w:rsid w:val="0087566D"/>
    <w:rsid w:val="00875983"/>
    <w:rsid w:val="00875D59"/>
    <w:rsid w:val="00876430"/>
    <w:rsid w:val="00876662"/>
    <w:rsid w:val="00876B05"/>
    <w:rsid w:val="00876D93"/>
    <w:rsid w:val="00877115"/>
    <w:rsid w:val="00877490"/>
    <w:rsid w:val="008775DE"/>
    <w:rsid w:val="00877A96"/>
    <w:rsid w:val="00877FA1"/>
    <w:rsid w:val="0088082D"/>
    <w:rsid w:val="008808E4"/>
    <w:rsid w:val="00880BDC"/>
    <w:rsid w:val="00880C34"/>
    <w:rsid w:val="0088114E"/>
    <w:rsid w:val="008812E4"/>
    <w:rsid w:val="00881482"/>
    <w:rsid w:val="008817CE"/>
    <w:rsid w:val="00881980"/>
    <w:rsid w:val="00881CAA"/>
    <w:rsid w:val="00881CC3"/>
    <w:rsid w:val="008820C4"/>
    <w:rsid w:val="00882733"/>
    <w:rsid w:val="00882874"/>
    <w:rsid w:val="008829D6"/>
    <w:rsid w:val="00882E3C"/>
    <w:rsid w:val="00883055"/>
    <w:rsid w:val="0088308A"/>
    <w:rsid w:val="00883191"/>
    <w:rsid w:val="00883306"/>
    <w:rsid w:val="0088336B"/>
    <w:rsid w:val="0088355D"/>
    <w:rsid w:val="00883787"/>
    <w:rsid w:val="00883A22"/>
    <w:rsid w:val="00884148"/>
    <w:rsid w:val="0088436F"/>
    <w:rsid w:val="00884917"/>
    <w:rsid w:val="00884AE8"/>
    <w:rsid w:val="008851A7"/>
    <w:rsid w:val="0088550D"/>
    <w:rsid w:val="008855E4"/>
    <w:rsid w:val="00885A25"/>
    <w:rsid w:val="00885C29"/>
    <w:rsid w:val="00885C34"/>
    <w:rsid w:val="00885CB4"/>
    <w:rsid w:val="00885D59"/>
    <w:rsid w:val="00885E16"/>
    <w:rsid w:val="00885E3E"/>
    <w:rsid w:val="00885E96"/>
    <w:rsid w:val="00885EFE"/>
    <w:rsid w:val="00886B7C"/>
    <w:rsid w:val="00886CD2"/>
    <w:rsid w:val="00886F78"/>
    <w:rsid w:val="00887329"/>
    <w:rsid w:val="0088740F"/>
    <w:rsid w:val="008878C2"/>
    <w:rsid w:val="008879A2"/>
    <w:rsid w:val="00887B14"/>
    <w:rsid w:val="00887CAD"/>
    <w:rsid w:val="00887EE3"/>
    <w:rsid w:val="00887F21"/>
    <w:rsid w:val="00887FB5"/>
    <w:rsid w:val="00890097"/>
    <w:rsid w:val="00890433"/>
    <w:rsid w:val="008907AA"/>
    <w:rsid w:val="00890D12"/>
    <w:rsid w:val="0089122A"/>
    <w:rsid w:val="008913E4"/>
    <w:rsid w:val="008918B1"/>
    <w:rsid w:val="00891B24"/>
    <w:rsid w:val="00891D8A"/>
    <w:rsid w:val="00891DC0"/>
    <w:rsid w:val="00891E6F"/>
    <w:rsid w:val="00891F4C"/>
    <w:rsid w:val="008922C2"/>
    <w:rsid w:val="0089235C"/>
    <w:rsid w:val="0089275D"/>
    <w:rsid w:val="00892983"/>
    <w:rsid w:val="00892A1D"/>
    <w:rsid w:val="00892A36"/>
    <w:rsid w:val="00892BA6"/>
    <w:rsid w:val="00892FC3"/>
    <w:rsid w:val="00893239"/>
    <w:rsid w:val="008932C5"/>
    <w:rsid w:val="00893398"/>
    <w:rsid w:val="0089340F"/>
    <w:rsid w:val="008934AF"/>
    <w:rsid w:val="008936DA"/>
    <w:rsid w:val="0089376B"/>
    <w:rsid w:val="0089396C"/>
    <w:rsid w:val="0089420E"/>
    <w:rsid w:val="0089429B"/>
    <w:rsid w:val="00894489"/>
    <w:rsid w:val="0089498F"/>
    <w:rsid w:val="00894C73"/>
    <w:rsid w:val="00894CD6"/>
    <w:rsid w:val="00894E83"/>
    <w:rsid w:val="0089520E"/>
    <w:rsid w:val="0089532F"/>
    <w:rsid w:val="00895ABA"/>
    <w:rsid w:val="00895EFE"/>
    <w:rsid w:val="008963A5"/>
    <w:rsid w:val="008964C5"/>
    <w:rsid w:val="00896652"/>
    <w:rsid w:val="00896A15"/>
    <w:rsid w:val="00896C1C"/>
    <w:rsid w:val="00896D5D"/>
    <w:rsid w:val="00897027"/>
    <w:rsid w:val="008973D3"/>
    <w:rsid w:val="0089744C"/>
    <w:rsid w:val="0089757E"/>
    <w:rsid w:val="008976FE"/>
    <w:rsid w:val="00897AA6"/>
    <w:rsid w:val="008A019F"/>
    <w:rsid w:val="008A0351"/>
    <w:rsid w:val="008A043F"/>
    <w:rsid w:val="008A05FF"/>
    <w:rsid w:val="008A0954"/>
    <w:rsid w:val="008A0A5C"/>
    <w:rsid w:val="008A0D6D"/>
    <w:rsid w:val="008A119D"/>
    <w:rsid w:val="008A1537"/>
    <w:rsid w:val="008A1541"/>
    <w:rsid w:val="008A1725"/>
    <w:rsid w:val="008A1A52"/>
    <w:rsid w:val="008A1E69"/>
    <w:rsid w:val="008A205E"/>
    <w:rsid w:val="008A2363"/>
    <w:rsid w:val="008A23A7"/>
    <w:rsid w:val="008A2408"/>
    <w:rsid w:val="008A2521"/>
    <w:rsid w:val="008A29E5"/>
    <w:rsid w:val="008A2E49"/>
    <w:rsid w:val="008A2ED2"/>
    <w:rsid w:val="008A3097"/>
    <w:rsid w:val="008A3158"/>
    <w:rsid w:val="008A3363"/>
    <w:rsid w:val="008A3371"/>
    <w:rsid w:val="008A37E5"/>
    <w:rsid w:val="008A39DE"/>
    <w:rsid w:val="008A3A4B"/>
    <w:rsid w:val="008A3C3E"/>
    <w:rsid w:val="008A3D72"/>
    <w:rsid w:val="008A3E88"/>
    <w:rsid w:val="008A4190"/>
    <w:rsid w:val="008A4471"/>
    <w:rsid w:val="008A454F"/>
    <w:rsid w:val="008A461C"/>
    <w:rsid w:val="008A464D"/>
    <w:rsid w:val="008A4B60"/>
    <w:rsid w:val="008A5099"/>
    <w:rsid w:val="008A5313"/>
    <w:rsid w:val="008A54DF"/>
    <w:rsid w:val="008A560A"/>
    <w:rsid w:val="008A58CE"/>
    <w:rsid w:val="008A5925"/>
    <w:rsid w:val="008A5C9E"/>
    <w:rsid w:val="008A5DBE"/>
    <w:rsid w:val="008A6213"/>
    <w:rsid w:val="008A6752"/>
    <w:rsid w:val="008A6A5A"/>
    <w:rsid w:val="008A7390"/>
    <w:rsid w:val="008A75B3"/>
    <w:rsid w:val="008A7699"/>
    <w:rsid w:val="008A777F"/>
    <w:rsid w:val="008A79DE"/>
    <w:rsid w:val="008A7C7A"/>
    <w:rsid w:val="008B0091"/>
    <w:rsid w:val="008B0226"/>
    <w:rsid w:val="008B0247"/>
    <w:rsid w:val="008B0401"/>
    <w:rsid w:val="008B0701"/>
    <w:rsid w:val="008B09B2"/>
    <w:rsid w:val="008B0C4C"/>
    <w:rsid w:val="008B0D46"/>
    <w:rsid w:val="008B1471"/>
    <w:rsid w:val="008B16AA"/>
    <w:rsid w:val="008B1757"/>
    <w:rsid w:val="008B17D5"/>
    <w:rsid w:val="008B19B1"/>
    <w:rsid w:val="008B19D4"/>
    <w:rsid w:val="008B1B75"/>
    <w:rsid w:val="008B1C33"/>
    <w:rsid w:val="008B2161"/>
    <w:rsid w:val="008B2920"/>
    <w:rsid w:val="008B2B63"/>
    <w:rsid w:val="008B2E1B"/>
    <w:rsid w:val="008B30FF"/>
    <w:rsid w:val="008B3145"/>
    <w:rsid w:val="008B374F"/>
    <w:rsid w:val="008B3D63"/>
    <w:rsid w:val="008B43FF"/>
    <w:rsid w:val="008B4AA9"/>
    <w:rsid w:val="008B4AD6"/>
    <w:rsid w:val="008B4B6F"/>
    <w:rsid w:val="008B4CC3"/>
    <w:rsid w:val="008B4DBF"/>
    <w:rsid w:val="008B518B"/>
    <w:rsid w:val="008B5322"/>
    <w:rsid w:val="008B5559"/>
    <w:rsid w:val="008B5B20"/>
    <w:rsid w:val="008B60FD"/>
    <w:rsid w:val="008B614D"/>
    <w:rsid w:val="008B6334"/>
    <w:rsid w:val="008B668D"/>
    <w:rsid w:val="008B6EF9"/>
    <w:rsid w:val="008B6F25"/>
    <w:rsid w:val="008B75E5"/>
    <w:rsid w:val="008B765B"/>
    <w:rsid w:val="008B7992"/>
    <w:rsid w:val="008B79EB"/>
    <w:rsid w:val="008B7D7E"/>
    <w:rsid w:val="008B7FF4"/>
    <w:rsid w:val="008C00BC"/>
    <w:rsid w:val="008C020F"/>
    <w:rsid w:val="008C0538"/>
    <w:rsid w:val="008C075E"/>
    <w:rsid w:val="008C0D99"/>
    <w:rsid w:val="008C0DC4"/>
    <w:rsid w:val="008C13C8"/>
    <w:rsid w:val="008C170B"/>
    <w:rsid w:val="008C1C76"/>
    <w:rsid w:val="008C1D7D"/>
    <w:rsid w:val="008C23E4"/>
    <w:rsid w:val="008C2409"/>
    <w:rsid w:val="008C2520"/>
    <w:rsid w:val="008C28AE"/>
    <w:rsid w:val="008C2A1F"/>
    <w:rsid w:val="008C2B7E"/>
    <w:rsid w:val="008C2E36"/>
    <w:rsid w:val="008C2FC3"/>
    <w:rsid w:val="008C327A"/>
    <w:rsid w:val="008C38E5"/>
    <w:rsid w:val="008C3AB5"/>
    <w:rsid w:val="008C4012"/>
    <w:rsid w:val="008C470E"/>
    <w:rsid w:val="008C471D"/>
    <w:rsid w:val="008C47F1"/>
    <w:rsid w:val="008C4835"/>
    <w:rsid w:val="008C496F"/>
    <w:rsid w:val="008C4D64"/>
    <w:rsid w:val="008C5168"/>
    <w:rsid w:val="008C5610"/>
    <w:rsid w:val="008C5611"/>
    <w:rsid w:val="008C5724"/>
    <w:rsid w:val="008C5739"/>
    <w:rsid w:val="008C57B1"/>
    <w:rsid w:val="008C5D23"/>
    <w:rsid w:val="008C5F09"/>
    <w:rsid w:val="008C6129"/>
    <w:rsid w:val="008C616B"/>
    <w:rsid w:val="008C6234"/>
    <w:rsid w:val="008C64F8"/>
    <w:rsid w:val="008C6BB9"/>
    <w:rsid w:val="008C6F94"/>
    <w:rsid w:val="008C7282"/>
    <w:rsid w:val="008C78FC"/>
    <w:rsid w:val="008C7A75"/>
    <w:rsid w:val="008C7ECB"/>
    <w:rsid w:val="008D072D"/>
    <w:rsid w:val="008D07B2"/>
    <w:rsid w:val="008D0EB3"/>
    <w:rsid w:val="008D10D6"/>
    <w:rsid w:val="008D10E0"/>
    <w:rsid w:val="008D19E7"/>
    <w:rsid w:val="008D25A4"/>
    <w:rsid w:val="008D2880"/>
    <w:rsid w:val="008D294A"/>
    <w:rsid w:val="008D3721"/>
    <w:rsid w:val="008D37F4"/>
    <w:rsid w:val="008D3A5E"/>
    <w:rsid w:val="008D3B86"/>
    <w:rsid w:val="008D419B"/>
    <w:rsid w:val="008D4223"/>
    <w:rsid w:val="008D43FD"/>
    <w:rsid w:val="008D4665"/>
    <w:rsid w:val="008D4755"/>
    <w:rsid w:val="008D4AE0"/>
    <w:rsid w:val="008D4C37"/>
    <w:rsid w:val="008D4C3D"/>
    <w:rsid w:val="008D4E46"/>
    <w:rsid w:val="008D544F"/>
    <w:rsid w:val="008D5866"/>
    <w:rsid w:val="008D5A55"/>
    <w:rsid w:val="008D5B4F"/>
    <w:rsid w:val="008D5B7D"/>
    <w:rsid w:val="008D5BC7"/>
    <w:rsid w:val="008D6422"/>
    <w:rsid w:val="008D6825"/>
    <w:rsid w:val="008D6901"/>
    <w:rsid w:val="008D6A49"/>
    <w:rsid w:val="008D6CED"/>
    <w:rsid w:val="008D711D"/>
    <w:rsid w:val="008D743C"/>
    <w:rsid w:val="008D793E"/>
    <w:rsid w:val="008E08D9"/>
    <w:rsid w:val="008E0D3C"/>
    <w:rsid w:val="008E0D9E"/>
    <w:rsid w:val="008E1B9E"/>
    <w:rsid w:val="008E1C4A"/>
    <w:rsid w:val="008E1EE4"/>
    <w:rsid w:val="008E219E"/>
    <w:rsid w:val="008E22B7"/>
    <w:rsid w:val="008E23A0"/>
    <w:rsid w:val="008E24ED"/>
    <w:rsid w:val="008E2B44"/>
    <w:rsid w:val="008E2F6A"/>
    <w:rsid w:val="008E2F6D"/>
    <w:rsid w:val="008E2F97"/>
    <w:rsid w:val="008E32EE"/>
    <w:rsid w:val="008E3495"/>
    <w:rsid w:val="008E34BC"/>
    <w:rsid w:val="008E3744"/>
    <w:rsid w:val="008E37BB"/>
    <w:rsid w:val="008E393E"/>
    <w:rsid w:val="008E3BCE"/>
    <w:rsid w:val="008E3E1E"/>
    <w:rsid w:val="008E3E83"/>
    <w:rsid w:val="008E4822"/>
    <w:rsid w:val="008E4F0E"/>
    <w:rsid w:val="008E5461"/>
    <w:rsid w:val="008E55AB"/>
    <w:rsid w:val="008E58D0"/>
    <w:rsid w:val="008E5997"/>
    <w:rsid w:val="008E6049"/>
    <w:rsid w:val="008E646A"/>
    <w:rsid w:val="008E6889"/>
    <w:rsid w:val="008E69B2"/>
    <w:rsid w:val="008E6C0B"/>
    <w:rsid w:val="008E6CA4"/>
    <w:rsid w:val="008E6CFF"/>
    <w:rsid w:val="008E7327"/>
    <w:rsid w:val="008E7491"/>
    <w:rsid w:val="008E755F"/>
    <w:rsid w:val="008E75E7"/>
    <w:rsid w:val="008E7DF1"/>
    <w:rsid w:val="008E7EA0"/>
    <w:rsid w:val="008F05E2"/>
    <w:rsid w:val="008F077E"/>
    <w:rsid w:val="008F0B4D"/>
    <w:rsid w:val="008F0F8B"/>
    <w:rsid w:val="008F120A"/>
    <w:rsid w:val="008F1650"/>
    <w:rsid w:val="008F1971"/>
    <w:rsid w:val="008F1A73"/>
    <w:rsid w:val="008F1AB7"/>
    <w:rsid w:val="008F1BFA"/>
    <w:rsid w:val="008F1E71"/>
    <w:rsid w:val="008F1F76"/>
    <w:rsid w:val="008F1F87"/>
    <w:rsid w:val="008F245B"/>
    <w:rsid w:val="008F25F0"/>
    <w:rsid w:val="008F2784"/>
    <w:rsid w:val="008F27E0"/>
    <w:rsid w:val="008F27EC"/>
    <w:rsid w:val="008F2B86"/>
    <w:rsid w:val="008F30B0"/>
    <w:rsid w:val="008F3160"/>
    <w:rsid w:val="008F326E"/>
    <w:rsid w:val="008F3847"/>
    <w:rsid w:val="008F3915"/>
    <w:rsid w:val="008F3D7A"/>
    <w:rsid w:val="008F3DC0"/>
    <w:rsid w:val="008F4141"/>
    <w:rsid w:val="008F42D5"/>
    <w:rsid w:val="008F466C"/>
    <w:rsid w:val="008F48EB"/>
    <w:rsid w:val="008F48EE"/>
    <w:rsid w:val="008F4A26"/>
    <w:rsid w:val="008F4CB5"/>
    <w:rsid w:val="008F4CE7"/>
    <w:rsid w:val="008F4F0B"/>
    <w:rsid w:val="008F5004"/>
    <w:rsid w:val="008F51CA"/>
    <w:rsid w:val="008F5462"/>
    <w:rsid w:val="008F5DAB"/>
    <w:rsid w:val="008F649B"/>
    <w:rsid w:val="008F6696"/>
    <w:rsid w:val="008F66A7"/>
    <w:rsid w:val="008F69B5"/>
    <w:rsid w:val="008F6A6D"/>
    <w:rsid w:val="008F6FE4"/>
    <w:rsid w:val="008F7080"/>
    <w:rsid w:val="008F7A97"/>
    <w:rsid w:val="0090072C"/>
    <w:rsid w:val="00900F37"/>
    <w:rsid w:val="00901111"/>
    <w:rsid w:val="0090140B"/>
    <w:rsid w:val="00901437"/>
    <w:rsid w:val="00901845"/>
    <w:rsid w:val="00901B6A"/>
    <w:rsid w:val="00901C3E"/>
    <w:rsid w:val="00902E59"/>
    <w:rsid w:val="00902F29"/>
    <w:rsid w:val="009032D8"/>
    <w:rsid w:val="0090386C"/>
    <w:rsid w:val="00903939"/>
    <w:rsid w:val="00903B4E"/>
    <w:rsid w:val="00903B6E"/>
    <w:rsid w:val="00903C5E"/>
    <w:rsid w:val="00903DC3"/>
    <w:rsid w:val="00903E44"/>
    <w:rsid w:val="00903EF2"/>
    <w:rsid w:val="00903F2A"/>
    <w:rsid w:val="00904036"/>
    <w:rsid w:val="00904501"/>
    <w:rsid w:val="009046C4"/>
    <w:rsid w:val="0090490A"/>
    <w:rsid w:val="0090499F"/>
    <w:rsid w:val="00905276"/>
    <w:rsid w:val="00905BCB"/>
    <w:rsid w:val="00905DE5"/>
    <w:rsid w:val="009061E1"/>
    <w:rsid w:val="009062A5"/>
    <w:rsid w:val="009064E5"/>
    <w:rsid w:val="009065A5"/>
    <w:rsid w:val="00906657"/>
    <w:rsid w:val="0090697B"/>
    <w:rsid w:val="00906998"/>
    <w:rsid w:val="00906B13"/>
    <w:rsid w:val="00906B8E"/>
    <w:rsid w:val="00907628"/>
    <w:rsid w:val="00907699"/>
    <w:rsid w:val="00907713"/>
    <w:rsid w:val="00907F01"/>
    <w:rsid w:val="00907F86"/>
    <w:rsid w:val="00910086"/>
    <w:rsid w:val="00910818"/>
    <w:rsid w:val="00910A5E"/>
    <w:rsid w:val="00910D2D"/>
    <w:rsid w:val="00910EDE"/>
    <w:rsid w:val="00910FA7"/>
    <w:rsid w:val="00911272"/>
    <w:rsid w:val="0091132F"/>
    <w:rsid w:val="00911339"/>
    <w:rsid w:val="009119A2"/>
    <w:rsid w:val="00911B22"/>
    <w:rsid w:val="00912135"/>
    <w:rsid w:val="009126F7"/>
    <w:rsid w:val="00912866"/>
    <w:rsid w:val="00912A56"/>
    <w:rsid w:val="00912CD7"/>
    <w:rsid w:val="00912DE4"/>
    <w:rsid w:val="009130C8"/>
    <w:rsid w:val="0091310B"/>
    <w:rsid w:val="00913136"/>
    <w:rsid w:val="00913514"/>
    <w:rsid w:val="009135D6"/>
    <w:rsid w:val="00913744"/>
    <w:rsid w:val="009143C7"/>
    <w:rsid w:val="009147AF"/>
    <w:rsid w:val="0091484B"/>
    <w:rsid w:val="00914941"/>
    <w:rsid w:val="00914A5B"/>
    <w:rsid w:val="00914A6D"/>
    <w:rsid w:val="00914C77"/>
    <w:rsid w:val="00914E89"/>
    <w:rsid w:val="0091563F"/>
    <w:rsid w:val="0091588A"/>
    <w:rsid w:val="0091593E"/>
    <w:rsid w:val="00915C07"/>
    <w:rsid w:val="00915F24"/>
    <w:rsid w:val="00915FBF"/>
    <w:rsid w:val="00916083"/>
    <w:rsid w:val="009165F0"/>
    <w:rsid w:val="009166E8"/>
    <w:rsid w:val="00916712"/>
    <w:rsid w:val="0091690B"/>
    <w:rsid w:val="00916E15"/>
    <w:rsid w:val="00916FD3"/>
    <w:rsid w:val="00917A83"/>
    <w:rsid w:val="00920045"/>
    <w:rsid w:val="0092005F"/>
    <w:rsid w:val="00920118"/>
    <w:rsid w:val="00920238"/>
    <w:rsid w:val="009202B8"/>
    <w:rsid w:val="00920324"/>
    <w:rsid w:val="0092033C"/>
    <w:rsid w:val="00920795"/>
    <w:rsid w:val="0092087E"/>
    <w:rsid w:val="00920BA1"/>
    <w:rsid w:val="0092140B"/>
    <w:rsid w:val="009214AE"/>
    <w:rsid w:val="009216A0"/>
    <w:rsid w:val="00921A1F"/>
    <w:rsid w:val="00921A5F"/>
    <w:rsid w:val="00921ACB"/>
    <w:rsid w:val="00921B67"/>
    <w:rsid w:val="00921DE6"/>
    <w:rsid w:val="00921E6F"/>
    <w:rsid w:val="00921FDB"/>
    <w:rsid w:val="00922016"/>
    <w:rsid w:val="009221C4"/>
    <w:rsid w:val="009222BB"/>
    <w:rsid w:val="0092246F"/>
    <w:rsid w:val="009226BD"/>
    <w:rsid w:val="00922BC3"/>
    <w:rsid w:val="00922DE4"/>
    <w:rsid w:val="009230FC"/>
    <w:rsid w:val="0092342C"/>
    <w:rsid w:val="0092369B"/>
    <w:rsid w:val="00923CEE"/>
    <w:rsid w:val="00923E55"/>
    <w:rsid w:val="009240A8"/>
    <w:rsid w:val="0092438C"/>
    <w:rsid w:val="00924669"/>
    <w:rsid w:val="009247A2"/>
    <w:rsid w:val="009248B7"/>
    <w:rsid w:val="009248B8"/>
    <w:rsid w:val="00924B90"/>
    <w:rsid w:val="00924CD6"/>
    <w:rsid w:val="00924FF7"/>
    <w:rsid w:val="009250E2"/>
    <w:rsid w:val="009252F7"/>
    <w:rsid w:val="00925333"/>
    <w:rsid w:val="00925405"/>
    <w:rsid w:val="00925606"/>
    <w:rsid w:val="009257CA"/>
    <w:rsid w:val="00926030"/>
    <w:rsid w:val="0092616A"/>
    <w:rsid w:val="00926257"/>
    <w:rsid w:val="009277FA"/>
    <w:rsid w:val="009278E7"/>
    <w:rsid w:val="00927E97"/>
    <w:rsid w:val="00927EA8"/>
    <w:rsid w:val="009305D3"/>
    <w:rsid w:val="00930DEC"/>
    <w:rsid w:val="00931005"/>
    <w:rsid w:val="0093126E"/>
    <w:rsid w:val="009312BB"/>
    <w:rsid w:val="00931C73"/>
    <w:rsid w:val="0093232D"/>
    <w:rsid w:val="009325E8"/>
    <w:rsid w:val="00932817"/>
    <w:rsid w:val="00932C69"/>
    <w:rsid w:val="00932C78"/>
    <w:rsid w:val="00933001"/>
    <w:rsid w:val="009333E7"/>
    <w:rsid w:val="009335C6"/>
    <w:rsid w:val="009335C7"/>
    <w:rsid w:val="009339F2"/>
    <w:rsid w:val="0093438C"/>
    <w:rsid w:val="009345C7"/>
    <w:rsid w:val="009346D2"/>
    <w:rsid w:val="0093471B"/>
    <w:rsid w:val="009347D4"/>
    <w:rsid w:val="009348DC"/>
    <w:rsid w:val="0093494D"/>
    <w:rsid w:val="00934988"/>
    <w:rsid w:val="00934A27"/>
    <w:rsid w:val="00934B9B"/>
    <w:rsid w:val="00935108"/>
    <w:rsid w:val="0093519D"/>
    <w:rsid w:val="0093533B"/>
    <w:rsid w:val="009353A3"/>
    <w:rsid w:val="00935557"/>
    <w:rsid w:val="009359A3"/>
    <w:rsid w:val="00935FF6"/>
    <w:rsid w:val="009361B7"/>
    <w:rsid w:val="009363E0"/>
    <w:rsid w:val="0093663D"/>
    <w:rsid w:val="009368C5"/>
    <w:rsid w:val="00936ABF"/>
    <w:rsid w:val="00936AE6"/>
    <w:rsid w:val="00936E3A"/>
    <w:rsid w:val="00937089"/>
    <w:rsid w:val="00937391"/>
    <w:rsid w:val="009373AF"/>
    <w:rsid w:val="0093764B"/>
    <w:rsid w:val="0093795A"/>
    <w:rsid w:val="009400FD"/>
    <w:rsid w:val="009401E2"/>
    <w:rsid w:val="00940985"/>
    <w:rsid w:val="00940A1F"/>
    <w:rsid w:val="00940EDD"/>
    <w:rsid w:val="0094179A"/>
    <w:rsid w:val="0094187F"/>
    <w:rsid w:val="00942573"/>
    <w:rsid w:val="00942621"/>
    <w:rsid w:val="00942E88"/>
    <w:rsid w:val="00942EF6"/>
    <w:rsid w:val="00942F29"/>
    <w:rsid w:val="00942F2F"/>
    <w:rsid w:val="00943117"/>
    <w:rsid w:val="0094316A"/>
    <w:rsid w:val="009437BB"/>
    <w:rsid w:val="00943C2C"/>
    <w:rsid w:val="009441D8"/>
    <w:rsid w:val="0094443C"/>
    <w:rsid w:val="009445FF"/>
    <w:rsid w:val="00944F8A"/>
    <w:rsid w:val="00945408"/>
    <w:rsid w:val="00945599"/>
    <w:rsid w:val="009457B0"/>
    <w:rsid w:val="0094587D"/>
    <w:rsid w:val="0094598E"/>
    <w:rsid w:val="00945F2F"/>
    <w:rsid w:val="00945FB2"/>
    <w:rsid w:val="009463B4"/>
    <w:rsid w:val="009464D9"/>
    <w:rsid w:val="009465B7"/>
    <w:rsid w:val="009465CE"/>
    <w:rsid w:val="00946635"/>
    <w:rsid w:val="00947946"/>
    <w:rsid w:val="00947C39"/>
    <w:rsid w:val="00947E16"/>
    <w:rsid w:val="009500F4"/>
    <w:rsid w:val="009503CF"/>
    <w:rsid w:val="00950749"/>
    <w:rsid w:val="0095093C"/>
    <w:rsid w:val="0095094F"/>
    <w:rsid w:val="0095095F"/>
    <w:rsid w:val="0095108B"/>
    <w:rsid w:val="009510A2"/>
    <w:rsid w:val="0095113C"/>
    <w:rsid w:val="00951630"/>
    <w:rsid w:val="0095170A"/>
    <w:rsid w:val="0095171C"/>
    <w:rsid w:val="0095193B"/>
    <w:rsid w:val="00951A50"/>
    <w:rsid w:val="00951B0E"/>
    <w:rsid w:val="00951BCF"/>
    <w:rsid w:val="00951FA2"/>
    <w:rsid w:val="0095210C"/>
    <w:rsid w:val="00952B00"/>
    <w:rsid w:val="00953257"/>
    <w:rsid w:val="00953330"/>
    <w:rsid w:val="009538AC"/>
    <w:rsid w:val="00953B06"/>
    <w:rsid w:val="00953B40"/>
    <w:rsid w:val="009543EF"/>
    <w:rsid w:val="009545F8"/>
    <w:rsid w:val="0095474C"/>
    <w:rsid w:val="0095476E"/>
    <w:rsid w:val="00954A77"/>
    <w:rsid w:val="00954DBA"/>
    <w:rsid w:val="00955668"/>
    <w:rsid w:val="009556B4"/>
    <w:rsid w:val="00955884"/>
    <w:rsid w:val="00955A46"/>
    <w:rsid w:val="00955BBA"/>
    <w:rsid w:val="00955C8F"/>
    <w:rsid w:val="00955D4B"/>
    <w:rsid w:val="00955D52"/>
    <w:rsid w:val="00955D58"/>
    <w:rsid w:val="009562FC"/>
    <w:rsid w:val="0095653A"/>
    <w:rsid w:val="00956850"/>
    <w:rsid w:val="00956F78"/>
    <w:rsid w:val="00957175"/>
    <w:rsid w:val="009572FD"/>
    <w:rsid w:val="00957492"/>
    <w:rsid w:val="00957505"/>
    <w:rsid w:val="00957D61"/>
    <w:rsid w:val="00957D92"/>
    <w:rsid w:val="00960360"/>
    <w:rsid w:val="009606BA"/>
    <w:rsid w:val="00961568"/>
    <w:rsid w:val="009615A8"/>
    <w:rsid w:val="00961ABB"/>
    <w:rsid w:val="00961AC8"/>
    <w:rsid w:val="00961B57"/>
    <w:rsid w:val="009620B6"/>
    <w:rsid w:val="00962607"/>
    <w:rsid w:val="0096295C"/>
    <w:rsid w:val="00962984"/>
    <w:rsid w:val="00962A0E"/>
    <w:rsid w:val="00962CB9"/>
    <w:rsid w:val="00962D36"/>
    <w:rsid w:val="00963283"/>
    <w:rsid w:val="00963449"/>
    <w:rsid w:val="00963822"/>
    <w:rsid w:val="009638D4"/>
    <w:rsid w:val="0096397E"/>
    <w:rsid w:val="00964305"/>
    <w:rsid w:val="00964312"/>
    <w:rsid w:val="009643BF"/>
    <w:rsid w:val="00964637"/>
    <w:rsid w:val="009646FB"/>
    <w:rsid w:val="00964789"/>
    <w:rsid w:val="009647F7"/>
    <w:rsid w:val="00964AFC"/>
    <w:rsid w:val="00964F7B"/>
    <w:rsid w:val="00965362"/>
    <w:rsid w:val="009654DA"/>
    <w:rsid w:val="00965638"/>
    <w:rsid w:val="00965742"/>
    <w:rsid w:val="009657B9"/>
    <w:rsid w:val="00965837"/>
    <w:rsid w:val="00965B3D"/>
    <w:rsid w:val="00965B4D"/>
    <w:rsid w:val="00965B8A"/>
    <w:rsid w:val="00965DC3"/>
    <w:rsid w:val="00965EF8"/>
    <w:rsid w:val="009662AB"/>
    <w:rsid w:val="00966378"/>
    <w:rsid w:val="009663F7"/>
    <w:rsid w:val="009664EC"/>
    <w:rsid w:val="00966517"/>
    <w:rsid w:val="00966730"/>
    <w:rsid w:val="009667F1"/>
    <w:rsid w:val="00966990"/>
    <w:rsid w:val="00966BE6"/>
    <w:rsid w:val="00966C15"/>
    <w:rsid w:val="009677BC"/>
    <w:rsid w:val="009677DD"/>
    <w:rsid w:val="00967BDA"/>
    <w:rsid w:val="00967C2A"/>
    <w:rsid w:val="00967C3B"/>
    <w:rsid w:val="00967E8A"/>
    <w:rsid w:val="00967F80"/>
    <w:rsid w:val="00970249"/>
    <w:rsid w:val="009706CE"/>
    <w:rsid w:val="0097071F"/>
    <w:rsid w:val="00970CC1"/>
    <w:rsid w:val="00970D6A"/>
    <w:rsid w:val="00970EB6"/>
    <w:rsid w:val="00971176"/>
    <w:rsid w:val="00971290"/>
    <w:rsid w:val="009717AC"/>
    <w:rsid w:val="00971993"/>
    <w:rsid w:val="00971B26"/>
    <w:rsid w:val="00972A10"/>
    <w:rsid w:val="00972D2F"/>
    <w:rsid w:val="00972F26"/>
    <w:rsid w:val="00973863"/>
    <w:rsid w:val="00973C1C"/>
    <w:rsid w:val="00973EF5"/>
    <w:rsid w:val="00974075"/>
    <w:rsid w:val="0097469E"/>
    <w:rsid w:val="00974C11"/>
    <w:rsid w:val="0097508B"/>
    <w:rsid w:val="009751C1"/>
    <w:rsid w:val="0097556D"/>
    <w:rsid w:val="00975572"/>
    <w:rsid w:val="009755E1"/>
    <w:rsid w:val="00975DC7"/>
    <w:rsid w:val="0097654F"/>
    <w:rsid w:val="0097673E"/>
    <w:rsid w:val="00976858"/>
    <w:rsid w:val="00976886"/>
    <w:rsid w:val="009768ED"/>
    <w:rsid w:val="00976FB3"/>
    <w:rsid w:val="00977351"/>
    <w:rsid w:val="00977573"/>
    <w:rsid w:val="009779D6"/>
    <w:rsid w:val="00977C4A"/>
    <w:rsid w:val="00977C7D"/>
    <w:rsid w:val="00977E1E"/>
    <w:rsid w:val="0097BA7E"/>
    <w:rsid w:val="0098023C"/>
    <w:rsid w:val="00980385"/>
    <w:rsid w:val="00980567"/>
    <w:rsid w:val="009805B5"/>
    <w:rsid w:val="0098073B"/>
    <w:rsid w:val="00980D22"/>
    <w:rsid w:val="00980DC4"/>
    <w:rsid w:val="0098106D"/>
    <w:rsid w:val="009811F1"/>
    <w:rsid w:val="009814A5"/>
    <w:rsid w:val="00981599"/>
    <w:rsid w:val="00981A7C"/>
    <w:rsid w:val="00981DC3"/>
    <w:rsid w:val="009820C4"/>
    <w:rsid w:val="009820EE"/>
    <w:rsid w:val="009823FD"/>
    <w:rsid w:val="00982604"/>
    <w:rsid w:val="0098262F"/>
    <w:rsid w:val="00982718"/>
    <w:rsid w:val="009829AB"/>
    <w:rsid w:val="00982C7F"/>
    <w:rsid w:val="009835BF"/>
    <w:rsid w:val="0098364F"/>
    <w:rsid w:val="009839BE"/>
    <w:rsid w:val="00983E57"/>
    <w:rsid w:val="00983ECA"/>
    <w:rsid w:val="00984128"/>
    <w:rsid w:val="009842CB"/>
    <w:rsid w:val="00984473"/>
    <w:rsid w:val="00984C8B"/>
    <w:rsid w:val="0098540F"/>
    <w:rsid w:val="00985DE2"/>
    <w:rsid w:val="009863D3"/>
    <w:rsid w:val="009866B7"/>
    <w:rsid w:val="0098675D"/>
    <w:rsid w:val="00986AC3"/>
    <w:rsid w:val="00986AD7"/>
    <w:rsid w:val="009872C2"/>
    <w:rsid w:val="00987BA4"/>
    <w:rsid w:val="00990129"/>
    <w:rsid w:val="009904FD"/>
    <w:rsid w:val="0099077A"/>
    <w:rsid w:val="009908EC"/>
    <w:rsid w:val="00990AB1"/>
    <w:rsid w:val="00990C95"/>
    <w:rsid w:val="00990DFF"/>
    <w:rsid w:val="00990EEA"/>
    <w:rsid w:val="00990F62"/>
    <w:rsid w:val="0099150E"/>
    <w:rsid w:val="00991942"/>
    <w:rsid w:val="00991FC3"/>
    <w:rsid w:val="00992186"/>
    <w:rsid w:val="0099226A"/>
    <w:rsid w:val="009923DF"/>
    <w:rsid w:val="0099247C"/>
    <w:rsid w:val="009925D1"/>
    <w:rsid w:val="0099265A"/>
    <w:rsid w:val="009926E0"/>
    <w:rsid w:val="0099273A"/>
    <w:rsid w:val="0099275F"/>
    <w:rsid w:val="00992839"/>
    <w:rsid w:val="00992A78"/>
    <w:rsid w:val="00992C26"/>
    <w:rsid w:val="009932C1"/>
    <w:rsid w:val="00993979"/>
    <w:rsid w:val="00993B88"/>
    <w:rsid w:val="00993BE1"/>
    <w:rsid w:val="0099451E"/>
    <w:rsid w:val="0099470A"/>
    <w:rsid w:val="0099475D"/>
    <w:rsid w:val="00994B8D"/>
    <w:rsid w:val="00994C94"/>
    <w:rsid w:val="00994D22"/>
    <w:rsid w:val="009952BD"/>
    <w:rsid w:val="009955AD"/>
    <w:rsid w:val="00995A9C"/>
    <w:rsid w:val="00995D44"/>
    <w:rsid w:val="00995EEE"/>
    <w:rsid w:val="00995F81"/>
    <w:rsid w:val="00995F95"/>
    <w:rsid w:val="009960AB"/>
    <w:rsid w:val="00996774"/>
    <w:rsid w:val="00996A4A"/>
    <w:rsid w:val="00996B1A"/>
    <w:rsid w:val="00996BA5"/>
    <w:rsid w:val="00996D05"/>
    <w:rsid w:val="00996D65"/>
    <w:rsid w:val="00996F8C"/>
    <w:rsid w:val="0099714F"/>
    <w:rsid w:val="009971AD"/>
    <w:rsid w:val="009973F9"/>
    <w:rsid w:val="00997759"/>
    <w:rsid w:val="00997D01"/>
    <w:rsid w:val="00997F18"/>
    <w:rsid w:val="009A02D5"/>
    <w:rsid w:val="009A0F19"/>
    <w:rsid w:val="009A13B6"/>
    <w:rsid w:val="009A1877"/>
    <w:rsid w:val="009A18F6"/>
    <w:rsid w:val="009A1EB1"/>
    <w:rsid w:val="009A1F66"/>
    <w:rsid w:val="009A21D9"/>
    <w:rsid w:val="009A2374"/>
    <w:rsid w:val="009A29C0"/>
    <w:rsid w:val="009A2BE2"/>
    <w:rsid w:val="009A2DCC"/>
    <w:rsid w:val="009A315E"/>
    <w:rsid w:val="009A329E"/>
    <w:rsid w:val="009A32D4"/>
    <w:rsid w:val="009A336E"/>
    <w:rsid w:val="009A38D5"/>
    <w:rsid w:val="009A3BB5"/>
    <w:rsid w:val="009A3ECC"/>
    <w:rsid w:val="009A4018"/>
    <w:rsid w:val="009A4052"/>
    <w:rsid w:val="009A40B5"/>
    <w:rsid w:val="009A40BF"/>
    <w:rsid w:val="009A44E2"/>
    <w:rsid w:val="009A4BB8"/>
    <w:rsid w:val="009A4EBE"/>
    <w:rsid w:val="009A534C"/>
    <w:rsid w:val="009A5A5B"/>
    <w:rsid w:val="009A5ABC"/>
    <w:rsid w:val="009A5BB1"/>
    <w:rsid w:val="009A5EC8"/>
    <w:rsid w:val="009A6118"/>
    <w:rsid w:val="009A62CF"/>
    <w:rsid w:val="009A63BE"/>
    <w:rsid w:val="009A6773"/>
    <w:rsid w:val="009A67C5"/>
    <w:rsid w:val="009A67FB"/>
    <w:rsid w:val="009A6A74"/>
    <w:rsid w:val="009A6E8F"/>
    <w:rsid w:val="009A70A1"/>
    <w:rsid w:val="009A7335"/>
    <w:rsid w:val="009A78C5"/>
    <w:rsid w:val="009A7972"/>
    <w:rsid w:val="009A7978"/>
    <w:rsid w:val="009A7BEB"/>
    <w:rsid w:val="009A7C3D"/>
    <w:rsid w:val="009A7F10"/>
    <w:rsid w:val="009B00D0"/>
    <w:rsid w:val="009B077F"/>
    <w:rsid w:val="009B08AA"/>
    <w:rsid w:val="009B0A23"/>
    <w:rsid w:val="009B0DCE"/>
    <w:rsid w:val="009B109D"/>
    <w:rsid w:val="009B10AD"/>
    <w:rsid w:val="009B11B0"/>
    <w:rsid w:val="009B19E0"/>
    <w:rsid w:val="009B1C30"/>
    <w:rsid w:val="009B203D"/>
    <w:rsid w:val="009B2373"/>
    <w:rsid w:val="009B2A33"/>
    <w:rsid w:val="009B2F12"/>
    <w:rsid w:val="009B3994"/>
    <w:rsid w:val="009B3E26"/>
    <w:rsid w:val="009B3E38"/>
    <w:rsid w:val="009B40B9"/>
    <w:rsid w:val="009B414A"/>
    <w:rsid w:val="009B4207"/>
    <w:rsid w:val="009B4858"/>
    <w:rsid w:val="009B4987"/>
    <w:rsid w:val="009B498E"/>
    <w:rsid w:val="009B49A6"/>
    <w:rsid w:val="009B4CED"/>
    <w:rsid w:val="009B4E05"/>
    <w:rsid w:val="009B5412"/>
    <w:rsid w:val="009B5816"/>
    <w:rsid w:val="009B5B7A"/>
    <w:rsid w:val="009B5E20"/>
    <w:rsid w:val="009B5FE1"/>
    <w:rsid w:val="009B66AD"/>
    <w:rsid w:val="009B6B0F"/>
    <w:rsid w:val="009B6C5B"/>
    <w:rsid w:val="009B6D80"/>
    <w:rsid w:val="009B70DB"/>
    <w:rsid w:val="009B7196"/>
    <w:rsid w:val="009B7242"/>
    <w:rsid w:val="009B752E"/>
    <w:rsid w:val="009B7667"/>
    <w:rsid w:val="009B77A6"/>
    <w:rsid w:val="009C04DE"/>
    <w:rsid w:val="009C0660"/>
    <w:rsid w:val="009C0865"/>
    <w:rsid w:val="009C0A3D"/>
    <w:rsid w:val="009C0C61"/>
    <w:rsid w:val="009C0D38"/>
    <w:rsid w:val="009C10A0"/>
    <w:rsid w:val="009C114D"/>
    <w:rsid w:val="009C1225"/>
    <w:rsid w:val="009C1271"/>
    <w:rsid w:val="009C134A"/>
    <w:rsid w:val="009C16D9"/>
    <w:rsid w:val="009C1767"/>
    <w:rsid w:val="009C1A7D"/>
    <w:rsid w:val="009C1A8A"/>
    <w:rsid w:val="009C1BFF"/>
    <w:rsid w:val="009C1FC8"/>
    <w:rsid w:val="009C215B"/>
    <w:rsid w:val="009C2407"/>
    <w:rsid w:val="009C2564"/>
    <w:rsid w:val="009C278F"/>
    <w:rsid w:val="009C2D20"/>
    <w:rsid w:val="009C2F79"/>
    <w:rsid w:val="009C31EA"/>
    <w:rsid w:val="009C338F"/>
    <w:rsid w:val="009C33AC"/>
    <w:rsid w:val="009C3706"/>
    <w:rsid w:val="009C3730"/>
    <w:rsid w:val="009C399C"/>
    <w:rsid w:val="009C3A3A"/>
    <w:rsid w:val="009C3CC1"/>
    <w:rsid w:val="009C422F"/>
    <w:rsid w:val="009C426B"/>
    <w:rsid w:val="009C4A15"/>
    <w:rsid w:val="009C4AD5"/>
    <w:rsid w:val="009C4D7A"/>
    <w:rsid w:val="009C50ED"/>
    <w:rsid w:val="009C561F"/>
    <w:rsid w:val="009C5B38"/>
    <w:rsid w:val="009C5DDE"/>
    <w:rsid w:val="009C6A58"/>
    <w:rsid w:val="009C6AFB"/>
    <w:rsid w:val="009C6CEA"/>
    <w:rsid w:val="009C7621"/>
    <w:rsid w:val="009C7B85"/>
    <w:rsid w:val="009C7E3C"/>
    <w:rsid w:val="009D0254"/>
    <w:rsid w:val="009D05D9"/>
    <w:rsid w:val="009D0839"/>
    <w:rsid w:val="009D0B4A"/>
    <w:rsid w:val="009D0C25"/>
    <w:rsid w:val="009D0F04"/>
    <w:rsid w:val="009D10B8"/>
    <w:rsid w:val="009D10EE"/>
    <w:rsid w:val="009D149A"/>
    <w:rsid w:val="009D164F"/>
    <w:rsid w:val="009D16F2"/>
    <w:rsid w:val="009D1829"/>
    <w:rsid w:val="009D1A64"/>
    <w:rsid w:val="009D1B04"/>
    <w:rsid w:val="009D1D1D"/>
    <w:rsid w:val="009D1D88"/>
    <w:rsid w:val="009D2074"/>
    <w:rsid w:val="009D21CE"/>
    <w:rsid w:val="009D23F0"/>
    <w:rsid w:val="009D254A"/>
    <w:rsid w:val="009D27CC"/>
    <w:rsid w:val="009D289D"/>
    <w:rsid w:val="009D2EDD"/>
    <w:rsid w:val="009D2FE5"/>
    <w:rsid w:val="009D368B"/>
    <w:rsid w:val="009D4421"/>
    <w:rsid w:val="009D451A"/>
    <w:rsid w:val="009D4989"/>
    <w:rsid w:val="009D59CF"/>
    <w:rsid w:val="009D5A22"/>
    <w:rsid w:val="009D5B91"/>
    <w:rsid w:val="009D5C34"/>
    <w:rsid w:val="009D5E09"/>
    <w:rsid w:val="009D60A6"/>
    <w:rsid w:val="009D61A9"/>
    <w:rsid w:val="009D634C"/>
    <w:rsid w:val="009D6443"/>
    <w:rsid w:val="009D64A7"/>
    <w:rsid w:val="009D657C"/>
    <w:rsid w:val="009D6A95"/>
    <w:rsid w:val="009D6CB3"/>
    <w:rsid w:val="009D6D7D"/>
    <w:rsid w:val="009D6F87"/>
    <w:rsid w:val="009D7097"/>
    <w:rsid w:val="009D7622"/>
    <w:rsid w:val="009D78DE"/>
    <w:rsid w:val="009D792E"/>
    <w:rsid w:val="009D7E53"/>
    <w:rsid w:val="009E0020"/>
    <w:rsid w:val="009E058A"/>
    <w:rsid w:val="009E06A1"/>
    <w:rsid w:val="009E0A04"/>
    <w:rsid w:val="009E0C60"/>
    <w:rsid w:val="009E0DDE"/>
    <w:rsid w:val="009E0DFE"/>
    <w:rsid w:val="009E13F6"/>
    <w:rsid w:val="009E1648"/>
    <w:rsid w:val="009E1A6A"/>
    <w:rsid w:val="009E20DF"/>
    <w:rsid w:val="009E21C1"/>
    <w:rsid w:val="009E234C"/>
    <w:rsid w:val="009E23D1"/>
    <w:rsid w:val="009E2403"/>
    <w:rsid w:val="009E2595"/>
    <w:rsid w:val="009E25AD"/>
    <w:rsid w:val="009E2CD2"/>
    <w:rsid w:val="009E2DEC"/>
    <w:rsid w:val="009E2FD3"/>
    <w:rsid w:val="009E31F6"/>
    <w:rsid w:val="009E33C6"/>
    <w:rsid w:val="009E37B5"/>
    <w:rsid w:val="009E38DE"/>
    <w:rsid w:val="009E3B3D"/>
    <w:rsid w:val="009E3FB3"/>
    <w:rsid w:val="009E43F9"/>
    <w:rsid w:val="009E4428"/>
    <w:rsid w:val="009E46B6"/>
    <w:rsid w:val="009E4795"/>
    <w:rsid w:val="009E4850"/>
    <w:rsid w:val="009E4C07"/>
    <w:rsid w:val="009E4F13"/>
    <w:rsid w:val="009E5070"/>
    <w:rsid w:val="009E5577"/>
    <w:rsid w:val="009E5744"/>
    <w:rsid w:val="009E594B"/>
    <w:rsid w:val="009E5C6A"/>
    <w:rsid w:val="009E5CF3"/>
    <w:rsid w:val="009E6090"/>
    <w:rsid w:val="009E63D6"/>
    <w:rsid w:val="009E68A4"/>
    <w:rsid w:val="009E6A7D"/>
    <w:rsid w:val="009E6E31"/>
    <w:rsid w:val="009E6FE9"/>
    <w:rsid w:val="009E75CA"/>
    <w:rsid w:val="009E777F"/>
    <w:rsid w:val="009E7934"/>
    <w:rsid w:val="009E7A24"/>
    <w:rsid w:val="009F0373"/>
    <w:rsid w:val="009F03BF"/>
    <w:rsid w:val="009F048C"/>
    <w:rsid w:val="009F0AE5"/>
    <w:rsid w:val="009F0B04"/>
    <w:rsid w:val="009F0BCA"/>
    <w:rsid w:val="009F101A"/>
    <w:rsid w:val="009F1209"/>
    <w:rsid w:val="009F1301"/>
    <w:rsid w:val="009F1731"/>
    <w:rsid w:val="009F186E"/>
    <w:rsid w:val="009F1B11"/>
    <w:rsid w:val="009F1CEA"/>
    <w:rsid w:val="009F27BC"/>
    <w:rsid w:val="009F2B80"/>
    <w:rsid w:val="009F393D"/>
    <w:rsid w:val="009F3DA3"/>
    <w:rsid w:val="009F44B7"/>
    <w:rsid w:val="009F44D4"/>
    <w:rsid w:val="009F459F"/>
    <w:rsid w:val="009F48A7"/>
    <w:rsid w:val="009F4E9B"/>
    <w:rsid w:val="009F53E0"/>
    <w:rsid w:val="009F547A"/>
    <w:rsid w:val="009F5695"/>
    <w:rsid w:val="009F58E8"/>
    <w:rsid w:val="009F5C63"/>
    <w:rsid w:val="009F5F87"/>
    <w:rsid w:val="009F6120"/>
    <w:rsid w:val="009F6565"/>
    <w:rsid w:val="009F6E35"/>
    <w:rsid w:val="009F7109"/>
    <w:rsid w:val="009F78BC"/>
    <w:rsid w:val="009F79DC"/>
    <w:rsid w:val="009F7EB3"/>
    <w:rsid w:val="00A00266"/>
    <w:rsid w:val="00A004DA"/>
    <w:rsid w:val="00A00689"/>
    <w:rsid w:val="00A00876"/>
    <w:rsid w:val="00A009C4"/>
    <w:rsid w:val="00A00A7F"/>
    <w:rsid w:val="00A00D76"/>
    <w:rsid w:val="00A01184"/>
    <w:rsid w:val="00A013F9"/>
    <w:rsid w:val="00A01449"/>
    <w:rsid w:val="00A01460"/>
    <w:rsid w:val="00A01508"/>
    <w:rsid w:val="00A01558"/>
    <w:rsid w:val="00A018F3"/>
    <w:rsid w:val="00A02014"/>
    <w:rsid w:val="00A02024"/>
    <w:rsid w:val="00A02058"/>
    <w:rsid w:val="00A02A3D"/>
    <w:rsid w:val="00A02DBA"/>
    <w:rsid w:val="00A02F90"/>
    <w:rsid w:val="00A030EA"/>
    <w:rsid w:val="00A03353"/>
    <w:rsid w:val="00A03363"/>
    <w:rsid w:val="00A037C2"/>
    <w:rsid w:val="00A03A9B"/>
    <w:rsid w:val="00A03BE6"/>
    <w:rsid w:val="00A03CE2"/>
    <w:rsid w:val="00A03D43"/>
    <w:rsid w:val="00A03E01"/>
    <w:rsid w:val="00A04380"/>
    <w:rsid w:val="00A04518"/>
    <w:rsid w:val="00A0460F"/>
    <w:rsid w:val="00A04716"/>
    <w:rsid w:val="00A04785"/>
    <w:rsid w:val="00A04786"/>
    <w:rsid w:val="00A04990"/>
    <w:rsid w:val="00A0527F"/>
    <w:rsid w:val="00A05472"/>
    <w:rsid w:val="00A05C32"/>
    <w:rsid w:val="00A05E19"/>
    <w:rsid w:val="00A061D8"/>
    <w:rsid w:val="00A0653F"/>
    <w:rsid w:val="00A066F2"/>
    <w:rsid w:val="00A0676A"/>
    <w:rsid w:val="00A067AE"/>
    <w:rsid w:val="00A06937"/>
    <w:rsid w:val="00A06F08"/>
    <w:rsid w:val="00A06F4C"/>
    <w:rsid w:val="00A07142"/>
    <w:rsid w:val="00A072B7"/>
    <w:rsid w:val="00A074E9"/>
    <w:rsid w:val="00A07871"/>
    <w:rsid w:val="00A07B79"/>
    <w:rsid w:val="00A07F24"/>
    <w:rsid w:val="00A109E2"/>
    <w:rsid w:val="00A11252"/>
    <w:rsid w:val="00A112DA"/>
    <w:rsid w:val="00A113FE"/>
    <w:rsid w:val="00A11531"/>
    <w:rsid w:val="00A11BF1"/>
    <w:rsid w:val="00A11CD0"/>
    <w:rsid w:val="00A11F06"/>
    <w:rsid w:val="00A12018"/>
    <w:rsid w:val="00A12495"/>
    <w:rsid w:val="00A1265A"/>
    <w:rsid w:val="00A1279E"/>
    <w:rsid w:val="00A13016"/>
    <w:rsid w:val="00A1313F"/>
    <w:rsid w:val="00A1344C"/>
    <w:rsid w:val="00A13948"/>
    <w:rsid w:val="00A13A26"/>
    <w:rsid w:val="00A13C3E"/>
    <w:rsid w:val="00A13F2F"/>
    <w:rsid w:val="00A140B1"/>
    <w:rsid w:val="00A14356"/>
    <w:rsid w:val="00A143DB"/>
    <w:rsid w:val="00A144D1"/>
    <w:rsid w:val="00A145D9"/>
    <w:rsid w:val="00A14ACF"/>
    <w:rsid w:val="00A14C51"/>
    <w:rsid w:val="00A14CC7"/>
    <w:rsid w:val="00A14CF5"/>
    <w:rsid w:val="00A14DC8"/>
    <w:rsid w:val="00A1516C"/>
    <w:rsid w:val="00A15300"/>
    <w:rsid w:val="00A1539B"/>
    <w:rsid w:val="00A153DE"/>
    <w:rsid w:val="00A1555B"/>
    <w:rsid w:val="00A15588"/>
    <w:rsid w:val="00A155C5"/>
    <w:rsid w:val="00A15953"/>
    <w:rsid w:val="00A15AE0"/>
    <w:rsid w:val="00A15F46"/>
    <w:rsid w:val="00A161A1"/>
    <w:rsid w:val="00A1623C"/>
    <w:rsid w:val="00A16AD8"/>
    <w:rsid w:val="00A16B7B"/>
    <w:rsid w:val="00A16D1C"/>
    <w:rsid w:val="00A16D62"/>
    <w:rsid w:val="00A16E12"/>
    <w:rsid w:val="00A17723"/>
    <w:rsid w:val="00A17770"/>
    <w:rsid w:val="00A17782"/>
    <w:rsid w:val="00A17784"/>
    <w:rsid w:val="00A200B2"/>
    <w:rsid w:val="00A2021E"/>
    <w:rsid w:val="00A203DB"/>
    <w:rsid w:val="00A20559"/>
    <w:rsid w:val="00A2062D"/>
    <w:rsid w:val="00A206CB"/>
    <w:rsid w:val="00A20777"/>
    <w:rsid w:val="00A20D3E"/>
    <w:rsid w:val="00A20E82"/>
    <w:rsid w:val="00A20FDE"/>
    <w:rsid w:val="00A21048"/>
    <w:rsid w:val="00A2110A"/>
    <w:rsid w:val="00A2121D"/>
    <w:rsid w:val="00A2173C"/>
    <w:rsid w:val="00A2195D"/>
    <w:rsid w:val="00A21C95"/>
    <w:rsid w:val="00A21CD0"/>
    <w:rsid w:val="00A21CF3"/>
    <w:rsid w:val="00A21DE5"/>
    <w:rsid w:val="00A21EEA"/>
    <w:rsid w:val="00A220A8"/>
    <w:rsid w:val="00A224EB"/>
    <w:rsid w:val="00A22510"/>
    <w:rsid w:val="00A228FC"/>
    <w:rsid w:val="00A22A33"/>
    <w:rsid w:val="00A22D7F"/>
    <w:rsid w:val="00A231FC"/>
    <w:rsid w:val="00A23328"/>
    <w:rsid w:val="00A2335C"/>
    <w:rsid w:val="00A23A23"/>
    <w:rsid w:val="00A23A4F"/>
    <w:rsid w:val="00A23D69"/>
    <w:rsid w:val="00A23ED7"/>
    <w:rsid w:val="00A240D2"/>
    <w:rsid w:val="00A24544"/>
    <w:rsid w:val="00A247C5"/>
    <w:rsid w:val="00A247CB"/>
    <w:rsid w:val="00A247F3"/>
    <w:rsid w:val="00A24813"/>
    <w:rsid w:val="00A24893"/>
    <w:rsid w:val="00A24A18"/>
    <w:rsid w:val="00A24B08"/>
    <w:rsid w:val="00A24D66"/>
    <w:rsid w:val="00A2508F"/>
    <w:rsid w:val="00A25468"/>
    <w:rsid w:val="00A25781"/>
    <w:rsid w:val="00A25A07"/>
    <w:rsid w:val="00A25A2B"/>
    <w:rsid w:val="00A265DB"/>
    <w:rsid w:val="00A26BD1"/>
    <w:rsid w:val="00A26C9F"/>
    <w:rsid w:val="00A27220"/>
    <w:rsid w:val="00A273E5"/>
    <w:rsid w:val="00A27698"/>
    <w:rsid w:val="00A27868"/>
    <w:rsid w:val="00A27AEC"/>
    <w:rsid w:val="00A3002E"/>
    <w:rsid w:val="00A30586"/>
    <w:rsid w:val="00A30736"/>
    <w:rsid w:val="00A30775"/>
    <w:rsid w:val="00A307B7"/>
    <w:rsid w:val="00A307E4"/>
    <w:rsid w:val="00A30D08"/>
    <w:rsid w:val="00A310F7"/>
    <w:rsid w:val="00A31149"/>
    <w:rsid w:val="00A31697"/>
    <w:rsid w:val="00A31824"/>
    <w:rsid w:val="00A31B25"/>
    <w:rsid w:val="00A31C02"/>
    <w:rsid w:val="00A31F0B"/>
    <w:rsid w:val="00A31F9C"/>
    <w:rsid w:val="00A320DB"/>
    <w:rsid w:val="00A32259"/>
    <w:rsid w:val="00A3272F"/>
    <w:rsid w:val="00A328D9"/>
    <w:rsid w:val="00A32955"/>
    <w:rsid w:val="00A32B35"/>
    <w:rsid w:val="00A3301F"/>
    <w:rsid w:val="00A33736"/>
    <w:rsid w:val="00A3390D"/>
    <w:rsid w:val="00A3394B"/>
    <w:rsid w:val="00A34054"/>
    <w:rsid w:val="00A3440B"/>
    <w:rsid w:val="00A3480A"/>
    <w:rsid w:val="00A34F65"/>
    <w:rsid w:val="00A35234"/>
    <w:rsid w:val="00A354AA"/>
    <w:rsid w:val="00A354DB"/>
    <w:rsid w:val="00A356BC"/>
    <w:rsid w:val="00A35D16"/>
    <w:rsid w:val="00A36350"/>
    <w:rsid w:val="00A3645A"/>
    <w:rsid w:val="00A366DC"/>
    <w:rsid w:val="00A36799"/>
    <w:rsid w:val="00A36AC9"/>
    <w:rsid w:val="00A37288"/>
    <w:rsid w:val="00A3745A"/>
    <w:rsid w:val="00A3750A"/>
    <w:rsid w:val="00A37775"/>
    <w:rsid w:val="00A37B60"/>
    <w:rsid w:val="00A37BCD"/>
    <w:rsid w:val="00A37C05"/>
    <w:rsid w:val="00A40225"/>
    <w:rsid w:val="00A405FC"/>
    <w:rsid w:val="00A4060C"/>
    <w:rsid w:val="00A40615"/>
    <w:rsid w:val="00A40A3B"/>
    <w:rsid w:val="00A41282"/>
    <w:rsid w:val="00A413CA"/>
    <w:rsid w:val="00A414A8"/>
    <w:rsid w:val="00A41689"/>
    <w:rsid w:val="00A41717"/>
    <w:rsid w:val="00A41CAB"/>
    <w:rsid w:val="00A42089"/>
    <w:rsid w:val="00A421B2"/>
    <w:rsid w:val="00A424DA"/>
    <w:rsid w:val="00A42592"/>
    <w:rsid w:val="00A42619"/>
    <w:rsid w:val="00A4280C"/>
    <w:rsid w:val="00A428E5"/>
    <w:rsid w:val="00A42F76"/>
    <w:rsid w:val="00A42FB1"/>
    <w:rsid w:val="00A43128"/>
    <w:rsid w:val="00A432A8"/>
    <w:rsid w:val="00A432E3"/>
    <w:rsid w:val="00A433C3"/>
    <w:rsid w:val="00A433ED"/>
    <w:rsid w:val="00A43693"/>
    <w:rsid w:val="00A4372B"/>
    <w:rsid w:val="00A438BC"/>
    <w:rsid w:val="00A43940"/>
    <w:rsid w:val="00A43C59"/>
    <w:rsid w:val="00A43DB2"/>
    <w:rsid w:val="00A43E9D"/>
    <w:rsid w:val="00A43ED3"/>
    <w:rsid w:val="00A43ED6"/>
    <w:rsid w:val="00A441C2"/>
    <w:rsid w:val="00A441E7"/>
    <w:rsid w:val="00A447FA"/>
    <w:rsid w:val="00A44844"/>
    <w:rsid w:val="00A44B48"/>
    <w:rsid w:val="00A450E4"/>
    <w:rsid w:val="00A458CB"/>
    <w:rsid w:val="00A45B6F"/>
    <w:rsid w:val="00A45D6A"/>
    <w:rsid w:val="00A46031"/>
    <w:rsid w:val="00A4606D"/>
    <w:rsid w:val="00A46ACD"/>
    <w:rsid w:val="00A46CC8"/>
    <w:rsid w:val="00A46ECD"/>
    <w:rsid w:val="00A4700B"/>
    <w:rsid w:val="00A47597"/>
    <w:rsid w:val="00A4786F"/>
    <w:rsid w:val="00A47ABD"/>
    <w:rsid w:val="00A47C57"/>
    <w:rsid w:val="00A47E8F"/>
    <w:rsid w:val="00A500ED"/>
    <w:rsid w:val="00A50270"/>
    <w:rsid w:val="00A505BE"/>
    <w:rsid w:val="00A50B49"/>
    <w:rsid w:val="00A50D04"/>
    <w:rsid w:val="00A50EAD"/>
    <w:rsid w:val="00A50ECD"/>
    <w:rsid w:val="00A512BE"/>
    <w:rsid w:val="00A512C7"/>
    <w:rsid w:val="00A512F4"/>
    <w:rsid w:val="00A5131E"/>
    <w:rsid w:val="00A51722"/>
    <w:rsid w:val="00A51751"/>
    <w:rsid w:val="00A5188A"/>
    <w:rsid w:val="00A518F3"/>
    <w:rsid w:val="00A51DEB"/>
    <w:rsid w:val="00A52562"/>
    <w:rsid w:val="00A52729"/>
    <w:rsid w:val="00A528BD"/>
    <w:rsid w:val="00A52BDA"/>
    <w:rsid w:val="00A52CE2"/>
    <w:rsid w:val="00A534A3"/>
    <w:rsid w:val="00A5353A"/>
    <w:rsid w:val="00A53675"/>
    <w:rsid w:val="00A5373F"/>
    <w:rsid w:val="00A538C4"/>
    <w:rsid w:val="00A539BA"/>
    <w:rsid w:val="00A53F56"/>
    <w:rsid w:val="00A54193"/>
    <w:rsid w:val="00A54196"/>
    <w:rsid w:val="00A542EC"/>
    <w:rsid w:val="00A54E66"/>
    <w:rsid w:val="00A54E75"/>
    <w:rsid w:val="00A55AE0"/>
    <w:rsid w:val="00A564D7"/>
    <w:rsid w:val="00A566B2"/>
    <w:rsid w:val="00A5674D"/>
    <w:rsid w:val="00A568CB"/>
    <w:rsid w:val="00A56B27"/>
    <w:rsid w:val="00A56B6A"/>
    <w:rsid w:val="00A56FB8"/>
    <w:rsid w:val="00A56FF1"/>
    <w:rsid w:val="00A572A2"/>
    <w:rsid w:val="00A577C9"/>
    <w:rsid w:val="00A578C9"/>
    <w:rsid w:val="00A578DC"/>
    <w:rsid w:val="00A57CF0"/>
    <w:rsid w:val="00A57FF8"/>
    <w:rsid w:val="00A60277"/>
    <w:rsid w:val="00A602CC"/>
    <w:rsid w:val="00A60494"/>
    <w:rsid w:val="00A60639"/>
    <w:rsid w:val="00A607B4"/>
    <w:rsid w:val="00A60D79"/>
    <w:rsid w:val="00A60EB3"/>
    <w:rsid w:val="00A60FE2"/>
    <w:rsid w:val="00A611D6"/>
    <w:rsid w:val="00A611F0"/>
    <w:rsid w:val="00A61A66"/>
    <w:rsid w:val="00A61B07"/>
    <w:rsid w:val="00A62164"/>
    <w:rsid w:val="00A62ACE"/>
    <w:rsid w:val="00A62B0E"/>
    <w:rsid w:val="00A62E00"/>
    <w:rsid w:val="00A63209"/>
    <w:rsid w:val="00A6365B"/>
    <w:rsid w:val="00A638F0"/>
    <w:rsid w:val="00A63C87"/>
    <w:rsid w:val="00A63DCC"/>
    <w:rsid w:val="00A63E77"/>
    <w:rsid w:val="00A640A7"/>
    <w:rsid w:val="00A640E2"/>
    <w:rsid w:val="00A64524"/>
    <w:rsid w:val="00A647B2"/>
    <w:rsid w:val="00A6493D"/>
    <w:rsid w:val="00A64AFA"/>
    <w:rsid w:val="00A64D65"/>
    <w:rsid w:val="00A64DC9"/>
    <w:rsid w:val="00A6501C"/>
    <w:rsid w:val="00A65124"/>
    <w:rsid w:val="00A651D2"/>
    <w:rsid w:val="00A659BA"/>
    <w:rsid w:val="00A65B9A"/>
    <w:rsid w:val="00A6623F"/>
    <w:rsid w:val="00A66394"/>
    <w:rsid w:val="00A664E9"/>
    <w:rsid w:val="00A665D1"/>
    <w:rsid w:val="00A669BD"/>
    <w:rsid w:val="00A66ECE"/>
    <w:rsid w:val="00A66F60"/>
    <w:rsid w:val="00A6725B"/>
    <w:rsid w:val="00A67315"/>
    <w:rsid w:val="00A675C2"/>
    <w:rsid w:val="00A677B9"/>
    <w:rsid w:val="00A67931"/>
    <w:rsid w:val="00A67985"/>
    <w:rsid w:val="00A67A23"/>
    <w:rsid w:val="00A7039B"/>
    <w:rsid w:val="00A704B6"/>
    <w:rsid w:val="00A70571"/>
    <w:rsid w:val="00A70605"/>
    <w:rsid w:val="00A70A20"/>
    <w:rsid w:val="00A70BEC"/>
    <w:rsid w:val="00A70DA7"/>
    <w:rsid w:val="00A7111D"/>
    <w:rsid w:val="00A712DE"/>
    <w:rsid w:val="00A7154C"/>
    <w:rsid w:val="00A716F2"/>
    <w:rsid w:val="00A71743"/>
    <w:rsid w:val="00A71ACF"/>
    <w:rsid w:val="00A7231C"/>
    <w:rsid w:val="00A727E4"/>
    <w:rsid w:val="00A72812"/>
    <w:rsid w:val="00A72851"/>
    <w:rsid w:val="00A72AC2"/>
    <w:rsid w:val="00A72BD3"/>
    <w:rsid w:val="00A72F25"/>
    <w:rsid w:val="00A730A9"/>
    <w:rsid w:val="00A73134"/>
    <w:rsid w:val="00A73530"/>
    <w:rsid w:val="00A73563"/>
    <w:rsid w:val="00A7365A"/>
    <w:rsid w:val="00A73A05"/>
    <w:rsid w:val="00A73C65"/>
    <w:rsid w:val="00A74C32"/>
    <w:rsid w:val="00A74E28"/>
    <w:rsid w:val="00A75069"/>
    <w:rsid w:val="00A753DC"/>
    <w:rsid w:val="00A75521"/>
    <w:rsid w:val="00A75755"/>
    <w:rsid w:val="00A75DE0"/>
    <w:rsid w:val="00A75F6A"/>
    <w:rsid w:val="00A76001"/>
    <w:rsid w:val="00A762D2"/>
    <w:rsid w:val="00A76356"/>
    <w:rsid w:val="00A76588"/>
    <w:rsid w:val="00A76883"/>
    <w:rsid w:val="00A768A7"/>
    <w:rsid w:val="00A76A8D"/>
    <w:rsid w:val="00A76DC5"/>
    <w:rsid w:val="00A7748B"/>
    <w:rsid w:val="00A774AE"/>
    <w:rsid w:val="00A775CA"/>
    <w:rsid w:val="00A777A3"/>
    <w:rsid w:val="00A777B2"/>
    <w:rsid w:val="00A77CDD"/>
    <w:rsid w:val="00A77D5F"/>
    <w:rsid w:val="00A77FDB"/>
    <w:rsid w:val="00A803DB"/>
    <w:rsid w:val="00A80830"/>
    <w:rsid w:val="00A809DD"/>
    <w:rsid w:val="00A80BFD"/>
    <w:rsid w:val="00A80DCE"/>
    <w:rsid w:val="00A80FB0"/>
    <w:rsid w:val="00A81781"/>
    <w:rsid w:val="00A81980"/>
    <w:rsid w:val="00A81A77"/>
    <w:rsid w:val="00A81C2C"/>
    <w:rsid w:val="00A81D71"/>
    <w:rsid w:val="00A82177"/>
    <w:rsid w:val="00A823B9"/>
    <w:rsid w:val="00A8245D"/>
    <w:rsid w:val="00A825D4"/>
    <w:rsid w:val="00A828F6"/>
    <w:rsid w:val="00A82A14"/>
    <w:rsid w:val="00A82B73"/>
    <w:rsid w:val="00A82C6D"/>
    <w:rsid w:val="00A8332C"/>
    <w:rsid w:val="00A8332E"/>
    <w:rsid w:val="00A8382B"/>
    <w:rsid w:val="00A83888"/>
    <w:rsid w:val="00A83A30"/>
    <w:rsid w:val="00A83F23"/>
    <w:rsid w:val="00A840E2"/>
    <w:rsid w:val="00A846B3"/>
    <w:rsid w:val="00A84708"/>
    <w:rsid w:val="00A84975"/>
    <w:rsid w:val="00A84DB3"/>
    <w:rsid w:val="00A84FDF"/>
    <w:rsid w:val="00A85152"/>
    <w:rsid w:val="00A85162"/>
    <w:rsid w:val="00A85400"/>
    <w:rsid w:val="00A858D4"/>
    <w:rsid w:val="00A85BD3"/>
    <w:rsid w:val="00A85D15"/>
    <w:rsid w:val="00A85E01"/>
    <w:rsid w:val="00A85F59"/>
    <w:rsid w:val="00A86016"/>
    <w:rsid w:val="00A8623A"/>
    <w:rsid w:val="00A862CE"/>
    <w:rsid w:val="00A86375"/>
    <w:rsid w:val="00A86588"/>
    <w:rsid w:val="00A8667C"/>
    <w:rsid w:val="00A86C45"/>
    <w:rsid w:val="00A86D61"/>
    <w:rsid w:val="00A86E8B"/>
    <w:rsid w:val="00A87045"/>
    <w:rsid w:val="00A87164"/>
    <w:rsid w:val="00A871A9"/>
    <w:rsid w:val="00A87903"/>
    <w:rsid w:val="00A87C46"/>
    <w:rsid w:val="00A87FFE"/>
    <w:rsid w:val="00A902EB"/>
    <w:rsid w:val="00A9050A"/>
    <w:rsid w:val="00A9076C"/>
    <w:rsid w:val="00A90A6B"/>
    <w:rsid w:val="00A90C6A"/>
    <w:rsid w:val="00A90E10"/>
    <w:rsid w:val="00A90EE9"/>
    <w:rsid w:val="00A912DA"/>
    <w:rsid w:val="00A915B6"/>
    <w:rsid w:val="00A91DCA"/>
    <w:rsid w:val="00A921BC"/>
    <w:rsid w:val="00A9229F"/>
    <w:rsid w:val="00A923B7"/>
    <w:rsid w:val="00A925FE"/>
    <w:rsid w:val="00A926E4"/>
    <w:rsid w:val="00A92C31"/>
    <w:rsid w:val="00A93015"/>
    <w:rsid w:val="00A93072"/>
    <w:rsid w:val="00A9314F"/>
    <w:rsid w:val="00A931EB"/>
    <w:rsid w:val="00A93372"/>
    <w:rsid w:val="00A933C1"/>
    <w:rsid w:val="00A938BD"/>
    <w:rsid w:val="00A93953"/>
    <w:rsid w:val="00A93A30"/>
    <w:rsid w:val="00A93F8E"/>
    <w:rsid w:val="00A9419D"/>
    <w:rsid w:val="00A94E06"/>
    <w:rsid w:val="00A958F4"/>
    <w:rsid w:val="00A959D8"/>
    <w:rsid w:val="00A95AFF"/>
    <w:rsid w:val="00A95B3D"/>
    <w:rsid w:val="00A96944"/>
    <w:rsid w:val="00A96B0B"/>
    <w:rsid w:val="00A96DB3"/>
    <w:rsid w:val="00A96ECA"/>
    <w:rsid w:val="00A96F92"/>
    <w:rsid w:val="00A9710A"/>
    <w:rsid w:val="00A972E5"/>
    <w:rsid w:val="00A972F5"/>
    <w:rsid w:val="00A97671"/>
    <w:rsid w:val="00A97677"/>
    <w:rsid w:val="00A976D0"/>
    <w:rsid w:val="00A9794E"/>
    <w:rsid w:val="00A97C8F"/>
    <w:rsid w:val="00A97EE4"/>
    <w:rsid w:val="00AA0121"/>
    <w:rsid w:val="00AA074A"/>
    <w:rsid w:val="00AA08B0"/>
    <w:rsid w:val="00AA0939"/>
    <w:rsid w:val="00AA0B0B"/>
    <w:rsid w:val="00AA0B9D"/>
    <w:rsid w:val="00AA0D59"/>
    <w:rsid w:val="00AA0E3C"/>
    <w:rsid w:val="00AA113D"/>
    <w:rsid w:val="00AA12B0"/>
    <w:rsid w:val="00AA17A9"/>
    <w:rsid w:val="00AA18F9"/>
    <w:rsid w:val="00AA2172"/>
    <w:rsid w:val="00AA26F4"/>
    <w:rsid w:val="00AA2845"/>
    <w:rsid w:val="00AA28DE"/>
    <w:rsid w:val="00AA37D5"/>
    <w:rsid w:val="00AA3BE1"/>
    <w:rsid w:val="00AA3E0F"/>
    <w:rsid w:val="00AA3E7D"/>
    <w:rsid w:val="00AA3E7E"/>
    <w:rsid w:val="00AA4023"/>
    <w:rsid w:val="00AA40CA"/>
    <w:rsid w:val="00AA4237"/>
    <w:rsid w:val="00AA43AD"/>
    <w:rsid w:val="00AA488F"/>
    <w:rsid w:val="00AA49ED"/>
    <w:rsid w:val="00AA4A03"/>
    <w:rsid w:val="00AA4C18"/>
    <w:rsid w:val="00AA4C93"/>
    <w:rsid w:val="00AA4E0B"/>
    <w:rsid w:val="00AA509F"/>
    <w:rsid w:val="00AA50FA"/>
    <w:rsid w:val="00AA55EA"/>
    <w:rsid w:val="00AA5724"/>
    <w:rsid w:val="00AA57C4"/>
    <w:rsid w:val="00AA599F"/>
    <w:rsid w:val="00AA5B55"/>
    <w:rsid w:val="00AA5C9D"/>
    <w:rsid w:val="00AA65FD"/>
    <w:rsid w:val="00AA668E"/>
    <w:rsid w:val="00AA6850"/>
    <w:rsid w:val="00AA6BD5"/>
    <w:rsid w:val="00AA6BD8"/>
    <w:rsid w:val="00AA6C7D"/>
    <w:rsid w:val="00AA6F1E"/>
    <w:rsid w:val="00AA70AF"/>
    <w:rsid w:val="00AA7311"/>
    <w:rsid w:val="00AA7737"/>
    <w:rsid w:val="00AA7D16"/>
    <w:rsid w:val="00AA7D81"/>
    <w:rsid w:val="00AA7FD6"/>
    <w:rsid w:val="00AB0038"/>
    <w:rsid w:val="00AB01BF"/>
    <w:rsid w:val="00AB042A"/>
    <w:rsid w:val="00AB04D6"/>
    <w:rsid w:val="00AB05DD"/>
    <w:rsid w:val="00AB06FC"/>
    <w:rsid w:val="00AB0CEB"/>
    <w:rsid w:val="00AB0D30"/>
    <w:rsid w:val="00AB0D3E"/>
    <w:rsid w:val="00AB108C"/>
    <w:rsid w:val="00AB11AD"/>
    <w:rsid w:val="00AB18B4"/>
    <w:rsid w:val="00AB19EF"/>
    <w:rsid w:val="00AB1D45"/>
    <w:rsid w:val="00AB1D86"/>
    <w:rsid w:val="00AB1F72"/>
    <w:rsid w:val="00AB2140"/>
    <w:rsid w:val="00AB2495"/>
    <w:rsid w:val="00AB2565"/>
    <w:rsid w:val="00AB27CD"/>
    <w:rsid w:val="00AB2AC0"/>
    <w:rsid w:val="00AB2D34"/>
    <w:rsid w:val="00AB31A5"/>
    <w:rsid w:val="00AB3263"/>
    <w:rsid w:val="00AB3430"/>
    <w:rsid w:val="00AB359F"/>
    <w:rsid w:val="00AB37B9"/>
    <w:rsid w:val="00AB3A68"/>
    <w:rsid w:val="00AB3BC9"/>
    <w:rsid w:val="00AB409E"/>
    <w:rsid w:val="00AB4530"/>
    <w:rsid w:val="00AB47EA"/>
    <w:rsid w:val="00AB48B1"/>
    <w:rsid w:val="00AB4AD1"/>
    <w:rsid w:val="00AB4BF0"/>
    <w:rsid w:val="00AB503D"/>
    <w:rsid w:val="00AB512A"/>
    <w:rsid w:val="00AB5266"/>
    <w:rsid w:val="00AB5323"/>
    <w:rsid w:val="00AB5B3D"/>
    <w:rsid w:val="00AB5E07"/>
    <w:rsid w:val="00AB5E39"/>
    <w:rsid w:val="00AB60CB"/>
    <w:rsid w:val="00AB62BA"/>
    <w:rsid w:val="00AB65AE"/>
    <w:rsid w:val="00AB6681"/>
    <w:rsid w:val="00AB6972"/>
    <w:rsid w:val="00AB6B52"/>
    <w:rsid w:val="00AB72B2"/>
    <w:rsid w:val="00AB7997"/>
    <w:rsid w:val="00AB79BF"/>
    <w:rsid w:val="00AB7BD7"/>
    <w:rsid w:val="00AB7CCE"/>
    <w:rsid w:val="00AB7CFA"/>
    <w:rsid w:val="00AC0018"/>
    <w:rsid w:val="00AC0059"/>
    <w:rsid w:val="00AC0AF3"/>
    <w:rsid w:val="00AC0DEA"/>
    <w:rsid w:val="00AC0FC4"/>
    <w:rsid w:val="00AC1B9E"/>
    <w:rsid w:val="00AC1C18"/>
    <w:rsid w:val="00AC1CAE"/>
    <w:rsid w:val="00AC269C"/>
    <w:rsid w:val="00AC27DC"/>
    <w:rsid w:val="00AC2812"/>
    <w:rsid w:val="00AC2FED"/>
    <w:rsid w:val="00AC3037"/>
    <w:rsid w:val="00AC3353"/>
    <w:rsid w:val="00AC3817"/>
    <w:rsid w:val="00AC3A91"/>
    <w:rsid w:val="00AC3EF4"/>
    <w:rsid w:val="00AC4302"/>
    <w:rsid w:val="00AC4391"/>
    <w:rsid w:val="00AC4475"/>
    <w:rsid w:val="00AC4931"/>
    <w:rsid w:val="00AC4B02"/>
    <w:rsid w:val="00AC4B72"/>
    <w:rsid w:val="00AC4C2D"/>
    <w:rsid w:val="00AC4D0F"/>
    <w:rsid w:val="00AC4FDA"/>
    <w:rsid w:val="00AC5B42"/>
    <w:rsid w:val="00AC5B48"/>
    <w:rsid w:val="00AC5E10"/>
    <w:rsid w:val="00AC5ECA"/>
    <w:rsid w:val="00AC5EFA"/>
    <w:rsid w:val="00AC6249"/>
    <w:rsid w:val="00AC6255"/>
    <w:rsid w:val="00AC628C"/>
    <w:rsid w:val="00AC66B6"/>
    <w:rsid w:val="00AC72AA"/>
    <w:rsid w:val="00AC764D"/>
    <w:rsid w:val="00AC79AC"/>
    <w:rsid w:val="00AC7C3F"/>
    <w:rsid w:val="00AC7CE8"/>
    <w:rsid w:val="00AC7FF6"/>
    <w:rsid w:val="00AD039B"/>
    <w:rsid w:val="00AD065F"/>
    <w:rsid w:val="00AD07E3"/>
    <w:rsid w:val="00AD0852"/>
    <w:rsid w:val="00AD0952"/>
    <w:rsid w:val="00AD0E09"/>
    <w:rsid w:val="00AD0F4E"/>
    <w:rsid w:val="00AD0F81"/>
    <w:rsid w:val="00AD12E2"/>
    <w:rsid w:val="00AD1450"/>
    <w:rsid w:val="00AD15E8"/>
    <w:rsid w:val="00AD1A6E"/>
    <w:rsid w:val="00AD1BF7"/>
    <w:rsid w:val="00AD1D65"/>
    <w:rsid w:val="00AD2381"/>
    <w:rsid w:val="00AD2565"/>
    <w:rsid w:val="00AD28A4"/>
    <w:rsid w:val="00AD2C74"/>
    <w:rsid w:val="00AD2C76"/>
    <w:rsid w:val="00AD2D0D"/>
    <w:rsid w:val="00AD2DA9"/>
    <w:rsid w:val="00AD2DFE"/>
    <w:rsid w:val="00AD2E89"/>
    <w:rsid w:val="00AD309D"/>
    <w:rsid w:val="00AD3254"/>
    <w:rsid w:val="00AD356D"/>
    <w:rsid w:val="00AD3628"/>
    <w:rsid w:val="00AD3749"/>
    <w:rsid w:val="00AD37EB"/>
    <w:rsid w:val="00AD43A7"/>
    <w:rsid w:val="00AD4A3F"/>
    <w:rsid w:val="00AD4ABD"/>
    <w:rsid w:val="00AD4D97"/>
    <w:rsid w:val="00AD51AB"/>
    <w:rsid w:val="00AD5204"/>
    <w:rsid w:val="00AD52E3"/>
    <w:rsid w:val="00AD5578"/>
    <w:rsid w:val="00AD5584"/>
    <w:rsid w:val="00AD560C"/>
    <w:rsid w:val="00AD58DC"/>
    <w:rsid w:val="00AD5AE2"/>
    <w:rsid w:val="00AD5B49"/>
    <w:rsid w:val="00AD5F32"/>
    <w:rsid w:val="00AD61E4"/>
    <w:rsid w:val="00AD6251"/>
    <w:rsid w:val="00AD6502"/>
    <w:rsid w:val="00AD6B4B"/>
    <w:rsid w:val="00AD6E92"/>
    <w:rsid w:val="00AD7026"/>
    <w:rsid w:val="00AD7082"/>
    <w:rsid w:val="00AD717A"/>
    <w:rsid w:val="00AD747D"/>
    <w:rsid w:val="00AD74C0"/>
    <w:rsid w:val="00AD7811"/>
    <w:rsid w:val="00AD781F"/>
    <w:rsid w:val="00AD7B93"/>
    <w:rsid w:val="00AD7C3B"/>
    <w:rsid w:val="00AD7EA4"/>
    <w:rsid w:val="00AD7F2E"/>
    <w:rsid w:val="00AE0471"/>
    <w:rsid w:val="00AE0695"/>
    <w:rsid w:val="00AE0DCF"/>
    <w:rsid w:val="00AE192A"/>
    <w:rsid w:val="00AE192C"/>
    <w:rsid w:val="00AE1B93"/>
    <w:rsid w:val="00AE1BB8"/>
    <w:rsid w:val="00AE1D62"/>
    <w:rsid w:val="00AE1EEA"/>
    <w:rsid w:val="00AE2653"/>
    <w:rsid w:val="00AE26F9"/>
    <w:rsid w:val="00AE29DF"/>
    <w:rsid w:val="00AE2F04"/>
    <w:rsid w:val="00AE3055"/>
    <w:rsid w:val="00AE325C"/>
    <w:rsid w:val="00AE35E9"/>
    <w:rsid w:val="00AE38C6"/>
    <w:rsid w:val="00AE3A78"/>
    <w:rsid w:val="00AE3C58"/>
    <w:rsid w:val="00AE3C61"/>
    <w:rsid w:val="00AE3E7E"/>
    <w:rsid w:val="00AE4405"/>
    <w:rsid w:val="00AE481B"/>
    <w:rsid w:val="00AE54B2"/>
    <w:rsid w:val="00AE5807"/>
    <w:rsid w:val="00AE5898"/>
    <w:rsid w:val="00AE5B34"/>
    <w:rsid w:val="00AE61A4"/>
    <w:rsid w:val="00AE669C"/>
    <w:rsid w:val="00AE66F8"/>
    <w:rsid w:val="00AE6798"/>
    <w:rsid w:val="00AE67D5"/>
    <w:rsid w:val="00AE68C9"/>
    <w:rsid w:val="00AE6C88"/>
    <w:rsid w:val="00AE6E04"/>
    <w:rsid w:val="00AE6F75"/>
    <w:rsid w:val="00AE720D"/>
    <w:rsid w:val="00AE72BF"/>
    <w:rsid w:val="00AE746B"/>
    <w:rsid w:val="00AE7B74"/>
    <w:rsid w:val="00AE7E53"/>
    <w:rsid w:val="00AE7F04"/>
    <w:rsid w:val="00AE7F3F"/>
    <w:rsid w:val="00AF0059"/>
    <w:rsid w:val="00AF0415"/>
    <w:rsid w:val="00AF04BA"/>
    <w:rsid w:val="00AF068A"/>
    <w:rsid w:val="00AF0B1F"/>
    <w:rsid w:val="00AF0C02"/>
    <w:rsid w:val="00AF0C12"/>
    <w:rsid w:val="00AF1315"/>
    <w:rsid w:val="00AF13BA"/>
    <w:rsid w:val="00AF13CF"/>
    <w:rsid w:val="00AF1539"/>
    <w:rsid w:val="00AF1638"/>
    <w:rsid w:val="00AF19BF"/>
    <w:rsid w:val="00AF1A5F"/>
    <w:rsid w:val="00AF1E77"/>
    <w:rsid w:val="00AF202C"/>
    <w:rsid w:val="00AF2082"/>
    <w:rsid w:val="00AF2616"/>
    <w:rsid w:val="00AF2700"/>
    <w:rsid w:val="00AF2860"/>
    <w:rsid w:val="00AF2861"/>
    <w:rsid w:val="00AF288F"/>
    <w:rsid w:val="00AF2DC3"/>
    <w:rsid w:val="00AF317E"/>
    <w:rsid w:val="00AF340B"/>
    <w:rsid w:val="00AF353B"/>
    <w:rsid w:val="00AF3564"/>
    <w:rsid w:val="00AF36F5"/>
    <w:rsid w:val="00AF41DD"/>
    <w:rsid w:val="00AF4617"/>
    <w:rsid w:val="00AF4839"/>
    <w:rsid w:val="00AF48F3"/>
    <w:rsid w:val="00AF4A63"/>
    <w:rsid w:val="00AF4ACA"/>
    <w:rsid w:val="00AF4E6E"/>
    <w:rsid w:val="00AF4FD6"/>
    <w:rsid w:val="00AF5011"/>
    <w:rsid w:val="00AF52AA"/>
    <w:rsid w:val="00AF5597"/>
    <w:rsid w:val="00AF5622"/>
    <w:rsid w:val="00AF5769"/>
    <w:rsid w:val="00AF5C5E"/>
    <w:rsid w:val="00AF5D6B"/>
    <w:rsid w:val="00AF5EAB"/>
    <w:rsid w:val="00AF5EAF"/>
    <w:rsid w:val="00AF6550"/>
    <w:rsid w:val="00AF65E4"/>
    <w:rsid w:val="00AF6693"/>
    <w:rsid w:val="00AF6706"/>
    <w:rsid w:val="00AF6863"/>
    <w:rsid w:val="00AF6923"/>
    <w:rsid w:val="00AF6E1F"/>
    <w:rsid w:val="00AF702D"/>
    <w:rsid w:val="00AF726A"/>
    <w:rsid w:val="00AF7EE3"/>
    <w:rsid w:val="00B0057E"/>
    <w:rsid w:val="00B007E7"/>
    <w:rsid w:val="00B00860"/>
    <w:rsid w:val="00B00AB9"/>
    <w:rsid w:val="00B00D52"/>
    <w:rsid w:val="00B00E3A"/>
    <w:rsid w:val="00B00EF7"/>
    <w:rsid w:val="00B014C8"/>
    <w:rsid w:val="00B017A0"/>
    <w:rsid w:val="00B017B0"/>
    <w:rsid w:val="00B017FB"/>
    <w:rsid w:val="00B018FA"/>
    <w:rsid w:val="00B01A49"/>
    <w:rsid w:val="00B01BA4"/>
    <w:rsid w:val="00B01C27"/>
    <w:rsid w:val="00B02888"/>
    <w:rsid w:val="00B02953"/>
    <w:rsid w:val="00B02991"/>
    <w:rsid w:val="00B02A5D"/>
    <w:rsid w:val="00B02CCD"/>
    <w:rsid w:val="00B02CDF"/>
    <w:rsid w:val="00B02D42"/>
    <w:rsid w:val="00B032D6"/>
    <w:rsid w:val="00B033E5"/>
    <w:rsid w:val="00B03460"/>
    <w:rsid w:val="00B038DA"/>
    <w:rsid w:val="00B03A63"/>
    <w:rsid w:val="00B03A8D"/>
    <w:rsid w:val="00B03CB6"/>
    <w:rsid w:val="00B03FC3"/>
    <w:rsid w:val="00B0424B"/>
    <w:rsid w:val="00B0445C"/>
    <w:rsid w:val="00B04688"/>
    <w:rsid w:val="00B046FE"/>
    <w:rsid w:val="00B04ADA"/>
    <w:rsid w:val="00B04CB9"/>
    <w:rsid w:val="00B04DF3"/>
    <w:rsid w:val="00B0532E"/>
    <w:rsid w:val="00B05610"/>
    <w:rsid w:val="00B057A9"/>
    <w:rsid w:val="00B058CE"/>
    <w:rsid w:val="00B05989"/>
    <w:rsid w:val="00B0615D"/>
    <w:rsid w:val="00B06638"/>
    <w:rsid w:val="00B06C5D"/>
    <w:rsid w:val="00B06D7B"/>
    <w:rsid w:val="00B07403"/>
    <w:rsid w:val="00B07763"/>
    <w:rsid w:val="00B07BBE"/>
    <w:rsid w:val="00B07E33"/>
    <w:rsid w:val="00B07FB7"/>
    <w:rsid w:val="00B101F7"/>
    <w:rsid w:val="00B10B76"/>
    <w:rsid w:val="00B10EFF"/>
    <w:rsid w:val="00B11C86"/>
    <w:rsid w:val="00B121AD"/>
    <w:rsid w:val="00B129A4"/>
    <w:rsid w:val="00B131A8"/>
    <w:rsid w:val="00B13A47"/>
    <w:rsid w:val="00B13DE1"/>
    <w:rsid w:val="00B140D3"/>
    <w:rsid w:val="00B1453D"/>
    <w:rsid w:val="00B1458B"/>
    <w:rsid w:val="00B1478F"/>
    <w:rsid w:val="00B148B2"/>
    <w:rsid w:val="00B14CB7"/>
    <w:rsid w:val="00B159E8"/>
    <w:rsid w:val="00B159FB"/>
    <w:rsid w:val="00B15F24"/>
    <w:rsid w:val="00B16E90"/>
    <w:rsid w:val="00B17148"/>
    <w:rsid w:val="00B1730E"/>
    <w:rsid w:val="00B177C7"/>
    <w:rsid w:val="00B178AF"/>
    <w:rsid w:val="00B17F7A"/>
    <w:rsid w:val="00B17FC7"/>
    <w:rsid w:val="00B20122"/>
    <w:rsid w:val="00B201A4"/>
    <w:rsid w:val="00B201D1"/>
    <w:rsid w:val="00B204FA"/>
    <w:rsid w:val="00B205C7"/>
    <w:rsid w:val="00B2067E"/>
    <w:rsid w:val="00B20947"/>
    <w:rsid w:val="00B209DC"/>
    <w:rsid w:val="00B20B9E"/>
    <w:rsid w:val="00B213A6"/>
    <w:rsid w:val="00B21C04"/>
    <w:rsid w:val="00B22139"/>
    <w:rsid w:val="00B22A0D"/>
    <w:rsid w:val="00B22E8B"/>
    <w:rsid w:val="00B22FC9"/>
    <w:rsid w:val="00B235AB"/>
    <w:rsid w:val="00B235B0"/>
    <w:rsid w:val="00B2366E"/>
    <w:rsid w:val="00B2371F"/>
    <w:rsid w:val="00B237FC"/>
    <w:rsid w:val="00B23D81"/>
    <w:rsid w:val="00B24289"/>
    <w:rsid w:val="00B24A53"/>
    <w:rsid w:val="00B24DF6"/>
    <w:rsid w:val="00B24E7C"/>
    <w:rsid w:val="00B25143"/>
    <w:rsid w:val="00B25290"/>
    <w:rsid w:val="00B25301"/>
    <w:rsid w:val="00B25483"/>
    <w:rsid w:val="00B2592F"/>
    <w:rsid w:val="00B25B2C"/>
    <w:rsid w:val="00B25C07"/>
    <w:rsid w:val="00B25C16"/>
    <w:rsid w:val="00B25E99"/>
    <w:rsid w:val="00B26407"/>
    <w:rsid w:val="00B26839"/>
    <w:rsid w:val="00B26B60"/>
    <w:rsid w:val="00B26E5A"/>
    <w:rsid w:val="00B26FAC"/>
    <w:rsid w:val="00B276C0"/>
    <w:rsid w:val="00B27A61"/>
    <w:rsid w:val="00B27E73"/>
    <w:rsid w:val="00B27F05"/>
    <w:rsid w:val="00B27F21"/>
    <w:rsid w:val="00B30113"/>
    <w:rsid w:val="00B30C55"/>
    <w:rsid w:val="00B30E20"/>
    <w:rsid w:val="00B31474"/>
    <w:rsid w:val="00B3153D"/>
    <w:rsid w:val="00B31968"/>
    <w:rsid w:val="00B31D59"/>
    <w:rsid w:val="00B31D6D"/>
    <w:rsid w:val="00B320E7"/>
    <w:rsid w:val="00B326D9"/>
    <w:rsid w:val="00B327CE"/>
    <w:rsid w:val="00B32AB1"/>
    <w:rsid w:val="00B32AEF"/>
    <w:rsid w:val="00B32DEF"/>
    <w:rsid w:val="00B333A2"/>
    <w:rsid w:val="00B33650"/>
    <w:rsid w:val="00B33678"/>
    <w:rsid w:val="00B33C03"/>
    <w:rsid w:val="00B33CA8"/>
    <w:rsid w:val="00B33D09"/>
    <w:rsid w:val="00B33DF3"/>
    <w:rsid w:val="00B33F1E"/>
    <w:rsid w:val="00B3401D"/>
    <w:rsid w:val="00B34074"/>
    <w:rsid w:val="00B34135"/>
    <w:rsid w:val="00B3478B"/>
    <w:rsid w:val="00B34FE2"/>
    <w:rsid w:val="00B35166"/>
    <w:rsid w:val="00B35347"/>
    <w:rsid w:val="00B353A7"/>
    <w:rsid w:val="00B357D8"/>
    <w:rsid w:val="00B3582F"/>
    <w:rsid w:val="00B3596C"/>
    <w:rsid w:val="00B35EF7"/>
    <w:rsid w:val="00B35F66"/>
    <w:rsid w:val="00B360F4"/>
    <w:rsid w:val="00B361AE"/>
    <w:rsid w:val="00B36A00"/>
    <w:rsid w:val="00B36BBE"/>
    <w:rsid w:val="00B3752F"/>
    <w:rsid w:val="00B376F4"/>
    <w:rsid w:val="00B3792B"/>
    <w:rsid w:val="00B37BFC"/>
    <w:rsid w:val="00B40195"/>
    <w:rsid w:val="00B401C6"/>
    <w:rsid w:val="00B40358"/>
    <w:rsid w:val="00B404D2"/>
    <w:rsid w:val="00B40974"/>
    <w:rsid w:val="00B4126F"/>
    <w:rsid w:val="00B41565"/>
    <w:rsid w:val="00B41614"/>
    <w:rsid w:val="00B41697"/>
    <w:rsid w:val="00B4171D"/>
    <w:rsid w:val="00B41CE6"/>
    <w:rsid w:val="00B41D40"/>
    <w:rsid w:val="00B41FD7"/>
    <w:rsid w:val="00B421B5"/>
    <w:rsid w:val="00B422BC"/>
    <w:rsid w:val="00B42363"/>
    <w:rsid w:val="00B42567"/>
    <w:rsid w:val="00B42740"/>
    <w:rsid w:val="00B42851"/>
    <w:rsid w:val="00B42956"/>
    <w:rsid w:val="00B4298E"/>
    <w:rsid w:val="00B42A24"/>
    <w:rsid w:val="00B42BA0"/>
    <w:rsid w:val="00B42BED"/>
    <w:rsid w:val="00B42E15"/>
    <w:rsid w:val="00B42F80"/>
    <w:rsid w:val="00B43479"/>
    <w:rsid w:val="00B4356C"/>
    <w:rsid w:val="00B435CB"/>
    <w:rsid w:val="00B43D20"/>
    <w:rsid w:val="00B451D7"/>
    <w:rsid w:val="00B45492"/>
    <w:rsid w:val="00B45501"/>
    <w:rsid w:val="00B458A4"/>
    <w:rsid w:val="00B45E38"/>
    <w:rsid w:val="00B4637B"/>
    <w:rsid w:val="00B465EC"/>
    <w:rsid w:val="00B46672"/>
    <w:rsid w:val="00B466B3"/>
    <w:rsid w:val="00B46A1A"/>
    <w:rsid w:val="00B46C69"/>
    <w:rsid w:val="00B46DCA"/>
    <w:rsid w:val="00B46F69"/>
    <w:rsid w:val="00B47018"/>
    <w:rsid w:val="00B47662"/>
    <w:rsid w:val="00B47742"/>
    <w:rsid w:val="00B4774F"/>
    <w:rsid w:val="00B47B09"/>
    <w:rsid w:val="00B47E7F"/>
    <w:rsid w:val="00B47E95"/>
    <w:rsid w:val="00B501B1"/>
    <w:rsid w:val="00B5026F"/>
    <w:rsid w:val="00B502B3"/>
    <w:rsid w:val="00B503C3"/>
    <w:rsid w:val="00B505C8"/>
    <w:rsid w:val="00B50B49"/>
    <w:rsid w:val="00B50DB8"/>
    <w:rsid w:val="00B50F64"/>
    <w:rsid w:val="00B510DD"/>
    <w:rsid w:val="00B51377"/>
    <w:rsid w:val="00B516D3"/>
    <w:rsid w:val="00B5172F"/>
    <w:rsid w:val="00B5175D"/>
    <w:rsid w:val="00B51849"/>
    <w:rsid w:val="00B51F3D"/>
    <w:rsid w:val="00B52158"/>
    <w:rsid w:val="00B524B7"/>
    <w:rsid w:val="00B524DD"/>
    <w:rsid w:val="00B5329B"/>
    <w:rsid w:val="00B53654"/>
    <w:rsid w:val="00B53696"/>
    <w:rsid w:val="00B53905"/>
    <w:rsid w:val="00B539B3"/>
    <w:rsid w:val="00B53DBE"/>
    <w:rsid w:val="00B541F7"/>
    <w:rsid w:val="00B546DB"/>
    <w:rsid w:val="00B54B5B"/>
    <w:rsid w:val="00B54C7F"/>
    <w:rsid w:val="00B54D54"/>
    <w:rsid w:val="00B554EE"/>
    <w:rsid w:val="00B5562E"/>
    <w:rsid w:val="00B55667"/>
    <w:rsid w:val="00B557B3"/>
    <w:rsid w:val="00B55862"/>
    <w:rsid w:val="00B558BD"/>
    <w:rsid w:val="00B55BD3"/>
    <w:rsid w:val="00B55D65"/>
    <w:rsid w:val="00B55F31"/>
    <w:rsid w:val="00B56305"/>
    <w:rsid w:val="00B56571"/>
    <w:rsid w:val="00B56BAF"/>
    <w:rsid w:val="00B56E7B"/>
    <w:rsid w:val="00B56F0F"/>
    <w:rsid w:val="00B57000"/>
    <w:rsid w:val="00B57236"/>
    <w:rsid w:val="00B57E36"/>
    <w:rsid w:val="00B60227"/>
    <w:rsid w:val="00B60541"/>
    <w:rsid w:val="00B607C4"/>
    <w:rsid w:val="00B60850"/>
    <w:rsid w:val="00B60939"/>
    <w:rsid w:val="00B60943"/>
    <w:rsid w:val="00B6094E"/>
    <w:rsid w:val="00B60AFD"/>
    <w:rsid w:val="00B60BAF"/>
    <w:rsid w:val="00B60F73"/>
    <w:rsid w:val="00B61076"/>
    <w:rsid w:val="00B61C35"/>
    <w:rsid w:val="00B61E89"/>
    <w:rsid w:val="00B62012"/>
    <w:rsid w:val="00B6214D"/>
    <w:rsid w:val="00B621CF"/>
    <w:rsid w:val="00B623F5"/>
    <w:rsid w:val="00B624D8"/>
    <w:rsid w:val="00B62715"/>
    <w:rsid w:val="00B6286F"/>
    <w:rsid w:val="00B629C4"/>
    <w:rsid w:val="00B62A97"/>
    <w:rsid w:val="00B62B83"/>
    <w:rsid w:val="00B62BA4"/>
    <w:rsid w:val="00B62EBC"/>
    <w:rsid w:val="00B6310E"/>
    <w:rsid w:val="00B636F0"/>
    <w:rsid w:val="00B6419C"/>
    <w:rsid w:val="00B64758"/>
    <w:rsid w:val="00B647A4"/>
    <w:rsid w:val="00B64A62"/>
    <w:rsid w:val="00B64DF1"/>
    <w:rsid w:val="00B64ED8"/>
    <w:rsid w:val="00B65611"/>
    <w:rsid w:val="00B65A7C"/>
    <w:rsid w:val="00B65BBA"/>
    <w:rsid w:val="00B65EAF"/>
    <w:rsid w:val="00B66199"/>
    <w:rsid w:val="00B661CB"/>
    <w:rsid w:val="00B661F9"/>
    <w:rsid w:val="00B663E7"/>
    <w:rsid w:val="00B66670"/>
    <w:rsid w:val="00B66942"/>
    <w:rsid w:val="00B66EF9"/>
    <w:rsid w:val="00B6706C"/>
    <w:rsid w:val="00B67444"/>
    <w:rsid w:val="00B676ED"/>
    <w:rsid w:val="00B679B1"/>
    <w:rsid w:val="00B67A37"/>
    <w:rsid w:val="00B67C1E"/>
    <w:rsid w:val="00B67ECA"/>
    <w:rsid w:val="00B700B7"/>
    <w:rsid w:val="00B7029B"/>
    <w:rsid w:val="00B70308"/>
    <w:rsid w:val="00B70B55"/>
    <w:rsid w:val="00B70E8E"/>
    <w:rsid w:val="00B70F81"/>
    <w:rsid w:val="00B7111F"/>
    <w:rsid w:val="00B71475"/>
    <w:rsid w:val="00B71630"/>
    <w:rsid w:val="00B716D8"/>
    <w:rsid w:val="00B716EC"/>
    <w:rsid w:val="00B71AF7"/>
    <w:rsid w:val="00B71E2D"/>
    <w:rsid w:val="00B71FF5"/>
    <w:rsid w:val="00B720DE"/>
    <w:rsid w:val="00B720E9"/>
    <w:rsid w:val="00B722C5"/>
    <w:rsid w:val="00B72379"/>
    <w:rsid w:val="00B723B0"/>
    <w:rsid w:val="00B725D1"/>
    <w:rsid w:val="00B72A32"/>
    <w:rsid w:val="00B72B52"/>
    <w:rsid w:val="00B7322C"/>
    <w:rsid w:val="00B7333B"/>
    <w:rsid w:val="00B7363B"/>
    <w:rsid w:val="00B7375E"/>
    <w:rsid w:val="00B73A9F"/>
    <w:rsid w:val="00B73E02"/>
    <w:rsid w:val="00B741F5"/>
    <w:rsid w:val="00B7450D"/>
    <w:rsid w:val="00B74510"/>
    <w:rsid w:val="00B7467D"/>
    <w:rsid w:val="00B7482E"/>
    <w:rsid w:val="00B74CF4"/>
    <w:rsid w:val="00B74D7F"/>
    <w:rsid w:val="00B74ECC"/>
    <w:rsid w:val="00B74FBC"/>
    <w:rsid w:val="00B756F2"/>
    <w:rsid w:val="00B75944"/>
    <w:rsid w:val="00B75A5D"/>
    <w:rsid w:val="00B75ABB"/>
    <w:rsid w:val="00B76100"/>
    <w:rsid w:val="00B761AB"/>
    <w:rsid w:val="00B762F0"/>
    <w:rsid w:val="00B7644B"/>
    <w:rsid w:val="00B768E2"/>
    <w:rsid w:val="00B76C92"/>
    <w:rsid w:val="00B76D4D"/>
    <w:rsid w:val="00B76D5E"/>
    <w:rsid w:val="00B76DCD"/>
    <w:rsid w:val="00B76EB7"/>
    <w:rsid w:val="00B76F95"/>
    <w:rsid w:val="00B7724E"/>
    <w:rsid w:val="00B773D0"/>
    <w:rsid w:val="00B77D92"/>
    <w:rsid w:val="00B80150"/>
    <w:rsid w:val="00B80245"/>
    <w:rsid w:val="00B8024C"/>
    <w:rsid w:val="00B803DD"/>
    <w:rsid w:val="00B80514"/>
    <w:rsid w:val="00B80574"/>
    <w:rsid w:val="00B80581"/>
    <w:rsid w:val="00B805E8"/>
    <w:rsid w:val="00B80DF4"/>
    <w:rsid w:val="00B80EFD"/>
    <w:rsid w:val="00B812B1"/>
    <w:rsid w:val="00B81368"/>
    <w:rsid w:val="00B814A5"/>
    <w:rsid w:val="00B8172F"/>
    <w:rsid w:val="00B8174B"/>
    <w:rsid w:val="00B81778"/>
    <w:rsid w:val="00B8184F"/>
    <w:rsid w:val="00B81868"/>
    <w:rsid w:val="00B818A4"/>
    <w:rsid w:val="00B820E1"/>
    <w:rsid w:val="00B8281A"/>
    <w:rsid w:val="00B83661"/>
    <w:rsid w:val="00B83739"/>
    <w:rsid w:val="00B8382D"/>
    <w:rsid w:val="00B838CD"/>
    <w:rsid w:val="00B83C0F"/>
    <w:rsid w:val="00B83CB4"/>
    <w:rsid w:val="00B840A7"/>
    <w:rsid w:val="00B84117"/>
    <w:rsid w:val="00B84178"/>
    <w:rsid w:val="00B8418A"/>
    <w:rsid w:val="00B84337"/>
    <w:rsid w:val="00B845E2"/>
    <w:rsid w:val="00B8478A"/>
    <w:rsid w:val="00B84889"/>
    <w:rsid w:val="00B85421"/>
    <w:rsid w:val="00B858F0"/>
    <w:rsid w:val="00B85919"/>
    <w:rsid w:val="00B85AA2"/>
    <w:rsid w:val="00B85EC8"/>
    <w:rsid w:val="00B86266"/>
    <w:rsid w:val="00B86365"/>
    <w:rsid w:val="00B8649C"/>
    <w:rsid w:val="00B8695D"/>
    <w:rsid w:val="00B86BD3"/>
    <w:rsid w:val="00B86EDC"/>
    <w:rsid w:val="00B87E5D"/>
    <w:rsid w:val="00B87F0A"/>
    <w:rsid w:val="00B90193"/>
    <w:rsid w:val="00B90498"/>
    <w:rsid w:val="00B9074D"/>
    <w:rsid w:val="00B90AFC"/>
    <w:rsid w:val="00B90CD7"/>
    <w:rsid w:val="00B90E67"/>
    <w:rsid w:val="00B90ED2"/>
    <w:rsid w:val="00B90EFB"/>
    <w:rsid w:val="00B918F1"/>
    <w:rsid w:val="00B91954"/>
    <w:rsid w:val="00B919B7"/>
    <w:rsid w:val="00B91E1C"/>
    <w:rsid w:val="00B91F5D"/>
    <w:rsid w:val="00B9228F"/>
    <w:rsid w:val="00B92799"/>
    <w:rsid w:val="00B9290A"/>
    <w:rsid w:val="00B92D0B"/>
    <w:rsid w:val="00B93938"/>
    <w:rsid w:val="00B939F3"/>
    <w:rsid w:val="00B93B83"/>
    <w:rsid w:val="00B94038"/>
    <w:rsid w:val="00B942FD"/>
    <w:rsid w:val="00B9449B"/>
    <w:rsid w:val="00B94945"/>
    <w:rsid w:val="00B94AFC"/>
    <w:rsid w:val="00B94DD6"/>
    <w:rsid w:val="00B95022"/>
    <w:rsid w:val="00B952EE"/>
    <w:rsid w:val="00B953A4"/>
    <w:rsid w:val="00B95552"/>
    <w:rsid w:val="00B95623"/>
    <w:rsid w:val="00B95641"/>
    <w:rsid w:val="00B956A2"/>
    <w:rsid w:val="00B95722"/>
    <w:rsid w:val="00B9582F"/>
    <w:rsid w:val="00B958B0"/>
    <w:rsid w:val="00B95E99"/>
    <w:rsid w:val="00B95EFE"/>
    <w:rsid w:val="00B96172"/>
    <w:rsid w:val="00B96202"/>
    <w:rsid w:val="00B9696C"/>
    <w:rsid w:val="00B96A44"/>
    <w:rsid w:val="00B9739A"/>
    <w:rsid w:val="00B97896"/>
    <w:rsid w:val="00B97ABA"/>
    <w:rsid w:val="00BA00FC"/>
    <w:rsid w:val="00BA0406"/>
    <w:rsid w:val="00BA051E"/>
    <w:rsid w:val="00BA0A0A"/>
    <w:rsid w:val="00BA0E89"/>
    <w:rsid w:val="00BA1183"/>
    <w:rsid w:val="00BA163C"/>
    <w:rsid w:val="00BA16EA"/>
    <w:rsid w:val="00BA17E7"/>
    <w:rsid w:val="00BA1BE2"/>
    <w:rsid w:val="00BA1E7F"/>
    <w:rsid w:val="00BA1F58"/>
    <w:rsid w:val="00BA233E"/>
    <w:rsid w:val="00BA2495"/>
    <w:rsid w:val="00BA27C2"/>
    <w:rsid w:val="00BA2B4D"/>
    <w:rsid w:val="00BA2BBB"/>
    <w:rsid w:val="00BA2BE4"/>
    <w:rsid w:val="00BA2C9E"/>
    <w:rsid w:val="00BA2D3F"/>
    <w:rsid w:val="00BA2D58"/>
    <w:rsid w:val="00BA2E54"/>
    <w:rsid w:val="00BA2FDF"/>
    <w:rsid w:val="00BA310A"/>
    <w:rsid w:val="00BA322D"/>
    <w:rsid w:val="00BA3390"/>
    <w:rsid w:val="00BA33DF"/>
    <w:rsid w:val="00BA347E"/>
    <w:rsid w:val="00BA35C2"/>
    <w:rsid w:val="00BA3AB3"/>
    <w:rsid w:val="00BA3FDA"/>
    <w:rsid w:val="00BA467F"/>
    <w:rsid w:val="00BA4847"/>
    <w:rsid w:val="00BA4895"/>
    <w:rsid w:val="00BA489C"/>
    <w:rsid w:val="00BA48F4"/>
    <w:rsid w:val="00BA49C2"/>
    <w:rsid w:val="00BA4A6B"/>
    <w:rsid w:val="00BA4AB0"/>
    <w:rsid w:val="00BA4CF0"/>
    <w:rsid w:val="00BA4F70"/>
    <w:rsid w:val="00BA50BA"/>
    <w:rsid w:val="00BA50DA"/>
    <w:rsid w:val="00BA51E6"/>
    <w:rsid w:val="00BA56D7"/>
    <w:rsid w:val="00BA58BB"/>
    <w:rsid w:val="00BA5934"/>
    <w:rsid w:val="00BA5989"/>
    <w:rsid w:val="00BA63FA"/>
    <w:rsid w:val="00BA6767"/>
    <w:rsid w:val="00BA6897"/>
    <w:rsid w:val="00BA6A95"/>
    <w:rsid w:val="00BA6E87"/>
    <w:rsid w:val="00BA6F77"/>
    <w:rsid w:val="00BA71C0"/>
    <w:rsid w:val="00BA7D55"/>
    <w:rsid w:val="00BA7E65"/>
    <w:rsid w:val="00BB00B3"/>
    <w:rsid w:val="00BB059B"/>
    <w:rsid w:val="00BB07A0"/>
    <w:rsid w:val="00BB0971"/>
    <w:rsid w:val="00BB0BDD"/>
    <w:rsid w:val="00BB0C1E"/>
    <w:rsid w:val="00BB133C"/>
    <w:rsid w:val="00BB1574"/>
    <w:rsid w:val="00BB176C"/>
    <w:rsid w:val="00BB194A"/>
    <w:rsid w:val="00BB1D73"/>
    <w:rsid w:val="00BB27E1"/>
    <w:rsid w:val="00BB2845"/>
    <w:rsid w:val="00BB286A"/>
    <w:rsid w:val="00BB2A73"/>
    <w:rsid w:val="00BB3072"/>
    <w:rsid w:val="00BB30D7"/>
    <w:rsid w:val="00BB38F7"/>
    <w:rsid w:val="00BB3A45"/>
    <w:rsid w:val="00BB3CAE"/>
    <w:rsid w:val="00BB3D5D"/>
    <w:rsid w:val="00BB41A1"/>
    <w:rsid w:val="00BB462F"/>
    <w:rsid w:val="00BB482A"/>
    <w:rsid w:val="00BB4ACC"/>
    <w:rsid w:val="00BB4B37"/>
    <w:rsid w:val="00BB4D9A"/>
    <w:rsid w:val="00BB4E12"/>
    <w:rsid w:val="00BB541C"/>
    <w:rsid w:val="00BB558B"/>
    <w:rsid w:val="00BB5859"/>
    <w:rsid w:val="00BB59D1"/>
    <w:rsid w:val="00BB5F20"/>
    <w:rsid w:val="00BB623C"/>
    <w:rsid w:val="00BB65BC"/>
    <w:rsid w:val="00BB65FF"/>
    <w:rsid w:val="00BB6CB8"/>
    <w:rsid w:val="00BB6CE4"/>
    <w:rsid w:val="00BB703E"/>
    <w:rsid w:val="00BB732D"/>
    <w:rsid w:val="00BB7405"/>
    <w:rsid w:val="00BB794D"/>
    <w:rsid w:val="00BB7976"/>
    <w:rsid w:val="00BB7B2C"/>
    <w:rsid w:val="00BB7B54"/>
    <w:rsid w:val="00BC0FAA"/>
    <w:rsid w:val="00BC11AB"/>
    <w:rsid w:val="00BC13AE"/>
    <w:rsid w:val="00BC14C0"/>
    <w:rsid w:val="00BC16DB"/>
    <w:rsid w:val="00BC174F"/>
    <w:rsid w:val="00BC1B10"/>
    <w:rsid w:val="00BC1D56"/>
    <w:rsid w:val="00BC1E8A"/>
    <w:rsid w:val="00BC1FCB"/>
    <w:rsid w:val="00BC20EA"/>
    <w:rsid w:val="00BC25FA"/>
    <w:rsid w:val="00BC28BD"/>
    <w:rsid w:val="00BC28C4"/>
    <w:rsid w:val="00BC2DD4"/>
    <w:rsid w:val="00BC2FF3"/>
    <w:rsid w:val="00BC320F"/>
    <w:rsid w:val="00BC342D"/>
    <w:rsid w:val="00BC3577"/>
    <w:rsid w:val="00BC3631"/>
    <w:rsid w:val="00BC3ADA"/>
    <w:rsid w:val="00BC3E6B"/>
    <w:rsid w:val="00BC3F9E"/>
    <w:rsid w:val="00BC41C0"/>
    <w:rsid w:val="00BC47D8"/>
    <w:rsid w:val="00BC499B"/>
    <w:rsid w:val="00BC4DE2"/>
    <w:rsid w:val="00BC4F76"/>
    <w:rsid w:val="00BC4FB3"/>
    <w:rsid w:val="00BC526F"/>
    <w:rsid w:val="00BC584B"/>
    <w:rsid w:val="00BC591F"/>
    <w:rsid w:val="00BC5D03"/>
    <w:rsid w:val="00BC60E0"/>
    <w:rsid w:val="00BC63E5"/>
    <w:rsid w:val="00BC64D2"/>
    <w:rsid w:val="00BC64D3"/>
    <w:rsid w:val="00BC69AD"/>
    <w:rsid w:val="00BC6D42"/>
    <w:rsid w:val="00BC6D6C"/>
    <w:rsid w:val="00BC6DED"/>
    <w:rsid w:val="00BC7366"/>
    <w:rsid w:val="00BC7993"/>
    <w:rsid w:val="00BC79B2"/>
    <w:rsid w:val="00BC79D4"/>
    <w:rsid w:val="00BC7B73"/>
    <w:rsid w:val="00BC7D6D"/>
    <w:rsid w:val="00BC7E2D"/>
    <w:rsid w:val="00BD00D7"/>
    <w:rsid w:val="00BD01C1"/>
    <w:rsid w:val="00BD0207"/>
    <w:rsid w:val="00BD0CF8"/>
    <w:rsid w:val="00BD1162"/>
    <w:rsid w:val="00BD182F"/>
    <w:rsid w:val="00BD19AE"/>
    <w:rsid w:val="00BD1A36"/>
    <w:rsid w:val="00BD1BD8"/>
    <w:rsid w:val="00BD1D49"/>
    <w:rsid w:val="00BD1D64"/>
    <w:rsid w:val="00BD1E78"/>
    <w:rsid w:val="00BD1F44"/>
    <w:rsid w:val="00BD2037"/>
    <w:rsid w:val="00BD2108"/>
    <w:rsid w:val="00BD2333"/>
    <w:rsid w:val="00BD24A8"/>
    <w:rsid w:val="00BD24A9"/>
    <w:rsid w:val="00BD25EC"/>
    <w:rsid w:val="00BD326A"/>
    <w:rsid w:val="00BD32AA"/>
    <w:rsid w:val="00BD383E"/>
    <w:rsid w:val="00BD4197"/>
    <w:rsid w:val="00BD427F"/>
    <w:rsid w:val="00BD42FF"/>
    <w:rsid w:val="00BD4616"/>
    <w:rsid w:val="00BD46C8"/>
    <w:rsid w:val="00BD471D"/>
    <w:rsid w:val="00BD474B"/>
    <w:rsid w:val="00BD4968"/>
    <w:rsid w:val="00BD4994"/>
    <w:rsid w:val="00BD4D32"/>
    <w:rsid w:val="00BD4D84"/>
    <w:rsid w:val="00BD4DE6"/>
    <w:rsid w:val="00BD4E68"/>
    <w:rsid w:val="00BD524F"/>
    <w:rsid w:val="00BD5350"/>
    <w:rsid w:val="00BD59F7"/>
    <w:rsid w:val="00BD6493"/>
    <w:rsid w:val="00BD64B8"/>
    <w:rsid w:val="00BD65C1"/>
    <w:rsid w:val="00BD68A3"/>
    <w:rsid w:val="00BD6938"/>
    <w:rsid w:val="00BD6CF3"/>
    <w:rsid w:val="00BD6D9E"/>
    <w:rsid w:val="00BD6E16"/>
    <w:rsid w:val="00BD71FA"/>
    <w:rsid w:val="00BD7458"/>
    <w:rsid w:val="00BD75F2"/>
    <w:rsid w:val="00BD7944"/>
    <w:rsid w:val="00BD7994"/>
    <w:rsid w:val="00BD7BB2"/>
    <w:rsid w:val="00BD7F72"/>
    <w:rsid w:val="00BE011B"/>
    <w:rsid w:val="00BE081A"/>
    <w:rsid w:val="00BE0ECA"/>
    <w:rsid w:val="00BE0F85"/>
    <w:rsid w:val="00BE1128"/>
    <w:rsid w:val="00BE14C7"/>
    <w:rsid w:val="00BE14EC"/>
    <w:rsid w:val="00BE16B4"/>
    <w:rsid w:val="00BE1DB9"/>
    <w:rsid w:val="00BE1ECA"/>
    <w:rsid w:val="00BE2180"/>
    <w:rsid w:val="00BE21F2"/>
    <w:rsid w:val="00BE22A1"/>
    <w:rsid w:val="00BE2412"/>
    <w:rsid w:val="00BE26DE"/>
    <w:rsid w:val="00BE2D9C"/>
    <w:rsid w:val="00BE2E20"/>
    <w:rsid w:val="00BE3098"/>
    <w:rsid w:val="00BE33B2"/>
    <w:rsid w:val="00BE33CD"/>
    <w:rsid w:val="00BE36FD"/>
    <w:rsid w:val="00BE3CC8"/>
    <w:rsid w:val="00BE3D53"/>
    <w:rsid w:val="00BE3E4A"/>
    <w:rsid w:val="00BE41C2"/>
    <w:rsid w:val="00BE4275"/>
    <w:rsid w:val="00BE43FF"/>
    <w:rsid w:val="00BE462D"/>
    <w:rsid w:val="00BE47E9"/>
    <w:rsid w:val="00BE4BA2"/>
    <w:rsid w:val="00BE4C7B"/>
    <w:rsid w:val="00BE4CBC"/>
    <w:rsid w:val="00BE5440"/>
    <w:rsid w:val="00BE5649"/>
    <w:rsid w:val="00BE575F"/>
    <w:rsid w:val="00BE59A2"/>
    <w:rsid w:val="00BE5AD7"/>
    <w:rsid w:val="00BE5D7C"/>
    <w:rsid w:val="00BE61C8"/>
    <w:rsid w:val="00BE634B"/>
    <w:rsid w:val="00BE64D0"/>
    <w:rsid w:val="00BE64D4"/>
    <w:rsid w:val="00BE72C4"/>
    <w:rsid w:val="00BE75B2"/>
    <w:rsid w:val="00BE7821"/>
    <w:rsid w:val="00BE78AD"/>
    <w:rsid w:val="00BE7933"/>
    <w:rsid w:val="00BE7A83"/>
    <w:rsid w:val="00BE7AA1"/>
    <w:rsid w:val="00BE7E73"/>
    <w:rsid w:val="00BE7E8F"/>
    <w:rsid w:val="00BF0028"/>
    <w:rsid w:val="00BF0191"/>
    <w:rsid w:val="00BF01FB"/>
    <w:rsid w:val="00BF05BB"/>
    <w:rsid w:val="00BF06AE"/>
    <w:rsid w:val="00BF074E"/>
    <w:rsid w:val="00BF09B7"/>
    <w:rsid w:val="00BF0D23"/>
    <w:rsid w:val="00BF0D84"/>
    <w:rsid w:val="00BF0E34"/>
    <w:rsid w:val="00BF0F4F"/>
    <w:rsid w:val="00BF0F95"/>
    <w:rsid w:val="00BF137C"/>
    <w:rsid w:val="00BF148E"/>
    <w:rsid w:val="00BF162D"/>
    <w:rsid w:val="00BF16D8"/>
    <w:rsid w:val="00BF1910"/>
    <w:rsid w:val="00BF1AB8"/>
    <w:rsid w:val="00BF1ABF"/>
    <w:rsid w:val="00BF1D3D"/>
    <w:rsid w:val="00BF21B3"/>
    <w:rsid w:val="00BF2428"/>
    <w:rsid w:val="00BF2433"/>
    <w:rsid w:val="00BF2959"/>
    <w:rsid w:val="00BF2A12"/>
    <w:rsid w:val="00BF2C35"/>
    <w:rsid w:val="00BF2E6E"/>
    <w:rsid w:val="00BF30D1"/>
    <w:rsid w:val="00BF332E"/>
    <w:rsid w:val="00BF340E"/>
    <w:rsid w:val="00BF3BB8"/>
    <w:rsid w:val="00BF3E93"/>
    <w:rsid w:val="00BF3F76"/>
    <w:rsid w:val="00BF40CF"/>
    <w:rsid w:val="00BF48E3"/>
    <w:rsid w:val="00BF4C1E"/>
    <w:rsid w:val="00BF4D20"/>
    <w:rsid w:val="00BF4D65"/>
    <w:rsid w:val="00BF4D8E"/>
    <w:rsid w:val="00BF4E6B"/>
    <w:rsid w:val="00BF4F19"/>
    <w:rsid w:val="00BF50F7"/>
    <w:rsid w:val="00BF5D74"/>
    <w:rsid w:val="00BF61C9"/>
    <w:rsid w:val="00BF62A2"/>
    <w:rsid w:val="00BF674D"/>
    <w:rsid w:val="00BF6796"/>
    <w:rsid w:val="00BF687D"/>
    <w:rsid w:val="00BF6A15"/>
    <w:rsid w:val="00BF6B4F"/>
    <w:rsid w:val="00BF6C94"/>
    <w:rsid w:val="00BF6FED"/>
    <w:rsid w:val="00BF70C9"/>
    <w:rsid w:val="00BF760C"/>
    <w:rsid w:val="00BF7810"/>
    <w:rsid w:val="00BF7A4A"/>
    <w:rsid w:val="00BF7BB9"/>
    <w:rsid w:val="00C00199"/>
    <w:rsid w:val="00C00424"/>
    <w:rsid w:val="00C00AD3"/>
    <w:rsid w:val="00C00B28"/>
    <w:rsid w:val="00C00BB0"/>
    <w:rsid w:val="00C00C4F"/>
    <w:rsid w:val="00C0117F"/>
    <w:rsid w:val="00C01753"/>
    <w:rsid w:val="00C01754"/>
    <w:rsid w:val="00C01ADA"/>
    <w:rsid w:val="00C01DD3"/>
    <w:rsid w:val="00C01F89"/>
    <w:rsid w:val="00C0210F"/>
    <w:rsid w:val="00C026F7"/>
    <w:rsid w:val="00C02B6F"/>
    <w:rsid w:val="00C02D6C"/>
    <w:rsid w:val="00C02E9E"/>
    <w:rsid w:val="00C032DA"/>
    <w:rsid w:val="00C03309"/>
    <w:rsid w:val="00C03AC8"/>
    <w:rsid w:val="00C03ADF"/>
    <w:rsid w:val="00C0423F"/>
    <w:rsid w:val="00C04347"/>
    <w:rsid w:val="00C04397"/>
    <w:rsid w:val="00C04B21"/>
    <w:rsid w:val="00C04D0D"/>
    <w:rsid w:val="00C04D25"/>
    <w:rsid w:val="00C04D74"/>
    <w:rsid w:val="00C051B8"/>
    <w:rsid w:val="00C053E2"/>
    <w:rsid w:val="00C053F3"/>
    <w:rsid w:val="00C05558"/>
    <w:rsid w:val="00C05B40"/>
    <w:rsid w:val="00C05C6D"/>
    <w:rsid w:val="00C05E2A"/>
    <w:rsid w:val="00C05F95"/>
    <w:rsid w:val="00C063D7"/>
    <w:rsid w:val="00C06525"/>
    <w:rsid w:val="00C06AD1"/>
    <w:rsid w:val="00C06BAC"/>
    <w:rsid w:val="00C07071"/>
    <w:rsid w:val="00C07373"/>
    <w:rsid w:val="00C07620"/>
    <w:rsid w:val="00C0765B"/>
    <w:rsid w:val="00C07BDA"/>
    <w:rsid w:val="00C1016E"/>
    <w:rsid w:val="00C10417"/>
    <w:rsid w:val="00C10694"/>
    <w:rsid w:val="00C10B8C"/>
    <w:rsid w:val="00C111DB"/>
    <w:rsid w:val="00C1133E"/>
    <w:rsid w:val="00C113EE"/>
    <w:rsid w:val="00C11478"/>
    <w:rsid w:val="00C1179F"/>
    <w:rsid w:val="00C11812"/>
    <w:rsid w:val="00C11A83"/>
    <w:rsid w:val="00C11C49"/>
    <w:rsid w:val="00C120B7"/>
    <w:rsid w:val="00C125CA"/>
    <w:rsid w:val="00C127B9"/>
    <w:rsid w:val="00C128FA"/>
    <w:rsid w:val="00C12A0A"/>
    <w:rsid w:val="00C12BCE"/>
    <w:rsid w:val="00C12C14"/>
    <w:rsid w:val="00C12F16"/>
    <w:rsid w:val="00C13238"/>
    <w:rsid w:val="00C13558"/>
    <w:rsid w:val="00C136FA"/>
    <w:rsid w:val="00C13B07"/>
    <w:rsid w:val="00C13E38"/>
    <w:rsid w:val="00C13E40"/>
    <w:rsid w:val="00C14900"/>
    <w:rsid w:val="00C14A44"/>
    <w:rsid w:val="00C14E01"/>
    <w:rsid w:val="00C14E4A"/>
    <w:rsid w:val="00C159D4"/>
    <w:rsid w:val="00C15A66"/>
    <w:rsid w:val="00C15F04"/>
    <w:rsid w:val="00C163C7"/>
    <w:rsid w:val="00C16F0B"/>
    <w:rsid w:val="00C179B3"/>
    <w:rsid w:val="00C17D9A"/>
    <w:rsid w:val="00C17E3F"/>
    <w:rsid w:val="00C17FF0"/>
    <w:rsid w:val="00C200AA"/>
    <w:rsid w:val="00C20140"/>
    <w:rsid w:val="00C204DE"/>
    <w:rsid w:val="00C2055F"/>
    <w:rsid w:val="00C2058C"/>
    <w:rsid w:val="00C205D9"/>
    <w:rsid w:val="00C205E2"/>
    <w:rsid w:val="00C20835"/>
    <w:rsid w:val="00C20C8D"/>
    <w:rsid w:val="00C213A8"/>
    <w:rsid w:val="00C21C1C"/>
    <w:rsid w:val="00C221DA"/>
    <w:rsid w:val="00C221E0"/>
    <w:rsid w:val="00C22808"/>
    <w:rsid w:val="00C2293B"/>
    <w:rsid w:val="00C22A40"/>
    <w:rsid w:val="00C22ABE"/>
    <w:rsid w:val="00C230F6"/>
    <w:rsid w:val="00C2345A"/>
    <w:rsid w:val="00C235ED"/>
    <w:rsid w:val="00C2360E"/>
    <w:rsid w:val="00C23650"/>
    <w:rsid w:val="00C23653"/>
    <w:rsid w:val="00C237ED"/>
    <w:rsid w:val="00C23866"/>
    <w:rsid w:val="00C239D2"/>
    <w:rsid w:val="00C23A11"/>
    <w:rsid w:val="00C23BAD"/>
    <w:rsid w:val="00C23E02"/>
    <w:rsid w:val="00C24058"/>
    <w:rsid w:val="00C24322"/>
    <w:rsid w:val="00C24632"/>
    <w:rsid w:val="00C24654"/>
    <w:rsid w:val="00C248D1"/>
    <w:rsid w:val="00C24A50"/>
    <w:rsid w:val="00C25254"/>
    <w:rsid w:val="00C25418"/>
    <w:rsid w:val="00C25876"/>
    <w:rsid w:val="00C25A34"/>
    <w:rsid w:val="00C25D9C"/>
    <w:rsid w:val="00C25EE5"/>
    <w:rsid w:val="00C2628E"/>
    <w:rsid w:val="00C26324"/>
    <w:rsid w:val="00C2650E"/>
    <w:rsid w:val="00C266D9"/>
    <w:rsid w:val="00C26818"/>
    <w:rsid w:val="00C2689C"/>
    <w:rsid w:val="00C26DD0"/>
    <w:rsid w:val="00C271D7"/>
    <w:rsid w:val="00C274A1"/>
    <w:rsid w:val="00C27746"/>
    <w:rsid w:val="00C2778B"/>
    <w:rsid w:val="00C27ADA"/>
    <w:rsid w:val="00C27C2A"/>
    <w:rsid w:val="00C27CC9"/>
    <w:rsid w:val="00C27D76"/>
    <w:rsid w:val="00C27E93"/>
    <w:rsid w:val="00C3012D"/>
    <w:rsid w:val="00C30404"/>
    <w:rsid w:val="00C30497"/>
    <w:rsid w:val="00C3050A"/>
    <w:rsid w:val="00C30A22"/>
    <w:rsid w:val="00C30DCE"/>
    <w:rsid w:val="00C30F37"/>
    <w:rsid w:val="00C31649"/>
    <w:rsid w:val="00C31822"/>
    <w:rsid w:val="00C31C01"/>
    <w:rsid w:val="00C31C89"/>
    <w:rsid w:val="00C31F2E"/>
    <w:rsid w:val="00C320E6"/>
    <w:rsid w:val="00C332E5"/>
    <w:rsid w:val="00C33427"/>
    <w:rsid w:val="00C33504"/>
    <w:rsid w:val="00C33807"/>
    <w:rsid w:val="00C33A87"/>
    <w:rsid w:val="00C33C3F"/>
    <w:rsid w:val="00C33DB3"/>
    <w:rsid w:val="00C33FCA"/>
    <w:rsid w:val="00C34261"/>
    <w:rsid w:val="00C34272"/>
    <w:rsid w:val="00C34337"/>
    <w:rsid w:val="00C3434C"/>
    <w:rsid w:val="00C3436B"/>
    <w:rsid w:val="00C3446A"/>
    <w:rsid w:val="00C346B3"/>
    <w:rsid w:val="00C346D7"/>
    <w:rsid w:val="00C346E3"/>
    <w:rsid w:val="00C34714"/>
    <w:rsid w:val="00C348CD"/>
    <w:rsid w:val="00C34C1E"/>
    <w:rsid w:val="00C34CC8"/>
    <w:rsid w:val="00C34EF5"/>
    <w:rsid w:val="00C35247"/>
    <w:rsid w:val="00C355BB"/>
    <w:rsid w:val="00C355C7"/>
    <w:rsid w:val="00C356F6"/>
    <w:rsid w:val="00C3574C"/>
    <w:rsid w:val="00C35A44"/>
    <w:rsid w:val="00C35C4E"/>
    <w:rsid w:val="00C35EE5"/>
    <w:rsid w:val="00C36333"/>
    <w:rsid w:val="00C36426"/>
    <w:rsid w:val="00C37032"/>
    <w:rsid w:val="00C371E4"/>
    <w:rsid w:val="00C37281"/>
    <w:rsid w:val="00C373CB"/>
    <w:rsid w:val="00C37576"/>
    <w:rsid w:val="00C378EF"/>
    <w:rsid w:val="00C37907"/>
    <w:rsid w:val="00C37ACF"/>
    <w:rsid w:val="00C40385"/>
    <w:rsid w:val="00C40A9E"/>
    <w:rsid w:val="00C40BF5"/>
    <w:rsid w:val="00C4114F"/>
    <w:rsid w:val="00C41276"/>
    <w:rsid w:val="00C416FA"/>
    <w:rsid w:val="00C41768"/>
    <w:rsid w:val="00C41CA4"/>
    <w:rsid w:val="00C4211A"/>
    <w:rsid w:val="00C42158"/>
    <w:rsid w:val="00C42560"/>
    <w:rsid w:val="00C42561"/>
    <w:rsid w:val="00C42C57"/>
    <w:rsid w:val="00C42E08"/>
    <w:rsid w:val="00C4316F"/>
    <w:rsid w:val="00C43978"/>
    <w:rsid w:val="00C442EC"/>
    <w:rsid w:val="00C443A9"/>
    <w:rsid w:val="00C44440"/>
    <w:rsid w:val="00C44859"/>
    <w:rsid w:val="00C4485F"/>
    <w:rsid w:val="00C44BFF"/>
    <w:rsid w:val="00C44DDA"/>
    <w:rsid w:val="00C44E23"/>
    <w:rsid w:val="00C44FA5"/>
    <w:rsid w:val="00C45091"/>
    <w:rsid w:val="00C452E0"/>
    <w:rsid w:val="00C45406"/>
    <w:rsid w:val="00C458DA"/>
    <w:rsid w:val="00C45B8F"/>
    <w:rsid w:val="00C45CB3"/>
    <w:rsid w:val="00C45E15"/>
    <w:rsid w:val="00C4629A"/>
    <w:rsid w:val="00C464D1"/>
    <w:rsid w:val="00C46AAE"/>
    <w:rsid w:val="00C470CA"/>
    <w:rsid w:val="00C475AA"/>
    <w:rsid w:val="00C475D8"/>
    <w:rsid w:val="00C475E5"/>
    <w:rsid w:val="00C4762F"/>
    <w:rsid w:val="00C4795A"/>
    <w:rsid w:val="00C47A61"/>
    <w:rsid w:val="00C50069"/>
    <w:rsid w:val="00C500B0"/>
    <w:rsid w:val="00C500FC"/>
    <w:rsid w:val="00C504C5"/>
    <w:rsid w:val="00C50944"/>
    <w:rsid w:val="00C50F1A"/>
    <w:rsid w:val="00C5141B"/>
    <w:rsid w:val="00C51D5B"/>
    <w:rsid w:val="00C51F0B"/>
    <w:rsid w:val="00C51FB3"/>
    <w:rsid w:val="00C5210E"/>
    <w:rsid w:val="00C52119"/>
    <w:rsid w:val="00C52329"/>
    <w:rsid w:val="00C5245B"/>
    <w:rsid w:val="00C5276D"/>
    <w:rsid w:val="00C5277E"/>
    <w:rsid w:val="00C52794"/>
    <w:rsid w:val="00C527C7"/>
    <w:rsid w:val="00C52884"/>
    <w:rsid w:val="00C52B75"/>
    <w:rsid w:val="00C535C4"/>
    <w:rsid w:val="00C53B75"/>
    <w:rsid w:val="00C53C98"/>
    <w:rsid w:val="00C53D7C"/>
    <w:rsid w:val="00C540D9"/>
    <w:rsid w:val="00C54131"/>
    <w:rsid w:val="00C5459F"/>
    <w:rsid w:val="00C547E9"/>
    <w:rsid w:val="00C549DD"/>
    <w:rsid w:val="00C54AE4"/>
    <w:rsid w:val="00C54BE9"/>
    <w:rsid w:val="00C54CDC"/>
    <w:rsid w:val="00C5567C"/>
    <w:rsid w:val="00C558D8"/>
    <w:rsid w:val="00C55F7A"/>
    <w:rsid w:val="00C55FA2"/>
    <w:rsid w:val="00C55FAD"/>
    <w:rsid w:val="00C55FB0"/>
    <w:rsid w:val="00C56A98"/>
    <w:rsid w:val="00C56FCF"/>
    <w:rsid w:val="00C5703D"/>
    <w:rsid w:val="00C571A9"/>
    <w:rsid w:val="00C572F6"/>
    <w:rsid w:val="00C57982"/>
    <w:rsid w:val="00C57B6C"/>
    <w:rsid w:val="00C57CD8"/>
    <w:rsid w:val="00C6025E"/>
    <w:rsid w:val="00C6045E"/>
    <w:rsid w:val="00C604F5"/>
    <w:rsid w:val="00C6069E"/>
    <w:rsid w:val="00C608AC"/>
    <w:rsid w:val="00C60914"/>
    <w:rsid w:val="00C60A58"/>
    <w:rsid w:val="00C60ECA"/>
    <w:rsid w:val="00C60F7D"/>
    <w:rsid w:val="00C61998"/>
    <w:rsid w:val="00C619A7"/>
    <w:rsid w:val="00C61A59"/>
    <w:rsid w:val="00C61C97"/>
    <w:rsid w:val="00C61D2B"/>
    <w:rsid w:val="00C61D89"/>
    <w:rsid w:val="00C62333"/>
    <w:rsid w:val="00C624C0"/>
    <w:rsid w:val="00C6278D"/>
    <w:rsid w:val="00C62815"/>
    <w:rsid w:val="00C628A6"/>
    <w:rsid w:val="00C62A00"/>
    <w:rsid w:val="00C62AD7"/>
    <w:rsid w:val="00C62E3E"/>
    <w:rsid w:val="00C62FA8"/>
    <w:rsid w:val="00C6358C"/>
    <w:rsid w:val="00C6367B"/>
    <w:rsid w:val="00C63862"/>
    <w:rsid w:val="00C64131"/>
    <w:rsid w:val="00C64185"/>
    <w:rsid w:val="00C64344"/>
    <w:rsid w:val="00C64487"/>
    <w:rsid w:val="00C64AB3"/>
    <w:rsid w:val="00C64F04"/>
    <w:rsid w:val="00C65108"/>
    <w:rsid w:val="00C65550"/>
    <w:rsid w:val="00C65576"/>
    <w:rsid w:val="00C6558B"/>
    <w:rsid w:val="00C657F0"/>
    <w:rsid w:val="00C65B3A"/>
    <w:rsid w:val="00C65BF3"/>
    <w:rsid w:val="00C65C63"/>
    <w:rsid w:val="00C66165"/>
    <w:rsid w:val="00C66193"/>
    <w:rsid w:val="00C6645E"/>
    <w:rsid w:val="00C6646B"/>
    <w:rsid w:val="00C664FA"/>
    <w:rsid w:val="00C667F1"/>
    <w:rsid w:val="00C669E4"/>
    <w:rsid w:val="00C66F44"/>
    <w:rsid w:val="00C6745D"/>
    <w:rsid w:val="00C67581"/>
    <w:rsid w:val="00C67ABD"/>
    <w:rsid w:val="00C67ADD"/>
    <w:rsid w:val="00C67BBE"/>
    <w:rsid w:val="00C67FF1"/>
    <w:rsid w:val="00C70015"/>
    <w:rsid w:val="00C7010F"/>
    <w:rsid w:val="00C70370"/>
    <w:rsid w:val="00C70493"/>
    <w:rsid w:val="00C7060A"/>
    <w:rsid w:val="00C706AC"/>
    <w:rsid w:val="00C70779"/>
    <w:rsid w:val="00C70962"/>
    <w:rsid w:val="00C70D25"/>
    <w:rsid w:val="00C70F06"/>
    <w:rsid w:val="00C70FA2"/>
    <w:rsid w:val="00C711EA"/>
    <w:rsid w:val="00C7127C"/>
    <w:rsid w:val="00C71347"/>
    <w:rsid w:val="00C7147C"/>
    <w:rsid w:val="00C7151A"/>
    <w:rsid w:val="00C715AC"/>
    <w:rsid w:val="00C717E3"/>
    <w:rsid w:val="00C71975"/>
    <w:rsid w:val="00C71F60"/>
    <w:rsid w:val="00C7221B"/>
    <w:rsid w:val="00C72241"/>
    <w:rsid w:val="00C722AB"/>
    <w:rsid w:val="00C72548"/>
    <w:rsid w:val="00C727AE"/>
    <w:rsid w:val="00C7294F"/>
    <w:rsid w:val="00C729B9"/>
    <w:rsid w:val="00C72DD5"/>
    <w:rsid w:val="00C72ECD"/>
    <w:rsid w:val="00C7383D"/>
    <w:rsid w:val="00C73899"/>
    <w:rsid w:val="00C73E67"/>
    <w:rsid w:val="00C73E73"/>
    <w:rsid w:val="00C74340"/>
    <w:rsid w:val="00C7435C"/>
    <w:rsid w:val="00C743F8"/>
    <w:rsid w:val="00C7484E"/>
    <w:rsid w:val="00C74C4C"/>
    <w:rsid w:val="00C74D05"/>
    <w:rsid w:val="00C74D8F"/>
    <w:rsid w:val="00C74F60"/>
    <w:rsid w:val="00C75000"/>
    <w:rsid w:val="00C75096"/>
    <w:rsid w:val="00C750C8"/>
    <w:rsid w:val="00C750E1"/>
    <w:rsid w:val="00C7518F"/>
    <w:rsid w:val="00C7560F"/>
    <w:rsid w:val="00C7586E"/>
    <w:rsid w:val="00C75B5A"/>
    <w:rsid w:val="00C762E3"/>
    <w:rsid w:val="00C76393"/>
    <w:rsid w:val="00C76397"/>
    <w:rsid w:val="00C7659C"/>
    <w:rsid w:val="00C767D1"/>
    <w:rsid w:val="00C76A43"/>
    <w:rsid w:val="00C76AF1"/>
    <w:rsid w:val="00C76D7B"/>
    <w:rsid w:val="00C76F92"/>
    <w:rsid w:val="00C7709B"/>
    <w:rsid w:val="00C7712A"/>
    <w:rsid w:val="00C77AEE"/>
    <w:rsid w:val="00C804AB"/>
    <w:rsid w:val="00C805C2"/>
    <w:rsid w:val="00C80765"/>
    <w:rsid w:val="00C809D3"/>
    <w:rsid w:val="00C80A0E"/>
    <w:rsid w:val="00C80D52"/>
    <w:rsid w:val="00C80EFA"/>
    <w:rsid w:val="00C811EC"/>
    <w:rsid w:val="00C81E3C"/>
    <w:rsid w:val="00C81EFE"/>
    <w:rsid w:val="00C81FF5"/>
    <w:rsid w:val="00C8213F"/>
    <w:rsid w:val="00C822C2"/>
    <w:rsid w:val="00C82430"/>
    <w:rsid w:val="00C82508"/>
    <w:rsid w:val="00C825BE"/>
    <w:rsid w:val="00C82785"/>
    <w:rsid w:val="00C82991"/>
    <w:rsid w:val="00C82C45"/>
    <w:rsid w:val="00C82D40"/>
    <w:rsid w:val="00C82D54"/>
    <w:rsid w:val="00C82E90"/>
    <w:rsid w:val="00C8303F"/>
    <w:rsid w:val="00C83201"/>
    <w:rsid w:val="00C833C8"/>
    <w:rsid w:val="00C834C6"/>
    <w:rsid w:val="00C835C3"/>
    <w:rsid w:val="00C837F8"/>
    <w:rsid w:val="00C83920"/>
    <w:rsid w:val="00C83B20"/>
    <w:rsid w:val="00C83DBE"/>
    <w:rsid w:val="00C83E8E"/>
    <w:rsid w:val="00C84A6C"/>
    <w:rsid w:val="00C84A9D"/>
    <w:rsid w:val="00C84DD4"/>
    <w:rsid w:val="00C8507E"/>
    <w:rsid w:val="00C85118"/>
    <w:rsid w:val="00C85154"/>
    <w:rsid w:val="00C855F9"/>
    <w:rsid w:val="00C85A70"/>
    <w:rsid w:val="00C85EA3"/>
    <w:rsid w:val="00C860C7"/>
    <w:rsid w:val="00C86B69"/>
    <w:rsid w:val="00C8708F"/>
    <w:rsid w:val="00C87224"/>
    <w:rsid w:val="00C87427"/>
    <w:rsid w:val="00C87547"/>
    <w:rsid w:val="00C878A3"/>
    <w:rsid w:val="00C8797A"/>
    <w:rsid w:val="00C87AC6"/>
    <w:rsid w:val="00C87E94"/>
    <w:rsid w:val="00C900B8"/>
    <w:rsid w:val="00C90197"/>
    <w:rsid w:val="00C903B8"/>
    <w:rsid w:val="00C90716"/>
    <w:rsid w:val="00C909E2"/>
    <w:rsid w:val="00C90BC1"/>
    <w:rsid w:val="00C90C71"/>
    <w:rsid w:val="00C91011"/>
    <w:rsid w:val="00C911A4"/>
    <w:rsid w:val="00C913C2"/>
    <w:rsid w:val="00C914BE"/>
    <w:rsid w:val="00C91520"/>
    <w:rsid w:val="00C916D4"/>
    <w:rsid w:val="00C917DC"/>
    <w:rsid w:val="00C91CC6"/>
    <w:rsid w:val="00C91F9D"/>
    <w:rsid w:val="00C91FD1"/>
    <w:rsid w:val="00C92248"/>
    <w:rsid w:val="00C922AC"/>
    <w:rsid w:val="00C925E4"/>
    <w:rsid w:val="00C929A2"/>
    <w:rsid w:val="00C931BB"/>
    <w:rsid w:val="00C931CF"/>
    <w:rsid w:val="00C932A8"/>
    <w:rsid w:val="00C932E4"/>
    <w:rsid w:val="00C93585"/>
    <w:rsid w:val="00C938CF"/>
    <w:rsid w:val="00C93A9F"/>
    <w:rsid w:val="00C93CB3"/>
    <w:rsid w:val="00C93F39"/>
    <w:rsid w:val="00C94053"/>
    <w:rsid w:val="00C94F33"/>
    <w:rsid w:val="00C950A2"/>
    <w:rsid w:val="00C950B5"/>
    <w:rsid w:val="00C95257"/>
    <w:rsid w:val="00C9544E"/>
    <w:rsid w:val="00C95751"/>
    <w:rsid w:val="00C95AF1"/>
    <w:rsid w:val="00C95BE7"/>
    <w:rsid w:val="00C95CA2"/>
    <w:rsid w:val="00C95CFD"/>
    <w:rsid w:val="00C95F07"/>
    <w:rsid w:val="00C96034"/>
    <w:rsid w:val="00C9624D"/>
    <w:rsid w:val="00C967D6"/>
    <w:rsid w:val="00C969DA"/>
    <w:rsid w:val="00C96B1C"/>
    <w:rsid w:val="00C96F7D"/>
    <w:rsid w:val="00C97162"/>
    <w:rsid w:val="00C97193"/>
    <w:rsid w:val="00C9723F"/>
    <w:rsid w:val="00C97339"/>
    <w:rsid w:val="00C97480"/>
    <w:rsid w:val="00C9AF3E"/>
    <w:rsid w:val="00CA06E2"/>
    <w:rsid w:val="00CA0802"/>
    <w:rsid w:val="00CA0A44"/>
    <w:rsid w:val="00CA0ED4"/>
    <w:rsid w:val="00CA144A"/>
    <w:rsid w:val="00CA182B"/>
    <w:rsid w:val="00CA1859"/>
    <w:rsid w:val="00CA1F92"/>
    <w:rsid w:val="00CA21C7"/>
    <w:rsid w:val="00CA26FE"/>
    <w:rsid w:val="00CA287D"/>
    <w:rsid w:val="00CA2ABF"/>
    <w:rsid w:val="00CA2C77"/>
    <w:rsid w:val="00CA2D85"/>
    <w:rsid w:val="00CA33D3"/>
    <w:rsid w:val="00CA3474"/>
    <w:rsid w:val="00CA3BCC"/>
    <w:rsid w:val="00CA3DE9"/>
    <w:rsid w:val="00CA444F"/>
    <w:rsid w:val="00CA476E"/>
    <w:rsid w:val="00CA4F21"/>
    <w:rsid w:val="00CA5091"/>
    <w:rsid w:val="00CA5245"/>
    <w:rsid w:val="00CA5363"/>
    <w:rsid w:val="00CA57A4"/>
    <w:rsid w:val="00CA57BC"/>
    <w:rsid w:val="00CA585C"/>
    <w:rsid w:val="00CA5937"/>
    <w:rsid w:val="00CA5987"/>
    <w:rsid w:val="00CA5B81"/>
    <w:rsid w:val="00CA6072"/>
    <w:rsid w:val="00CA60E9"/>
    <w:rsid w:val="00CA6217"/>
    <w:rsid w:val="00CA6307"/>
    <w:rsid w:val="00CA6458"/>
    <w:rsid w:val="00CA664B"/>
    <w:rsid w:val="00CA6673"/>
    <w:rsid w:val="00CA6792"/>
    <w:rsid w:val="00CA6886"/>
    <w:rsid w:val="00CA69CE"/>
    <w:rsid w:val="00CA6A83"/>
    <w:rsid w:val="00CA6B4A"/>
    <w:rsid w:val="00CA71A4"/>
    <w:rsid w:val="00CA71F4"/>
    <w:rsid w:val="00CA73C2"/>
    <w:rsid w:val="00CA77E3"/>
    <w:rsid w:val="00CA79BA"/>
    <w:rsid w:val="00CA7B09"/>
    <w:rsid w:val="00CA7B7D"/>
    <w:rsid w:val="00CA7C69"/>
    <w:rsid w:val="00CB0301"/>
    <w:rsid w:val="00CB0361"/>
    <w:rsid w:val="00CB09F4"/>
    <w:rsid w:val="00CB110F"/>
    <w:rsid w:val="00CB12A5"/>
    <w:rsid w:val="00CB1CAC"/>
    <w:rsid w:val="00CB1D35"/>
    <w:rsid w:val="00CB1DEA"/>
    <w:rsid w:val="00CB2067"/>
    <w:rsid w:val="00CB299E"/>
    <w:rsid w:val="00CB2F2A"/>
    <w:rsid w:val="00CB3047"/>
    <w:rsid w:val="00CB3220"/>
    <w:rsid w:val="00CB3527"/>
    <w:rsid w:val="00CB3733"/>
    <w:rsid w:val="00CB3768"/>
    <w:rsid w:val="00CB3B66"/>
    <w:rsid w:val="00CB3C1F"/>
    <w:rsid w:val="00CB3D43"/>
    <w:rsid w:val="00CB3E92"/>
    <w:rsid w:val="00CB3FB9"/>
    <w:rsid w:val="00CB43C0"/>
    <w:rsid w:val="00CB46ED"/>
    <w:rsid w:val="00CB4F67"/>
    <w:rsid w:val="00CB528B"/>
    <w:rsid w:val="00CB52F9"/>
    <w:rsid w:val="00CB5300"/>
    <w:rsid w:val="00CB569D"/>
    <w:rsid w:val="00CB56A9"/>
    <w:rsid w:val="00CB5B1A"/>
    <w:rsid w:val="00CB5C56"/>
    <w:rsid w:val="00CB5CAD"/>
    <w:rsid w:val="00CB5D60"/>
    <w:rsid w:val="00CB5FC7"/>
    <w:rsid w:val="00CB6199"/>
    <w:rsid w:val="00CB668E"/>
    <w:rsid w:val="00CB6957"/>
    <w:rsid w:val="00CB6B22"/>
    <w:rsid w:val="00CB6B73"/>
    <w:rsid w:val="00CB6C61"/>
    <w:rsid w:val="00CB7136"/>
    <w:rsid w:val="00CB7779"/>
    <w:rsid w:val="00CB7F5F"/>
    <w:rsid w:val="00CC0548"/>
    <w:rsid w:val="00CC0E86"/>
    <w:rsid w:val="00CC10AF"/>
    <w:rsid w:val="00CC10F1"/>
    <w:rsid w:val="00CC1255"/>
    <w:rsid w:val="00CC1284"/>
    <w:rsid w:val="00CC160C"/>
    <w:rsid w:val="00CC176D"/>
    <w:rsid w:val="00CC189E"/>
    <w:rsid w:val="00CC1B39"/>
    <w:rsid w:val="00CC1B5D"/>
    <w:rsid w:val="00CC1BE0"/>
    <w:rsid w:val="00CC1BFA"/>
    <w:rsid w:val="00CC1F4C"/>
    <w:rsid w:val="00CC25E7"/>
    <w:rsid w:val="00CC27AF"/>
    <w:rsid w:val="00CC2A91"/>
    <w:rsid w:val="00CC2E9F"/>
    <w:rsid w:val="00CC2F43"/>
    <w:rsid w:val="00CC32EF"/>
    <w:rsid w:val="00CC32F7"/>
    <w:rsid w:val="00CC33B3"/>
    <w:rsid w:val="00CC35EA"/>
    <w:rsid w:val="00CC367D"/>
    <w:rsid w:val="00CC3686"/>
    <w:rsid w:val="00CC3848"/>
    <w:rsid w:val="00CC4119"/>
    <w:rsid w:val="00CC484C"/>
    <w:rsid w:val="00CC4AFC"/>
    <w:rsid w:val="00CC50B9"/>
    <w:rsid w:val="00CC54E2"/>
    <w:rsid w:val="00CC557D"/>
    <w:rsid w:val="00CC5738"/>
    <w:rsid w:val="00CC5866"/>
    <w:rsid w:val="00CC5896"/>
    <w:rsid w:val="00CC5C14"/>
    <w:rsid w:val="00CC5C77"/>
    <w:rsid w:val="00CC647F"/>
    <w:rsid w:val="00CC68A7"/>
    <w:rsid w:val="00CC6CE1"/>
    <w:rsid w:val="00CC6D5E"/>
    <w:rsid w:val="00CC6F4A"/>
    <w:rsid w:val="00CC7433"/>
    <w:rsid w:val="00CC76C4"/>
    <w:rsid w:val="00CC792D"/>
    <w:rsid w:val="00CC7A3A"/>
    <w:rsid w:val="00CC7AD2"/>
    <w:rsid w:val="00CC7B2E"/>
    <w:rsid w:val="00CD014A"/>
    <w:rsid w:val="00CD0200"/>
    <w:rsid w:val="00CD0831"/>
    <w:rsid w:val="00CD089D"/>
    <w:rsid w:val="00CD0998"/>
    <w:rsid w:val="00CD0A8E"/>
    <w:rsid w:val="00CD0F7C"/>
    <w:rsid w:val="00CD1217"/>
    <w:rsid w:val="00CD1263"/>
    <w:rsid w:val="00CD15C8"/>
    <w:rsid w:val="00CD1665"/>
    <w:rsid w:val="00CD16D9"/>
    <w:rsid w:val="00CD18D5"/>
    <w:rsid w:val="00CD1980"/>
    <w:rsid w:val="00CD1BA2"/>
    <w:rsid w:val="00CD1CDF"/>
    <w:rsid w:val="00CD20BB"/>
    <w:rsid w:val="00CD264D"/>
    <w:rsid w:val="00CD274F"/>
    <w:rsid w:val="00CD2C31"/>
    <w:rsid w:val="00CD31C5"/>
    <w:rsid w:val="00CD3593"/>
    <w:rsid w:val="00CD3888"/>
    <w:rsid w:val="00CD3D32"/>
    <w:rsid w:val="00CD3DEC"/>
    <w:rsid w:val="00CD3F77"/>
    <w:rsid w:val="00CD4243"/>
    <w:rsid w:val="00CD426D"/>
    <w:rsid w:val="00CD428B"/>
    <w:rsid w:val="00CD46F1"/>
    <w:rsid w:val="00CD4A50"/>
    <w:rsid w:val="00CD4D33"/>
    <w:rsid w:val="00CD4DF7"/>
    <w:rsid w:val="00CD52C1"/>
    <w:rsid w:val="00CD551B"/>
    <w:rsid w:val="00CD5A0B"/>
    <w:rsid w:val="00CD5AD7"/>
    <w:rsid w:val="00CD5B53"/>
    <w:rsid w:val="00CD6340"/>
    <w:rsid w:val="00CD6840"/>
    <w:rsid w:val="00CD6ADC"/>
    <w:rsid w:val="00CD7193"/>
    <w:rsid w:val="00CD7568"/>
    <w:rsid w:val="00CD7572"/>
    <w:rsid w:val="00CD7651"/>
    <w:rsid w:val="00CD7A27"/>
    <w:rsid w:val="00CD7C30"/>
    <w:rsid w:val="00CD7E63"/>
    <w:rsid w:val="00CE00F3"/>
    <w:rsid w:val="00CE016F"/>
    <w:rsid w:val="00CE05F1"/>
    <w:rsid w:val="00CE07D4"/>
    <w:rsid w:val="00CE0976"/>
    <w:rsid w:val="00CE0A68"/>
    <w:rsid w:val="00CE0B30"/>
    <w:rsid w:val="00CE0CA4"/>
    <w:rsid w:val="00CE0D5C"/>
    <w:rsid w:val="00CE1652"/>
    <w:rsid w:val="00CE1727"/>
    <w:rsid w:val="00CE1D3D"/>
    <w:rsid w:val="00CE1FB8"/>
    <w:rsid w:val="00CE22F7"/>
    <w:rsid w:val="00CE2442"/>
    <w:rsid w:val="00CE245A"/>
    <w:rsid w:val="00CE26F4"/>
    <w:rsid w:val="00CE2868"/>
    <w:rsid w:val="00CE2BD4"/>
    <w:rsid w:val="00CE2C4F"/>
    <w:rsid w:val="00CE2E8A"/>
    <w:rsid w:val="00CE3187"/>
    <w:rsid w:val="00CE33BD"/>
    <w:rsid w:val="00CE359A"/>
    <w:rsid w:val="00CE36EE"/>
    <w:rsid w:val="00CE38C8"/>
    <w:rsid w:val="00CE3947"/>
    <w:rsid w:val="00CE40FD"/>
    <w:rsid w:val="00CE4244"/>
    <w:rsid w:val="00CE437D"/>
    <w:rsid w:val="00CE44EA"/>
    <w:rsid w:val="00CE459B"/>
    <w:rsid w:val="00CE4915"/>
    <w:rsid w:val="00CE4A23"/>
    <w:rsid w:val="00CE4E29"/>
    <w:rsid w:val="00CE5229"/>
    <w:rsid w:val="00CE524F"/>
    <w:rsid w:val="00CE52C5"/>
    <w:rsid w:val="00CE5706"/>
    <w:rsid w:val="00CE58CC"/>
    <w:rsid w:val="00CE6148"/>
    <w:rsid w:val="00CE6274"/>
    <w:rsid w:val="00CE6921"/>
    <w:rsid w:val="00CE6CA3"/>
    <w:rsid w:val="00CE71C1"/>
    <w:rsid w:val="00CE745B"/>
    <w:rsid w:val="00CE763E"/>
    <w:rsid w:val="00CE7667"/>
    <w:rsid w:val="00CE77B6"/>
    <w:rsid w:val="00CE7BFC"/>
    <w:rsid w:val="00CE7E51"/>
    <w:rsid w:val="00CE7EDD"/>
    <w:rsid w:val="00CF03E8"/>
    <w:rsid w:val="00CF04B1"/>
    <w:rsid w:val="00CF0545"/>
    <w:rsid w:val="00CF08A3"/>
    <w:rsid w:val="00CF0FE9"/>
    <w:rsid w:val="00CF116C"/>
    <w:rsid w:val="00CF1782"/>
    <w:rsid w:val="00CF187B"/>
    <w:rsid w:val="00CF1E87"/>
    <w:rsid w:val="00CF28F7"/>
    <w:rsid w:val="00CF2A09"/>
    <w:rsid w:val="00CF2A64"/>
    <w:rsid w:val="00CF2B8D"/>
    <w:rsid w:val="00CF2DD4"/>
    <w:rsid w:val="00CF2F48"/>
    <w:rsid w:val="00CF30D0"/>
    <w:rsid w:val="00CF3149"/>
    <w:rsid w:val="00CF329B"/>
    <w:rsid w:val="00CF36BA"/>
    <w:rsid w:val="00CF3A1B"/>
    <w:rsid w:val="00CF3FAD"/>
    <w:rsid w:val="00CF425D"/>
    <w:rsid w:val="00CF43F8"/>
    <w:rsid w:val="00CF456B"/>
    <w:rsid w:val="00CF4A69"/>
    <w:rsid w:val="00CF52B9"/>
    <w:rsid w:val="00CF5483"/>
    <w:rsid w:val="00CF574C"/>
    <w:rsid w:val="00CF5A22"/>
    <w:rsid w:val="00CF5BAF"/>
    <w:rsid w:val="00CF5F72"/>
    <w:rsid w:val="00CF5F77"/>
    <w:rsid w:val="00CF60E7"/>
    <w:rsid w:val="00CF6149"/>
    <w:rsid w:val="00CF6206"/>
    <w:rsid w:val="00CF67A9"/>
    <w:rsid w:val="00CF6C7A"/>
    <w:rsid w:val="00CF6CD8"/>
    <w:rsid w:val="00CF6EF2"/>
    <w:rsid w:val="00CF6F32"/>
    <w:rsid w:val="00CF71D6"/>
    <w:rsid w:val="00CF7638"/>
    <w:rsid w:val="00CF787B"/>
    <w:rsid w:val="00CF7B78"/>
    <w:rsid w:val="00CF7BB9"/>
    <w:rsid w:val="00CF7F4C"/>
    <w:rsid w:val="00D002AE"/>
    <w:rsid w:val="00D00329"/>
    <w:rsid w:val="00D0090A"/>
    <w:rsid w:val="00D00C72"/>
    <w:rsid w:val="00D00CD2"/>
    <w:rsid w:val="00D00F6E"/>
    <w:rsid w:val="00D01329"/>
    <w:rsid w:val="00D01363"/>
    <w:rsid w:val="00D016A4"/>
    <w:rsid w:val="00D016E6"/>
    <w:rsid w:val="00D01A07"/>
    <w:rsid w:val="00D01E57"/>
    <w:rsid w:val="00D01F0B"/>
    <w:rsid w:val="00D0230F"/>
    <w:rsid w:val="00D02354"/>
    <w:rsid w:val="00D0236F"/>
    <w:rsid w:val="00D0262E"/>
    <w:rsid w:val="00D02C4D"/>
    <w:rsid w:val="00D02CAA"/>
    <w:rsid w:val="00D02D26"/>
    <w:rsid w:val="00D02E09"/>
    <w:rsid w:val="00D02E67"/>
    <w:rsid w:val="00D02E7B"/>
    <w:rsid w:val="00D02EB0"/>
    <w:rsid w:val="00D03126"/>
    <w:rsid w:val="00D033A0"/>
    <w:rsid w:val="00D03679"/>
    <w:rsid w:val="00D037A7"/>
    <w:rsid w:val="00D04058"/>
    <w:rsid w:val="00D0412F"/>
    <w:rsid w:val="00D04132"/>
    <w:rsid w:val="00D041C7"/>
    <w:rsid w:val="00D041E6"/>
    <w:rsid w:val="00D042D8"/>
    <w:rsid w:val="00D04473"/>
    <w:rsid w:val="00D045FA"/>
    <w:rsid w:val="00D04E1E"/>
    <w:rsid w:val="00D0504E"/>
    <w:rsid w:val="00D0505D"/>
    <w:rsid w:val="00D0564C"/>
    <w:rsid w:val="00D05D03"/>
    <w:rsid w:val="00D05E3D"/>
    <w:rsid w:val="00D06139"/>
    <w:rsid w:val="00D0617C"/>
    <w:rsid w:val="00D062E8"/>
    <w:rsid w:val="00D06401"/>
    <w:rsid w:val="00D064B6"/>
    <w:rsid w:val="00D06785"/>
    <w:rsid w:val="00D067C4"/>
    <w:rsid w:val="00D06FA6"/>
    <w:rsid w:val="00D07262"/>
    <w:rsid w:val="00D07455"/>
    <w:rsid w:val="00D07558"/>
    <w:rsid w:val="00D0772D"/>
    <w:rsid w:val="00D0797E"/>
    <w:rsid w:val="00D07BB2"/>
    <w:rsid w:val="00D07BF1"/>
    <w:rsid w:val="00D100FE"/>
    <w:rsid w:val="00D1033D"/>
    <w:rsid w:val="00D108D3"/>
    <w:rsid w:val="00D1095E"/>
    <w:rsid w:val="00D10CB3"/>
    <w:rsid w:val="00D110BD"/>
    <w:rsid w:val="00D115DE"/>
    <w:rsid w:val="00D116B7"/>
    <w:rsid w:val="00D11B35"/>
    <w:rsid w:val="00D125AD"/>
    <w:rsid w:val="00D12A72"/>
    <w:rsid w:val="00D13111"/>
    <w:rsid w:val="00D1314B"/>
    <w:rsid w:val="00D13675"/>
    <w:rsid w:val="00D137A0"/>
    <w:rsid w:val="00D13A1A"/>
    <w:rsid w:val="00D13B00"/>
    <w:rsid w:val="00D14086"/>
    <w:rsid w:val="00D141E1"/>
    <w:rsid w:val="00D149C7"/>
    <w:rsid w:val="00D14A42"/>
    <w:rsid w:val="00D14A67"/>
    <w:rsid w:val="00D14BFC"/>
    <w:rsid w:val="00D14C6C"/>
    <w:rsid w:val="00D15314"/>
    <w:rsid w:val="00D157C8"/>
    <w:rsid w:val="00D15AB7"/>
    <w:rsid w:val="00D15B48"/>
    <w:rsid w:val="00D15C8C"/>
    <w:rsid w:val="00D15D3D"/>
    <w:rsid w:val="00D1614E"/>
    <w:rsid w:val="00D168D4"/>
    <w:rsid w:val="00D17543"/>
    <w:rsid w:val="00D177CA"/>
    <w:rsid w:val="00D17B2F"/>
    <w:rsid w:val="00D17D6C"/>
    <w:rsid w:val="00D17EDB"/>
    <w:rsid w:val="00D17EF0"/>
    <w:rsid w:val="00D2000E"/>
    <w:rsid w:val="00D202A8"/>
    <w:rsid w:val="00D2033E"/>
    <w:rsid w:val="00D205A8"/>
    <w:rsid w:val="00D21182"/>
    <w:rsid w:val="00D2146A"/>
    <w:rsid w:val="00D214EB"/>
    <w:rsid w:val="00D2155B"/>
    <w:rsid w:val="00D215BF"/>
    <w:rsid w:val="00D2165D"/>
    <w:rsid w:val="00D21BA6"/>
    <w:rsid w:val="00D21DB7"/>
    <w:rsid w:val="00D2209F"/>
    <w:rsid w:val="00D22186"/>
    <w:rsid w:val="00D226B3"/>
    <w:rsid w:val="00D2274B"/>
    <w:rsid w:val="00D23BBF"/>
    <w:rsid w:val="00D23D11"/>
    <w:rsid w:val="00D24425"/>
    <w:rsid w:val="00D24443"/>
    <w:rsid w:val="00D244B6"/>
    <w:rsid w:val="00D24809"/>
    <w:rsid w:val="00D24977"/>
    <w:rsid w:val="00D24B26"/>
    <w:rsid w:val="00D25686"/>
    <w:rsid w:val="00D257F7"/>
    <w:rsid w:val="00D258E4"/>
    <w:rsid w:val="00D25B57"/>
    <w:rsid w:val="00D25B75"/>
    <w:rsid w:val="00D25FAD"/>
    <w:rsid w:val="00D26185"/>
    <w:rsid w:val="00D26255"/>
    <w:rsid w:val="00D265C3"/>
    <w:rsid w:val="00D269B9"/>
    <w:rsid w:val="00D26AC5"/>
    <w:rsid w:val="00D26CC6"/>
    <w:rsid w:val="00D26D3E"/>
    <w:rsid w:val="00D26EC4"/>
    <w:rsid w:val="00D2707B"/>
    <w:rsid w:val="00D2754D"/>
    <w:rsid w:val="00D27595"/>
    <w:rsid w:val="00D2759E"/>
    <w:rsid w:val="00D275AB"/>
    <w:rsid w:val="00D27B27"/>
    <w:rsid w:val="00D27BD4"/>
    <w:rsid w:val="00D27C91"/>
    <w:rsid w:val="00D3095C"/>
    <w:rsid w:val="00D30D38"/>
    <w:rsid w:val="00D30D5B"/>
    <w:rsid w:val="00D30D60"/>
    <w:rsid w:val="00D31103"/>
    <w:rsid w:val="00D31F31"/>
    <w:rsid w:val="00D32679"/>
    <w:rsid w:val="00D3287A"/>
    <w:rsid w:val="00D328B9"/>
    <w:rsid w:val="00D328FB"/>
    <w:rsid w:val="00D33063"/>
    <w:rsid w:val="00D3343A"/>
    <w:rsid w:val="00D335CF"/>
    <w:rsid w:val="00D33BE9"/>
    <w:rsid w:val="00D33F93"/>
    <w:rsid w:val="00D34066"/>
    <w:rsid w:val="00D343A0"/>
    <w:rsid w:val="00D34615"/>
    <w:rsid w:val="00D3464A"/>
    <w:rsid w:val="00D34B19"/>
    <w:rsid w:val="00D34BB4"/>
    <w:rsid w:val="00D34C21"/>
    <w:rsid w:val="00D34CB6"/>
    <w:rsid w:val="00D34DBA"/>
    <w:rsid w:val="00D34F5E"/>
    <w:rsid w:val="00D351F9"/>
    <w:rsid w:val="00D35398"/>
    <w:rsid w:val="00D35402"/>
    <w:rsid w:val="00D35697"/>
    <w:rsid w:val="00D357FF"/>
    <w:rsid w:val="00D35D34"/>
    <w:rsid w:val="00D35ECF"/>
    <w:rsid w:val="00D35F28"/>
    <w:rsid w:val="00D360C8"/>
    <w:rsid w:val="00D3624F"/>
    <w:rsid w:val="00D362FB"/>
    <w:rsid w:val="00D363DC"/>
    <w:rsid w:val="00D366FD"/>
    <w:rsid w:val="00D3676F"/>
    <w:rsid w:val="00D36EC0"/>
    <w:rsid w:val="00D36F29"/>
    <w:rsid w:val="00D376B4"/>
    <w:rsid w:val="00D37887"/>
    <w:rsid w:val="00D37A0C"/>
    <w:rsid w:val="00D37B8D"/>
    <w:rsid w:val="00D37DEA"/>
    <w:rsid w:val="00D37EAF"/>
    <w:rsid w:val="00D40132"/>
    <w:rsid w:val="00D401D0"/>
    <w:rsid w:val="00D40227"/>
    <w:rsid w:val="00D4051D"/>
    <w:rsid w:val="00D4065C"/>
    <w:rsid w:val="00D4082A"/>
    <w:rsid w:val="00D40D65"/>
    <w:rsid w:val="00D40D9F"/>
    <w:rsid w:val="00D40EC0"/>
    <w:rsid w:val="00D4136C"/>
    <w:rsid w:val="00D41421"/>
    <w:rsid w:val="00D418DC"/>
    <w:rsid w:val="00D4196B"/>
    <w:rsid w:val="00D41989"/>
    <w:rsid w:val="00D41C28"/>
    <w:rsid w:val="00D41E6E"/>
    <w:rsid w:val="00D41F00"/>
    <w:rsid w:val="00D423FB"/>
    <w:rsid w:val="00D424C7"/>
    <w:rsid w:val="00D42719"/>
    <w:rsid w:val="00D4272E"/>
    <w:rsid w:val="00D42963"/>
    <w:rsid w:val="00D42B56"/>
    <w:rsid w:val="00D43195"/>
    <w:rsid w:val="00D431BB"/>
    <w:rsid w:val="00D43204"/>
    <w:rsid w:val="00D43697"/>
    <w:rsid w:val="00D43856"/>
    <w:rsid w:val="00D43957"/>
    <w:rsid w:val="00D43B2A"/>
    <w:rsid w:val="00D43B39"/>
    <w:rsid w:val="00D43BB8"/>
    <w:rsid w:val="00D43C5F"/>
    <w:rsid w:val="00D43CF1"/>
    <w:rsid w:val="00D43D83"/>
    <w:rsid w:val="00D447CA"/>
    <w:rsid w:val="00D44EF7"/>
    <w:rsid w:val="00D45122"/>
    <w:rsid w:val="00D4542C"/>
    <w:rsid w:val="00D45469"/>
    <w:rsid w:val="00D45A03"/>
    <w:rsid w:val="00D45D55"/>
    <w:rsid w:val="00D45E2F"/>
    <w:rsid w:val="00D465FA"/>
    <w:rsid w:val="00D4681A"/>
    <w:rsid w:val="00D4686A"/>
    <w:rsid w:val="00D46B94"/>
    <w:rsid w:val="00D46D91"/>
    <w:rsid w:val="00D46FF9"/>
    <w:rsid w:val="00D470B3"/>
    <w:rsid w:val="00D47575"/>
    <w:rsid w:val="00D47ABF"/>
    <w:rsid w:val="00D50532"/>
    <w:rsid w:val="00D50B89"/>
    <w:rsid w:val="00D50BA0"/>
    <w:rsid w:val="00D50E0F"/>
    <w:rsid w:val="00D513ED"/>
    <w:rsid w:val="00D51BB6"/>
    <w:rsid w:val="00D51CFC"/>
    <w:rsid w:val="00D51F9E"/>
    <w:rsid w:val="00D52012"/>
    <w:rsid w:val="00D5243B"/>
    <w:rsid w:val="00D52B19"/>
    <w:rsid w:val="00D52DB9"/>
    <w:rsid w:val="00D52DC4"/>
    <w:rsid w:val="00D52E57"/>
    <w:rsid w:val="00D5309A"/>
    <w:rsid w:val="00D533EC"/>
    <w:rsid w:val="00D534C2"/>
    <w:rsid w:val="00D538DD"/>
    <w:rsid w:val="00D5395C"/>
    <w:rsid w:val="00D53B4E"/>
    <w:rsid w:val="00D5420F"/>
    <w:rsid w:val="00D54330"/>
    <w:rsid w:val="00D5461D"/>
    <w:rsid w:val="00D54812"/>
    <w:rsid w:val="00D54C7C"/>
    <w:rsid w:val="00D54E5B"/>
    <w:rsid w:val="00D54F95"/>
    <w:rsid w:val="00D54FDE"/>
    <w:rsid w:val="00D550D1"/>
    <w:rsid w:val="00D55364"/>
    <w:rsid w:val="00D55E33"/>
    <w:rsid w:val="00D55FA9"/>
    <w:rsid w:val="00D56456"/>
    <w:rsid w:val="00D565C7"/>
    <w:rsid w:val="00D5680B"/>
    <w:rsid w:val="00D56A95"/>
    <w:rsid w:val="00D56BE1"/>
    <w:rsid w:val="00D57036"/>
    <w:rsid w:val="00D57A89"/>
    <w:rsid w:val="00D57BCC"/>
    <w:rsid w:val="00D600FD"/>
    <w:rsid w:val="00D6024F"/>
    <w:rsid w:val="00D606C9"/>
    <w:rsid w:val="00D6076E"/>
    <w:rsid w:val="00D60798"/>
    <w:rsid w:val="00D607B0"/>
    <w:rsid w:val="00D607D5"/>
    <w:rsid w:val="00D608BA"/>
    <w:rsid w:val="00D608BD"/>
    <w:rsid w:val="00D6090E"/>
    <w:rsid w:val="00D609D6"/>
    <w:rsid w:val="00D60A3F"/>
    <w:rsid w:val="00D60A7D"/>
    <w:rsid w:val="00D60D4B"/>
    <w:rsid w:val="00D61137"/>
    <w:rsid w:val="00D611BD"/>
    <w:rsid w:val="00D616B0"/>
    <w:rsid w:val="00D61AC4"/>
    <w:rsid w:val="00D61DCB"/>
    <w:rsid w:val="00D6242F"/>
    <w:rsid w:val="00D625D0"/>
    <w:rsid w:val="00D62A8A"/>
    <w:rsid w:val="00D6304D"/>
    <w:rsid w:val="00D631EA"/>
    <w:rsid w:val="00D633F8"/>
    <w:rsid w:val="00D637F7"/>
    <w:rsid w:val="00D63A69"/>
    <w:rsid w:val="00D63EF2"/>
    <w:rsid w:val="00D64007"/>
    <w:rsid w:val="00D6418D"/>
    <w:rsid w:val="00D6423E"/>
    <w:rsid w:val="00D646A3"/>
    <w:rsid w:val="00D646AD"/>
    <w:rsid w:val="00D648D5"/>
    <w:rsid w:val="00D649E7"/>
    <w:rsid w:val="00D64B27"/>
    <w:rsid w:val="00D652D3"/>
    <w:rsid w:val="00D65802"/>
    <w:rsid w:val="00D66395"/>
    <w:rsid w:val="00D66416"/>
    <w:rsid w:val="00D6641B"/>
    <w:rsid w:val="00D66630"/>
    <w:rsid w:val="00D66B54"/>
    <w:rsid w:val="00D66CA3"/>
    <w:rsid w:val="00D66DE1"/>
    <w:rsid w:val="00D67043"/>
    <w:rsid w:val="00D67208"/>
    <w:rsid w:val="00D67563"/>
    <w:rsid w:val="00D679CB"/>
    <w:rsid w:val="00D67BBB"/>
    <w:rsid w:val="00D67DAE"/>
    <w:rsid w:val="00D67F70"/>
    <w:rsid w:val="00D70260"/>
    <w:rsid w:val="00D7037B"/>
    <w:rsid w:val="00D70F16"/>
    <w:rsid w:val="00D712CD"/>
    <w:rsid w:val="00D71639"/>
    <w:rsid w:val="00D71649"/>
    <w:rsid w:val="00D716AB"/>
    <w:rsid w:val="00D716C7"/>
    <w:rsid w:val="00D71815"/>
    <w:rsid w:val="00D71B88"/>
    <w:rsid w:val="00D71CB8"/>
    <w:rsid w:val="00D71E1F"/>
    <w:rsid w:val="00D7209F"/>
    <w:rsid w:val="00D72325"/>
    <w:rsid w:val="00D723BB"/>
    <w:rsid w:val="00D72564"/>
    <w:rsid w:val="00D72617"/>
    <w:rsid w:val="00D72AFE"/>
    <w:rsid w:val="00D72F57"/>
    <w:rsid w:val="00D7301C"/>
    <w:rsid w:val="00D7346C"/>
    <w:rsid w:val="00D736D9"/>
    <w:rsid w:val="00D73859"/>
    <w:rsid w:val="00D7395E"/>
    <w:rsid w:val="00D739A0"/>
    <w:rsid w:val="00D739DA"/>
    <w:rsid w:val="00D73D53"/>
    <w:rsid w:val="00D73E43"/>
    <w:rsid w:val="00D74010"/>
    <w:rsid w:val="00D741BB"/>
    <w:rsid w:val="00D7429E"/>
    <w:rsid w:val="00D745DA"/>
    <w:rsid w:val="00D74C5D"/>
    <w:rsid w:val="00D74E6A"/>
    <w:rsid w:val="00D75616"/>
    <w:rsid w:val="00D75757"/>
    <w:rsid w:val="00D758AA"/>
    <w:rsid w:val="00D75AA9"/>
    <w:rsid w:val="00D75F08"/>
    <w:rsid w:val="00D7627F"/>
    <w:rsid w:val="00D763BF"/>
    <w:rsid w:val="00D769D8"/>
    <w:rsid w:val="00D76A44"/>
    <w:rsid w:val="00D76A72"/>
    <w:rsid w:val="00D76BC8"/>
    <w:rsid w:val="00D76DEF"/>
    <w:rsid w:val="00D771C6"/>
    <w:rsid w:val="00D772C9"/>
    <w:rsid w:val="00D773A0"/>
    <w:rsid w:val="00D7763D"/>
    <w:rsid w:val="00D77A08"/>
    <w:rsid w:val="00D77A24"/>
    <w:rsid w:val="00D77B7A"/>
    <w:rsid w:val="00D77D00"/>
    <w:rsid w:val="00D77DA8"/>
    <w:rsid w:val="00D80598"/>
    <w:rsid w:val="00D8068C"/>
    <w:rsid w:val="00D80BAE"/>
    <w:rsid w:val="00D80E6C"/>
    <w:rsid w:val="00D810FF"/>
    <w:rsid w:val="00D81162"/>
    <w:rsid w:val="00D815EF"/>
    <w:rsid w:val="00D81949"/>
    <w:rsid w:val="00D819AE"/>
    <w:rsid w:val="00D81CC0"/>
    <w:rsid w:val="00D81D0A"/>
    <w:rsid w:val="00D81EFF"/>
    <w:rsid w:val="00D81F26"/>
    <w:rsid w:val="00D82297"/>
    <w:rsid w:val="00D822E2"/>
    <w:rsid w:val="00D82466"/>
    <w:rsid w:val="00D82B84"/>
    <w:rsid w:val="00D82CF4"/>
    <w:rsid w:val="00D837FC"/>
    <w:rsid w:val="00D83812"/>
    <w:rsid w:val="00D843F2"/>
    <w:rsid w:val="00D84E40"/>
    <w:rsid w:val="00D85069"/>
    <w:rsid w:val="00D8557E"/>
    <w:rsid w:val="00D85654"/>
    <w:rsid w:val="00D856C3"/>
    <w:rsid w:val="00D85916"/>
    <w:rsid w:val="00D85BC6"/>
    <w:rsid w:val="00D85FE5"/>
    <w:rsid w:val="00D86231"/>
    <w:rsid w:val="00D867D1"/>
    <w:rsid w:val="00D86881"/>
    <w:rsid w:val="00D86890"/>
    <w:rsid w:val="00D86952"/>
    <w:rsid w:val="00D86A8B"/>
    <w:rsid w:val="00D86AC3"/>
    <w:rsid w:val="00D86CE9"/>
    <w:rsid w:val="00D871A7"/>
    <w:rsid w:val="00D873E3"/>
    <w:rsid w:val="00D87610"/>
    <w:rsid w:val="00D87887"/>
    <w:rsid w:val="00D87B9E"/>
    <w:rsid w:val="00D87C1A"/>
    <w:rsid w:val="00D87C46"/>
    <w:rsid w:val="00D90775"/>
    <w:rsid w:val="00D90F07"/>
    <w:rsid w:val="00D90F5A"/>
    <w:rsid w:val="00D90F6D"/>
    <w:rsid w:val="00D91096"/>
    <w:rsid w:val="00D912AB"/>
    <w:rsid w:val="00D9140C"/>
    <w:rsid w:val="00D9146F"/>
    <w:rsid w:val="00D91473"/>
    <w:rsid w:val="00D9147C"/>
    <w:rsid w:val="00D917E4"/>
    <w:rsid w:val="00D91912"/>
    <w:rsid w:val="00D91923"/>
    <w:rsid w:val="00D91A02"/>
    <w:rsid w:val="00D91CB9"/>
    <w:rsid w:val="00D91D9A"/>
    <w:rsid w:val="00D91FD1"/>
    <w:rsid w:val="00D921C4"/>
    <w:rsid w:val="00D9234F"/>
    <w:rsid w:val="00D9265C"/>
    <w:rsid w:val="00D92D90"/>
    <w:rsid w:val="00D92D9D"/>
    <w:rsid w:val="00D92F25"/>
    <w:rsid w:val="00D93121"/>
    <w:rsid w:val="00D931E6"/>
    <w:rsid w:val="00D9342E"/>
    <w:rsid w:val="00D93753"/>
    <w:rsid w:val="00D9378C"/>
    <w:rsid w:val="00D937FC"/>
    <w:rsid w:val="00D93809"/>
    <w:rsid w:val="00D9387F"/>
    <w:rsid w:val="00D93D20"/>
    <w:rsid w:val="00D94056"/>
    <w:rsid w:val="00D94756"/>
    <w:rsid w:val="00D94C89"/>
    <w:rsid w:val="00D94CC2"/>
    <w:rsid w:val="00D95190"/>
    <w:rsid w:val="00D95A14"/>
    <w:rsid w:val="00D962BB"/>
    <w:rsid w:val="00D966B3"/>
    <w:rsid w:val="00D96794"/>
    <w:rsid w:val="00D96803"/>
    <w:rsid w:val="00D9688E"/>
    <w:rsid w:val="00D96BF9"/>
    <w:rsid w:val="00D96D2E"/>
    <w:rsid w:val="00D971DA"/>
    <w:rsid w:val="00D97243"/>
    <w:rsid w:val="00D978DC"/>
    <w:rsid w:val="00D978EA"/>
    <w:rsid w:val="00D97B64"/>
    <w:rsid w:val="00DA0322"/>
    <w:rsid w:val="00DA04E2"/>
    <w:rsid w:val="00DA0B10"/>
    <w:rsid w:val="00DA0BA8"/>
    <w:rsid w:val="00DA0C43"/>
    <w:rsid w:val="00DA0EF4"/>
    <w:rsid w:val="00DA1AE9"/>
    <w:rsid w:val="00DA2135"/>
    <w:rsid w:val="00DA27E2"/>
    <w:rsid w:val="00DA295A"/>
    <w:rsid w:val="00DA2C16"/>
    <w:rsid w:val="00DA2CD8"/>
    <w:rsid w:val="00DA2CF9"/>
    <w:rsid w:val="00DA311F"/>
    <w:rsid w:val="00DA3167"/>
    <w:rsid w:val="00DA3555"/>
    <w:rsid w:val="00DA35AE"/>
    <w:rsid w:val="00DA3B40"/>
    <w:rsid w:val="00DA3C29"/>
    <w:rsid w:val="00DA3F82"/>
    <w:rsid w:val="00DA4251"/>
    <w:rsid w:val="00DA4258"/>
    <w:rsid w:val="00DA4399"/>
    <w:rsid w:val="00DA4436"/>
    <w:rsid w:val="00DA4781"/>
    <w:rsid w:val="00DA4DC3"/>
    <w:rsid w:val="00DA58BB"/>
    <w:rsid w:val="00DA6067"/>
    <w:rsid w:val="00DA6173"/>
    <w:rsid w:val="00DA6175"/>
    <w:rsid w:val="00DA62E1"/>
    <w:rsid w:val="00DA637D"/>
    <w:rsid w:val="00DA65A3"/>
    <w:rsid w:val="00DA6628"/>
    <w:rsid w:val="00DA672A"/>
    <w:rsid w:val="00DA67E9"/>
    <w:rsid w:val="00DA68BA"/>
    <w:rsid w:val="00DA69B7"/>
    <w:rsid w:val="00DA720A"/>
    <w:rsid w:val="00DA77A5"/>
    <w:rsid w:val="00DA7908"/>
    <w:rsid w:val="00DA7ED0"/>
    <w:rsid w:val="00DB028A"/>
    <w:rsid w:val="00DB0BE3"/>
    <w:rsid w:val="00DB0E36"/>
    <w:rsid w:val="00DB133C"/>
    <w:rsid w:val="00DB147E"/>
    <w:rsid w:val="00DB1617"/>
    <w:rsid w:val="00DB1F2E"/>
    <w:rsid w:val="00DB200C"/>
    <w:rsid w:val="00DB2484"/>
    <w:rsid w:val="00DB2723"/>
    <w:rsid w:val="00DB2A87"/>
    <w:rsid w:val="00DB2C5B"/>
    <w:rsid w:val="00DB2E90"/>
    <w:rsid w:val="00DB2F22"/>
    <w:rsid w:val="00DB341E"/>
    <w:rsid w:val="00DB3605"/>
    <w:rsid w:val="00DB38D9"/>
    <w:rsid w:val="00DB3DBF"/>
    <w:rsid w:val="00DB419C"/>
    <w:rsid w:val="00DB4247"/>
    <w:rsid w:val="00DB438E"/>
    <w:rsid w:val="00DB45E7"/>
    <w:rsid w:val="00DB46E7"/>
    <w:rsid w:val="00DB484F"/>
    <w:rsid w:val="00DB4B27"/>
    <w:rsid w:val="00DB4F27"/>
    <w:rsid w:val="00DB5022"/>
    <w:rsid w:val="00DB508B"/>
    <w:rsid w:val="00DB515D"/>
    <w:rsid w:val="00DB553D"/>
    <w:rsid w:val="00DB5602"/>
    <w:rsid w:val="00DB58D7"/>
    <w:rsid w:val="00DB59CE"/>
    <w:rsid w:val="00DB5F11"/>
    <w:rsid w:val="00DB60D3"/>
    <w:rsid w:val="00DB62FF"/>
    <w:rsid w:val="00DB6333"/>
    <w:rsid w:val="00DB68DA"/>
    <w:rsid w:val="00DB6C9E"/>
    <w:rsid w:val="00DB6D37"/>
    <w:rsid w:val="00DB6F31"/>
    <w:rsid w:val="00DB73BF"/>
    <w:rsid w:val="00DB7710"/>
    <w:rsid w:val="00DB7838"/>
    <w:rsid w:val="00DB7B70"/>
    <w:rsid w:val="00DB7EB3"/>
    <w:rsid w:val="00DC0073"/>
    <w:rsid w:val="00DC0105"/>
    <w:rsid w:val="00DC04F6"/>
    <w:rsid w:val="00DC0690"/>
    <w:rsid w:val="00DC06F0"/>
    <w:rsid w:val="00DC08D4"/>
    <w:rsid w:val="00DC0BB5"/>
    <w:rsid w:val="00DC0C0F"/>
    <w:rsid w:val="00DC0DA4"/>
    <w:rsid w:val="00DC0DAE"/>
    <w:rsid w:val="00DC0F0A"/>
    <w:rsid w:val="00DC107D"/>
    <w:rsid w:val="00DC10DD"/>
    <w:rsid w:val="00DC16DA"/>
    <w:rsid w:val="00DC1862"/>
    <w:rsid w:val="00DC1993"/>
    <w:rsid w:val="00DC1AAC"/>
    <w:rsid w:val="00DC1D65"/>
    <w:rsid w:val="00DC1F10"/>
    <w:rsid w:val="00DC1F95"/>
    <w:rsid w:val="00DC23F1"/>
    <w:rsid w:val="00DC254E"/>
    <w:rsid w:val="00DC26CA"/>
    <w:rsid w:val="00DC2BFE"/>
    <w:rsid w:val="00DC2C76"/>
    <w:rsid w:val="00DC31F7"/>
    <w:rsid w:val="00DC3362"/>
    <w:rsid w:val="00DC3587"/>
    <w:rsid w:val="00DC3B11"/>
    <w:rsid w:val="00DC3B96"/>
    <w:rsid w:val="00DC3C57"/>
    <w:rsid w:val="00DC446C"/>
    <w:rsid w:val="00DC490D"/>
    <w:rsid w:val="00DC4FEA"/>
    <w:rsid w:val="00DC5501"/>
    <w:rsid w:val="00DC5785"/>
    <w:rsid w:val="00DC5A1E"/>
    <w:rsid w:val="00DC5B43"/>
    <w:rsid w:val="00DC5BF9"/>
    <w:rsid w:val="00DC5DE4"/>
    <w:rsid w:val="00DC5EF5"/>
    <w:rsid w:val="00DC6660"/>
    <w:rsid w:val="00DC697F"/>
    <w:rsid w:val="00DC6E31"/>
    <w:rsid w:val="00DC7154"/>
    <w:rsid w:val="00DC79A4"/>
    <w:rsid w:val="00DC7E8A"/>
    <w:rsid w:val="00DD028F"/>
    <w:rsid w:val="00DD05BC"/>
    <w:rsid w:val="00DD081C"/>
    <w:rsid w:val="00DD0A6E"/>
    <w:rsid w:val="00DD0C07"/>
    <w:rsid w:val="00DD0C0B"/>
    <w:rsid w:val="00DD0E1E"/>
    <w:rsid w:val="00DD0F78"/>
    <w:rsid w:val="00DD148C"/>
    <w:rsid w:val="00DD1665"/>
    <w:rsid w:val="00DD2003"/>
    <w:rsid w:val="00DD2250"/>
    <w:rsid w:val="00DD2375"/>
    <w:rsid w:val="00DD24E3"/>
    <w:rsid w:val="00DD273C"/>
    <w:rsid w:val="00DD28A3"/>
    <w:rsid w:val="00DD297E"/>
    <w:rsid w:val="00DD2AEA"/>
    <w:rsid w:val="00DD2FDF"/>
    <w:rsid w:val="00DD30AB"/>
    <w:rsid w:val="00DD34CF"/>
    <w:rsid w:val="00DD39D9"/>
    <w:rsid w:val="00DD3D71"/>
    <w:rsid w:val="00DD3E5C"/>
    <w:rsid w:val="00DD3F28"/>
    <w:rsid w:val="00DD4446"/>
    <w:rsid w:val="00DD4537"/>
    <w:rsid w:val="00DD49F4"/>
    <w:rsid w:val="00DD4AFF"/>
    <w:rsid w:val="00DD4E15"/>
    <w:rsid w:val="00DD5068"/>
    <w:rsid w:val="00DD5673"/>
    <w:rsid w:val="00DD5757"/>
    <w:rsid w:val="00DD5B09"/>
    <w:rsid w:val="00DD611D"/>
    <w:rsid w:val="00DD6188"/>
    <w:rsid w:val="00DD66F7"/>
    <w:rsid w:val="00DD6CE9"/>
    <w:rsid w:val="00DD7BC4"/>
    <w:rsid w:val="00DE0066"/>
    <w:rsid w:val="00DE0312"/>
    <w:rsid w:val="00DE0488"/>
    <w:rsid w:val="00DE04AE"/>
    <w:rsid w:val="00DE077C"/>
    <w:rsid w:val="00DE0EE3"/>
    <w:rsid w:val="00DE1274"/>
    <w:rsid w:val="00DE1829"/>
    <w:rsid w:val="00DE1DE6"/>
    <w:rsid w:val="00DE2241"/>
    <w:rsid w:val="00DE2304"/>
    <w:rsid w:val="00DE23ED"/>
    <w:rsid w:val="00DE23F5"/>
    <w:rsid w:val="00DE25E6"/>
    <w:rsid w:val="00DE2795"/>
    <w:rsid w:val="00DE2B4E"/>
    <w:rsid w:val="00DE2FE7"/>
    <w:rsid w:val="00DE3138"/>
    <w:rsid w:val="00DE37F8"/>
    <w:rsid w:val="00DE3812"/>
    <w:rsid w:val="00DE39F8"/>
    <w:rsid w:val="00DE3C85"/>
    <w:rsid w:val="00DE4273"/>
    <w:rsid w:val="00DE4935"/>
    <w:rsid w:val="00DE4A9B"/>
    <w:rsid w:val="00DE4CC1"/>
    <w:rsid w:val="00DE4E34"/>
    <w:rsid w:val="00DE4F2D"/>
    <w:rsid w:val="00DE4FCB"/>
    <w:rsid w:val="00DE514C"/>
    <w:rsid w:val="00DE5289"/>
    <w:rsid w:val="00DE5570"/>
    <w:rsid w:val="00DE5967"/>
    <w:rsid w:val="00DE59F2"/>
    <w:rsid w:val="00DE5AA1"/>
    <w:rsid w:val="00DE5BD0"/>
    <w:rsid w:val="00DE5D07"/>
    <w:rsid w:val="00DE5DF8"/>
    <w:rsid w:val="00DE5FDC"/>
    <w:rsid w:val="00DE60DC"/>
    <w:rsid w:val="00DE61DD"/>
    <w:rsid w:val="00DE6696"/>
    <w:rsid w:val="00DE66E1"/>
    <w:rsid w:val="00DE6BC3"/>
    <w:rsid w:val="00DE6C99"/>
    <w:rsid w:val="00DE72A7"/>
    <w:rsid w:val="00DE757A"/>
    <w:rsid w:val="00DE75CC"/>
    <w:rsid w:val="00DE767F"/>
    <w:rsid w:val="00DE7784"/>
    <w:rsid w:val="00DE7832"/>
    <w:rsid w:val="00DE7E7B"/>
    <w:rsid w:val="00DF0254"/>
    <w:rsid w:val="00DF047A"/>
    <w:rsid w:val="00DF060E"/>
    <w:rsid w:val="00DF0AA7"/>
    <w:rsid w:val="00DF0B40"/>
    <w:rsid w:val="00DF0DEF"/>
    <w:rsid w:val="00DF0ED3"/>
    <w:rsid w:val="00DF1428"/>
    <w:rsid w:val="00DF158E"/>
    <w:rsid w:val="00DF18FC"/>
    <w:rsid w:val="00DF1C35"/>
    <w:rsid w:val="00DF1F05"/>
    <w:rsid w:val="00DF2276"/>
    <w:rsid w:val="00DF288B"/>
    <w:rsid w:val="00DF2CEC"/>
    <w:rsid w:val="00DF2F23"/>
    <w:rsid w:val="00DF30FC"/>
    <w:rsid w:val="00DF377C"/>
    <w:rsid w:val="00DF40F8"/>
    <w:rsid w:val="00DF4750"/>
    <w:rsid w:val="00DF4777"/>
    <w:rsid w:val="00DF4F18"/>
    <w:rsid w:val="00DF5574"/>
    <w:rsid w:val="00DF57DC"/>
    <w:rsid w:val="00DF597D"/>
    <w:rsid w:val="00DF59A8"/>
    <w:rsid w:val="00DF5D2B"/>
    <w:rsid w:val="00DF5E7D"/>
    <w:rsid w:val="00DF5EF0"/>
    <w:rsid w:val="00DF5FE1"/>
    <w:rsid w:val="00DF6341"/>
    <w:rsid w:val="00DF65D1"/>
    <w:rsid w:val="00DF6720"/>
    <w:rsid w:val="00DF6846"/>
    <w:rsid w:val="00DF6D73"/>
    <w:rsid w:val="00DF7102"/>
    <w:rsid w:val="00DF7618"/>
    <w:rsid w:val="00DF7BEA"/>
    <w:rsid w:val="00DF7C92"/>
    <w:rsid w:val="00DF7E6C"/>
    <w:rsid w:val="00E00E8E"/>
    <w:rsid w:val="00E010A2"/>
    <w:rsid w:val="00E0129E"/>
    <w:rsid w:val="00E01558"/>
    <w:rsid w:val="00E01DA4"/>
    <w:rsid w:val="00E022F8"/>
    <w:rsid w:val="00E024F1"/>
    <w:rsid w:val="00E025F7"/>
    <w:rsid w:val="00E029B8"/>
    <w:rsid w:val="00E029E4"/>
    <w:rsid w:val="00E02EC9"/>
    <w:rsid w:val="00E02F9A"/>
    <w:rsid w:val="00E03147"/>
    <w:rsid w:val="00E032D8"/>
    <w:rsid w:val="00E0331B"/>
    <w:rsid w:val="00E033CC"/>
    <w:rsid w:val="00E0340A"/>
    <w:rsid w:val="00E0349C"/>
    <w:rsid w:val="00E03613"/>
    <w:rsid w:val="00E0386A"/>
    <w:rsid w:val="00E038A0"/>
    <w:rsid w:val="00E038D6"/>
    <w:rsid w:val="00E0399E"/>
    <w:rsid w:val="00E03DBD"/>
    <w:rsid w:val="00E03F90"/>
    <w:rsid w:val="00E04108"/>
    <w:rsid w:val="00E04452"/>
    <w:rsid w:val="00E04658"/>
    <w:rsid w:val="00E04892"/>
    <w:rsid w:val="00E04BD3"/>
    <w:rsid w:val="00E04C26"/>
    <w:rsid w:val="00E05029"/>
    <w:rsid w:val="00E05050"/>
    <w:rsid w:val="00E0554C"/>
    <w:rsid w:val="00E05630"/>
    <w:rsid w:val="00E057E9"/>
    <w:rsid w:val="00E05CED"/>
    <w:rsid w:val="00E05DB0"/>
    <w:rsid w:val="00E06375"/>
    <w:rsid w:val="00E06957"/>
    <w:rsid w:val="00E06CA3"/>
    <w:rsid w:val="00E06D9C"/>
    <w:rsid w:val="00E06DBB"/>
    <w:rsid w:val="00E06E04"/>
    <w:rsid w:val="00E06EAF"/>
    <w:rsid w:val="00E06ED6"/>
    <w:rsid w:val="00E0715D"/>
    <w:rsid w:val="00E071A6"/>
    <w:rsid w:val="00E077E8"/>
    <w:rsid w:val="00E07BC4"/>
    <w:rsid w:val="00E07EC0"/>
    <w:rsid w:val="00E10018"/>
    <w:rsid w:val="00E10149"/>
    <w:rsid w:val="00E10556"/>
    <w:rsid w:val="00E106B9"/>
    <w:rsid w:val="00E10845"/>
    <w:rsid w:val="00E10D7E"/>
    <w:rsid w:val="00E10E07"/>
    <w:rsid w:val="00E10E0E"/>
    <w:rsid w:val="00E11340"/>
    <w:rsid w:val="00E1138F"/>
    <w:rsid w:val="00E115CD"/>
    <w:rsid w:val="00E116BE"/>
    <w:rsid w:val="00E118C2"/>
    <w:rsid w:val="00E11EA7"/>
    <w:rsid w:val="00E122A1"/>
    <w:rsid w:val="00E122B0"/>
    <w:rsid w:val="00E12562"/>
    <w:rsid w:val="00E12601"/>
    <w:rsid w:val="00E126AD"/>
    <w:rsid w:val="00E12905"/>
    <w:rsid w:val="00E1297B"/>
    <w:rsid w:val="00E129E2"/>
    <w:rsid w:val="00E12E59"/>
    <w:rsid w:val="00E12E96"/>
    <w:rsid w:val="00E12F4D"/>
    <w:rsid w:val="00E1300D"/>
    <w:rsid w:val="00E13124"/>
    <w:rsid w:val="00E13669"/>
    <w:rsid w:val="00E13973"/>
    <w:rsid w:val="00E13B1D"/>
    <w:rsid w:val="00E14346"/>
    <w:rsid w:val="00E145EE"/>
    <w:rsid w:val="00E1462B"/>
    <w:rsid w:val="00E14A12"/>
    <w:rsid w:val="00E1518C"/>
    <w:rsid w:val="00E153DF"/>
    <w:rsid w:val="00E15D7E"/>
    <w:rsid w:val="00E15E86"/>
    <w:rsid w:val="00E160FA"/>
    <w:rsid w:val="00E16372"/>
    <w:rsid w:val="00E166BC"/>
    <w:rsid w:val="00E16829"/>
    <w:rsid w:val="00E16862"/>
    <w:rsid w:val="00E16AD8"/>
    <w:rsid w:val="00E16B41"/>
    <w:rsid w:val="00E16FBF"/>
    <w:rsid w:val="00E171CC"/>
    <w:rsid w:val="00E17396"/>
    <w:rsid w:val="00E17B8D"/>
    <w:rsid w:val="00E17BC9"/>
    <w:rsid w:val="00E17CE6"/>
    <w:rsid w:val="00E17EAC"/>
    <w:rsid w:val="00E17FFA"/>
    <w:rsid w:val="00E20070"/>
    <w:rsid w:val="00E200B3"/>
    <w:rsid w:val="00E20219"/>
    <w:rsid w:val="00E20225"/>
    <w:rsid w:val="00E20491"/>
    <w:rsid w:val="00E20542"/>
    <w:rsid w:val="00E20850"/>
    <w:rsid w:val="00E20A98"/>
    <w:rsid w:val="00E20E4D"/>
    <w:rsid w:val="00E20ED6"/>
    <w:rsid w:val="00E21358"/>
    <w:rsid w:val="00E21532"/>
    <w:rsid w:val="00E21798"/>
    <w:rsid w:val="00E217F4"/>
    <w:rsid w:val="00E2182B"/>
    <w:rsid w:val="00E21AA0"/>
    <w:rsid w:val="00E21B24"/>
    <w:rsid w:val="00E21F0C"/>
    <w:rsid w:val="00E2249B"/>
    <w:rsid w:val="00E2269F"/>
    <w:rsid w:val="00E226B2"/>
    <w:rsid w:val="00E2299F"/>
    <w:rsid w:val="00E22A0D"/>
    <w:rsid w:val="00E22B60"/>
    <w:rsid w:val="00E22B6F"/>
    <w:rsid w:val="00E22E23"/>
    <w:rsid w:val="00E22E5A"/>
    <w:rsid w:val="00E22F6E"/>
    <w:rsid w:val="00E23033"/>
    <w:rsid w:val="00E232C4"/>
    <w:rsid w:val="00E232E9"/>
    <w:rsid w:val="00E23352"/>
    <w:rsid w:val="00E23A35"/>
    <w:rsid w:val="00E240E9"/>
    <w:rsid w:val="00E244DA"/>
    <w:rsid w:val="00E244F6"/>
    <w:rsid w:val="00E24824"/>
    <w:rsid w:val="00E2487D"/>
    <w:rsid w:val="00E24BD6"/>
    <w:rsid w:val="00E24E30"/>
    <w:rsid w:val="00E24ECC"/>
    <w:rsid w:val="00E25510"/>
    <w:rsid w:val="00E258DB"/>
    <w:rsid w:val="00E25C0A"/>
    <w:rsid w:val="00E25F6B"/>
    <w:rsid w:val="00E26245"/>
    <w:rsid w:val="00E26399"/>
    <w:rsid w:val="00E268FF"/>
    <w:rsid w:val="00E26948"/>
    <w:rsid w:val="00E26955"/>
    <w:rsid w:val="00E26AE1"/>
    <w:rsid w:val="00E26AF5"/>
    <w:rsid w:val="00E26D71"/>
    <w:rsid w:val="00E26E91"/>
    <w:rsid w:val="00E27187"/>
    <w:rsid w:val="00E273F6"/>
    <w:rsid w:val="00E27508"/>
    <w:rsid w:val="00E27513"/>
    <w:rsid w:val="00E2766B"/>
    <w:rsid w:val="00E2771E"/>
    <w:rsid w:val="00E30002"/>
    <w:rsid w:val="00E300DB"/>
    <w:rsid w:val="00E301BC"/>
    <w:rsid w:val="00E30274"/>
    <w:rsid w:val="00E30419"/>
    <w:rsid w:val="00E30489"/>
    <w:rsid w:val="00E30570"/>
    <w:rsid w:val="00E30898"/>
    <w:rsid w:val="00E30E9E"/>
    <w:rsid w:val="00E311EF"/>
    <w:rsid w:val="00E312B1"/>
    <w:rsid w:val="00E313AC"/>
    <w:rsid w:val="00E3150C"/>
    <w:rsid w:val="00E316DB"/>
    <w:rsid w:val="00E3178D"/>
    <w:rsid w:val="00E317EE"/>
    <w:rsid w:val="00E318DD"/>
    <w:rsid w:val="00E31B2F"/>
    <w:rsid w:val="00E32180"/>
    <w:rsid w:val="00E32252"/>
    <w:rsid w:val="00E3250D"/>
    <w:rsid w:val="00E32906"/>
    <w:rsid w:val="00E32B8C"/>
    <w:rsid w:val="00E32C3F"/>
    <w:rsid w:val="00E32EF5"/>
    <w:rsid w:val="00E32F8E"/>
    <w:rsid w:val="00E330E4"/>
    <w:rsid w:val="00E333D9"/>
    <w:rsid w:val="00E337A6"/>
    <w:rsid w:val="00E34001"/>
    <w:rsid w:val="00E341D9"/>
    <w:rsid w:val="00E346C6"/>
    <w:rsid w:val="00E34948"/>
    <w:rsid w:val="00E34EB8"/>
    <w:rsid w:val="00E34FC2"/>
    <w:rsid w:val="00E34FD1"/>
    <w:rsid w:val="00E351E0"/>
    <w:rsid w:val="00E3549E"/>
    <w:rsid w:val="00E35649"/>
    <w:rsid w:val="00E357F9"/>
    <w:rsid w:val="00E3596B"/>
    <w:rsid w:val="00E359DA"/>
    <w:rsid w:val="00E35B7C"/>
    <w:rsid w:val="00E35FFC"/>
    <w:rsid w:val="00E36101"/>
    <w:rsid w:val="00E364C9"/>
    <w:rsid w:val="00E36A16"/>
    <w:rsid w:val="00E371AE"/>
    <w:rsid w:val="00E373F7"/>
    <w:rsid w:val="00E37569"/>
    <w:rsid w:val="00E375F5"/>
    <w:rsid w:val="00E378B7"/>
    <w:rsid w:val="00E37A49"/>
    <w:rsid w:val="00E37C8D"/>
    <w:rsid w:val="00E37DB1"/>
    <w:rsid w:val="00E401B2"/>
    <w:rsid w:val="00E40566"/>
    <w:rsid w:val="00E408A0"/>
    <w:rsid w:val="00E40E05"/>
    <w:rsid w:val="00E40FB5"/>
    <w:rsid w:val="00E41215"/>
    <w:rsid w:val="00E417E5"/>
    <w:rsid w:val="00E418BB"/>
    <w:rsid w:val="00E41E30"/>
    <w:rsid w:val="00E42019"/>
    <w:rsid w:val="00E424FA"/>
    <w:rsid w:val="00E42B65"/>
    <w:rsid w:val="00E42CCB"/>
    <w:rsid w:val="00E42F73"/>
    <w:rsid w:val="00E436D2"/>
    <w:rsid w:val="00E4383D"/>
    <w:rsid w:val="00E43AD2"/>
    <w:rsid w:val="00E43D0F"/>
    <w:rsid w:val="00E43D70"/>
    <w:rsid w:val="00E440A7"/>
    <w:rsid w:val="00E444F4"/>
    <w:rsid w:val="00E44662"/>
    <w:rsid w:val="00E45067"/>
    <w:rsid w:val="00E4508E"/>
    <w:rsid w:val="00E4527D"/>
    <w:rsid w:val="00E452D6"/>
    <w:rsid w:val="00E45352"/>
    <w:rsid w:val="00E453E1"/>
    <w:rsid w:val="00E45704"/>
    <w:rsid w:val="00E45B1B"/>
    <w:rsid w:val="00E45B2D"/>
    <w:rsid w:val="00E466F3"/>
    <w:rsid w:val="00E4693A"/>
    <w:rsid w:val="00E469C8"/>
    <w:rsid w:val="00E46C39"/>
    <w:rsid w:val="00E477EF"/>
    <w:rsid w:val="00E47946"/>
    <w:rsid w:val="00E47AA9"/>
    <w:rsid w:val="00E47B2C"/>
    <w:rsid w:val="00E47B64"/>
    <w:rsid w:val="00E47C02"/>
    <w:rsid w:val="00E47DA0"/>
    <w:rsid w:val="00E47F9B"/>
    <w:rsid w:val="00E5011E"/>
    <w:rsid w:val="00E5031F"/>
    <w:rsid w:val="00E503CB"/>
    <w:rsid w:val="00E50D10"/>
    <w:rsid w:val="00E50DFF"/>
    <w:rsid w:val="00E50EB2"/>
    <w:rsid w:val="00E511DD"/>
    <w:rsid w:val="00E513DF"/>
    <w:rsid w:val="00E51560"/>
    <w:rsid w:val="00E51733"/>
    <w:rsid w:val="00E51783"/>
    <w:rsid w:val="00E51821"/>
    <w:rsid w:val="00E51824"/>
    <w:rsid w:val="00E5188C"/>
    <w:rsid w:val="00E519C9"/>
    <w:rsid w:val="00E51C64"/>
    <w:rsid w:val="00E52111"/>
    <w:rsid w:val="00E52809"/>
    <w:rsid w:val="00E52A62"/>
    <w:rsid w:val="00E52AC9"/>
    <w:rsid w:val="00E52AD9"/>
    <w:rsid w:val="00E52DA5"/>
    <w:rsid w:val="00E53017"/>
    <w:rsid w:val="00E53529"/>
    <w:rsid w:val="00E5371B"/>
    <w:rsid w:val="00E538A8"/>
    <w:rsid w:val="00E53A9D"/>
    <w:rsid w:val="00E53B6A"/>
    <w:rsid w:val="00E53C32"/>
    <w:rsid w:val="00E53C94"/>
    <w:rsid w:val="00E53F76"/>
    <w:rsid w:val="00E53FC8"/>
    <w:rsid w:val="00E54347"/>
    <w:rsid w:val="00E5457C"/>
    <w:rsid w:val="00E54702"/>
    <w:rsid w:val="00E547B0"/>
    <w:rsid w:val="00E547F4"/>
    <w:rsid w:val="00E54C01"/>
    <w:rsid w:val="00E54EAD"/>
    <w:rsid w:val="00E5503B"/>
    <w:rsid w:val="00E550F2"/>
    <w:rsid w:val="00E553E7"/>
    <w:rsid w:val="00E55424"/>
    <w:rsid w:val="00E556EC"/>
    <w:rsid w:val="00E55915"/>
    <w:rsid w:val="00E55985"/>
    <w:rsid w:val="00E55B8C"/>
    <w:rsid w:val="00E55BB5"/>
    <w:rsid w:val="00E55E3F"/>
    <w:rsid w:val="00E55E93"/>
    <w:rsid w:val="00E55EEC"/>
    <w:rsid w:val="00E55FBB"/>
    <w:rsid w:val="00E56241"/>
    <w:rsid w:val="00E56379"/>
    <w:rsid w:val="00E56C65"/>
    <w:rsid w:val="00E56D98"/>
    <w:rsid w:val="00E57094"/>
    <w:rsid w:val="00E5709F"/>
    <w:rsid w:val="00E57BBC"/>
    <w:rsid w:val="00E57CBA"/>
    <w:rsid w:val="00E57DE7"/>
    <w:rsid w:val="00E601FB"/>
    <w:rsid w:val="00E602AB"/>
    <w:rsid w:val="00E6034F"/>
    <w:rsid w:val="00E6073B"/>
    <w:rsid w:val="00E60C43"/>
    <w:rsid w:val="00E60D87"/>
    <w:rsid w:val="00E611DF"/>
    <w:rsid w:val="00E61A4A"/>
    <w:rsid w:val="00E61C06"/>
    <w:rsid w:val="00E6205E"/>
    <w:rsid w:val="00E6239A"/>
    <w:rsid w:val="00E62843"/>
    <w:rsid w:val="00E62DD7"/>
    <w:rsid w:val="00E63443"/>
    <w:rsid w:val="00E6365A"/>
    <w:rsid w:val="00E63821"/>
    <w:rsid w:val="00E639AF"/>
    <w:rsid w:val="00E63A4F"/>
    <w:rsid w:val="00E63C06"/>
    <w:rsid w:val="00E63CD1"/>
    <w:rsid w:val="00E63D47"/>
    <w:rsid w:val="00E63E27"/>
    <w:rsid w:val="00E63E97"/>
    <w:rsid w:val="00E63F2B"/>
    <w:rsid w:val="00E63F90"/>
    <w:rsid w:val="00E64327"/>
    <w:rsid w:val="00E643C3"/>
    <w:rsid w:val="00E64471"/>
    <w:rsid w:val="00E64520"/>
    <w:rsid w:val="00E648AE"/>
    <w:rsid w:val="00E64998"/>
    <w:rsid w:val="00E64CDF"/>
    <w:rsid w:val="00E64FB4"/>
    <w:rsid w:val="00E65404"/>
    <w:rsid w:val="00E6546C"/>
    <w:rsid w:val="00E6560B"/>
    <w:rsid w:val="00E6567E"/>
    <w:rsid w:val="00E6573F"/>
    <w:rsid w:val="00E6575B"/>
    <w:rsid w:val="00E65E79"/>
    <w:rsid w:val="00E6611B"/>
    <w:rsid w:val="00E665CD"/>
    <w:rsid w:val="00E6665E"/>
    <w:rsid w:val="00E6688C"/>
    <w:rsid w:val="00E66952"/>
    <w:rsid w:val="00E66A3F"/>
    <w:rsid w:val="00E66BA2"/>
    <w:rsid w:val="00E66C70"/>
    <w:rsid w:val="00E66EF2"/>
    <w:rsid w:val="00E670DC"/>
    <w:rsid w:val="00E6740D"/>
    <w:rsid w:val="00E67416"/>
    <w:rsid w:val="00E6780D"/>
    <w:rsid w:val="00E67890"/>
    <w:rsid w:val="00E67EF8"/>
    <w:rsid w:val="00E7007A"/>
    <w:rsid w:val="00E70612"/>
    <w:rsid w:val="00E7085F"/>
    <w:rsid w:val="00E70910"/>
    <w:rsid w:val="00E70996"/>
    <w:rsid w:val="00E7156D"/>
    <w:rsid w:val="00E71633"/>
    <w:rsid w:val="00E71770"/>
    <w:rsid w:val="00E718B6"/>
    <w:rsid w:val="00E71966"/>
    <w:rsid w:val="00E71E75"/>
    <w:rsid w:val="00E71FB8"/>
    <w:rsid w:val="00E723AE"/>
    <w:rsid w:val="00E723BA"/>
    <w:rsid w:val="00E72580"/>
    <w:rsid w:val="00E726E7"/>
    <w:rsid w:val="00E7296A"/>
    <w:rsid w:val="00E72B9B"/>
    <w:rsid w:val="00E72C0D"/>
    <w:rsid w:val="00E732FD"/>
    <w:rsid w:val="00E73581"/>
    <w:rsid w:val="00E737A7"/>
    <w:rsid w:val="00E74A01"/>
    <w:rsid w:val="00E74AF6"/>
    <w:rsid w:val="00E74FB6"/>
    <w:rsid w:val="00E755FB"/>
    <w:rsid w:val="00E7560B"/>
    <w:rsid w:val="00E75CD2"/>
    <w:rsid w:val="00E7662E"/>
    <w:rsid w:val="00E76DFD"/>
    <w:rsid w:val="00E77062"/>
    <w:rsid w:val="00E77237"/>
    <w:rsid w:val="00E77244"/>
    <w:rsid w:val="00E772CE"/>
    <w:rsid w:val="00E77654"/>
    <w:rsid w:val="00E802E7"/>
    <w:rsid w:val="00E804D2"/>
    <w:rsid w:val="00E807A2"/>
    <w:rsid w:val="00E80F53"/>
    <w:rsid w:val="00E81089"/>
    <w:rsid w:val="00E81C77"/>
    <w:rsid w:val="00E81D9C"/>
    <w:rsid w:val="00E81DBB"/>
    <w:rsid w:val="00E81F9B"/>
    <w:rsid w:val="00E829F6"/>
    <w:rsid w:val="00E82DEE"/>
    <w:rsid w:val="00E833F7"/>
    <w:rsid w:val="00E834F9"/>
    <w:rsid w:val="00E83715"/>
    <w:rsid w:val="00E83BDF"/>
    <w:rsid w:val="00E83C83"/>
    <w:rsid w:val="00E83D45"/>
    <w:rsid w:val="00E84051"/>
    <w:rsid w:val="00E842DC"/>
    <w:rsid w:val="00E842E3"/>
    <w:rsid w:val="00E844D9"/>
    <w:rsid w:val="00E84739"/>
    <w:rsid w:val="00E8481A"/>
    <w:rsid w:val="00E84F7C"/>
    <w:rsid w:val="00E85467"/>
    <w:rsid w:val="00E85599"/>
    <w:rsid w:val="00E85672"/>
    <w:rsid w:val="00E85859"/>
    <w:rsid w:val="00E858BF"/>
    <w:rsid w:val="00E85BDF"/>
    <w:rsid w:val="00E85D0B"/>
    <w:rsid w:val="00E85E0A"/>
    <w:rsid w:val="00E85F69"/>
    <w:rsid w:val="00E86183"/>
    <w:rsid w:val="00E861D9"/>
    <w:rsid w:val="00E86524"/>
    <w:rsid w:val="00E865D5"/>
    <w:rsid w:val="00E86A68"/>
    <w:rsid w:val="00E86A86"/>
    <w:rsid w:val="00E86E7C"/>
    <w:rsid w:val="00E86FCC"/>
    <w:rsid w:val="00E87153"/>
    <w:rsid w:val="00E87332"/>
    <w:rsid w:val="00E873A7"/>
    <w:rsid w:val="00E873FF"/>
    <w:rsid w:val="00E87413"/>
    <w:rsid w:val="00E87483"/>
    <w:rsid w:val="00E87A1D"/>
    <w:rsid w:val="00E87A94"/>
    <w:rsid w:val="00E87CAD"/>
    <w:rsid w:val="00E87CB6"/>
    <w:rsid w:val="00E87DA2"/>
    <w:rsid w:val="00E87ED8"/>
    <w:rsid w:val="00E902FC"/>
    <w:rsid w:val="00E9044A"/>
    <w:rsid w:val="00E908A8"/>
    <w:rsid w:val="00E90912"/>
    <w:rsid w:val="00E9094A"/>
    <w:rsid w:val="00E90972"/>
    <w:rsid w:val="00E90A54"/>
    <w:rsid w:val="00E90B31"/>
    <w:rsid w:val="00E90C93"/>
    <w:rsid w:val="00E9142D"/>
    <w:rsid w:val="00E91459"/>
    <w:rsid w:val="00E91516"/>
    <w:rsid w:val="00E91891"/>
    <w:rsid w:val="00E919AD"/>
    <w:rsid w:val="00E91D35"/>
    <w:rsid w:val="00E91D37"/>
    <w:rsid w:val="00E92011"/>
    <w:rsid w:val="00E920E3"/>
    <w:rsid w:val="00E922E8"/>
    <w:rsid w:val="00E923AC"/>
    <w:rsid w:val="00E926A5"/>
    <w:rsid w:val="00E92A34"/>
    <w:rsid w:val="00E92A76"/>
    <w:rsid w:val="00E93041"/>
    <w:rsid w:val="00E9304C"/>
    <w:rsid w:val="00E930FC"/>
    <w:rsid w:val="00E93A42"/>
    <w:rsid w:val="00E93A6A"/>
    <w:rsid w:val="00E94542"/>
    <w:rsid w:val="00E945B6"/>
    <w:rsid w:val="00E94643"/>
    <w:rsid w:val="00E94C42"/>
    <w:rsid w:val="00E94DF3"/>
    <w:rsid w:val="00E95294"/>
    <w:rsid w:val="00E958CA"/>
    <w:rsid w:val="00E958E2"/>
    <w:rsid w:val="00E959E6"/>
    <w:rsid w:val="00E95CA5"/>
    <w:rsid w:val="00E95DE0"/>
    <w:rsid w:val="00E95E10"/>
    <w:rsid w:val="00E95E86"/>
    <w:rsid w:val="00E960D1"/>
    <w:rsid w:val="00E9615D"/>
    <w:rsid w:val="00E962CC"/>
    <w:rsid w:val="00E9647A"/>
    <w:rsid w:val="00E965DD"/>
    <w:rsid w:val="00E96941"/>
    <w:rsid w:val="00E96C42"/>
    <w:rsid w:val="00E96DD7"/>
    <w:rsid w:val="00E96F63"/>
    <w:rsid w:val="00E96F8F"/>
    <w:rsid w:val="00E970E3"/>
    <w:rsid w:val="00E9758C"/>
    <w:rsid w:val="00E976E1"/>
    <w:rsid w:val="00E97BAA"/>
    <w:rsid w:val="00E97EC1"/>
    <w:rsid w:val="00E9AB07"/>
    <w:rsid w:val="00EA05B4"/>
    <w:rsid w:val="00EA0954"/>
    <w:rsid w:val="00EA0970"/>
    <w:rsid w:val="00EA0AAC"/>
    <w:rsid w:val="00EA0CD0"/>
    <w:rsid w:val="00EA0E4A"/>
    <w:rsid w:val="00EA0E6D"/>
    <w:rsid w:val="00EA112B"/>
    <w:rsid w:val="00EA12B7"/>
    <w:rsid w:val="00EA17C3"/>
    <w:rsid w:val="00EA185C"/>
    <w:rsid w:val="00EA186D"/>
    <w:rsid w:val="00EA1BFF"/>
    <w:rsid w:val="00EA2168"/>
    <w:rsid w:val="00EA2236"/>
    <w:rsid w:val="00EA2546"/>
    <w:rsid w:val="00EA26B0"/>
    <w:rsid w:val="00EA2BE8"/>
    <w:rsid w:val="00EA2BE9"/>
    <w:rsid w:val="00EA2CAA"/>
    <w:rsid w:val="00EA2D95"/>
    <w:rsid w:val="00EA2EDA"/>
    <w:rsid w:val="00EA2F29"/>
    <w:rsid w:val="00EA2F3F"/>
    <w:rsid w:val="00EA3123"/>
    <w:rsid w:val="00EA3161"/>
    <w:rsid w:val="00EA33BA"/>
    <w:rsid w:val="00EA34A4"/>
    <w:rsid w:val="00EA3792"/>
    <w:rsid w:val="00EA3864"/>
    <w:rsid w:val="00EA3A14"/>
    <w:rsid w:val="00EA3CA9"/>
    <w:rsid w:val="00EA4123"/>
    <w:rsid w:val="00EA4187"/>
    <w:rsid w:val="00EA41FC"/>
    <w:rsid w:val="00EA42BE"/>
    <w:rsid w:val="00EA4458"/>
    <w:rsid w:val="00EA4A2C"/>
    <w:rsid w:val="00EA4E1E"/>
    <w:rsid w:val="00EA523E"/>
    <w:rsid w:val="00EA535A"/>
    <w:rsid w:val="00EA55AF"/>
    <w:rsid w:val="00EA5897"/>
    <w:rsid w:val="00EA5D29"/>
    <w:rsid w:val="00EA634E"/>
    <w:rsid w:val="00EA63E8"/>
    <w:rsid w:val="00EA64D6"/>
    <w:rsid w:val="00EA65AE"/>
    <w:rsid w:val="00EA680B"/>
    <w:rsid w:val="00EA6810"/>
    <w:rsid w:val="00EA6A30"/>
    <w:rsid w:val="00EA6A3F"/>
    <w:rsid w:val="00EA6D21"/>
    <w:rsid w:val="00EA6DDE"/>
    <w:rsid w:val="00EA6F31"/>
    <w:rsid w:val="00EA7336"/>
    <w:rsid w:val="00EA7404"/>
    <w:rsid w:val="00EA74DF"/>
    <w:rsid w:val="00EA7C48"/>
    <w:rsid w:val="00EA7F1C"/>
    <w:rsid w:val="00EB0333"/>
    <w:rsid w:val="00EB0BE3"/>
    <w:rsid w:val="00EB0E2E"/>
    <w:rsid w:val="00EB100B"/>
    <w:rsid w:val="00EB1076"/>
    <w:rsid w:val="00EB15B6"/>
    <w:rsid w:val="00EB15C5"/>
    <w:rsid w:val="00EB1651"/>
    <w:rsid w:val="00EB1721"/>
    <w:rsid w:val="00EB1B82"/>
    <w:rsid w:val="00EB1F79"/>
    <w:rsid w:val="00EB1FCA"/>
    <w:rsid w:val="00EB1FF1"/>
    <w:rsid w:val="00EB253E"/>
    <w:rsid w:val="00EB26F4"/>
    <w:rsid w:val="00EB2C1A"/>
    <w:rsid w:val="00EB2C36"/>
    <w:rsid w:val="00EB2D5E"/>
    <w:rsid w:val="00EB2FFC"/>
    <w:rsid w:val="00EB30F0"/>
    <w:rsid w:val="00EB3657"/>
    <w:rsid w:val="00EB3D06"/>
    <w:rsid w:val="00EB3D81"/>
    <w:rsid w:val="00EB4155"/>
    <w:rsid w:val="00EB42A3"/>
    <w:rsid w:val="00EB42D0"/>
    <w:rsid w:val="00EB4302"/>
    <w:rsid w:val="00EB4483"/>
    <w:rsid w:val="00EB4641"/>
    <w:rsid w:val="00EB4916"/>
    <w:rsid w:val="00EB4A3D"/>
    <w:rsid w:val="00EB4D86"/>
    <w:rsid w:val="00EB4F06"/>
    <w:rsid w:val="00EB511D"/>
    <w:rsid w:val="00EB51DA"/>
    <w:rsid w:val="00EB5211"/>
    <w:rsid w:val="00EB5283"/>
    <w:rsid w:val="00EB54D4"/>
    <w:rsid w:val="00EB5548"/>
    <w:rsid w:val="00EB5E18"/>
    <w:rsid w:val="00EB627E"/>
    <w:rsid w:val="00EB6D13"/>
    <w:rsid w:val="00EB759A"/>
    <w:rsid w:val="00EB7678"/>
    <w:rsid w:val="00EB76A7"/>
    <w:rsid w:val="00EC00C9"/>
    <w:rsid w:val="00EC00E6"/>
    <w:rsid w:val="00EC0108"/>
    <w:rsid w:val="00EC0476"/>
    <w:rsid w:val="00EC065F"/>
    <w:rsid w:val="00EC0874"/>
    <w:rsid w:val="00EC0BAF"/>
    <w:rsid w:val="00EC0CAB"/>
    <w:rsid w:val="00EC0DD9"/>
    <w:rsid w:val="00EC140B"/>
    <w:rsid w:val="00EC1A84"/>
    <w:rsid w:val="00EC2126"/>
    <w:rsid w:val="00EC2470"/>
    <w:rsid w:val="00EC2649"/>
    <w:rsid w:val="00EC2DCD"/>
    <w:rsid w:val="00EC2EE9"/>
    <w:rsid w:val="00EC3139"/>
    <w:rsid w:val="00EC31ED"/>
    <w:rsid w:val="00EC35C5"/>
    <w:rsid w:val="00EC377E"/>
    <w:rsid w:val="00EC3C90"/>
    <w:rsid w:val="00EC41D8"/>
    <w:rsid w:val="00EC4202"/>
    <w:rsid w:val="00EC4598"/>
    <w:rsid w:val="00EC4726"/>
    <w:rsid w:val="00EC4893"/>
    <w:rsid w:val="00EC4A3C"/>
    <w:rsid w:val="00EC4AF0"/>
    <w:rsid w:val="00EC4CAE"/>
    <w:rsid w:val="00EC4F7B"/>
    <w:rsid w:val="00EC528E"/>
    <w:rsid w:val="00EC57E2"/>
    <w:rsid w:val="00EC5836"/>
    <w:rsid w:val="00EC5DE8"/>
    <w:rsid w:val="00EC5EC6"/>
    <w:rsid w:val="00EC5EF4"/>
    <w:rsid w:val="00EC5F27"/>
    <w:rsid w:val="00EC6051"/>
    <w:rsid w:val="00EC6623"/>
    <w:rsid w:val="00EC6752"/>
    <w:rsid w:val="00EC6759"/>
    <w:rsid w:val="00EC688C"/>
    <w:rsid w:val="00EC68D4"/>
    <w:rsid w:val="00EC6C37"/>
    <w:rsid w:val="00EC6FF0"/>
    <w:rsid w:val="00EC7718"/>
    <w:rsid w:val="00EC7849"/>
    <w:rsid w:val="00EC78D7"/>
    <w:rsid w:val="00ED0CBB"/>
    <w:rsid w:val="00ED0DE9"/>
    <w:rsid w:val="00ED1118"/>
    <w:rsid w:val="00ED11F2"/>
    <w:rsid w:val="00ED1254"/>
    <w:rsid w:val="00ED12E3"/>
    <w:rsid w:val="00ED15BA"/>
    <w:rsid w:val="00ED1862"/>
    <w:rsid w:val="00ED195F"/>
    <w:rsid w:val="00ED1A2C"/>
    <w:rsid w:val="00ED1E1F"/>
    <w:rsid w:val="00ED238D"/>
    <w:rsid w:val="00ED270E"/>
    <w:rsid w:val="00ED2879"/>
    <w:rsid w:val="00ED2A13"/>
    <w:rsid w:val="00ED3433"/>
    <w:rsid w:val="00ED346F"/>
    <w:rsid w:val="00ED35A7"/>
    <w:rsid w:val="00ED379B"/>
    <w:rsid w:val="00ED3861"/>
    <w:rsid w:val="00ED38BB"/>
    <w:rsid w:val="00ED3E5E"/>
    <w:rsid w:val="00ED3FE6"/>
    <w:rsid w:val="00ED406C"/>
    <w:rsid w:val="00ED41B7"/>
    <w:rsid w:val="00ED42A0"/>
    <w:rsid w:val="00ED45AC"/>
    <w:rsid w:val="00ED4B04"/>
    <w:rsid w:val="00ED4E37"/>
    <w:rsid w:val="00ED4F64"/>
    <w:rsid w:val="00ED51D5"/>
    <w:rsid w:val="00ED555F"/>
    <w:rsid w:val="00ED57EA"/>
    <w:rsid w:val="00ED5BD4"/>
    <w:rsid w:val="00ED5DEB"/>
    <w:rsid w:val="00ED5F5B"/>
    <w:rsid w:val="00ED619E"/>
    <w:rsid w:val="00ED6633"/>
    <w:rsid w:val="00ED67FB"/>
    <w:rsid w:val="00ED6BFF"/>
    <w:rsid w:val="00ED6C48"/>
    <w:rsid w:val="00ED6D08"/>
    <w:rsid w:val="00ED6DCC"/>
    <w:rsid w:val="00ED6F51"/>
    <w:rsid w:val="00ED7348"/>
    <w:rsid w:val="00ED7A9D"/>
    <w:rsid w:val="00EE0036"/>
    <w:rsid w:val="00EE0368"/>
    <w:rsid w:val="00EE0534"/>
    <w:rsid w:val="00EE05AC"/>
    <w:rsid w:val="00EE07D3"/>
    <w:rsid w:val="00EE093B"/>
    <w:rsid w:val="00EE0BCC"/>
    <w:rsid w:val="00EE0C9F"/>
    <w:rsid w:val="00EE104E"/>
    <w:rsid w:val="00EE107C"/>
    <w:rsid w:val="00EE11EC"/>
    <w:rsid w:val="00EE1391"/>
    <w:rsid w:val="00EE1401"/>
    <w:rsid w:val="00EE1406"/>
    <w:rsid w:val="00EE186F"/>
    <w:rsid w:val="00EE1996"/>
    <w:rsid w:val="00EE1A4E"/>
    <w:rsid w:val="00EE1C01"/>
    <w:rsid w:val="00EE2193"/>
    <w:rsid w:val="00EE21A4"/>
    <w:rsid w:val="00EE21CD"/>
    <w:rsid w:val="00EE22AF"/>
    <w:rsid w:val="00EE2436"/>
    <w:rsid w:val="00EE2885"/>
    <w:rsid w:val="00EE2A5A"/>
    <w:rsid w:val="00EE2FF9"/>
    <w:rsid w:val="00EE343C"/>
    <w:rsid w:val="00EE3625"/>
    <w:rsid w:val="00EE36FF"/>
    <w:rsid w:val="00EE37A4"/>
    <w:rsid w:val="00EE37CE"/>
    <w:rsid w:val="00EE3B6C"/>
    <w:rsid w:val="00EE3BCD"/>
    <w:rsid w:val="00EE3FE5"/>
    <w:rsid w:val="00EE4336"/>
    <w:rsid w:val="00EE4602"/>
    <w:rsid w:val="00EE4689"/>
    <w:rsid w:val="00EE495E"/>
    <w:rsid w:val="00EE4C17"/>
    <w:rsid w:val="00EE522B"/>
    <w:rsid w:val="00EE554D"/>
    <w:rsid w:val="00EE566E"/>
    <w:rsid w:val="00EE5907"/>
    <w:rsid w:val="00EE5A2F"/>
    <w:rsid w:val="00EE5AEF"/>
    <w:rsid w:val="00EE630F"/>
    <w:rsid w:val="00EE6328"/>
    <w:rsid w:val="00EE633E"/>
    <w:rsid w:val="00EE64E3"/>
    <w:rsid w:val="00EE6AE8"/>
    <w:rsid w:val="00EE6D4B"/>
    <w:rsid w:val="00EE75A8"/>
    <w:rsid w:val="00EE76DC"/>
    <w:rsid w:val="00EE7C9B"/>
    <w:rsid w:val="00EE7E65"/>
    <w:rsid w:val="00EF00E2"/>
    <w:rsid w:val="00EF0171"/>
    <w:rsid w:val="00EF0303"/>
    <w:rsid w:val="00EF0637"/>
    <w:rsid w:val="00EF0710"/>
    <w:rsid w:val="00EF08C4"/>
    <w:rsid w:val="00EF0999"/>
    <w:rsid w:val="00EF0B9B"/>
    <w:rsid w:val="00EF0BC8"/>
    <w:rsid w:val="00EF0D1B"/>
    <w:rsid w:val="00EF0F02"/>
    <w:rsid w:val="00EF119E"/>
    <w:rsid w:val="00EF128E"/>
    <w:rsid w:val="00EF134F"/>
    <w:rsid w:val="00EF1378"/>
    <w:rsid w:val="00EF18D2"/>
    <w:rsid w:val="00EF19DB"/>
    <w:rsid w:val="00EF1A24"/>
    <w:rsid w:val="00EF1B25"/>
    <w:rsid w:val="00EF1D7F"/>
    <w:rsid w:val="00EF1DA0"/>
    <w:rsid w:val="00EF2355"/>
    <w:rsid w:val="00EF26A0"/>
    <w:rsid w:val="00EF2907"/>
    <w:rsid w:val="00EF2950"/>
    <w:rsid w:val="00EF29C4"/>
    <w:rsid w:val="00EF2F5C"/>
    <w:rsid w:val="00EF30B1"/>
    <w:rsid w:val="00EF312B"/>
    <w:rsid w:val="00EF34A8"/>
    <w:rsid w:val="00EF3808"/>
    <w:rsid w:val="00EF38F8"/>
    <w:rsid w:val="00EF3BFC"/>
    <w:rsid w:val="00EF40D5"/>
    <w:rsid w:val="00EF4133"/>
    <w:rsid w:val="00EF4650"/>
    <w:rsid w:val="00EF4747"/>
    <w:rsid w:val="00EF47CB"/>
    <w:rsid w:val="00EF4A35"/>
    <w:rsid w:val="00EF4BF8"/>
    <w:rsid w:val="00EF4C49"/>
    <w:rsid w:val="00EF4D1B"/>
    <w:rsid w:val="00EF4E70"/>
    <w:rsid w:val="00EF50AE"/>
    <w:rsid w:val="00EF53C3"/>
    <w:rsid w:val="00EF5639"/>
    <w:rsid w:val="00EF6121"/>
    <w:rsid w:val="00EF626F"/>
    <w:rsid w:val="00EF6528"/>
    <w:rsid w:val="00EF670B"/>
    <w:rsid w:val="00EF6963"/>
    <w:rsid w:val="00EF7486"/>
    <w:rsid w:val="00EF7697"/>
    <w:rsid w:val="00EF7A65"/>
    <w:rsid w:val="00EF7DB7"/>
    <w:rsid w:val="00F00403"/>
    <w:rsid w:val="00F00536"/>
    <w:rsid w:val="00F0087F"/>
    <w:rsid w:val="00F00AE4"/>
    <w:rsid w:val="00F00CC6"/>
    <w:rsid w:val="00F00F87"/>
    <w:rsid w:val="00F00FF3"/>
    <w:rsid w:val="00F0139A"/>
    <w:rsid w:val="00F013E0"/>
    <w:rsid w:val="00F01510"/>
    <w:rsid w:val="00F018DF"/>
    <w:rsid w:val="00F01A29"/>
    <w:rsid w:val="00F01B0B"/>
    <w:rsid w:val="00F01B3D"/>
    <w:rsid w:val="00F01DB1"/>
    <w:rsid w:val="00F01EED"/>
    <w:rsid w:val="00F02253"/>
    <w:rsid w:val="00F02261"/>
    <w:rsid w:val="00F02280"/>
    <w:rsid w:val="00F02ADF"/>
    <w:rsid w:val="00F02B0E"/>
    <w:rsid w:val="00F02B41"/>
    <w:rsid w:val="00F02EC9"/>
    <w:rsid w:val="00F031E0"/>
    <w:rsid w:val="00F03917"/>
    <w:rsid w:val="00F039EB"/>
    <w:rsid w:val="00F03A14"/>
    <w:rsid w:val="00F03C2E"/>
    <w:rsid w:val="00F0410A"/>
    <w:rsid w:val="00F0418F"/>
    <w:rsid w:val="00F041D8"/>
    <w:rsid w:val="00F041E8"/>
    <w:rsid w:val="00F049DB"/>
    <w:rsid w:val="00F04A66"/>
    <w:rsid w:val="00F04B4B"/>
    <w:rsid w:val="00F04EA5"/>
    <w:rsid w:val="00F04EFD"/>
    <w:rsid w:val="00F04FAD"/>
    <w:rsid w:val="00F0516C"/>
    <w:rsid w:val="00F05456"/>
    <w:rsid w:val="00F054A4"/>
    <w:rsid w:val="00F054E5"/>
    <w:rsid w:val="00F05624"/>
    <w:rsid w:val="00F056D7"/>
    <w:rsid w:val="00F057AB"/>
    <w:rsid w:val="00F06060"/>
    <w:rsid w:val="00F06249"/>
    <w:rsid w:val="00F067A2"/>
    <w:rsid w:val="00F06B02"/>
    <w:rsid w:val="00F06FD7"/>
    <w:rsid w:val="00F070B2"/>
    <w:rsid w:val="00F0722B"/>
    <w:rsid w:val="00F07929"/>
    <w:rsid w:val="00F07990"/>
    <w:rsid w:val="00F07B9E"/>
    <w:rsid w:val="00F07C8B"/>
    <w:rsid w:val="00F07DDF"/>
    <w:rsid w:val="00F1031C"/>
    <w:rsid w:val="00F10649"/>
    <w:rsid w:val="00F10826"/>
    <w:rsid w:val="00F1094A"/>
    <w:rsid w:val="00F10A26"/>
    <w:rsid w:val="00F10B03"/>
    <w:rsid w:val="00F10EEE"/>
    <w:rsid w:val="00F10F43"/>
    <w:rsid w:val="00F11127"/>
    <w:rsid w:val="00F1116F"/>
    <w:rsid w:val="00F11249"/>
    <w:rsid w:val="00F112D3"/>
    <w:rsid w:val="00F11321"/>
    <w:rsid w:val="00F11399"/>
    <w:rsid w:val="00F1145E"/>
    <w:rsid w:val="00F117F6"/>
    <w:rsid w:val="00F11AF7"/>
    <w:rsid w:val="00F11DDB"/>
    <w:rsid w:val="00F1263A"/>
    <w:rsid w:val="00F12652"/>
    <w:rsid w:val="00F12EA1"/>
    <w:rsid w:val="00F13350"/>
    <w:rsid w:val="00F139C5"/>
    <w:rsid w:val="00F13C4A"/>
    <w:rsid w:val="00F13E5B"/>
    <w:rsid w:val="00F13F8E"/>
    <w:rsid w:val="00F14765"/>
    <w:rsid w:val="00F148E4"/>
    <w:rsid w:val="00F14ED3"/>
    <w:rsid w:val="00F14FDC"/>
    <w:rsid w:val="00F15157"/>
    <w:rsid w:val="00F151F6"/>
    <w:rsid w:val="00F15325"/>
    <w:rsid w:val="00F15580"/>
    <w:rsid w:val="00F15AC6"/>
    <w:rsid w:val="00F15B77"/>
    <w:rsid w:val="00F15B7C"/>
    <w:rsid w:val="00F1612B"/>
    <w:rsid w:val="00F1629B"/>
    <w:rsid w:val="00F16468"/>
    <w:rsid w:val="00F16888"/>
    <w:rsid w:val="00F16B38"/>
    <w:rsid w:val="00F16B81"/>
    <w:rsid w:val="00F16E52"/>
    <w:rsid w:val="00F16FAA"/>
    <w:rsid w:val="00F17424"/>
    <w:rsid w:val="00F1753F"/>
    <w:rsid w:val="00F17BEB"/>
    <w:rsid w:val="00F2001E"/>
    <w:rsid w:val="00F20123"/>
    <w:rsid w:val="00F20190"/>
    <w:rsid w:val="00F201F1"/>
    <w:rsid w:val="00F20C65"/>
    <w:rsid w:val="00F20D0B"/>
    <w:rsid w:val="00F210E1"/>
    <w:rsid w:val="00F21236"/>
    <w:rsid w:val="00F21282"/>
    <w:rsid w:val="00F21676"/>
    <w:rsid w:val="00F2198B"/>
    <w:rsid w:val="00F2218E"/>
    <w:rsid w:val="00F2240C"/>
    <w:rsid w:val="00F22FB2"/>
    <w:rsid w:val="00F230CC"/>
    <w:rsid w:val="00F2331F"/>
    <w:rsid w:val="00F2345C"/>
    <w:rsid w:val="00F234EE"/>
    <w:rsid w:val="00F239DF"/>
    <w:rsid w:val="00F23ABD"/>
    <w:rsid w:val="00F23C49"/>
    <w:rsid w:val="00F23CC8"/>
    <w:rsid w:val="00F23E5A"/>
    <w:rsid w:val="00F244A5"/>
    <w:rsid w:val="00F244B4"/>
    <w:rsid w:val="00F24661"/>
    <w:rsid w:val="00F246E0"/>
    <w:rsid w:val="00F24837"/>
    <w:rsid w:val="00F24C72"/>
    <w:rsid w:val="00F24CE9"/>
    <w:rsid w:val="00F24FD0"/>
    <w:rsid w:val="00F2525E"/>
    <w:rsid w:val="00F25589"/>
    <w:rsid w:val="00F256CE"/>
    <w:rsid w:val="00F2575F"/>
    <w:rsid w:val="00F259A9"/>
    <w:rsid w:val="00F264FF"/>
    <w:rsid w:val="00F265F0"/>
    <w:rsid w:val="00F2668B"/>
    <w:rsid w:val="00F267C4"/>
    <w:rsid w:val="00F26845"/>
    <w:rsid w:val="00F26895"/>
    <w:rsid w:val="00F27231"/>
    <w:rsid w:val="00F27565"/>
    <w:rsid w:val="00F276FD"/>
    <w:rsid w:val="00F27E32"/>
    <w:rsid w:val="00F27EED"/>
    <w:rsid w:val="00F27F07"/>
    <w:rsid w:val="00F27FE4"/>
    <w:rsid w:val="00F30022"/>
    <w:rsid w:val="00F30172"/>
    <w:rsid w:val="00F30438"/>
    <w:rsid w:val="00F30947"/>
    <w:rsid w:val="00F30FBC"/>
    <w:rsid w:val="00F310D4"/>
    <w:rsid w:val="00F31621"/>
    <w:rsid w:val="00F316A2"/>
    <w:rsid w:val="00F3192F"/>
    <w:rsid w:val="00F319FC"/>
    <w:rsid w:val="00F31C1C"/>
    <w:rsid w:val="00F31D5A"/>
    <w:rsid w:val="00F31D7C"/>
    <w:rsid w:val="00F32980"/>
    <w:rsid w:val="00F32DF1"/>
    <w:rsid w:val="00F32E22"/>
    <w:rsid w:val="00F32F35"/>
    <w:rsid w:val="00F3332E"/>
    <w:rsid w:val="00F33396"/>
    <w:rsid w:val="00F3351A"/>
    <w:rsid w:val="00F3357F"/>
    <w:rsid w:val="00F33975"/>
    <w:rsid w:val="00F33D0F"/>
    <w:rsid w:val="00F33DE9"/>
    <w:rsid w:val="00F342CD"/>
    <w:rsid w:val="00F34916"/>
    <w:rsid w:val="00F3491D"/>
    <w:rsid w:val="00F34D19"/>
    <w:rsid w:val="00F34E57"/>
    <w:rsid w:val="00F3501E"/>
    <w:rsid w:val="00F3520A"/>
    <w:rsid w:val="00F35488"/>
    <w:rsid w:val="00F3565F"/>
    <w:rsid w:val="00F359FF"/>
    <w:rsid w:val="00F35BEF"/>
    <w:rsid w:val="00F35C0A"/>
    <w:rsid w:val="00F35E6D"/>
    <w:rsid w:val="00F3619A"/>
    <w:rsid w:val="00F361D0"/>
    <w:rsid w:val="00F363E6"/>
    <w:rsid w:val="00F36530"/>
    <w:rsid w:val="00F365F3"/>
    <w:rsid w:val="00F36747"/>
    <w:rsid w:val="00F36E1E"/>
    <w:rsid w:val="00F36E67"/>
    <w:rsid w:val="00F37063"/>
    <w:rsid w:val="00F3726E"/>
    <w:rsid w:val="00F373F1"/>
    <w:rsid w:val="00F378A0"/>
    <w:rsid w:val="00F3796C"/>
    <w:rsid w:val="00F37B8F"/>
    <w:rsid w:val="00F400FA"/>
    <w:rsid w:val="00F40AAA"/>
    <w:rsid w:val="00F40BA7"/>
    <w:rsid w:val="00F40F9D"/>
    <w:rsid w:val="00F41189"/>
    <w:rsid w:val="00F411AE"/>
    <w:rsid w:val="00F4139A"/>
    <w:rsid w:val="00F41A1D"/>
    <w:rsid w:val="00F41ACD"/>
    <w:rsid w:val="00F41AFC"/>
    <w:rsid w:val="00F41E8D"/>
    <w:rsid w:val="00F42237"/>
    <w:rsid w:val="00F42500"/>
    <w:rsid w:val="00F42708"/>
    <w:rsid w:val="00F42CE1"/>
    <w:rsid w:val="00F43348"/>
    <w:rsid w:val="00F436F2"/>
    <w:rsid w:val="00F438BB"/>
    <w:rsid w:val="00F43C24"/>
    <w:rsid w:val="00F44024"/>
    <w:rsid w:val="00F4417E"/>
    <w:rsid w:val="00F44405"/>
    <w:rsid w:val="00F44421"/>
    <w:rsid w:val="00F4463E"/>
    <w:rsid w:val="00F447AD"/>
    <w:rsid w:val="00F449D0"/>
    <w:rsid w:val="00F44F1D"/>
    <w:rsid w:val="00F452C2"/>
    <w:rsid w:val="00F453F3"/>
    <w:rsid w:val="00F4577F"/>
    <w:rsid w:val="00F45A25"/>
    <w:rsid w:val="00F462AA"/>
    <w:rsid w:val="00F466B4"/>
    <w:rsid w:val="00F46C34"/>
    <w:rsid w:val="00F46CB6"/>
    <w:rsid w:val="00F46EB3"/>
    <w:rsid w:val="00F47047"/>
    <w:rsid w:val="00F47225"/>
    <w:rsid w:val="00F4756D"/>
    <w:rsid w:val="00F479AF"/>
    <w:rsid w:val="00F47C70"/>
    <w:rsid w:val="00F47DC3"/>
    <w:rsid w:val="00F47DE8"/>
    <w:rsid w:val="00F47F54"/>
    <w:rsid w:val="00F5018C"/>
    <w:rsid w:val="00F5089A"/>
    <w:rsid w:val="00F50C61"/>
    <w:rsid w:val="00F50E95"/>
    <w:rsid w:val="00F51077"/>
    <w:rsid w:val="00F51167"/>
    <w:rsid w:val="00F513E8"/>
    <w:rsid w:val="00F5142A"/>
    <w:rsid w:val="00F514A7"/>
    <w:rsid w:val="00F514A8"/>
    <w:rsid w:val="00F51A3C"/>
    <w:rsid w:val="00F51D3A"/>
    <w:rsid w:val="00F51FD3"/>
    <w:rsid w:val="00F52062"/>
    <w:rsid w:val="00F52089"/>
    <w:rsid w:val="00F5239E"/>
    <w:rsid w:val="00F5255E"/>
    <w:rsid w:val="00F52576"/>
    <w:rsid w:val="00F526B5"/>
    <w:rsid w:val="00F52799"/>
    <w:rsid w:val="00F5288E"/>
    <w:rsid w:val="00F528EA"/>
    <w:rsid w:val="00F52930"/>
    <w:rsid w:val="00F52A1B"/>
    <w:rsid w:val="00F52A8E"/>
    <w:rsid w:val="00F52C38"/>
    <w:rsid w:val="00F52F61"/>
    <w:rsid w:val="00F5315F"/>
    <w:rsid w:val="00F532F7"/>
    <w:rsid w:val="00F533FD"/>
    <w:rsid w:val="00F53490"/>
    <w:rsid w:val="00F536C9"/>
    <w:rsid w:val="00F53830"/>
    <w:rsid w:val="00F53D36"/>
    <w:rsid w:val="00F542C1"/>
    <w:rsid w:val="00F54438"/>
    <w:rsid w:val="00F54455"/>
    <w:rsid w:val="00F5458E"/>
    <w:rsid w:val="00F54997"/>
    <w:rsid w:val="00F54ACC"/>
    <w:rsid w:val="00F54BF8"/>
    <w:rsid w:val="00F550E3"/>
    <w:rsid w:val="00F55147"/>
    <w:rsid w:val="00F5520F"/>
    <w:rsid w:val="00F5533F"/>
    <w:rsid w:val="00F55E73"/>
    <w:rsid w:val="00F55EDA"/>
    <w:rsid w:val="00F564A3"/>
    <w:rsid w:val="00F568F2"/>
    <w:rsid w:val="00F56C80"/>
    <w:rsid w:val="00F56D37"/>
    <w:rsid w:val="00F573C4"/>
    <w:rsid w:val="00F57584"/>
    <w:rsid w:val="00F57601"/>
    <w:rsid w:val="00F57A18"/>
    <w:rsid w:val="00F57FA6"/>
    <w:rsid w:val="00F60092"/>
    <w:rsid w:val="00F600B3"/>
    <w:rsid w:val="00F600FA"/>
    <w:rsid w:val="00F6061A"/>
    <w:rsid w:val="00F60B65"/>
    <w:rsid w:val="00F60DE4"/>
    <w:rsid w:val="00F6135D"/>
    <w:rsid w:val="00F61437"/>
    <w:rsid w:val="00F61484"/>
    <w:rsid w:val="00F6149B"/>
    <w:rsid w:val="00F61A1F"/>
    <w:rsid w:val="00F61BF4"/>
    <w:rsid w:val="00F61C18"/>
    <w:rsid w:val="00F61CB2"/>
    <w:rsid w:val="00F6258A"/>
    <w:rsid w:val="00F6272A"/>
    <w:rsid w:val="00F628F6"/>
    <w:rsid w:val="00F62975"/>
    <w:rsid w:val="00F62A40"/>
    <w:rsid w:val="00F62B11"/>
    <w:rsid w:val="00F62BD6"/>
    <w:rsid w:val="00F62C1D"/>
    <w:rsid w:val="00F62F6F"/>
    <w:rsid w:val="00F63411"/>
    <w:rsid w:val="00F6356E"/>
    <w:rsid w:val="00F63971"/>
    <w:rsid w:val="00F63992"/>
    <w:rsid w:val="00F63C91"/>
    <w:rsid w:val="00F63CBB"/>
    <w:rsid w:val="00F63D4A"/>
    <w:rsid w:val="00F63F92"/>
    <w:rsid w:val="00F640F0"/>
    <w:rsid w:val="00F640FC"/>
    <w:rsid w:val="00F64182"/>
    <w:rsid w:val="00F641AE"/>
    <w:rsid w:val="00F64237"/>
    <w:rsid w:val="00F64282"/>
    <w:rsid w:val="00F642E1"/>
    <w:rsid w:val="00F6432E"/>
    <w:rsid w:val="00F64534"/>
    <w:rsid w:val="00F64A00"/>
    <w:rsid w:val="00F64CBD"/>
    <w:rsid w:val="00F64E0F"/>
    <w:rsid w:val="00F64FC7"/>
    <w:rsid w:val="00F650E6"/>
    <w:rsid w:val="00F651E9"/>
    <w:rsid w:val="00F6521D"/>
    <w:rsid w:val="00F65EB3"/>
    <w:rsid w:val="00F65F4B"/>
    <w:rsid w:val="00F660F7"/>
    <w:rsid w:val="00F66156"/>
    <w:rsid w:val="00F661B5"/>
    <w:rsid w:val="00F661ED"/>
    <w:rsid w:val="00F66483"/>
    <w:rsid w:val="00F6675F"/>
    <w:rsid w:val="00F667B0"/>
    <w:rsid w:val="00F66825"/>
    <w:rsid w:val="00F6728E"/>
    <w:rsid w:val="00F67560"/>
    <w:rsid w:val="00F67968"/>
    <w:rsid w:val="00F6798E"/>
    <w:rsid w:val="00F679AB"/>
    <w:rsid w:val="00F67A45"/>
    <w:rsid w:val="00F67A69"/>
    <w:rsid w:val="00F67CCF"/>
    <w:rsid w:val="00F67D68"/>
    <w:rsid w:val="00F67DA8"/>
    <w:rsid w:val="00F705F0"/>
    <w:rsid w:val="00F70866"/>
    <w:rsid w:val="00F708E9"/>
    <w:rsid w:val="00F70BFF"/>
    <w:rsid w:val="00F70C9D"/>
    <w:rsid w:val="00F71054"/>
    <w:rsid w:val="00F7180D"/>
    <w:rsid w:val="00F71A0B"/>
    <w:rsid w:val="00F71BC1"/>
    <w:rsid w:val="00F71E84"/>
    <w:rsid w:val="00F7246A"/>
    <w:rsid w:val="00F72604"/>
    <w:rsid w:val="00F72B86"/>
    <w:rsid w:val="00F72C12"/>
    <w:rsid w:val="00F72D46"/>
    <w:rsid w:val="00F732DE"/>
    <w:rsid w:val="00F73883"/>
    <w:rsid w:val="00F73BC5"/>
    <w:rsid w:val="00F73DE7"/>
    <w:rsid w:val="00F73E08"/>
    <w:rsid w:val="00F73F35"/>
    <w:rsid w:val="00F741CA"/>
    <w:rsid w:val="00F74576"/>
    <w:rsid w:val="00F74680"/>
    <w:rsid w:val="00F74B7E"/>
    <w:rsid w:val="00F74CD9"/>
    <w:rsid w:val="00F75012"/>
    <w:rsid w:val="00F751D4"/>
    <w:rsid w:val="00F754A6"/>
    <w:rsid w:val="00F755A9"/>
    <w:rsid w:val="00F75EF0"/>
    <w:rsid w:val="00F75F4B"/>
    <w:rsid w:val="00F761C9"/>
    <w:rsid w:val="00F7666F"/>
    <w:rsid w:val="00F7674A"/>
    <w:rsid w:val="00F76EBF"/>
    <w:rsid w:val="00F77046"/>
    <w:rsid w:val="00F77EFF"/>
    <w:rsid w:val="00F80008"/>
    <w:rsid w:val="00F8010F"/>
    <w:rsid w:val="00F80218"/>
    <w:rsid w:val="00F80514"/>
    <w:rsid w:val="00F80746"/>
    <w:rsid w:val="00F8093D"/>
    <w:rsid w:val="00F80A7B"/>
    <w:rsid w:val="00F80A82"/>
    <w:rsid w:val="00F80A9F"/>
    <w:rsid w:val="00F80E5D"/>
    <w:rsid w:val="00F80FDE"/>
    <w:rsid w:val="00F810D6"/>
    <w:rsid w:val="00F8116C"/>
    <w:rsid w:val="00F8153C"/>
    <w:rsid w:val="00F816DE"/>
    <w:rsid w:val="00F8175C"/>
    <w:rsid w:val="00F81CE4"/>
    <w:rsid w:val="00F81E78"/>
    <w:rsid w:val="00F82246"/>
    <w:rsid w:val="00F82886"/>
    <w:rsid w:val="00F82912"/>
    <w:rsid w:val="00F8299B"/>
    <w:rsid w:val="00F82D49"/>
    <w:rsid w:val="00F82DE2"/>
    <w:rsid w:val="00F82DED"/>
    <w:rsid w:val="00F83107"/>
    <w:rsid w:val="00F834A6"/>
    <w:rsid w:val="00F83916"/>
    <w:rsid w:val="00F83A38"/>
    <w:rsid w:val="00F83BED"/>
    <w:rsid w:val="00F83F69"/>
    <w:rsid w:val="00F84273"/>
    <w:rsid w:val="00F84277"/>
    <w:rsid w:val="00F84489"/>
    <w:rsid w:val="00F84CE9"/>
    <w:rsid w:val="00F84D71"/>
    <w:rsid w:val="00F84E78"/>
    <w:rsid w:val="00F84EAB"/>
    <w:rsid w:val="00F84F4D"/>
    <w:rsid w:val="00F84F95"/>
    <w:rsid w:val="00F8504D"/>
    <w:rsid w:val="00F851CE"/>
    <w:rsid w:val="00F85E18"/>
    <w:rsid w:val="00F860EA"/>
    <w:rsid w:val="00F862CD"/>
    <w:rsid w:val="00F86385"/>
    <w:rsid w:val="00F8658E"/>
    <w:rsid w:val="00F86C7C"/>
    <w:rsid w:val="00F87383"/>
    <w:rsid w:val="00F874AF"/>
    <w:rsid w:val="00F87779"/>
    <w:rsid w:val="00F87D5D"/>
    <w:rsid w:val="00F90363"/>
    <w:rsid w:val="00F906C7"/>
    <w:rsid w:val="00F908C0"/>
    <w:rsid w:val="00F90AC5"/>
    <w:rsid w:val="00F90EF3"/>
    <w:rsid w:val="00F91087"/>
    <w:rsid w:val="00F910C2"/>
    <w:rsid w:val="00F91219"/>
    <w:rsid w:val="00F91473"/>
    <w:rsid w:val="00F914EE"/>
    <w:rsid w:val="00F916BA"/>
    <w:rsid w:val="00F91713"/>
    <w:rsid w:val="00F9174A"/>
    <w:rsid w:val="00F9193F"/>
    <w:rsid w:val="00F91C77"/>
    <w:rsid w:val="00F91CDD"/>
    <w:rsid w:val="00F91D82"/>
    <w:rsid w:val="00F91E45"/>
    <w:rsid w:val="00F92444"/>
    <w:rsid w:val="00F926B3"/>
    <w:rsid w:val="00F93387"/>
    <w:rsid w:val="00F93419"/>
    <w:rsid w:val="00F9355F"/>
    <w:rsid w:val="00F9393E"/>
    <w:rsid w:val="00F93A0C"/>
    <w:rsid w:val="00F93B4C"/>
    <w:rsid w:val="00F93B60"/>
    <w:rsid w:val="00F93BEA"/>
    <w:rsid w:val="00F94913"/>
    <w:rsid w:val="00F94CBF"/>
    <w:rsid w:val="00F94DC9"/>
    <w:rsid w:val="00F9501D"/>
    <w:rsid w:val="00F950BB"/>
    <w:rsid w:val="00F95427"/>
    <w:rsid w:val="00F95797"/>
    <w:rsid w:val="00F958A2"/>
    <w:rsid w:val="00F95FD6"/>
    <w:rsid w:val="00F960C5"/>
    <w:rsid w:val="00F962CB"/>
    <w:rsid w:val="00F96452"/>
    <w:rsid w:val="00F964E6"/>
    <w:rsid w:val="00F9664F"/>
    <w:rsid w:val="00F96A1A"/>
    <w:rsid w:val="00F96E05"/>
    <w:rsid w:val="00F96F84"/>
    <w:rsid w:val="00F96FD0"/>
    <w:rsid w:val="00F9716D"/>
    <w:rsid w:val="00F972C8"/>
    <w:rsid w:val="00F97A78"/>
    <w:rsid w:val="00FA01C9"/>
    <w:rsid w:val="00FA05DA"/>
    <w:rsid w:val="00FA0B20"/>
    <w:rsid w:val="00FA0B28"/>
    <w:rsid w:val="00FA11E9"/>
    <w:rsid w:val="00FA142B"/>
    <w:rsid w:val="00FA1EDC"/>
    <w:rsid w:val="00FA238D"/>
    <w:rsid w:val="00FA24E7"/>
    <w:rsid w:val="00FA2617"/>
    <w:rsid w:val="00FA2774"/>
    <w:rsid w:val="00FA2C80"/>
    <w:rsid w:val="00FA2EFC"/>
    <w:rsid w:val="00FA2F4C"/>
    <w:rsid w:val="00FA32C7"/>
    <w:rsid w:val="00FA335C"/>
    <w:rsid w:val="00FA358C"/>
    <w:rsid w:val="00FA4341"/>
    <w:rsid w:val="00FA4591"/>
    <w:rsid w:val="00FA4EF3"/>
    <w:rsid w:val="00FA4FDF"/>
    <w:rsid w:val="00FA5075"/>
    <w:rsid w:val="00FA5669"/>
    <w:rsid w:val="00FA56C8"/>
    <w:rsid w:val="00FA580E"/>
    <w:rsid w:val="00FA5EE6"/>
    <w:rsid w:val="00FA619B"/>
    <w:rsid w:val="00FA62E3"/>
    <w:rsid w:val="00FA6613"/>
    <w:rsid w:val="00FA6789"/>
    <w:rsid w:val="00FA70AA"/>
    <w:rsid w:val="00FA7206"/>
    <w:rsid w:val="00FA74A1"/>
    <w:rsid w:val="00FA76DB"/>
    <w:rsid w:val="00FA77E3"/>
    <w:rsid w:val="00FA7956"/>
    <w:rsid w:val="00FA7C8B"/>
    <w:rsid w:val="00FA7CEF"/>
    <w:rsid w:val="00FA7F7A"/>
    <w:rsid w:val="00FB0086"/>
    <w:rsid w:val="00FB01E2"/>
    <w:rsid w:val="00FB0571"/>
    <w:rsid w:val="00FB06A1"/>
    <w:rsid w:val="00FB0824"/>
    <w:rsid w:val="00FB08D6"/>
    <w:rsid w:val="00FB0B37"/>
    <w:rsid w:val="00FB0E9E"/>
    <w:rsid w:val="00FB0F5A"/>
    <w:rsid w:val="00FB1440"/>
    <w:rsid w:val="00FB171E"/>
    <w:rsid w:val="00FB173C"/>
    <w:rsid w:val="00FB1CC7"/>
    <w:rsid w:val="00FB1D8D"/>
    <w:rsid w:val="00FB226A"/>
    <w:rsid w:val="00FB2358"/>
    <w:rsid w:val="00FB2522"/>
    <w:rsid w:val="00FB2927"/>
    <w:rsid w:val="00FB2F1E"/>
    <w:rsid w:val="00FB2FCB"/>
    <w:rsid w:val="00FB35AC"/>
    <w:rsid w:val="00FB3897"/>
    <w:rsid w:val="00FB3B2A"/>
    <w:rsid w:val="00FB3D2A"/>
    <w:rsid w:val="00FB3F1C"/>
    <w:rsid w:val="00FB4358"/>
    <w:rsid w:val="00FB49C9"/>
    <w:rsid w:val="00FB4A60"/>
    <w:rsid w:val="00FB4C9C"/>
    <w:rsid w:val="00FB4F49"/>
    <w:rsid w:val="00FB4F85"/>
    <w:rsid w:val="00FB4F8E"/>
    <w:rsid w:val="00FB50A7"/>
    <w:rsid w:val="00FB52F4"/>
    <w:rsid w:val="00FB5370"/>
    <w:rsid w:val="00FB567E"/>
    <w:rsid w:val="00FB59EC"/>
    <w:rsid w:val="00FB5C59"/>
    <w:rsid w:val="00FB65E3"/>
    <w:rsid w:val="00FB667F"/>
    <w:rsid w:val="00FB6725"/>
    <w:rsid w:val="00FB6B33"/>
    <w:rsid w:val="00FB6FCD"/>
    <w:rsid w:val="00FB7037"/>
    <w:rsid w:val="00FB75FE"/>
    <w:rsid w:val="00FB78E9"/>
    <w:rsid w:val="00FB7C55"/>
    <w:rsid w:val="00FC059D"/>
    <w:rsid w:val="00FC0745"/>
    <w:rsid w:val="00FC0892"/>
    <w:rsid w:val="00FC0A6B"/>
    <w:rsid w:val="00FC0BE1"/>
    <w:rsid w:val="00FC0C26"/>
    <w:rsid w:val="00FC0E0E"/>
    <w:rsid w:val="00FC0F22"/>
    <w:rsid w:val="00FC1074"/>
    <w:rsid w:val="00FC116F"/>
    <w:rsid w:val="00FC1774"/>
    <w:rsid w:val="00FC1884"/>
    <w:rsid w:val="00FC1D05"/>
    <w:rsid w:val="00FC2101"/>
    <w:rsid w:val="00FC256E"/>
    <w:rsid w:val="00FC268B"/>
    <w:rsid w:val="00FC2C78"/>
    <w:rsid w:val="00FC2CCB"/>
    <w:rsid w:val="00FC3102"/>
    <w:rsid w:val="00FC371D"/>
    <w:rsid w:val="00FC38FE"/>
    <w:rsid w:val="00FC3A11"/>
    <w:rsid w:val="00FC3AB5"/>
    <w:rsid w:val="00FC3BE5"/>
    <w:rsid w:val="00FC3CE9"/>
    <w:rsid w:val="00FC3CF3"/>
    <w:rsid w:val="00FC4120"/>
    <w:rsid w:val="00FC41AB"/>
    <w:rsid w:val="00FC4377"/>
    <w:rsid w:val="00FC4488"/>
    <w:rsid w:val="00FC44F1"/>
    <w:rsid w:val="00FC45A9"/>
    <w:rsid w:val="00FC4CBF"/>
    <w:rsid w:val="00FC5012"/>
    <w:rsid w:val="00FC51EF"/>
    <w:rsid w:val="00FC5204"/>
    <w:rsid w:val="00FC5425"/>
    <w:rsid w:val="00FC544D"/>
    <w:rsid w:val="00FC55F9"/>
    <w:rsid w:val="00FC5600"/>
    <w:rsid w:val="00FC5623"/>
    <w:rsid w:val="00FC5634"/>
    <w:rsid w:val="00FC5914"/>
    <w:rsid w:val="00FC5D1E"/>
    <w:rsid w:val="00FC5DC9"/>
    <w:rsid w:val="00FC5F0B"/>
    <w:rsid w:val="00FC62AD"/>
    <w:rsid w:val="00FC6639"/>
    <w:rsid w:val="00FC6783"/>
    <w:rsid w:val="00FC6855"/>
    <w:rsid w:val="00FC6C5A"/>
    <w:rsid w:val="00FC6E56"/>
    <w:rsid w:val="00FC701A"/>
    <w:rsid w:val="00FC7207"/>
    <w:rsid w:val="00FC7267"/>
    <w:rsid w:val="00FC746C"/>
    <w:rsid w:val="00FC748C"/>
    <w:rsid w:val="00FC75A2"/>
    <w:rsid w:val="00FC78B8"/>
    <w:rsid w:val="00FC7FE0"/>
    <w:rsid w:val="00FD0294"/>
    <w:rsid w:val="00FD037F"/>
    <w:rsid w:val="00FD0B75"/>
    <w:rsid w:val="00FD0D9D"/>
    <w:rsid w:val="00FD0DE4"/>
    <w:rsid w:val="00FD0E7D"/>
    <w:rsid w:val="00FD1231"/>
    <w:rsid w:val="00FD1301"/>
    <w:rsid w:val="00FD1E44"/>
    <w:rsid w:val="00FD2100"/>
    <w:rsid w:val="00FD2301"/>
    <w:rsid w:val="00FD24A6"/>
    <w:rsid w:val="00FD24A7"/>
    <w:rsid w:val="00FD28C6"/>
    <w:rsid w:val="00FD2EF0"/>
    <w:rsid w:val="00FD2FEE"/>
    <w:rsid w:val="00FD368F"/>
    <w:rsid w:val="00FD411C"/>
    <w:rsid w:val="00FD436C"/>
    <w:rsid w:val="00FD43B6"/>
    <w:rsid w:val="00FD446D"/>
    <w:rsid w:val="00FD491A"/>
    <w:rsid w:val="00FD4A90"/>
    <w:rsid w:val="00FD4C7F"/>
    <w:rsid w:val="00FD4CB7"/>
    <w:rsid w:val="00FD4F2C"/>
    <w:rsid w:val="00FD506E"/>
    <w:rsid w:val="00FD56B3"/>
    <w:rsid w:val="00FD56FF"/>
    <w:rsid w:val="00FD58CC"/>
    <w:rsid w:val="00FD5D4D"/>
    <w:rsid w:val="00FD6076"/>
    <w:rsid w:val="00FD62DD"/>
    <w:rsid w:val="00FD6394"/>
    <w:rsid w:val="00FD66CE"/>
    <w:rsid w:val="00FD6917"/>
    <w:rsid w:val="00FD697E"/>
    <w:rsid w:val="00FD6DDA"/>
    <w:rsid w:val="00FD710F"/>
    <w:rsid w:val="00FD7136"/>
    <w:rsid w:val="00FD719D"/>
    <w:rsid w:val="00FD7277"/>
    <w:rsid w:val="00FD730B"/>
    <w:rsid w:val="00FD7585"/>
    <w:rsid w:val="00FD771F"/>
    <w:rsid w:val="00FD7868"/>
    <w:rsid w:val="00FD7A95"/>
    <w:rsid w:val="00FE006F"/>
    <w:rsid w:val="00FE0078"/>
    <w:rsid w:val="00FE02F3"/>
    <w:rsid w:val="00FE0E6C"/>
    <w:rsid w:val="00FE1692"/>
    <w:rsid w:val="00FE1869"/>
    <w:rsid w:val="00FE1A19"/>
    <w:rsid w:val="00FE1CDC"/>
    <w:rsid w:val="00FE20BD"/>
    <w:rsid w:val="00FE2435"/>
    <w:rsid w:val="00FE25A5"/>
    <w:rsid w:val="00FE25B5"/>
    <w:rsid w:val="00FE26B4"/>
    <w:rsid w:val="00FE27DB"/>
    <w:rsid w:val="00FE34A0"/>
    <w:rsid w:val="00FE37C7"/>
    <w:rsid w:val="00FE3AC4"/>
    <w:rsid w:val="00FE407F"/>
    <w:rsid w:val="00FE49AF"/>
    <w:rsid w:val="00FE4A69"/>
    <w:rsid w:val="00FE4D7F"/>
    <w:rsid w:val="00FE5118"/>
    <w:rsid w:val="00FE5126"/>
    <w:rsid w:val="00FE518B"/>
    <w:rsid w:val="00FE5342"/>
    <w:rsid w:val="00FE6414"/>
    <w:rsid w:val="00FE6759"/>
    <w:rsid w:val="00FE6770"/>
    <w:rsid w:val="00FE6AF4"/>
    <w:rsid w:val="00FE70C3"/>
    <w:rsid w:val="00FE7338"/>
    <w:rsid w:val="00FE74B0"/>
    <w:rsid w:val="00FE750D"/>
    <w:rsid w:val="00FE76B4"/>
    <w:rsid w:val="00FE7755"/>
    <w:rsid w:val="00FE78DB"/>
    <w:rsid w:val="00FE7957"/>
    <w:rsid w:val="00FE7B07"/>
    <w:rsid w:val="00FE7F0F"/>
    <w:rsid w:val="00FF058C"/>
    <w:rsid w:val="00FF08CD"/>
    <w:rsid w:val="00FF0912"/>
    <w:rsid w:val="00FF0BC7"/>
    <w:rsid w:val="00FF12EC"/>
    <w:rsid w:val="00FF151D"/>
    <w:rsid w:val="00FF1A8B"/>
    <w:rsid w:val="00FF1AFA"/>
    <w:rsid w:val="00FF1F1B"/>
    <w:rsid w:val="00FF2289"/>
    <w:rsid w:val="00FF280A"/>
    <w:rsid w:val="00FF283A"/>
    <w:rsid w:val="00FF287B"/>
    <w:rsid w:val="00FF2AD9"/>
    <w:rsid w:val="00FF2B03"/>
    <w:rsid w:val="00FF2DFC"/>
    <w:rsid w:val="00FF2E8D"/>
    <w:rsid w:val="00FF2E93"/>
    <w:rsid w:val="00FF2F36"/>
    <w:rsid w:val="00FF3022"/>
    <w:rsid w:val="00FF30D2"/>
    <w:rsid w:val="00FF3476"/>
    <w:rsid w:val="00FF359F"/>
    <w:rsid w:val="00FF3A31"/>
    <w:rsid w:val="00FF3DCF"/>
    <w:rsid w:val="00FF3E3F"/>
    <w:rsid w:val="00FF3E89"/>
    <w:rsid w:val="00FF3E8B"/>
    <w:rsid w:val="00FF3EBE"/>
    <w:rsid w:val="00FF4106"/>
    <w:rsid w:val="00FF423E"/>
    <w:rsid w:val="00FF4333"/>
    <w:rsid w:val="00FF4339"/>
    <w:rsid w:val="00FF44C2"/>
    <w:rsid w:val="00FF492C"/>
    <w:rsid w:val="00FF4A21"/>
    <w:rsid w:val="00FF4A64"/>
    <w:rsid w:val="00FF50D5"/>
    <w:rsid w:val="00FF5429"/>
    <w:rsid w:val="00FF5774"/>
    <w:rsid w:val="00FF5A06"/>
    <w:rsid w:val="00FF5AA3"/>
    <w:rsid w:val="00FF5AD8"/>
    <w:rsid w:val="00FF5B94"/>
    <w:rsid w:val="00FF5DC0"/>
    <w:rsid w:val="00FF5ED6"/>
    <w:rsid w:val="00FF6219"/>
    <w:rsid w:val="00FF6369"/>
    <w:rsid w:val="00FF65B6"/>
    <w:rsid w:val="00FF65D2"/>
    <w:rsid w:val="00FF66B7"/>
    <w:rsid w:val="00FF6782"/>
    <w:rsid w:val="00FF6824"/>
    <w:rsid w:val="00FF6A30"/>
    <w:rsid w:val="00FF6B6A"/>
    <w:rsid w:val="00FF6D16"/>
    <w:rsid w:val="00FF7962"/>
    <w:rsid w:val="00FF7B1A"/>
    <w:rsid w:val="00FF7D80"/>
    <w:rsid w:val="0161A7AD"/>
    <w:rsid w:val="01627633"/>
    <w:rsid w:val="0185433B"/>
    <w:rsid w:val="01AAC1C9"/>
    <w:rsid w:val="0284E63B"/>
    <w:rsid w:val="029C37C2"/>
    <w:rsid w:val="02A552D7"/>
    <w:rsid w:val="02B5A86B"/>
    <w:rsid w:val="02D78706"/>
    <w:rsid w:val="02F00027"/>
    <w:rsid w:val="032DB7BB"/>
    <w:rsid w:val="037C5D84"/>
    <w:rsid w:val="03990648"/>
    <w:rsid w:val="039ACDAC"/>
    <w:rsid w:val="03B1DC20"/>
    <w:rsid w:val="03DB8A5D"/>
    <w:rsid w:val="03F141C8"/>
    <w:rsid w:val="03F3038D"/>
    <w:rsid w:val="041866C7"/>
    <w:rsid w:val="043EE79C"/>
    <w:rsid w:val="04701A61"/>
    <w:rsid w:val="0497F0BD"/>
    <w:rsid w:val="04F53C34"/>
    <w:rsid w:val="05792A9E"/>
    <w:rsid w:val="057AB251"/>
    <w:rsid w:val="059E92DC"/>
    <w:rsid w:val="05CC9E33"/>
    <w:rsid w:val="05E70DCD"/>
    <w:rsid w:val="063B4EEC"/>
    <w:rsid w:val="0662E485"/>
    <w:rsid w:val="06C1FC25"/>
    <w:rsid w:val="073D5D85"/>
    <w:rsid w:val="0779B121"/>
    <w:rsid w:val="07921010"/>
    <w:rsid w:val="0836AA70"/>
    <w:rsid w:val="08425CE9"/>
    <w:rsid w:val="08701E9D"/>
    <w:rsid w:val="0873B1FC"/>
    <w:rsid w:val="08A1C7BA"/>
    <w:rsid w:val="08B255BC"/>
    <w:rsid w:val="08BE78BB"/>
    <w:rsid w:val="08BE9168"/>
    <w:rsid w:val="08D14980"/>
    <w:rsid w:val="08E6F6A7"/>
    <w:rsid w:val="091ECDDA"/>
    <w:rsid w:val="0988CC40"/>
    <w:rsid w:val="09DADC34"/>
    <w:rsid w:val="0A33BFE4"/>
    <w:rsid w:val="0AAE5B46"/>
    <w:rsid w:val="0AC1FE5F"/>
    <w:rsid w:val="0AC5076B"/>
    <w:rsid w:val="0AEB34F2"/>
    <w:rsid w:val="0AF66295"/>
    <w:rsid w:val="0B1F0C3A"/>
    <w:rsid w:val="0B257654"/>
    <w:rsid w:val="0B38A556"/>
    <w:rsid w:val="0B723240"/>
    <w:rsid w:val="0B833840"/>
    <w:rsid w:val="0C6CEEFB"/>
    <w:rsid w:val="0CB68EA2"/>
    <w:rsid w:val="0D108448"/>
    <w:rsid w:val="0E06BAA1"/>
    <w:rsid w:val="0E2DECEC"/>
    <w:rsid w:val="0E2E5DE5"/>
    <w:rsid w:val="0E982933"/>
    <w:rsid w:val="0EF8F3D5"/>
    <w:rsid w:val="0EFB6873"/>
    <w:rsid w:val="0F3061C6"/>
    <w:rsid w:val="0F9E7026"/>
    <w:rsid w:val="0FD46695"/>
    <w:rsid w:val="0FDD26BE"/>
    <w:rsid w:val="10735F54"/>
    <w:rsid w:val="10821F15"/>
    <w:rsid w:val="10B2F1D7"/>
    <w:rsid w:val="10B71FCD"/>
    <w:rsid w:val="10EE5DC0"/>
    <w:rsid w:val="1127D4D5"/>
    <w:rsid w:val="114D4D1A"/>
    <w:rsid w:val="115434A0"/>
    <w:rsid w:val="11D017A2"/>
    <w:rsid w:val="11D0BAE4"/>
    <w:rsid w:val="120D6B09"/>
    <w:rsid w:val="12659A72"/>
    <w:rsid w:val="12B678A2"/>
    <w:rsid w:val="1303E8A2"/>
    <w:rsid w:val="131B5A28"/>
    <w:rsid w:val="13259327"/>
    <w:rsid w:val="1333D51A"/>
    <w:rsid w:val="134701C3"/>
    <w:rsid w:val="134B6439"/>
    <w:rsid w:val="1363FB73"/>
    <w:rsid w:val="13A0B369"/>
    <w:rsid w:val="13ABE8CA"/>
    <w:rsid w:val="13BC7D4C"/>
    <w:rsid w:val="13E3D0AD"/>
    <w:rsid w:val="13F6F74B"/>
    <w:rsid w:val="1424BBB1"/>
    <w:rsid w:val="145B5588"/>
    <w:rsid w:val="148C2972"/>
    <w:rsid w:val="14D07CA6"/>
    <w:rsid w:val="14E5559E"/>
    <w:rsid w:val="14E6BFF1"/>
    <w:rsid w:val="152F4340"/>
    <w:rsid w:val="15359641"/>
    <w:rsid w:val="157D38AE"/>
    <w:rsid w:val="158B9CE8"/>
    <w:rsid w:val="15BCABCC"/>
    <w:rsid w:val="15F1E1DE"/>
    <w:rsid w:val="160B3871"/>
    <w:rsid w:val="165674B7"/>
    <w:rsid w:val="16CA7818"/>
    <w:rsid w:val="16E654AF"/>
    <w:rsid w:val="173A9EAC"/>
    <w:rsid w:val="173CEB2E"/>
    <w:rsid w:val="174C0532"/>
    <w:rsid w:val="175327AA"/>
    <w:rsid w:val="178740D9"/>
    <w:rsid w:val="186177C4"/>
    <w:rsid w:val="186B81FD"/>
    <w:rsid w:val="186DAE85"/>
    <w:rsid w:val="187ECC01"/>
    <w:rsid w:val="18853186"/>
    <w:rsid w:val="188693FB"/>
    <w:rsid w:val="1890E943"/>
    <w:rsid w:val="18B1239F"/>
    <w:rsid w:val="18B406CB"/>
    <w:rsid w:val="18DEBD1F"/>
    <w:rsid w:val="1915EBE7"/>
    <w:rsid w:val="196DFDC6"/>
    <w:rsid w:val="19A100A8"/>
    <w:rsid w:val="19B2CDBB"/>
    <w:rsid w:val="1A3BB930"/>
    <w:rsid w:val="1A3BE3AF"/>
    <w:rsid w:val="1ACCAB40"/>
    <w:rsid w:val="1B2C7A37"/>
    <w:rsid w:val="1B54A285"/>
    <w:rsid w:val="1B65FC3C"/>
    <w:rsid w:val="1B98B97C"/>
    <w:rsid w:val="1C0AAFF9"/>
    <w:rsid w:val="1CB6F09F"/>
    <w:rsid w:val="1CC0699A"/>
    <w:rsid w:val="1CC0A8BA"/>
    <w:rsid w:val="1CE79CB2"/>
    <w:rsid w:val="1CF7CCDA"/>
    <w:rsid w:val="1D251501"/>
    <w:rsid w:val="1D2A5291"/>
    <w:rsid w:val="1D4287F5"/>
    <w:rsid w:val="1D486D3C"/>
    <w:rsid w:val="1D6C3B50"/>
    <w:rsid w:val="1D91796E"/>
    <w:rsid w:val="1E3A5229"/>
    <w:rsid w:val="1EC98886"/>
    <w:rsid w:val="1EE7E216"/>
    <w:rsid w:val="1F11A38E"/>
    <w:rsid w:val="1F1F82E1"/>
    <w:rsid w:val="1F923081"/>
    <w:rsid w:val="1FC596D8"/>
    <w:rsid w:val="1FCD770E"/>
    <w:rsid w:val="202C590F"/>
    <w:rsid w:val="204E3548"/>
    <w:rsid w:val="206D34B1"/>
    <w:rsid w:val="2090437C"/>
    <w:rsid w:val="20A4867F"/>
    <w:rsid w:val="20BBEC18"/>
    <w:rsid w:val="20E7A46A"/>
    <w:rsid w:val="21217474"/>
    <w:rsid w:val="212F5DC2"/>
    <w:rsid w:val="213C67DC"/>
    <w:rsid w:val="21500832"/>
    <w:rsid w:val="21E239DD"/>
    <w:rsid w:val="220B7C5E"/>
    <w:rsid w:val="221C09CE"/>
    <w:rsid w:val="22294197"/>
    <w:rsid w:val="224471CA"/>
    <w:rsid w:val="2250C20A"/>
    <w:rsid w:val="231555D2"/>
    <w:rsid w:val="235E0F27"/>
    <w:rsid w:val="238BB5E5"/>
    <w:rsid w:val="2393443D"/>
    <w:rsid w:val="2438E1B4"/>
    <w:rsid w:val="243D632B"/>
    <w:rsid w:val="2462E34B"/>
    <w:rsid w:val="247A5912"/>
    <w:rsid w:val="249D515F"/>
    <w:rsid w:val="24B888B5"/>
    <w:rsid w:val="24B94F46"/>
    <w:rsid w:val="24F56AAE"/>
    <w:rsid w:val="253E39AA"/>
    <w:rsid w:val="254E540D"/>
    <w:rsid w:val="25614DD6"/>
    <w:rsid w:val="25811659"/>
    <w:rsid w:val="25EAE1F2"/>
    <w:rsid w:val="260DB43D"/>
    <w:rsid w:val="26B8DA24"/>
    <w:rsid w:val="26BE0C46"/>
    <w:rsid w:val="26DE65B0"/>
    <w:rsid w:val="27079BED"/>
    <w:rsid w:val="2715A188"/>
    <w:rsid w:val="27BAF5C9"/>
    <w:rsid w:val="27CEAD28"/>
    <w:rsid w:val="27CFF59B"/>
    <w:rsid w:val="27F06E35"/>
    <w:rsid w:val="280499B5"/>
    <w:rsid w:val="281F02EF"/>
    <w:rsid w:val="282E93B4"/>
    <w:rsid w:val="28533011"/>
    <w:rsid w:val="28B51BF0"/>
    <w:rsid w:val="28C760E0"/>
    <w:rsid w:val="290813C5"/>
    <w:rsid w:val="294289ED"/>
    <w:rsid w:val="2959DC1B"/>
    <w:rsid w:val="299D4D27"/>
    <w:rsid w:val="29BF14EF"/>
    <w:rsid w:val="29C813D2"/>
    <w:rsid w:val="2A140C3C"/>
    <w:rsid w:val="2A1C33A0"/>
    <w:rsid w:val="2A711782"/>
    <w:rsid w:val="2A8FD8F0"/>
    <w:rsid w:val="2AA9A26C"/>
    <w:rsid w:val="2B03130C"/>
    <w:rsid w:val="2BC5B490"/>
    <w:rsid w:val="2C4AE20C"/>
    <w:rsid w:val="2C52F065"/>
    <w:rsid w:val="2C5F1C25"/>
    <w:rsid w:val="2C6FFC21"/>
    <w:rsid w:val="2C7C8AF6"/>
    <w:rsid w:val="2C7EBFCD"/>
    <w:rsid w:val="2CCB8FED"/>
    <w:rsid w:val="2D041978"/>
    <w:rsid w:val="2D0F4394"/>
    <w:rsid w:val="2D59E8FC"/>
    <w:rsid w:val="2D6D4E34"/>
    <w:rsid w:val="2D6FAB1C"/>
    <w:rsid w:val="2D7787CB"/>
    <w:rsid w:val="2DBEE2FC"/>
    <w:rsid w:val="2DF36E35"/>
    <w:rsid w:val="2E33986D"/>
    <w:rsid w:val="2E454077"/>
    <w:rsid w:val="2E8ECD59"/>
    <w:rsid w:val="2E9A921C"/>
    <w:rsid w:val="2EB47945"/>
    <w:rsid w:val="2F35863D"/>
    <w:rsid w:val="2F3CBDE4"/>
    <w:rsid w:val="2F4AAD27"/>
    <w:rsid w:val="2F4ADD05"/>
    <w:rsid w:val="2FF1F353"/>
    <w:rsid w:val="2FF8B731"/>
    <w:rsid w:val="3046FD30"/>
    <w:rsid w:val="307E5A02"/>
    <w:rsid w:val="308DE2B6"/>
    <w:rsid w:val="30FEA5D2"/>
    <w:rsid w:val="31349764"/>
    <w:rsid w:val="319BB1DC"/>
    <w:rsid w:val="31CE3430"/>
    <w:rsid w:val="321782C8"/>
    <w:rsid w:val="324F2B5E"/>
    <w:rsid w:val="325323BB"/>
    <w:rsid w:val="32AE518D"/>
    <w:rsid w:val="32D79263"/>
    <w:rsid w:val="32F48681"/>
    <w:rsid w:val="336DBB10"/>
    <w:rsid w:val="3372A498"/>
    <w:rsid w:val="33E9C71A"/>
    <w:rsid w:val="34240832"/>
    <w:rsid w:val="348EFD1E"/>
    <w:rsid w:val="34A69337"/>
    <w:rsid w:val="34D46307"/>
    <w:rsid w:val="35053CF6"/>
    <w:rsid w:val="350EF985"/>
    <w:rsid w:val="350F5EE8"/>
    <w:rsid w:val="353F8D40"/>
    <w:rsid w:val="3560634A"/>
    <w:rsid w:val="35622505"/>
    <w:rsid w:val="35A46EB9"/>
    <w:rsid w:val="35CA12F5"/>
    <w:rsid w:val="3666A117"/>
    <w:rsid w:val="366A2047"/>
    <w:rsid w:val="368A6A27"/>
    <w:rsid w:val="36ECC7E2"/>
    <w:rsid w:val="36FF4325"/>
    <w:rsid w:val="37AED0EB"/>
    <w:rsid w:val="37C0B19C"/>
    <w:rsid w:val="37D207D1"/>
    <w:rsid w:val="380D1D17"/>
    <w:rsid w:val="38156C95"/>
    <w:rsid w:val="38370D73"/>
    <w:rsid w:val="387169BB"/>
    <w:rsid w:val="389050FC"/>
    <w:rsid w:val="38DFDBAD"/>
    <w:rsid w:val="39678494"/>
    <w:rsid w:val="39682BED"/>
    <w:rsid w:val="39D7C30D"/>
    <w:rsid w:val="39EEA98C"/>
    <w:rsid w:val="3A1D11B6"/>
    <w:rsid w:val="3A254535"/>
    <w:rsid w:val="3A322E34"/>
    <w:rsid w:val="3A544B5B"/>
    <w:rsid w:val="3A70A448"/>
    <w:rsid w:val="3A74FF4D"/>
    <w:rsid w:val="3A9A6442"/>
    <w:rsid w:val="3B85E480"/>
    <w:rsid w:val="3BDD7CB0"/>
    <w:rsid w:val="3BDEA59A"/>
    <w:rsid w:val="3BF1886B"/>
    <w:rsid w:val="3BFC1A12"/>
    <w:rsid w:val="3C4E3793"/>
    <w:rsid w:val="3C610647"/>
    <w:rsid w:val="3C6ED937"/>
    <w:rsid w:val="3C8A721F"/>
    <w:rsid w:val="3C90B22D"/>
    <w:rsid w:val="3C961244"/>
    <w:rsid w:val="3CC42F92"/>
    <w:rsid w:val="3D015C0C"/>
    <w:rsid w:val="3D0E3B36"/>
    <w:rsid w:val="3D2124F5"/>
    <w:rsid w:val="3D54E2B1"/>
    <w:rsid w:val="3D7C612A"/>
    <w:rsid w:val="3D8FBA57"/>
    <w:rsid w:val="3DBC88BF"/>
    <w:rsid w:val="3DCCD1D5"/>
    <w:rsid w:val="3DCD2F57"/>
    <w:rsid w:val="3DF3D97B"/>
    <w:rsid w:val="3E34CE6C"/>
    <w:rsid w:val="3E4BD9D7"/>
    <w:rsid w:val="3ED1E934"/>
    <w:rsid w:val="3ED67E52"/>
    <w:rsid w:val="3F203D58"/>
    <w:rsid w:val="3F2AF873"/>
    <w:rsid w:val="3F369F97"/>
    <w:rsid w:val="3F640224"/>
    <w:rsid w:val="3F92A79C"/>
    <w:rsid w:val="3FF6B4DD"/>
    <w:rsid w:val="3FFF8B05"/>
    <w:rsid w:val="408183D9"/>
    <w:rsid w:val="41420E28"/>
    <w:rsid w:val="41581512"/>
    <w:rsid w:val="41BAFFD8"/>
    <w:rsid w:val="4202ACA5"/>
    <w:rsid w:val="422D461C"/>
    <w:rsid w:val="42CC9A51"/>
    <w:rsid w:val="42D1F222"/>
    <w:rsid w:val="43237FB0"/>
    <w:rsid w:val="4363BBB3"/>
    <w:rsid w:val="43A0927D"/>
    <w:rsid w:val="43AB2FF7"/>
    <w:rsid w:val="43EDB065"/>
    <w:rsid w:val="440097E8"/>
    <w:rsid w:val="44018D84"/>
    <w:rsid w:val="442BCA1C"/>
    <w:rsid w:val="44D0BC24"/>
    <w:rsid w:val="44F16DD3"/>
    <w:rsid w:val="45485CFD"/>
    <w:rsid w:val="45754864"/>
    <w:rsid w:val="465C311F"/>
    <w:rsid w:val="466AE39F"/>
    <w:rsid w:val="46A0E66F"/>
    <w:rsid w:val="46D06DE3"/>
    <w:rsid w:val="46E90AFC"/>
    <w:rsid w:val="46EC6D87"/>
    <w:rsid w:val="471D2171"/>
    <w:rsid w:val="47274388"/>
    <w:rsid w:val="475B8ACB"/>
    <w:rsid w:val="476E7BA8"/>
    <w:rsid w:val="47AC9112"/>
    <w:rsid w:val="47D5716A"/>
    <w:rsid w:val="47D57A8C"/>
    <w:rsid w:val="47DF2F8E"/>
    <w:rsid w:val="483C87BE"/>
    <w:rsid w:val="4843BB4A"/>
    <w:rsid w:val="4888C7ED"/>
    <w:rsid w:val="48BCB5B8"/>
    <w:rsid w:val="494FC6D1"/>
    <w:rsid w:val="49589F02"/>
    <w:rsid w:val="496D0F28"/>
    <w:rsid w:val="4976A969"/>
    <w:rsid w:val="49A7A81B"/>
    <w:rsid w:val="49B2B2F1"/>
    <w:rsid w:val="49F4BA91"/>
    <w:rsid w:val="49FB5599"/>
    <w:rsid w:val="4A1B0E0C"/>
    <w:rsid w:val="4A379F04"/>
    <w:rsid w:val="4A7029D5"/>
    <w:rsid w:val="4A7BC475"/>
    <w:rsid w:val="4A9F42FE"/>
    <w:rsid w:val="4AA0687D"/>
    <w:rsid w:val="4AA4796D"/>
    <w:rsid w:val="4AB4BC13"/>
    <w:rsid w:val="4AE472B0"/>
    <w:rsid w:val="4B1E8D2C"/>
    <w:rsid w:val="4B1FE6DF"/>
    <w:rsid w:val="4B278631"/>
    <w:rsid w:val="4B8946D3"/>
    <w:rsid w:val="4BFE2F52"/>
    <w:rsid w:val="4C83C94F"/>
    <w:rsid w:val="4CF1011D"/>
    <w:rsid w:val="4D0460F0"/>
    <w:rsid w:val="4D086D5A"/>
    <w:rsid w:val="4D74B1A6"/>
    <w:rsid w:val="4DBED254"/>
    <w:rsid w:val="4DF4CDA4"/>
    <w:rsid w:val="4E22A04A"/>
    <w:rsid w:val="4E7147BF"/>
    <w:rsid w:val="4EFFC8DD"/>
    <w:rsid w:val="4F1D239F"/>
    <w:rsid w:val="4F3E3B49"/>
    <w:rsid w:val="4F44FB37"/>
    <w:rsid w:val="4FAA0BB2"/>
    <w:rsid w:val="4FBFF0FB"/>
    <w:rsid w:val="5011661F"/>
    <w:rsid w:val="501961B3"/>
    <w:rsid w:val="5070972A"/>
    <w:rsid w:val="50ADF778"/>
    <w:rsid w:val="510CF135"/>
    <w:rsid w:val="51222B0C"/>
    <w:rsid w:val="513A3199"/>
    <w:rsid w:val="5155CB7D"/>
    <w:rsid w:val="519BFB00"/>
    <w:rsid w:val="51EEF85F"/>
    <w:rsid w:val="523E78B6"/>
    <w:rsid w:val="5240EE64"/>
    <w:rsid w:val="526D07ED"/>
    <w:rsid w:val="526D9C80"/>
    <w:rsid w:val="5297E112"/>
    <w:rsid w:val="537FBD81"/>
    <w:rsid w:val="538133E8"/>
    <w:rsid w:val="5460E0EE"/>
    <w:rsid w:val="54F18931"/>
    <w:rsid w:val="5500DB34"/>
    <w:rsid w:val="553C2448"/>
    <w:rsid w:val="554A2B1A"/>
    <w:rsid w:val="559846A1"/>
    <w:rsid w:val="55BA4209"/>
    <w:rsid w:val="55E020F4"/>
    <w:rsid w:val="55F29FE3"/>
    <w:rsid w:val="56107BE1"/>
    <w:rsid w:val="5676B5F4"/>
    <w:rsid w:val="5678DFD4"/>
    <w:rsid w:val="574123A4"/>
    <w:rsid w:val="5773AF4E"/>
    <w:rsid w:val="57C65454"/>
    <w:rsid w:val="57E2949D"/>
    <w:rsid w:val="584C747C"/>
    <w:rsid w:val="58A2B74F"/>
    <w:rsid w:val="58DBC0B4"/>
    <w:rsid w:val="58FA3C52"/>
    <w:rsid w:val="59243485"/>
    <w:rsid w:val="592EA996"/>
    <w:rsid w:val="593B26E1"/>
    <w:rsid w:val="5952DC31"/>
    <w:rsid w:val="5981B743"/>
    <w:rsid w:val="59944467"/>
    <w:rsid w:val="59A021BD"/>
    <w:rsid w:val="59A0472E"/>
    <w:rsid w:val="59B28A2A"/>
    <w:rsid w:val="59C5FF02"/>
    <w:rsid w:val="59D277E6"/>
    <w:rsid w:val="59F4C4E9"/>
    <w:rsid w:val="5A2D607B"/>
    <w:rsid w:val="5A39E57B"/>
    <w:rsid w:val="5A5C86F8"/>
    <w:rsid w:val="5AA56FD0"/>
    <w:rsid w:val="5AE76567"/>
    <w:rsid w:val="5B349D89"/>
    <w:rsid w:val="5B3CFF51"/>
    <w:rsid w:val="5B57126A"/>
    <w:rsid w:val="5B5AD8AE"/>
    <w:rsid w:val="5B7FD5BF"/>
    <w:rsid w:val="5C09362E"/>
    <w:rsid w:val="5C138DD1"/>
    <w:rsid w:val="5C48F1E3"/>
    <w:rsid w:val="5C54FADC"/>
    <w:rsid w:val="5CDA291F"/>
    <w:rsid w:val="5D172879"/>
    <w:rsid w:val="5D8FF16F"/>
    <w:rsid w:val="5D963651"/>
    <w:rsid w:val="5DA63A6E"/>
    <w:rsid w:val="5DAB318D"/>
    <w:rsid w:val="5DB2B43F"/>
    <w:rsid w:val="5DF1FC3D"/>
    <w:rsid w:val="5E0CD2A4"/>
    <w:rsid w:val="5E211439"/>
    <w:rsid w:val="5E5904EF"/>
    <w:rsid w:val="5E747FD3"/>
    <w:rsid w:val="5EAA17C7"/>
    <w:rsid w:val="5EEFB973"/>
    <w:rsid w:val="5EF5EEBD"/>
    <w:rsid w:val="5F665CA1"/>
    <w:rsid w:val="5F6BBCB2"/>
    <w:rsid w:val="602C5AC3"/>
    <w:rsid w:val="6049D56B"/>
    <w:rsid w:val="60DB0DD8"/>
    <w:rsid w:val="610EF81B"/>
    <w:rsid w:val="612DC76D"/>
    <w:rsid w:val="6176570E"/>
    <w:rsid w:val="61EE9F21"/>
    <w:rsid w:val="61F6ABB6"/>
    <w:rsid w:val="628EB96E"/>
    <w:rsid w:val="63001E98"/>
    <w:rsid w:val="63A6AED7"/>
    <w:rsid w:val="63D15F87"/>
    <w:rsid w:val="63F458E8"/>
    <w:rsid w:val="642E1481"/>
    <w:rsid w:val="644E3F83"/>
    <w:rsid w:val="6451AB25"/>
    <w:rsid w:val="648E0150"/>
    <w:rsid w:val="64EDCB00"/>
    <w:rsid w:val="64F9ACE6"/>
    <w:rsid w:val="64FB7C0A"/>
    <w:rsid w:val="659BF737"/>
    <w:rsid w:val="65B95E4E"/>
    <w:rsid w:val="65BD8BC1"/>
    <w:rsid w:val="65CB989E"/>
    <w:rsid w:val="65E27E3C"/>
    <w:rsid w:val="65F3EEF0"/>
    <w:rsid w:val="6682A46D"/>
    <w:rsid w:val="6697EF1D"/>
    <w:rsid w:val="67641C42"/>
    <w:rsid w:val="6773CC91"/>
    <w:rsid w:val="6787F1AE"/>
    <w:rsid w:val="67E25B47"/>
    <w:rsid w:val="67ECD39E"/>
    <w:rsid w:val="68368AE0"/>
    <w:rsid w:val="686677A1"/>
    <w:rsid w:val="68709F88"/>
    <w:rsid w:val="68A8889E"/>
    <w:rsid w:val="68E3F9EA"/>
    <w:rsid w:val="6918E3EC"/>
    <w:rsid w:val="6921FADB"/>
    <w:rsid w:val="6929F399"/>
    <w:rsid w:val="69332DD8"/>
    <w:rsid w:val="69692C7C"/>
    <w:rsid w:val="69BD6C6F"/>
    <w:rsid w:val="6A282BA6"/>
    <w:rsid w:val="6A4CC210"/>
    <w:rsid w:val="6A4F9626"/>
    <w:rsid w:val="6A60BC2F"/>
    <w:rsid w:val="6A6BED63"/>
    <w:rsid w:val="6ADF09E0"/>
    <w:rsid w:val="6AFE5CB7"/>
    <w:rsid w:val="6B103324"/>
    <w:rsid w:val="6C8DC8DC"/>
    <w:rsid w:val="6C91AEA8"/>
    <w:rsid w:val="6D07E215"/>
    <w:rsid w:val="6D100C06"/>
    <w:rsid w:val="6D2ABA5B"/>
    <w:rsid w:val="6D37DDB7"/>
    <w:rsid w:val="6D7AF653"/>
    <w:rsid w:val="6D7FBE5F"/>
    <w:rsid w:val="6D99252E"/>
    <w:rsid w:val="6DB56FD3"/>
    <w:rsid w:val="6DC4E865"/>
    <w:rsid w:val="6DD6B963"/>
    <w:rsid w:val="6E766202"/>
    <w:rsid w:val="6E9D918A"/>
    <w:rsid w:val="6F5A9448"/>
    <w:rsid w:val="6F964162"/>
    <w:rsid w:val="6FB9F6C8"/>
    <w:rsid w:val="6FCBCE7C"/>
    <w:rsid w:val="6FFB70CF"/>
    <w:rsid w:val="702C61BA"/>
    <w:rsid w:val="70786B6F"/>
    <w:rsid w:val="709040BF"/>
    <w:rsid w:val="70F7AE7C"/>
    <w:rsid w:val="710E0E0E"/>
    <w:rsid w:val="710E6232"/>
    <w:rsid w:val="71240EE6"/>
    <w:rsid w:val="718EC5C2"/>
    <w:rsid w:val="71C388EF"/>
    <w:rsid w:val="71FA3270"/>
    <w:rsid w:val="724007BB"/>
    <w:rsid w:val="728A8F7D"/>
    <w:rsid w:val="72C7526E"/>
    <w:rsid w:val="73475E56"/>
    <w:rsid w:val="73704D35"/>
    <w:rsid w:val="73796149"/>
    <w:rsid w:val="73C6FA88"/>
    <w:rsid w:val="73CE3D22"/>
    <w:rsid w:val="741A9562"/>
    <w:rsid w:val="7430CA3D"/>
    <w:rsid w:val="7491AB1B"/>
    <w:rsid w:val="754C4E10"/>
    <w:rsid w:val="75A2F03F"/>
    <w:rsid w:val="75BAED58"/>
    <w:rsid w:val="75E58980"/>
    <w:rsid w:val="7611B830"/>
    <w:rsid w:val="762F214B"/>
    <w:rsid w:val="7645E433"/>
    <w:rsid w:val="76599625"/>
    <w:rsid w:val="7686695E"/>
    <w:rsid w:val="76A46322"/>
    <w:rsid w:val="76C29D87"/>
    <w:rsid w:val="76F8C23E"/>
    <w:rsid w:val="7714A1BE"/>
    <w:rsid w:val="7721EAD6"/>
    <w:rsid w:val="776E8A13"/>
    <w:rsid w:val="77CC3D52"/>
    <w:rsid w:val="780CA51B"/>
    <w:rsid w:val="785EE572"/>
    <w:rsid w:val="78777A7A"/>
    <w:rsid w:val="78F5FA11"/>
    <w:rsid w:val="79585CB0"/>
    <w:rsid w:val="797B1D38"/>
    <w:rsid w:val="79961DAB"/>
    <w:rsid w:val="79B97D14"/>
    <w:rsid w:val="79CA0C93"/>
    <w:rsid w:val="79EEA28E"/>
    <w:rsid w:val="7A1DEC4B"/>
    <w:rsid w:val="7A25ED3F"/>
    <w:rsid w:val="7A4222A5"/>
    <w:rsid w:val="7A55E7BD"/>
    <w:rsid w:val="7A577EC1"/>
    <w:rsid w:val="7A866E45"/>
    <w:rsid w:val="7B4D0F1E"/>
    <w:rsid w:val="7B603EBA"/>
    <w:rsid w:val="7B63F081"/>
    <w:rsid w:val="7B8CD1E3"/>
    <w:rsid w:val="7B97009F"/>
    <w:rsid w:val="7BE33DC0"/>
    <w:rsid w:val="7BEB06E4"/>
    <w:rsid w:val="7C19B23E"/>
    <w:rsid w:val="7C200C66"/>
    <w:rsid w:val="7C2C68E5"/>
    <w:rsid w:val="7CBCE5C1"/>
    <w:rsid w:val="7CF4C162"/>
    <w:rsid w:val="7D2F8886"/>
    <w:rsid w:val="7D402367"/>
    <w:rsid w:val="7D4F03BE"/>
    <w:rsid w:val="7D64E1F9"/>
    <w:rsid w:val="7D6D6625"/>
    <w:rsid w:val="7D798131"/>
    <w:rsid w:val="7D7D9518"/>
    <w:rsid w:val="7DBC083D"/>
    <w:rsid w:val="7DC17AE2"/>
    <w:rsid w:val="7E1FD994"/>
    <w:rsid w:val="7E53AAC4"/>
    <w:rsid w:val="7E5AC30D"/>
    <w:rsid w:val="7EB2CC12"/>
    <w:rsid w:val="7ED3EEA8"/>
    <w:rsid w:val="7F575E16"/>
    <w:rsid w:val="7F653D21"/>
    <w:rsid w:val="7F909797"/>
    <w:rsid w:val="7FCB49BC"/>
    <w:rsid w:val="7FE4500F"/>
    <w:rsid w:val="7FFC9A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4.1,Caption Char1 Char,Caption Char Char Char,Caption Char1 Char Char Char,Caption Char Char Char Char Char,Caption Char Char1 Char,Caption Char1 Char1,Caption Char Char Char1,Caption Char1,Caption Char Char,Bayer Caption,IB Caption,c,Char"/>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Table 4.1 Char,Caption Char1 Char Char,Caption Char Char Char Char,Caption Char1 Char Char Char Char,Caption Char Char Char Char Char Char,Caption Char Char1 Char Char,Caption Char1 Char1 Char,Caption Char Char Char1 Char,Bayer Caption Char"/>
    <w:link w:val="Caption"/>
    <w:uiPriority w:val="35"/>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Bullet 1"/>
    <w:link w:val="ListParagraphChar"/>
    <w:uiPriority w:val="34"/>
    <w:qFormat/>
    <w:rsid w:val="00AF4A63"/>
    <w:pPr>
      <w:numPr>
        <w:numId w:val="4"/>
      </w:numPr>
      <w:spacing w:after="120"/>
      <w:ind w:left="108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AF4A6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Header Table,NICE instructions,Source table_,MSD Table Grid,HTAtableplain,HealthConsult"/>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D92D9D"/>
    <w:pPr>
      <w:keepNext/>
      <w:keepLines/>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265DDC"/>
    <w:pPr>
      <w:keepNext/>
      <w:keepLines/>
      <w:jc w:val="center"/>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EF4C49"/>
    <w:pPr>
      <w:numPr>
        <w:ilvl w:val="1"/>
        <w:numId w:val="5"/>
      </w:numPr>
      <w:spacing w:after="120"/>
      <w:ind w:left="720"/>
      <w:jc w:val="both"/>
    </w:pPr>
    <w:rPr>
      <w:rFonts w:ascii="Calibri" w:eastAsia="Calibri" w:hAnsi="Calibri" w:cstheme="minorBidi"/>
      <w:iCs/>
      <w:sz w:val="24"/>
      <w:szCs w:val="22"/>
    </w:rPr>
  </w:style>
  <w:style w:type="character" w:customStyle="1" w:styleId="3-BodyTextChar">
    <w:name w:val="3-Body Text Char"/>
    <w:basedOn w:val="ListParagraphChar"/>
    <w:link w:val="3-BodyText"/>
    <w:rsid w:val="00EF4C49"/>
    <w:rPr>
      <w:rFonts w:ascii="Calibri" w:eastAsia="Calibri" w:hAnsi="Calibri" w:cstheme="minorBidi"/>
      <w:iCs/>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D92D9D"/>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3"/>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AD07E3"/>
    <w:pPr>
      <w:keepLines/>
      <w:spacing w:after="120"/>
      <w:contextualSpacing/>
    </w:pPr>
    <w:rPr>
      <w:rFonts w:ascii="Arial Narrow" w:hAnsi="Arial Narrow"/>
      <w:snapToGrid w:val="0"/>
      <w:sz w:val="18"/>
      <w:szCs w:val="18"/>
    </w:rPr>
  </w:style>
  <w:style w:type="character" w:customStyle="1" w:styleId="TableFigureFooterChar">
    <w:name w:val="Table/Figure Footer Char"/>
    <w:link w:val="TableFigureFooter"/>
    <w:rsid w:val="00AD07E3"/>
    <w:rPr>
      <w:rFonts w:ascii="Arial Narrow" w:hAnsi="Arial Narrow" w:cs="Arial"/>
      <w:snapToGrid w:val="0"/>
      <w:sz w:val="18"/>
      <w:szCs w:val="18"/>
    </w:rPr>
  </w:style>
  <w:style w:type="paragraph" w:styleId="FootnoteText">
    <w:name w:val="footnote text"/>
    <w:basedOn w:val="Normal"/>
    <w:link w:val="FootnoteTextChar"/>
    <w:semiHidden/>
    <w:unhideWhenUsed/>
    <w:rsid w:val="0066440E"/>
    <w:rPr>
      <w:sz w:val="20"/>
      <w:szCs w:val="20"/>
    </w:rPr>
  </w:style>
  <w:style w:type="character" w:customStyle="1" w:styleId="FootnoteTextChar">
    <w:name w:val="Footnote Text Char"/>
    <w:basedOn w:val="DefaultParagraphFont"/>
    <w:link w:val="FootnoteText"/>
    <w:semiHidden/>
    <w:rsid w:val="0066440E"/>
    <w:rPr>
      <w:rFonts w:ascii="Calibri" w:hAnsi="Calibri" w:cs="Arial"/>
    </w:rPr>
  </w:style>
  <w:style w:type="character" w:styleId="FootnoteReference">
    <w:name w:val="footnote reference"/>
    <w:basedOn w:val="DefaultParagraphFont"/>
    <w:semiHidden/>
    <w:unhideWhenUsed/>
    <w:rsid w:val="0066440E"/>
    <w:rPr>
      <w:vertAlign w:val="superscript"/>
    </w:rPr>
  </w:style>
  <w:style w:type="character" w:styleId="Mention">
    <w:name w:val="Mention"/>
    <w:basedOn w:val="DefaultParagraphFont"/>
    <w:uiPriority w:val="99"/>
    <w:unhideWhenUsed/>
    <w:rsid w:val="0066440E"/>
    <w:rPr>
      <w:color w:val="2B579A"/>
      <w:shd w:val="clear" w:color="auto" w:fill="E6E6E6"/>
    </w:rPr>
  </w:style>
  <w:style w:type="paragraph" w:customStyle="1" w:styleId="TableText1">
    <w:name w:val="TableText"/>
    <w:basedOn w:val="Normal"/>
    <w:link w:val="TableTextChar1"/>
    <w:qFormat/>
    <w:rsid w:val="00B66942"/>
    <w:pPr>
      <w:keepNext/>
      <w:spacing w:before="40" w:after="40"/>
    </w:pPr>
    <w:rPr>
      <w:rFonts w:ascii="Arial" w:hAnsi="Arial" w:cs="Times New Roman"/>
      <w:sz w:val="18"/>
      <w:szCs w:val="20"/>
      <w:lang w:eastAsia="en-US"/>
    </w:rPr>
  </w:style>
  <w:style w:type="character" w:customStyle="1" w:styleId="TableTextChar1">
    <w:name w:val="TableText Char"/>
    <w:link w:val="TableText1"/>
    <w:rsid w:val="00B66942"/>
    <w:rPr>
      <w:rFonts w:ascii="Arial" w:hAnsi="Arial"/>
      <w:sz w:val="18"/>
      <w:lang w:eastAsia="en-US"/>
    </w:rPr>
  </w:style>
  <w:style w:type="paragraph" w:customStyle="1" w:styleId="Tablebullet">
    <w:name w:val="Table bullet"/>
    <w:basedOn w:val="Normal"/>
    <w:link w:val="TablebulletChar"/>
    <w:qFormat/>
    <w:rsid w:val="00B66942"/>
    <w:pPr>
      <w:numPr>
        <w:numId w:val="6"/>
      </w:numPr>
      <w:spacing w:before="40" w:after="40"/>
      <w:ind w:left="720"/>
      <w:jc w:val="left"/>
    </w:pPr>
    <w:rPr>
      <w:rFonts w:asciiTheme="minorHAnsi" w:hAnsiTheme="minorHAnsi" w:cs="Times New Roman"/>
      <w:sz w:val="18"/>
      <w:szCs w:val="20"/>
      <w:lang w:val="en-GB" w:eastAsia="en-US"/>
    </w:rPr>
  </w:style>
  <w:style w:type="character" w:customStyle="1" w:styleId="TablebulletChar">
    <w:name w:val="Table bullet Char"/>
    <w:basedOn w:val="DefaultParagraphFont"/>
    <w:link w:val="Tablebullet"/>
    <w:rsid w:val="00B66942"/>
    <w:rPr>
      <w:rFonts w:asciiTheme="minorHAnsi" w:hAnsiTheme="minorHAnsi"/>
      <w:sz w:val="18"/>
      <w:lang w:val="en-GB" w:eastAsia="en-US"/>
    </w:rPr>
  </w:style>
  <w:style w:type="paragraph" w:customStyle="1" w:styleId="TablebulletL2">
    <w:name w:val="Table bullet L2"/>
    <w:basedOn w:val="Tablebullet"/>
    <w:qFormat/>
    <w:rsid w:val="00B66942"/>
    <w:pPr>
      <w:numPr>
        <w:ilvl w:val="1"/>
      </w:numPr>
      <w:tabs>
        <w:tab w:val="num" w:pos="360"/>
        <w:tab w:val="num" w:pos="1440"/>
      </w:tabs>
      <w:ind w:left="1440" w:hanging="576"/>
    </w:pPr>
  </w:style>
  <w:style w:type="paragraph" w:customStyle="1" w:styleId="TableTitleA">
    <w:name w:val="Table Title A"/>
    <w:basedOn w:val="Normal"/>
    <w:next w:val="BodyText"/>
    <w:qFormat/>
    <w:rsid w:val="00B66942"/>
    <w:pPr>
      <w:numPr>
        <w:numId w:val="7"/>
      </w:numPr>
      <w:tabs>
        <w:tab w:val="clear" w:pos="1080"/>
        <w:tab w:val="left" w:pos="1134"/>
      </w:tabs>
      <w:spacing w:after="120"/>
      <w:ind w:left="720" w:hanging="360"/>
    </w:pPr>
    <w:rPr>
      <w:rFonts w:ascii="Arial" w:hAnsi="Arial" w:cs="Times New Roman"/>
      <w:b/>
      <w:sz w:val="20"/>
      <w:lang w:eastAsia="en-US"/>
    </w:rPr>
  </w:style>
  <w:style w:type="paragraph" w:customStyle="1" w:styleId="CaptionName">
    <w:name w:val="Caption Name"/>
    <w:basedOn w:val="Normal"/>
    <w:rsid w:val="00B66942"/>
    <w:pPr>
      <w:spacing w:after="200" w:line="360" w:lineRule="auto"/>
      <w:ind w:left="1418" w:hanging="1418"/>
    </w:pPr>
    <w:rPr>
      <w:rFonts w:ascii="Franklin Gothic Medium" w:eastAsia="Calibri" w:hAnsi="Franklin Gothic Medium" w:cs="Times New Roman"/>
      <w:sz w:val="20"/>
      <w:szCs w:val="22"/>
      <w:lang w:eastAsia="en-US"/>
    </w:rPr>
  </w:style>
  <w:style w:type="paragraph" w:customStyle="1" w:styleId="CaptionFootnote">
    <w:name w:val="Caption Footnote"/>
    <w:basedOn w:val="Caption"/>
    <w:link w:val="CaptionFootnoteChar"/>
    <w:qFormat/>
    <w:rsid w:val="00B66942"/>
    <w:pPr>
      <w:keepNext w:val="0"/>
      <w:keepLines w:val="0"/>
      <w:widowControl w:val="0"/>
      <w:spacing w:after="240"/>
      <w:contextualSpacing/>
      <w:jc w:val="left"/>
    </w:pPr>
    <w:rPr>
      <w:rFonts w:eastAsia="SimSun" w:cs="Times New Roman"/>
      <w:b w:val="0"/>
      <w:sz w:val="18"/>
      <w:lang w:eastAsia="en-US" w:bidi="en-US"/>
    </w:rPr>
  </w:style>
  <w:style w:type="character" w:customStyle="1" w:styleId="CaptionFootnoteChar">
    <w:name w:val="Caption Footnote Char"/>
    <w:link w:val="CaptionFootnote"/>
    <w:rsid w:val="00B66942"/>
    <w:rPr>
      <w:rFonts w:ascii="Arial Narrow" w:eastAsia="SimSun" w:hAnsi="Arial Narrow"/>
      <w:bCs/>
      <w:sz w:val="18"/>
      <w:szCs w:val="18"/>
      <w:lang w:eastAsia="en-US" w:bidi="en-US"/>
    </w:rPr>
  </w:style>
  <w:style w:type="table" w:customStyle="1" w:styleId="ASDTable1">
    <w:name w:val="ASD Table1"/>
    <w:basedOn w:val="TableNormal"/>
    <w:next w:val="TableGrid"/>
    <w:uiPriority w:val="59"/>
    <w:rsid w:val="00B6694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66942"/>
  </w:style>
  <w:style w:type="character" w:customStyle="1" w:styleId="eop">
    <w:name w:val="eop"/>
    <w:basedOn w:val="DefaultParagraphFont"/>
    <w:rsid w:val="00B66942"/>
  </w:style>
  <w:style w:type="character" w:customStyle="1" w:styleId="scxw197861957">
    <w:name w:val="scxw197861957"/>
    <w:basedOn w:val="DefaultParagraphFont"/>
    <w:rsid w:val="00B66942"/>
  </w:style>
  <w:style w:type="character" w:customStyle="1" w:styleId="scxw164410015">
    <w:name w:val="scxw164410015"/>
    <w:basedOn w:val="DefaultParagraphFont"/>
    <w:rsid w:val="00B66942"/>
  </w:style>
  <w:style w:type="paragraph" w:styleId="EndnoteText">
    <w:name w:val="endnote text"/>
    <w:basedOn w:val="Normal"/>
    <w:link w:val="EndnoteTextChar"/>
    <w:semiHidden/>
    <w:unhideWhenUsed/>
    <w:rsid w:val="00B66942"/>
    <w:rPr>
      <w:sz w:val="20"/>
      <w:szCs w:val="20"/>
    </w:rPr>
  </w:style>
  <w:style w:type="character" w:customStyle="1" w:styleId="EndnoteTextChar">
    <w:name w:val="Endnote Text Char"/>
    <w:basedOn w:val="DefaultParagraphFont"/>
    <w:link w:val="EndnoteText"/>
    <w:semiHidden/>
    <w:rsid w:val="00B66942"/>
    <w:rPr>
      <w:rFonts w:ascii="Calibri" w:hAnsi="Calibri" w:cs="Arial"/>
    </w:rPr>
  </w:style>
  <w:style w:type="character" w:styleId="EndnoteReference">
    <w:name w:val="endnote reference"/>
    <w:basedOn w:val="DefaultParagraphFont"/>
    <w:semiHidden/>
    <w:unhideWhenUsed/>
    <w:rsid w:val="00B66942"/>
    <w:rPr>
      <w:vertAlign w:val="superscript"/>
    </w:rPr>
  </w:style>
  <w:style w:type="table" w:customStyle="1" w:styleId="Summarybox3">
    <w:name w:val="Summary box3"/>
    <w:basedOn w:val="TableNormal"/>
    <w:next w:val="TableGrid"/>
    <w:uiPriority w:val="59"/>
    <w:rsid w:val="00B6694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Tabletext">
    <w:name w:val="PBAC Table text"/>
    <w:rsid w:val="00B032D6"/>
    <w:pPr>
      <w:keepNext/>
      <w:keepLines/>
      <w:suppressLineNumbers/>
      <w:spacing w:after="20"/>
      <w:textboxTightWrap w:val="allLines"/>
    </w:pPr>
    <w:rPr>
      <w:rFonts w:ascii="Arial Narrow" w:hAnsi="Arial Narrow" w:cs="Arial"/>
      <w:szCs w:val="24"/>
      <w:lang w:eastAsia="en-GB"/>
    </w:rPr>
  </w:style>
  <w:style w:type="character" w:styleId="UnresolvedMention">
    <w:name w:val="Unresolved Mention"/>
    <w:basedOn w:val="DefaultParagraphFont"/>
    <w:uiPriority w:val="99"/>
    <w:semiHidden/>
    <w:unhideWhenUsed/>
    <w:rsid w:val="00B032D6"/>
    <w:rPr>
      <w:color w:val="605E5C"/>
      <w:shd w:val="clear" w:color="auto" w:fill="E1DFDD"/>
    </w:rPr>
  </w:style>
  <w:style w:type="paragraph" w:customStyle="1" w:styleId="TableFootnotesAbbreviations">
    <w:name w:val="Table Footnotes/Abbreviations"/>
    <w:basedOn w:val="BodyText"/>
    <w:link w:val="TableFootnotesAbbreviationsChar"/>
    <w:rsid w:val="00B032D6"/>
    <w:pPr>
      <w:spacing w:before="60" w:line="264" w:lineRule="auto"/>
    </w:pPr>
    <w:rPr>
      <w:rFonts w:ascii="Calibri Light" w:eastAsiaTheme="minorHAnsi" w:hAnsi="Calibri Light" w:cs="Times New Roman"/>
      <w:sz w:val="18"/>
      <w:szCs w:val="20"/>
      <w:lang w:val="en-GB" w:eastAsia="en-US"/>
    </w:rPr>
  </w:style>
  <w:style w:type="character" w:customStyle="1" w:styleId="TableFootnotesAbbreviationsChar">
    <w:name w:val="Table Footnotes/Abbreviations Char"/>
    <w:basedOn w:val="DefaultParagraphFont"/>
    <w:link w:val="TableFootnotesAbbreviations"/>
    <w:rsid w:val="00B032D6"/>
    <w:rPr>
      <w:rFonts w:ascii="Calibri Light" w:eastAsiaTheme="minorHAnsi" w:hAnsi="Calibri Light"/>
      <w:sz w:val="18"/>
      <w:lang w:val="en-GB" w:eastAsia="en-US"/>
    </w:rPr>
  </w:style>
  <w:style w:type="table" w:customStyle="1" w:styleId="Summarybox1">
    <w:name w:val="Summary box1"/>
    <w:basedOn w:val="TableNormal"/>
    <w:next w:val="TableGrid"/>
    <w:uiPriority w:val="59"/>
    <w:rsid w:val="00B032D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43406"/>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143406"/>
    <w:rPr>
      <w:rFonts w:ascii="Segoe UI" w:hAnsi="Segoe UI" w:cs="Segoe UI" w:hint="default"/>
      <w:sz w:val="18"/>
      <w:szCs w:val="18"/>
    </w:rPr>
  </w:style>
  <w:style w:type="character" w:customStyle="1" w:styleId="ui-provider">
    <w:name w:val="ui-provider"/>
    <w:basedOn w:val="DefaultParagraphFont"/>
    <w:rsid w:val="00EA680B"/>
  </w:style>
  <w:style w:type="paragraph" w:customStyle="1" w:styleId="PBACheading10">
    <w:name w:val="PBAC heading 1"/>
    <w:qFormat/>
    <w:rsid w:val="0012605A"/>
    <w:pPr>
      <w:ind w:left="720" w:hanging="720"/>
      <w:outlineLvl w:val="0"/>
    </w:pPr>
    <w:rPr>
      <w:rFonts w:ascii="Arial" w:hAnsi="Arial" w:cs="Arial"/>
      <w:b/>
      <w:snapToGrid w:val="0"/>
      <w:sz w:val="22"/>
      <w:szCs w:val="22"/>
      <w:lang w:eastAsia="en-US"/>
    </w:rPr>
  </w:style>
  <w:style w:type="character" w:customStyle="1" w:styleId="null1">
    <w:name w:val="null1"/>
    <w:basedOn w:val="DefaultParagraphFont"/>
    <w:rsid w:val="00C213A8"/>
  </w:style>
  <w:style w:type="paragraph" w:customStyle="1" w:styleId="paragraph">
    <w:name w:val="paragraph"/>
    <w:basedOn w:val="Normal"/>
    <w:rsid w:val="009353A3"/>
    <w:pPr>
      <w:spacing w:before="100" w:beforeAutospacing="1" w:after="100" w:afterAutospacing="1"/>
      <w:jc w:val="left"/>
    </w:pPr>
    <w:rPr>
      <w:rFonts w:ascii="Times New Roman" w:hAnsi="Times New Roman" w:cs="Times New Roman"/>
    </w:rPr>
  </w:style>
  <w:style w:type="character" w:customStyle="1" w:styleId="tabchar">
    <w:name w:val="tabchar"/>
    <w:basedOn w:val="DefaultParagraphFont"/>
    <w:rsid w:val="00935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77790">
      <w:bodyDiv w:val="1"/>
      <w:marLeft w:val="0"/>
      <w:marRight w:val="0"/>
      <w:marTop w:val="0"/>
      <w:marBottom w:val="0"/>
      <w:divBdr>
        <w:top w:val="none" w:sz="0" w:space="0" w:color="auto"/>
        <w:left w:val="none" w:sz="0" w:space="0" w:color="auto"/>
        <w:bottom w:val="none" w:sz="0" w:space="0" w:color="auto"/>
        <w:right w:val="none" w:sz="0" w:space="0" w:color="auto"/>
      </w:divBdr>
      <w:divsChild>
        <w:div w:id="473837414">
          <w:marLeft w:val="0"/>
          <w:marRight w:val="0"/>
          <w:marTop w:val="0"/>
          <w:marBottom w:val="0"/>
          <w:divBdr>
            <w:top w:val="none" w:sz="0" w:space="0" w:color="auto"/>
            <w:left w:val="none" w:sz="0" w:space="0" w:color="auto"/>
            <w:bottom w:val="none" w:sz="0" w:space="0" w:color="auto"/>
            <w:right w:val="none" w:sz="0" w:space="0" w:color="auto"/>
          </w:divBdr>
        </w:div>
        <w:div w:id="1524048864">
          <w:marLeft w:val="0"/>
          <w:marRight w:val="0"/>
          <w:marTop w:val="0"/>
          <w:marBottom w:val="0"/>
          <w:divBdr>
            <w:top w:val="none" w:sz="0" w:space="0" w:color="auto"/>
            <w:left w:val="none" w:sz="0" w:space="0" w:color="auto"/>
            <w:bottom w:val="none" w:sz="0" w:space="0" w:color="auto"/>
            <w:right w:val="none" w:sz="0" w:space="0" w:color="auto"/>
          </w:divBdr>
        </w:div>
        <w:div w:id="1641575349">
          <w:marLeft w:val="0"/>
          <w:marRight w:val="0"/>
          <w:marTop w:val="0"/>
          <w:marBottom w:val="0"/>
          <w:divBdr>
            <w:top w:val="none" w:sz="0" w:space="0" w:color="auto"/>
            <w:left w:val="none" w:sz="0" w:space="0" w:color="auto"/>
            <w:bottom w:val="none" w:sz="0" w:space="0" w:color="auto"/>
            <w:right w:val="none" w:sz="0" w:space="0" w:color="auto"/>
          </w:divBdr>
        </w:div>
        <w:div w:id="1641836072">
          <w:marLeft w:val="0"/>
          <w:marRight w:val="0"/>
          <w:marTop w:val="0"/>
          <w:marBottom w:val="0"/>
          <w:divBdr>
            <w:top w:val="none" w:sz="0" w:space="0" w:color="auto"/>
            <w:left w:val="none" w:sz="0" w:space="0" w:color="auto"/>
            <w:bottom w:val="none" w:sz="0" w:space="0" w:color="auto"/>
            <w:right w:val="none" w:sz="0" w:space="0" w:color="auto"/>
          </w:divBdr>
        </w:div>
        <w:div w:id="1660385361">
          <w:marLeft w:val="0"/>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9433121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3325315">
      <w:bodyDiv w:val="1"/>
      <w:marLeft w:val="0"/>
      <w:marRight w:val="0"/>
      <w:marTop w:val="0"/>
      <w:marBottom w:val="0"/>
      <w:divBdr>
        <w:top w:val="none" w:sz="0" w:space="0" w:color="auto"/>
        <w:left w:val="none" w:sz="0" w:space="0" w:color="auto"/>
        <w:bottom w:val="none" w:sz="0" w:space="0" w:color="auto"/>
        <w:right w:val="none" w:sz="0" w:space="0" w:color="auto"/>
      </w:divBdr>
    </w:div>
    <w:div w:id="434400819">
      <w:bodyDiv w:val="1"/>
      <w:marLeft w:val="0"/>
      <w:marRight w:val="0"/>
      <w:marTop w:val="0"/>
      <w:marBottom w:val="0"/>
      <w:divBdr>
        <w:top w:val="none" w:sz="0" w:space="0" w:color="auto"/>
        <w:left w:val="none" w:sz="0" w:space="0" w:color="auto"/>
        <w:bottom w:val="none" w:sz="0" w:space="0" w:color="auto"/>
        <w:right w:val="none" w:sz="0" w:space="0" w:color="auto"/>
      </w:divBdr>
      <w:divsChild>
        <w:div w:id="304091506">
          <w:marLeft w:val="0"/>
          <w:marRight w:val="0"/>
          <w:marTop w:val="0"/>
          <w:marBottom w:val="0"/>
          <w:divBdr>
            <w:top w:val="none" w:sz="0" w:space="0" w:color="auto"/>
            <w:left w:val="none" w:sz="0" w:space="0" w:color="auto"/>
            <w:bottom w:val="none" w:sz="0" w:space="0" w:color="auto"/>
            <w:right w:val="none" w:sz="0" w:space="0" w:color="auto"/>
          </w:divBdr>
        </w:div>
        <w:div w:id="965089617">
          <w:marLeft w:val="0"/>
          <w:marRight w:val="0"/>
          <w:marTop w:val="0"/>
          <w:marBottom w:val="0"/>
          <w:divBdr>
            <w:top w:val="none" w:sz="0" w:space="0" w:color="auto"/>
            <w:left w:val="none" w:sz="0" w:space="0" w:color="auto"/>
            <w:bottom w:val="none" w:sz="0" w:space="0" w:color="auto"/>
            <w:right w:val="none" w:sz="0" w:space="0" w:color="auto"/>
          </w:divBdr>
        </w:div>
        <w:div w:id="1272861369">
          <w:marLeft w:val="0"/>
          <w:marRight w:val="0"/>
          <w:marTop w:val="0"/>
          <w:marBottom w:val="0"/>
          <w:divBdr>
            <w:top w:val="none" w:sz="0" w:space="0" w:color="auto"/>
            <w:left w:val="none" w:sz="0" w:space="0" w:color="auto"/>
            <w:bottom w:val="none" w:sz="0" w:space="0" w:color="auto"/>
            <w:right w:val="none" w:sz="0" w:space="0" w:color="auto"/>
          </w:divBdr>
        </w:div>
        <w:div w:id="1363705536">
          <w:marLeft w:val="0"/>
          <w:marRight w:val="0"/>
          <w:marTop w:val="0"/>
          <w:marBottom w:val="0"/>
          <w:divBdr>
            <w:top w:val="none" w:sz="0" w:space="0" w:color="auto"/>
            <w:left w:val="none" w:sz="0" w:space="0" w:color="auto"/>
            <w:bottom w:val="none" w:sz="0" w:space="0" w:color="auto"/>
            <w:right w:val="none" w:sz="0" w:space="0" w:color="auto"/>
          </w:divBdr>
        </w:div>
        <w:div w:id="1443839771">
          <w:marLeft w:val="0"/>
          <w:marRight w:val="0"/>
          <w:marTop w:val="0"/>
          <w:marBottom w:val="0"/>
          <w:divBdr>
            <w:top w:val="none" w:sz="0" w:space="0" w:color="auto"/>
            <w:left w:val="none" w:sz="0" w:space="0" w:color="auto"/>
            <w:bottom w:val="none" w:sz="0" w:space="0" w:color="auto"/>
            <w:right w:val="none" w:sz="0" w:space="0" w:color="auto"/>
          </w:divBdr>
        </w:div>
      </w:divsChild>
    </w:div>
    <w:div w:id="501819785">
      <w:bodyDiv w:val="1"/>
      <w:marLeft w:val="0"/>
      <w:marRight w:val="0"/>
      <w:marTop w:val="0"/>
      <w:marBottom w:val="0"/>
      <w:divBdr>
        <w:top w:val="none" w:sz="0" w:space="0" w:color="auto"/>
        <w:left w:val="none" w:sz="0" w:space="0" w:color="auto"/>
        <w:bottom w:val="none" w:sz="0" w:space="0" w:color="auto"/>
        <w:right w:val="none" w:sz="0" w:space="0" w:color="auto"/>
      </w:divBdr>
    </w:div>
    <w:div w:id="79097791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55284818">
      <w:bodyDiv w:val="1"/>
      <w:marLeft w:val="0"/>
      <w:marRight w:val="0"/>
      <w:marTop w:val="0"/>
      <w:marBottom w:val="0"/>
      <w:divBdr>
        <w:top w:val="none" w:sz="0" w:space="0" w:color="auto"/>
        <w:left w:val="none" w:sz="0" w:space="0" w:color="auto"/>
        <w:bottom w:val="none" w:sz="0" w:space="0" w:color="auto"/>
        <w:right w:val="none" w:sz="0" w:space="0" w:color="auto"/>
      </w:divBdr>
    </w:div>
    <w:div w:id="982389769">
      <w:bodyDiv w:val="1"/>
      <w:marLeft w:val="0"/>
      <w:marRight w:val="0"/>
      <w:marTop w:val="0"/>
      <w:marBottom w:val="0"/>
      <w:divBdr>
        <w:top w:val="none" w:sz="0" w:space="0" w:color="auto"/>
        <w:left w:val="none" w:sz="0" w:space="0" w:color="auto"/>
        <w:bottom w:val="none" w:sz="0" w:space="0" w:color="auto"/>
        <w:right w:val="none" w:sz="0" w:space="0" w:color="auto"/>
      </w:divBdr>
    </w:div>
    <w:div w:id="991954906">
      <w:bodyDiv w:val="1"/>
      <w:marLeft w:val="0"/>
      <w:marRight w:val="0"/>
      <w:marTop w:val="0"/>
      <w:marBottom w:val="0"/>
      <w:divBdr>
        <w:top w:val="none" w:sz="0" w:space="0" w:color="auto"/>
        <w:left w:val="none" w:sz="0" w:space="0" w:color="auto"/>
        <w:bottom w:val="none" w:sz="0" w:space="0" w:color="auto"/>
        <w:right w:val="none" w:sz="0" w:space="0" w:color="auto"/>
      </w:divBdr>
      <w:divsChild>
        <w:div w:id="25645280">
          <w:marLeft w:val="0"/>
          <w:marRight w:val="0"/>
          <w:marTop w:val="0"/>
          <w:marBottom w:val="0"/>
          <w:divBdr>
            <w:top w:val="none" w:sz="0" w:space="0" w:color="auto"/>
            <w:left w:val="none" w:sz="0" w:space="0" w:color="auto"/>
            <w:bottom w:val="none" w:sz="0" w:space="0" w:color="auto"/>
            <w:right w:val="none" w:sz="0" w:space="0" w:color="auto"/>
          </w:divBdr>
        </w:div>
        <w:div w:id="1436830804">
          <w:marLeft w:val="0"/>
          <w:marRight w:val="0"/>
          <w:marTop w:val="0"/>
          <w:marBottom w:val="0"/>
          <w:divBdr>
            <w:top w:val="none" w:sz="0" w:space="0" w:color="auto"/>
            <w:left w:val="none" w:sz="0" w:space="0" w:color="auto"/>
            <w:bottom w:val="none" w:sz="0" w:space="0" w:color="auto"/>
            <w:right w:val="none" w:sz="0" w:space="0" w:color="auto"/>
          </w:divBdr>
        </w:div>
        <w:div w:id="1628470267">
          <w:marLeft w:val="0"/>
          <w:marRight w:val="0"/>
          <w:marTop w:val="0"/>
          <w:marBottom w:val="0"/>
          <w:divBdr>
            <w:top w:val="none" w:sz="0" w:space="0" w:color="auto"/>
            <w:left w:val="none" w:sz="0" w:space="0" w:color="auto"/>
            <w:bottom w:val="none" w:sz="0" w:space="0" w:color="auto"/>
            <w:right w:val="none" w:sz="0" w:space="0" w:color="auto"/>
          </w:divBdr>
        </w:div>
        <w:div w:id="2134443859">
          <w:marLeft w:val="0"/>
          <w:marRight w:val="0"/>
          <w:marTop w:val="0"/>
          <w:marBottom w:val="0"/>
          <w:divBdr>
            <w:top w:val="none" w:sz="0" w:space="0" w:color="auto"/>
            <w:left w:val="none" w:sz="0" w:space="0" w:color="auto"/>
            <w:bottom w:val="none" w:sz="0" w:space="0" w:color="auto"/>
            <w:right w:val="none" w:sz="0" w:space="0" w:color="auto"/>
          </w:divBdr>
        </w:div>
      </w:divsChild>
    </w:div>
    <w:div w:id="1086342252">
      <w:bodyDiv w:val="1"/>
      <w:marLeft w:val="0"/>
      <w:marRight w:val="0"/>
      <w:marTop w:val="0"/>
      <w:marBottom w:val="0"/>
      <w:divBdr>
        <w:top w:val="none" w:sz="0" w:space="0" w:color="auto"/>
        <w:left w:val="none" w:sz="0" w:space="0" w:color="auto"/>
        <w:bottom w:val="none" w:sz="0" w:space="0" w:color="auto"/>
        <w:right w:val="none" w:sz="0" w:space="0" w:color="auto"/>
      </w:divBdr>
      <w:divsChild>
        <w:div w:id="84770173">
          <w:marLeft w:val="0"/>
          <w:marRight w:val="0"/>
          <w:marTop w:val="0"/>
          <w:marBottom w:val="0"/>
          <w:divBdr>
            <w:top w:val="none" w:sz="0" w:space="0" w:color="auto"/>
            <w:left w:val="none" w:sz="0" w:space="0" w:color="auto"/>
            <w:bottom w:val="none" w:sz="0" w:space="0" w:color="auto"/>
            <w:right w:val="none" w:sz="0" w:space="0" w:color="auto"/>
          </w:divBdr>
        </w:div>
        <w:div w:id="561139320">
          <w:marLeft w:val="0"/>
          <w:marRight w:val="0"/>
          <w:marTop w:val="0"/>
          <w:marBottom w:val="0"/>
          <w:divBdr>
            <w:top w:val="none" w:sz="0" w:space="0" w:color="auto"/>
            <w:left w:val="none" w:sz="0" w:space="0" w:color="auto"/>
            <w:bottom w:val="none" w:sz="0" w:space="0" w:color="auto"/>
            <w:right w:val="none" w:sz="0" w:space="0" w:color="auto"/>
          </w:divBdr>
        </w:div>
        <w:div w:id="1359161493">
          <w:marLeft w:val="0"/>
          <w:marRight w:val="0"/>
          <w:marTop w:val="0"/>
          <w:marBottom w:val="0"/>
          <w:divBdr>
            <w:top w:val="none" w:sz="0" w:space="0" w:color="auto"/>
            <w:left w:val="none" w:sz="0" w:space="0" w:color="auto"/>
            <w:bottom w:val="none" w:sz="0" w:space="0" w:color="auto"/>
            <w:right w:val="none" w:sz="0" w:space="0" w:color="auto"/>
          </w:divBdr>
        </w:div>
        <w:div w:id="1726638261">
          <w:marLeft w:val="0"/>
          <w:marRight w:val="0"/>
          <w:marTop w:val="0"/>
          <w:marBottom w:val="0"/>
          <w:divBdr>
            <w:top w:val="none" w:sz="0" w:space="0" w:color="auto"/>
            <w:left w:val="none" w:sz="0" w:space="0" w:color="auto"/>
            <w:bottom w:val="none" w:sz="0" w:space="0" w:color="auto"/>
            <w:right w:val="none" w:sz="0" w:space="0" w:color="auto"/>
          </w:divBdr>
        </w:div>
        <w:div w:id="2036347012">
          <w:marLeft w:val="0"/>
          <w:marRight w:val="0"/>
          <w:marTop w:val="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57921580">
      <w:bodyDiv w:val="1"/>
      <w:marLeft w:val="0"/>
      <w:marRight w:val="0"/>
      <w:marTop w:val="0"/>
      <w:marBottom w:val="0"/>
      <w:divBdr>
        <w:top w:val="none" w:sz="0" w:space="0" w:color="auto"/>
        <w:left w:val="none" w:sz="0" w:space="0" w:color="auto"/>
        <w:bottom w:val="none" w:sz="0" w:space="0" w:color="auto"/>
        <w:right w:val="none" w:sz="0" w:space="0" w:color="auto"/>
      </w:divBdr>
      <w:divsChild>
        <w:div w:id="721370193">
          <w:marLeft w:val="0"/>
          <w:marRight w:val="0"/>
          <w:marTop w:val="0"/>
          <w:marBottom w:val="0"/>
          <w:divBdr>
            <w:top w:val="none" w:sz="0" w:space="0" w:color="auto"/>
            <w:left w:val="none" w:sz="0" w:space="0" w:color="auto"/>
            <w:bottom w:val="none" w:sz="0" w:space="0" w:color="auto"/>
            <w:right w:val="none" w:sz="0" w:space="0" w:color="auto"/>
          </w:divBdr>
        </w:div>
        <w:div w:id="850947315">
          <w:marLeft w:val="0"/>
          <w:marRight w:val="0"/>
          <w:marTop w:val="0"/>
          <w:marBottom w:val="0"/>
          <w:divBdr>
            <w:top w:val="none" w:sz="0" w:space="0" w:color="auto"/>
            <w:left w:val="none" w:sz="0" w:space="0" w:color="auto"/>
            <w:bottom w:val="none" w:sz="0" w:space="0" w:color="auto"/>
            <w:right w:val="none" w:sz="0" w:space="0" w:color="auto"/>
          </w:divBdr>
        </w:div>
        <w:div w:id="1155295018">
          <w:marLeft w:val="0"/>
          <w:marRight w:val="0"/>
          <w:marTop w:val="0"/>
          <w:marBottom w:val="0"/>
          <w:divBdr>
            <w:top w:val="none" w:sz="0" w:space="0" w:color="auto"/>
            <w:left w:val="none" w:sz="0" w:space="0" w:color="auto"/>
            <w:bottom w:val="none" w:sz="0" w:space="0" w:color="auto"/>
            <w:right w:val="none" w:sz="0" w:space="0" w:color="auto"/>
          </w:divBdr>
        </w:div>
        <w:div w:id="2100788184">
          <w:marLeft w:val="0"/>
          <w:marRight w:val="0"/>
          <w:marTop w:val="0"/>
          <w:marBottom w:val="0"/>
          <w:divBdr>
            <w:top w:val="none" w:sz="0" w:space="0" w:color="auto"/>
            <w:left w:val="none" w:sz="0" w:space="0" w:color="auto"/>
            <w:bottom w:val="none" w:sz="0" w:space="0" w:color="auto"/>
            <w:right w:val="none" w:sz="0" w:space="0" w:color="auto"/>
          </w:divBdr>
        </w:div>
      </w:divsChild>
    </w:div>
    <w:div w:id="148893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8512">
          <w:marLeft w:val="0"/>
          <w:marRight w:val="0"/>
          <w:marTop w:val="0"/>
          <w:marBottom w:val="0"/>
          <w:divBdr>
            <w:top w:val="none" w:sz="0" w:space="0" w:color="auto"/>
            <w:left w:val="none" w:sz="0" w:space="0" w:color="auto"/>
            <w:bottom w:val="none" w:sz="0" w:space="0" w:color="auto"/>
            <w:right w:val="none" w:sz="0" w:space="0" w:color="auto"/>
          </w:divBdr>
        </w:div>
        <w:div w:id="1368986951">
          <w:marLeft w:val="0"/>
          <w:marRight w:val="0"/>
          <w:marTop w:val="0"/>
          <w:marBottom w:val="0"/>
          <w:divBdr>
            <w:top w:val="none" w:sz="0" w:space="0" w:color="auto"/>
            <w:left w:val="none" w:sz="0" w:space="0" w:color="auto"/>
            <w:bottom w:val="none" w:sz="0" w:space="0" w:color="auto"/>
            <w:right w:val="none" w:sz="0" w:space="0" w:color="auto"/>
          </w:divBdr>
        </w:div>
        <w:div w:id="1999068854">
          <w:marLeft w:val="0"/>
          <w:marRight w:val="0"/>
          <w:marTop w:val="0"/>
          <w:marBottom w:val="0"/>
          <w:divBdr>
            <w:top w:val="none" w:sz="0" w:space="0" w:color="auto"/>
            <w:left w:val="none" w:sz="0" w:space="0" w:color="auto"/>
            <w:bottom w:val="none" w:sz="0" w:space="0" w:color="auto"/>
            <w:right w:val="none" w:sz="0" w:space="0" w:color="auto"/>
          </w:divBdr>
        </w:div>
        <w:div w:id="2002930932">
          <w:marLeft w:val="0"/>
          <w:marRight w:val="0"/>
          <w:marTop w:val="0"/>
          <w:marBottom w:val="0"/>
          <w:divBdr>
            <w:top w:val="none" w:sz="0" w:space="0" w:color="auto"/>
            <w:left w:val="none" w:sz="0" w:space="0" w:color="auto"/>
            <w:bottom w:val="none" w:sz="0" w:space="0" w:color="auto"/>
            <w:right w:val="none" w:sz="0" w:space="0" w:color="auto"/>
          </w:divBdr>
        </w:div>
      </w:divsChild>
    </w:div>
    <w:div w:id="1500845888">
      <w:bodyDiv w:val="1"/>
      <w:marLeft w:val="0"/>
      <w:marRight w:val="0"/>
      <w:marTop w:val="0"/>
      <w:marBottom w:val="0"/>
      <w:divBdr>
        <w:top w:val="none" w:sz="0" w:space="0" w:color="auto"/>
        <w:left w:val="none" w:sz="0" w:space="0" w:color="auto"/>
        <w:bottom w:val="none" w:sz="0" w:space="0" w:color="auto"/>
        <w:right w:val="none" w:sz="0" w:space="0" w:color="auto"/>
      </w:divBdr>
    </w:div>
    <w:div w:id="1503818330">
      <w:bodyDiv w:val="1"/>
      <w:marLeft w:val="0"/>
      <w:marRight w:val="0"/>
      <w:marTop w:val="0"/>
      <w:marBottom w:val="0"/>
      <w:divBdr>
        <w:top w:val="none" w:sz="0" w:space="0" w:color="auto"/>
        <w:left w:val="none" w:sz="0" w:space="0" w:color="auto"/>
        <w:bottom w:val="none" w:sz="0" w:space="0" w:color="auto"/>
        <w:right w:val="none" w:sz="0" w:space="0" w:color="auto"/>
      </w:divBdr>
    </w:div>
    <w:div w:id="1521816578">
      <w:bodyDiv w:val="1"/>
      <w:marLeft w:val="0"/>
      <w:marRight w:val="0"/>
      <w:marTop w:val="0"/>
      <w:marBottom w:val="0"/>
      <w:divBdr>
        <w:top w:val="none" w:sz="0" w:space="0" w:color="auto"/>
        <w:left w:val="none" w:sz="0" w:space="0" w:color="auto"/>
        <w:bottom w:val="none" w:sz="0" w:space="0" w:color="auto"/>
        <w:right w:val="none" w:sz="0" w:space="0" w:color="auto"/>
      </w:divBdr>
      <w:divsChild>
        <w:div w:id="225799491">
          <w:marLeft w:val="0"/>
          <w:marRight w:val="0"/>
          <w:marTop w:val="0"/>
          <w:marBottom w:val="0"/>
          <w:divBdr>
            <w:top w:val="none" w:sz="0" w:space="0" w:color="auto"/>
            <w:left w:val="none" w:sz="0" w:space="0" w:color="auto"/>
            <w:bottom w:val="none" w:sz="0" w:space="0" w:color="auto"/>
            <w:right w:val="none" w:sz="0" w:space="0" w:color="auto"/>
          </w:divBdr>
        </w:div>
        <w:div w:id="1224490348">
          <w:marLeft w:val="0"/>
          <w:marRight w:val="0"/>
          <w:marTop w:val="0"/>
          <w:marBottom w:val="0"/>
          <w:divBdr>
            <w:top w:val="none" w:sz="0" w:space="0" w:color="auto"/>
            <w:left w:val="none" w:sz="0" w:space="0" w:color="auto"/>
            <w:bottom w:val="none" w:sz="0" w:space="0" w:color="auto"/>
            <w:right w:val="none" w:sz="0" w:space="0" w:color="auto"/>
          </w:divBdr>
        </w:div>
        <w:div w:id="1700735271">
          <w:marLeft w:val="0"/>
          <w:marRight w:val="0"/>
          <w:marTop w:val="0"/>
          <w:marBottom w:val="0"/>
          <w:divBdr>
            <w:top w:val="none" w:sz="0" w:space="0" w:color="auto"/>
            <w:left w:val="none" w:sz="0" w:space="0" w:color="auto"/>
            <w:bottom w:val="none" w:sz="0" w:space="0" w:color="auto"/>
            <w:right w:val="none" w:sz="0" w:space="0" w:color="auto"/>
          </w:divBdr>
        </w:div>
        <w:div w:id="1771469808">
          <w:marLeft w:val="0"/>
          <w:marRight w:val="0"/>
          <w:marTop w:val="0"/>
          <w:marBottom w:val="0"/>
          <w:divBdr>
            <w:top w:val="none" w:sz="0" w:space="0" w:color="auto"/>
            <w:left w:val="none" w:sz="0" w:space="0" w:color="auto"/>
            <w:bottom w:val="none" w:sz="0" w:space="0" w:color="auto"/>
            <w:right w:val="none" w:sz="0" w:space="0" w:color="auto"/>
          </w:divBdr>
        </w:div>
      </w:divsChild>
    </w:div>
    <w:div w:id="1783332346">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96570506">
      <w:bodyDiv w:val="1"/>
      <w:marLeft w:val="0"/>
      <w:marRight w:val="0"/>
      <w:marTop w:val="0"/>
      <w:marBottom w:val="0"/>
      <w:divBdr>
        <w:top w:val="none" w:sz="0" w:space="0" w:color="auto"/>
        <w:left w:val="none" w:sz="0" w:space="0" w:color="auto"/>
        <w:bottom w:val="none" w:sz="0" w:space="0" w:color="auto"/>
        <w:right w:val="none" w:sz="0" w:space="0" w:color="auto"/>
      </w:divBdr>
    </w:div>
    <w:div w:id="213007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healthgov.sharepoint.com/sites/PBAC-ESC-AS/Shared%20Documents/PBAC%20Meeting%20November%202024/Working%20Documents_Draft%20Minutes%20-%201.%20Draft%20minutes/www.servicesaustralia.gov.au/HPO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althgov.sharepoint.com/sites/PBAC-ESC-AS/Shared%20Documents/PBAC%20Meeting%20November%202024/Working%20Documents_Draft%20Minutes%20-%201.%20Draft%20minutes/www.servicesaustralia.gov.au/HP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cancer/cancer-data-in-australia/contents/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F6ED13D3-3129-4FE4-8A61-8D84CCB374DC}">
  <ds:schemaRefs>
    <ds:schemaRef ds:uri="http://schemas.microsoft.com/sharepoint/v3/contenttype/forms"/>
  </ds:schemaRefs>
</ds:datastoreItem>
</file>

<file path=customXml/itemProps2.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3.xml><?xml version="1.0" encoding="utf-8"?>
<ds:datastoreItem xmlns:ds="http://schemas.openxmlformats.org/officeDocument/2006/customXml" ds:itemID="{A08C2F8A-95DA-4FC8-8FF1-81C9F5074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1D4B1-7606-4840-9C3F-9375144F76C8}">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41</Pages>
  <Words>16422</Words>
  <Characters>93610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2025-03-03T01:05:00Z</dcterms:created>
  <dcterms:modified xsi:type="dcterms:W3CDTF">2025-03-07T01:31:00Z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xd_ProgID">
    <vt:lpwstr/>
  </property>
  <property fmtid="{D5CDD505-2E9C-101B-9397-08002B2CF9AE}" pid="4" name="ContentTypeId">
    <vt:lpwstr>0x0101007FED174C5281F747A8037A05221D6DBD</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