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599B" w14:textId="41D479CF" w:rsidR="00B60939" w:rsidRPr="009A4DCA" w:rsidRDefault="00A237D8" w:rsidP="004A6040">
      <w:pPr>
        <w:pStyle w:val="1-MainHeading"/>
      </w:pPr>
      <w:bookmarkStart w:id="0" w:name="_Toc177558727"/>
      <w:r w:rsidRPr="009A4DCA">
        <w:t>5</w:t>
      </w:r>
      <w:r w:rsidR="00433044" w:rsidRPr="009A4DCA">
        <w:t>.</w:t>
      </w:r>
      <w:r w:rsidRPr="009A4DCA">
        <w:t>20</w:t>
      </w:r>
      <w:r w:rsidR="00163F66" w:rsidRPr="009A4DCA">
        <w:tab/>
      </w:r>
      <w:r w:rsidR="00803173" w:rsidRPr="009A4DCA">
        <w:t>RESPIRATORY SYNCYTIAL VIRUS VACCINE,</w:t>
      </w:r>
      <w:r w:rsidR="00803173" w:rsidRPr="009A4DCA">
        <w:br/>
        <w:t>Injection (0.5 mL),</w:t>
      </w:r>
      <w:r w:rsidR="00803173" w:rsidRPr="009A4DCA">
        <w:br/>
        <w:t>Abrysvo</w:t>
      </w:r>
      <w:r w:rsidR="00803173" w:rsidRPr="009A4DCA">
        <w:rPr>
          <w:vertAlign w:val="superscript"/>
        </w:rPr>
        <w:t>®</w:t>
      </w:r>
      <w:r w:rsidR="00803173" w:rsidRPr="009A4DCA">
        <w:t>,</w:t>
      </w:r>
      <w:r w:rsidR="00803173" w:rsidRPr="009A4DCA">
        <w:br/>
        <w:t>PFIZER AUSTRALIA PTY LTD</w:t>
      </w:r>
      <w:bookmarkEnd w:id="0"/>
    </w:p>
    <w:p w14:paraId="596208B1" w14:textId="6DDF7D02" w:rsidR="00795441" w:rsidRPr="009A4DCA" w:rsidRDefault="00B50DB8" w:rsidP="004A6040">
      <w:pPr>
        <w:pStyle w:val="2-SectionHeading"/>
      </w:pPr>
      <w:bookmarkStart w:id="1" w:name="_Toc177558729"/>
      <w:r w:rsidRPr="009A4DCA">
        <w:t xml:space="preserve">Purpose of </w:t>
      </w:r>
      <w:r w:rsidR="00CD7193" w:rsidRPr="009A4DCA">
        <w:t>s</w:t>
      </w:r>
      <w:r w:rsidR="00BB3A45" w:rsidRPr="009A4DCA">
        <w:t>ubmission</w:t>
      </w:r>
      <w:bookmarkEnd w:id="1"/>
    </w:p>
    <w:p w14:paraId="3D44CE74" w14:textId="6E3D16DC" w:rsidR="00795441" w:rsidRPr="009A4DCA" w:rsidRDefault="00795441" w:rsidP="00795441">
      <w:pPr>
        <w:pStyle w:val="3-BodyText"/>
        <w:numPr>
          <w:ilvl w:val="1"/>
          <w:numId w:val="1"/>
        </w:numPr>
      </w:pPr>
      <w:r w:rsidRPr="009A4DCA">
        <w:t xml:space="preserve">The Category 2 submission requested National Immunisation Program (NIP) listing of a bivalent recombinant respiratory syncytial virus (RSV) pre-fusion F protein (RSVpreF) vaccine for the prevention of lower respiratory tract </w:t>
      </w:r>
      <w:r w:rsidR="006405AF" w:rsidRPr="009A4DCA">
        <w:t>illness</w:t>
      </w:r>
      <w:r w:rsidR="004A70D7" w:rsidRPr="009A4DCA">
        <w:t xml:space="preserve"> </w:t>
      </w:r>
      <w:r w:rsidRPr="009A4DCA">
        <w:t>(LRTI) caused by RSV in adults aged 75 years and older, Aboriginal and Torres Strait Islander peoples aged 60 to</w:t>
      </w:r>
      <w:r w:rsidR="00F13539" w:rsidRPr="009A4DCA">
        <w:t xml:space="preserve"> </w:t>
      </w:r>
      <w:r w:rsidRPr="009A4DCA">
        <w:t>74 years, and adults aged 60 to</w:t>
      </w:r>
      <w:r w:rsidR="003C6690" w:rsidRPr="009A4DCA">
        <w:t xml:space="preserve"> </w:t>
      </w:r>
      <w:r w:rsidRPr="009A4DCA">
        <w:t>74 years with at least one risk factor for severe RSV disease.</w:t>
      </w:r>
    </w:p>
    <w:p w14:paraId="384FC5F1" w14:textId="0996C6ED" w:rsidR="008D0D2A" w:rsidRPr="009A4DCA" w:rsidRDefault="00795441" w:rsidP="00997319">
      <w:pPr>
        <w:pStyle w:val="3-BodyText"/>
        <w:numPr>
          <w:ilvl w:val="1"/>
          <w:numId w:val="1"/>
        </w:numPr>
        <w:spacing w:before="0" w:after="0"/>
      </w:pPr>
      <w:r w:rsidRPr="009A4DCA">
        <w:t>Listing was requested on the basis of a cost utility analysis versus no vaccine. The key components of the clinical issue addressed by the submission are presented in</w:t>
      </w:r>
      <w:r w:rsidR="00997319" w:rsidRPr="009A4DCA">
        <w:t xml:space="preserve"> Table 1.</w:t>
      </w:r>
    </w:p>
    <w:p w14:paraId="0BEBD1C6" w14:textId="155BCCD9" w:rsidR="00795441" w:rsidRPr="009A4DCA" w:rsidRDefault="00997319" w:rsidP="00A927A1">
      <w:pPr>
        <w:pStyle w:val="Caption"/>
        <w:rPr>
          <w:rStyle w:val="CommentReference"/>
          <w:b/>
          <w:szCs w:val="24"/>
        </w:rPr>
      </w:pPr>
      <w:bookmarkStart w:id="2" w:name="_Ref179272274"/>
      <w:r w:rsidRPr="009A4DCA">
        <w:t xml:space="preserve">Table </w:t>
      </w:r>
      <w:r w:rsidR="00491347">
        <w:fldChar w:fldCharType="begin"/>
      </w:r>
      <w:r w:rsidR="00491347">
        <w:instrText xml:space="preserve"> SEQ Table \* ARABIC </w:instrText>
      </w:r>
      <w:r w:rsidR="00491347">
        <w:fldChar w:fldCharType="separate"/>
      </w:r>
      <w:r w:rsidR="007B2F50">
        <w:rPr>
          <w:noProof/>
        </w:rPr>
        <w:t>1</w:t>
      </w:r>
      <w:r w:rsidR="00491347">
        <w:fldChar w:fldCharType="end"/>
      </w:r>
      <w:bookmarkEnd w:id="2"/>
      <w:r w:rsidRPr="009A4DCA">
        <w:t xml:space="preserve">: </w:t>
      </w:r>
      <w:r w:rsidR="00795441" w:rsidRPr="009A4DCA">
        <w:rPr>
          <w:rStyle w:val="CommentReference"/>
          <w:b/>
          <w:szCs w:val="24"/>
        </w:rPr>
        <w:t>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795441" w:rsidRPr="009A4DCA" w14:paraId="3C01988C" w14:textId="77777777" w:rsidTr="00421004">
        <w:trPr>
          <w:cantSplit/>
          <w:tblHeader/>
        </w:trPr>
        <w:tc>
          <w:tcPr>
            <w:tcW w:w="924" w:type="pct"/>
            <w:shd w:val="clear" w:color="auto" w:fill="auto"/>
          </w:tcPr>
          <w:p w14:paraId="70DB3D6B" w14:textId="77777777" w:rsidR="00795441" w:rsidRPr="009A4DCA" w:rsidRDefault="00795441" w:rsidP="00A927A1">
            <w:pPr>
              <w:pStyle w:val="In-tableHeading"/>
              <w:rPr>
                <w:szCs w:val="20"/>
                <w:lang w:val="en-AU"/>
              </w:rPr>
            </w:pPr>
            <w:r w:rsidRPr="009A4DCA">
              <w:rPr>
                <w:lang w:val="en-AU"/>
              </w:rPr>
              <w:t>Component</w:t>
            </w:r>
          </w:p>
        </w:tc>
        <w:tc>
          <w:tcPr>
            <w:tcW w:w="4076" w:type="pct"/>
            <w:shd w:val="clear" w:color="auto" w:fill="auto"/>
          </w:tcPr>
          <w:p w14:paraId="25D01D52" w14:textId="77777777" w:rsidR="00795441" w:rsidRPr="009A4DCA" w:rsidRDefault="00795441" w:rsidP="00A927A1">
            <w:pPr>
              <w:pStyle w:val="In-tableHeading"/>
              <w:rPr>
                <w:lang w:val="en-AU"/>
              </w:rPr>
            </w:pPr>
            <w:r w:rsidRPr="009A4DCA">
              <w:rPr>
                <w:lang w:val="en-AU"/>
              </w:rPr>
              <w:t>Description</w:t>
            </w:r>
          </w:p>
        </w:tc>
      </w:tr>
      <w:tr w:rsidR="00795441" w:rsidRPr="009A4DCA" w14:paraId="31E26C68" w14:textId="77777777" w:rsidTr="00421004">
        <w:trPr>
          <w:cantSplit/>
        </w:trPr>
        <w:tc>
          <w:tcPr>
            <w:tcW w:w="924" w:type="pct"/>
            <w:shd w:val="clear" w:color="auto" w:fill="auto"/>
          </w:tcPr>
          <w:p w14:paraId="244610D2" w14:textId="77777777" w:rsidR="00795441" w:rsidRPr="009A4DCA" w:rsidRDefault="00795441" w:rsidP="00E76F4F">
            <w:pPr>
              <w:pStyle w:val="TableText0"/>
            </w:pPr>
            <w:r w:rsidRPr="009A4DCA">
              <w:t>Population</w:t>
            </w:r>
          </w:p>
        </w:tc>
        <w:tc>
          <w:tcPr>
            <w:tcW w:w="4076" w:type="pct"/>
            <w:vAlign w:val="center"/>
          </w:tcPr>
          <w:p w14:paraId="2F001996" w14:textId="2E5562C4" w:rsidR="00795441" w:rsidRPr="009A4DCA" w:rsidRDefault="00795441" w:rsidP="00E76F4F">
            <w:pPr>
              <w:pStyle w:val="TableText0"/>
            </w:pPr>
            <w:r w:rsidRPr="009A4DCA">
              <w:t>Active immunisation of adults ≥75 years of age, Aboriginal and Torres Strait Islander peoples aged 60-74 years</w:t>
            </w:r>
            <w:r w:rsidR="007C01E6" w:rsidRPr="009A4DCA">
              <w:t>, and adults aged 60-74 years with at least one risk condition for severe RSV disease</w:t>
            </w:r>
          </w:p>
        </w:tc>
      </w:tr>
      <w:tr w:rsidR="00795441" w:rsidRPr="009A4DCA" w14:paraId="4F6FFE38" w14:textId="77777777" w:rsidTr="00421004">
        <w:trPr>
          <w:cantSplit/>
        </w:trPr>
        <w:tc>
          <w:tcPr>
            <w:tcW w:w="924" w:type="pct"/>
            <w:shd w:val="clear" w:color="auto" w:fill="auto"/>
          </w:tcPr>
          <w:p w14:paraId="56658E3F" w14:textId="77777777" w:rsidR="00795441" w:rsidRPr="009A4DCA" w:rsidRDefault="00795441" w:rsidP="00E76F4F">
            <w:pPr>
              <w:pStyle w:val="TableText0"/>
            </w:pPr>
            <w:r w:rsidRPr="009A4DCA">
              <w:t>Intervention</w:t>
            </w:r>
          </w:p>
        </w:tc>
        <w:tc>
          <w:tcPr>
            <w:tcW w:w="4076" w:type="pct"/>
            <w:vAlign w:val="center"/>
          </w:tcPr>
          <w:p w14:paraId="110EF722" w14:textId="77777777" w:rsidR="00795441" w:rsidRPr="009A4DCA" w:rsidRDefault="00795441" w:rsidP="00A927A1">
            <w:pPr>
              <w:pStyle w:val="Tabletext"/>
              <w:keepNext/>
              <w:keepLines/>
              <w:rPr>
                <w:iCs/>
              </w:rPr>
            </w:pPr>
            <w:r w:rsidRPr="009A4DCA">
              <w:rPr>
                <w:iCs/>
              </w:rPr>
              <w:t xml:space="preserve">One dose (120 µg) of RSVpreF to be administered as a single 0.5 mL injection. </w:t>
            </w:r>
          </w:p>
          <w:p w14:paraId="062B8A94" w14:textId="77777777" w:rsidR="00795441" w:rsidRPr="009A4DCA" w:rsidRDefault="00795441" w:rsidP="00E76F4F">
            <w:pPr>
              <w:pStyle w:val="TableText0"/>
            </w:pPr>
            <w:r w:rsidRPr="009A4DCA">
              <w:t>RSVpreF is a bivalent, unadjuvanted vaccine composed of stable RSV prefusion F antigens representing the two RSV subgroups (RSV-A and RSV-B).</w:t>
            </w:r>
          </w:p>
        </w:tc>
      </w:tr>
      <w:tr w:rsidR="00795441" w:rsidRPr="009A4DCA" w14:paraId="26BC8898" w14:textId="77777777" w:rsidTr="00421004">
        <w:trPr>
          <w:cantSplit/>
        </w:trPr>
        <w:tc>
          <w:tcPr>
            <w:tcW w:w="924" w:type="pct"/>
            <w:shd w:val="clear" w:color="auto" w:fill="auto"/>
          </w:tcPr>
          <w:p w14:paraId="16789BDD" w14:textId="77777777" w:rsidR="00795441" w:rsidRPr="009A4DCA" w:rsidRDefault="00795441" w:rsidP="00E76F4F">
            <w:pPr>
              <w:pStyle w:val="TableText0"/>
            </w:pPr>
            <w:r w:rsidRPr="009A4DCA">
              <w:t>Comparator</w:t>
            </w:r>
          </w:p>
        </w:tc>
        <w:tc>
          <w:tcPr>
            <w:tcW w:w="4076" w:type="pct"/>
            <w:vAlign w:val="center"/>
          </w:tcPr>
          <w:p w14:paraId="2C0027E1" w14:textId="77777777" w:rsidR="00795441" w:rsidRPr="009A4DCA" w:rsidRDefault="00795441" w:rsidP="00A927A1">
            <w:pPr>
              <w:pStyle w:val="Tabletext"/>
              <w:keepNext/>
              <w:keepLines/>
              <w:rPr>
                <w:iCs/>
              </w:rPr>
            </w:pPr>
            <w:r w:rsidRPr="009A4DCA">
              <w:rPr>
                <w:iCs/>
              </w:rPr>
              <w:t>Main comparator: Standard of care (no vaccine)</w:t>
            </w:r>
          </w:p>
          <w:p w14:paraId="1D06BE3A" w14:textId="203B2FD3" w:rsidR="00795441" w:rsidRPr="009A4DCA" w:rsidRDefault="00795441" w:rsidP="00E76F4F">
            <w:pPr>
              <w:pStyle w:val="TableText0"/>
            </w:pPr>
            <w:r w:rsidRPr="009A4DCA">
              <w:t>Near-market comparators: Arexvy (RSV</w:t>
            </w:r>
            <w:r w:rsidR="00F72EE9" w:rsidRPr="009A4DCA">
              <w:t>PreF</w:t>
            </w:r>
            <w:r w:rsidR="009E77F5" w:rsidRPr="009A4DCA">
              <w:t>3 OA</w:t>
            </w:r>
            <w:r w:rsidRPr="009A4DCA">
              <w:t>), mRNA-1345</w:t>
            </w:r>
          </w:p>
        </w:tc>
      </w:tr>
      <w:tr w:rsidR="00795441" w:rsidRPr="009A4DCA" w14:paraId="77603618" w14:textId="77777777" w:rsidTr="00421004">
        <w:trPr>
          <w:cantSplit/>
        </w:trPr>
        <w:tc>
          <w:tcPr>
            <w:tcW w:w="924" w:type="pct"/>
            <w:shd w:val="clear" w:color="auto" w:fill="auto"/>
          </w:tcPr>
          <w:p w14:paraId="29D0FAAC" w14:textId="77777777" w:rsidR="00795441" w:rsidRPr="009A4DCA" w:rsidRDefault="00795441" w:rsidP="00E76F4F">
            <w:pPr>
              <w:pStyle w:val="TableText0"/>
            </w:pPr>
            <w:r w:rsidRPr="009A4DCA">
              <w:t>Outcomes</w:t>
            </w:r>
          </w:p>
        </w:tc>
        <w:tc>
          <w:tcPr>
            <w:tcW w:w="4076" w:type="pct"/>
            <w:vAlign w:val="center"/>
          </w:tcPr>
          <w:p w14:paraId="512D6EF3" w14:textId="639B7DEE" w:rsidR="00795441" w:rsidRPr="009A4DCA" w:rsidRDefault="00795441" w:rsidP="00A927A1">
            <w:pPr>
              <w:pStyle w:val="Tabletext"/>
              <w:keepNext/>
              <w:keepLines/>
              <w:rPr>
                <w:iCs/>
              </w:rPr>
            </w:pPr>
            <w:r w:rsidRPr="009A4DCA">
              <w:rPr>
                <w:iCs/>
              </w:rPr>
              <w:t>Efficacy: RSV-LRTI (≥2 signs and symptoms), RSV-LRTI (</w:t>
            </w:r>
            <w:r w:rsidR="00CE4AF1" w:rsidRPr="009A4DCA">
              <w:rPr>
                <w:iCs/>
              </w:rPr>
              <w:t>≥</w:t>
            </w:r>
            <w:r w:rsidRPr="009A4DCA">
              <w:rPr>
                <w:iCs/>
              </w:rPr>
              <w:t>3 signs and symptoms), RSV-ARI, severe RSV-LRTI</w:t>
            </w:r>
          </w:p>
          <w:p w14:paraId="570651A5" w14:textId="77777777" w:rsidR="00795441" w:rsidRPr="009A4DCA" w:rsidRDefault="00795441" w:rsidP="00A927A1">
            <w:pPr>
              <w:pStyle w:val="Tabletext"/>
              <w:keepNext/>
              <w:keepLines/>
              <w:rPr>
                <w:iCs/>
              </w:rPr>
            </w:pPr>
            <w:r w:rsidRPr="009A4DCA">
              <w:rPr>
                <w:iCs/>
              </w:rPr>
              <w:t>Immunogenicity</w:t>
            </w:r>
          </w:p>
          <w:p w14:paraId="2876F9F7" w14:textId="77777777" w:rsidR="00795441" w:rsidRPr="009A4DCA" w:rsidRDefault="00795441" w:rsidP="00E76F4F">
            <w:pPr>
              <w:pStyle w:val="TableText0"/>
              <w:rPr>
                <w:snapToGrid w:val="0"/>
              </w:rPr>
            </w:pPr>
            <w:r w:rsidRPr="009A4DCA">
              <w:t>Safety: adverse events (all, serious, severe, life-threatening, medically attended and vaccine-related), local reactions, systemic events, AESIs</w:t>
            </w:r>
          </w:p>
        </w:tc>
      </w:tr>
      <w:tr w:rsidR="00795441" w:rsidRPr="009A4DCA" w14:paraId="5E3AADF1" w14:textId="77777777" w:rsidTr="00421004">
        <w:trPr>
          <w:cantSplit/>
        </w:trPr>
        <w:tc>
          <w:tcPr>
            <w:tcW w:w="924" w:type="pct"/>
            <w:shd w:val="clear" w:color="auto" w:fill="auto"/>
          </w:tcPr>
          <w:p w14:paraId="41082DDB" w14:textId="436885BA" w:rsidR="00795441" w:rsidRPr="009A4DCA" w:rsidRDefault="00795441" w:rsidP="00E76F4F">
            <w:pPr>
              <w:pStyle w:val="TableText0"/>
            </w:pPr>
            <w:r w:rsidRPr="009A4DCA">
              <w:t>Clinical claim</w:t>
            </w:r>
          </w:p>
        </w:tc>
        <w:tc>
          <w:tcPr>
            <w:tcW w:w="4076" w:type="pct"/>
            <w:vAlign w:val="center"/>
          </w:tcPr>
          <w:p w14:paraId="71D3FD34" w14:textId="77777777" w:rsidR="00795441" w:rsidRPr="009A4DCA" w:rsidRDefault="00795441" w:rsidP="00A927A1">
            <w:pPr>
              <w:pStyle w:val="Tabletext"/>
              <w:keepNext/>
              <w:keepLines/>
              <w:rPr>
                <w:iCs/>
              </w:rPr>
            </w:pPr>
            <w:r w:rsidRPr="009A4DCA">
              <w:rPr>
                <w:iCs/>
              </w:rPr>
              <w:t>In the proposed populations of older adults:</w:t>
            </w:r>
          </w:p>
          <w:p w14:paraId="6CA59B24" w14:textId="77777777" w:rsidR="00795441" w:rsidRPr="009A4DCA" w:rsidRDefault="00795441" w:rsidP="00A927A1">
            <w:pPr>
              <w:pStyle w:val="Tabletext"/>
              <w:keepNext/>
              <w:keepLines/>
              <w:rPr>
                <w:iCs/>
              </w:rPr>
            </w:pPr>
            <w:r w:rsidRPr="009A4DCA">
              <w:rPr>
                <w:iCs/>
              </w:rPr>
              <w:t>RSVpreF is more effective than placebo (no vaccine) at preventing LRTI and ARI caused by RSV.</w:t>
            </w:r>
          </w:p>
          <w:p w14:paraId="283D999C" w14:textId="77777777" w:rsidR="00795441" w:rsidRPr="009A4DCA" w:rsidRDefault="00795441" w:rsidP="00E76F4F">
            <w:pPr>
              <w:pStyle w:val="TableText0"/>
              <w:rPr>
                <w:snapToGrid w:val="0"/>
              </w:rPr>
            </w:pPr>
            <w:r w:rsidRPr="009A4DCA">
              <w:t>RSVpreF has non-inferior safety compared to placebo (no vaccine).</w:t>
            </w:r>
          </w:p>
        </w:tc>
      </w:tr>
    </w:tbl>
    <w:p w14:paraId="0C2FE034" w14:textId="77777777" w:rsidR="00795441" w:rsidRPr="009A4DCA" w:rsidRDefault="00795441" w:rsidP="00A927A1">
      <w:pPr>
        <w:pStyle w:val="FooterTableFigure"/>
        <w:keepNext/>
        <w:keepLines/>
      </w:pPr>
      <w:r w:rsidRPr="009A4DCA">
        <w:t>Source: Table 1.1.1, p4 of the submission.</w:t>
      </w:r>
    </w:p>
    <w:p w14:paraId="23B8E2B7" w14:textId="5A39F73E" w:rsidR="00795441" w:rsidRPr="009A4DCA" w:rsidRDefault="00795441" w:rsidP="0089438A">
      <w:pPr>
        <w:pStyle w:val="FooterTableFigure"/>
        <w:keepLines/>
        <w:rPr>
          <w:iCs/>
        </w:rPr>
      </w:pPr>
      <w:r w:rsidRPr="009A4DCA">
        <w:rPr>
          <w:iCs/>
        </w:rPr>
        <w:t xml:space="preserve">AESIs = adverse events of special interest; ARI = acute respiratory illness; LRTI = lower respiratory tract illness; </w:t>
      </w:r>
      <w:r w:rsidR="00CE4AF1" w:rsidRPr="009A4DCA">
        <w:rPr>
          <w:iCs/>
        </w:rPr>
        <w:t xml:space="preserve">mRNA = messenger ribonucleic acid, </w:t>
      </w:r>
      <w:r w:rsidRPr="009A4DCA">
        <w:rPr>
          <w:iCs/>
        </w:rPr>
        <w:t xml:space="preserve">RSV = respiratory syncytial virus; </w:t>
      </w:r>
      <w:r w:rsidR="00AD7B6C" w:rsidRPr="009A4DCA">
        <w:rPr>
          <w:iCs/>
        </w:rPr>
        <w:t xml:space="preserve">RSV-A = RSV subtype A; RSV-B = RSV subtype B; </w:t>
      </w:r>
      <w:r w:rsidRPr="009A4DCA">
        <w:t xml:space="preserve">RSVpreF = </w:t>
      </w:r>
      <w:r w:rsidR="00AD7B6C" w:rsidRPr="009A4DCA">
        <w:t xml:space="preserve">recombinant </w:t>
      </w:r>
      <w:r w:rsidRPr="009A4DCA">
        <w:t xml:space="preserve">RSV prefusion F </w:t>
      </w:r>
      <w:r w:rsidR="00AD7B6C" w:rsidRPr="009A4DCA">
        <w:t xml:space="preserve">protein </w:t>
      </w:r>
      <w:r w:rsidRPr="009A4DCA">
        <w:t>vaccine</w:t>
      </w:r>
      <w:r w:rsidRPr="009A4DCA">
        <w:rPr>
          <w:iCs/>
        </w:rPr>
        <w:t>.</w:t>
      </w:r>
    </w:p>
    <w:p w14:paraId="4DA74B9B" w14:textId="77777777" w:rsidR="005C25FF" w:rsidRPr="009A4DCA" w:rsidRDefault="005C25FF" w:rsidP="004A6040">
      <w:pPr>
        <w:pStyle w:val="2-SectionHeading"/>
      </w:pPr>
      <w:bookmarkStart w:id="3" w:name="_Toc177558730"/>
      <w:r w:rsidRPr="009A4DCA">
        <w:t>Background</w:t>
      </w:r>
      <w:bookmarkEnd w:id="3"/>
    </w:p>
    <w:p w14:paraId="10F5F796" w14:textId="77777777" w:rsidR="00010CAF" w:rsidRPr="009A4DCA" w:rsidRDefault="00010CAF" w:rsidP="00010CAF">
      <w:pPr>
        <w:pStyle w:val="4-SubsectionHeading"/>
      </w:pPr>
      <w:bookmarkStart w:id="4" w:name="_Toc22897638"/>
      <w:bookmarkStart w:id="5" w:name="_Toc177558731"/>
      <w:r w:rsidRPr="009A4DCA">
        <w:t>Registration status</w:t>
      </w:r>
      <w:bookmarkEnd w:id="4"/>
      <w:bookmarkEnd w:id="5"/>
    </w:p>
    <w:p w14:paraId="4727F961" w14:textId="77777777" w:rsidR="00010CAF" w:rsidRPr="009A4DCA" w:rsidRDefault="00010CAF" w:rsidP="00010CAF">
      <w:pPr>
        <w:pStyle w:val="3-BodyText"/>
        <w:numPr>
          <w:ilvl w:val="1"/>
          <w:numId w:val="1"/>
        </w:numPr>
      </w:pPr>
      <w:r w:rsidRPr="009A4DCA">
        <w:t>RSVpreF was approved for registration by the Therapeutic Goods Administration (TGA) on 20 March 2024 for:</w:t>
      </w:r>
    </w:p>
    <w:p w14:paraId="6396C771" w14:textId="77777777" w:rsidR="00010CAF" w:rsidRPr="009A4DCA" w:rsidRDefault="00010CAF" w:rsidP="00C6762E">
      <w:pPr>
        <w:pStyle w:val="3-BodyText"/>
        <w:numPr>
          <w:ilvl w:val="0"/>
          <w:numId w:val="8"/>
        </w:numPr>
        <w:ind w:left="1134"/>
      </w:pPr>
      <w:r w:rsidRPr="009A4DCA">
        <w:lastRenderedPageBreak/>
        <w:t>active immunisation of pregnant women between 24-36 weeks of gestation for prevention of lower respiratory tract disease caused by RSV in infants from birth through 6 months of age.</w:t>
      </w:r>
    </w:p>
    <w:p w14:paraId="5EA724D9" w14:textId="4F6691F0" w:rsidR="00010CAF" w:rsidRPr="009A4DCA" w:rsidRDefault="00010CAF" w:rsidP="00C6762E">
      <w:pPr>
        <w:pStyle w:val="3-BodyText"/>
        <w:numPr>
          <w:ilvl w:val="0"/>
          <w:numId w:val="8"/>
        </w:numPr>
        <w:ind w:left="1134" w:hanging="357"/>
      </w:pPr>
      <w:r w:rsidRPr="009A4DCA">
        <w:t>active immunisation of individuals 60 years of age</w:t>
      </w:r>
      <w:r w:rsidR="008F79E5" w:rsidRPr="009A4DCA">
        <w:t xml:space="preserve"> (YOA)</w:t>
      </w:r>
      <w:r w:rsidRPr="009A4DCA">
        <w:t xml:space="preserve"> and above for prevention of lower respiratory tract disease caused by RSV.</w:t>
      </w:r>
    </w:p>
    <w:p w14:paraId="4D3D86FA" w14:textId="77777777" w:rsidR="00010CAF" w:rsidRPr="009A4DCA" w:rsidRDefault="00010CAF" w:rsidP="00010CAF">
      <w:pPr>
        <w:pStyle w:val="4-SubsectionHeading"/>
      </w:pPr>
      <w:bookmarkStart w:id="6" w:name="_Toc22897639"/>
      <w:bookmarkStart w:id="7" w:name="_Toc177558732"/>
      <w:r w:rsidRPr="009A4DCA">
        <w:t>Previous PBAC consideration</w:t>
      </w:r>
      <w:bookmarkEnd w:id="6"/>
      <w:bookmarkEnd w:id="7"/>
    </w:p>
    <w:p w14:paraId="4C6FFF1C" w14:textId="0BBE8805" w:rsidR="00010CAF" w:rsidRPr="009A4DCA" w:rsidRDefault="00010CAF" w:rsidP="008C1CDB">
      <w:pPr>
        <w:widowControl w:val="0"/>
        <w:numPr>
          <w:ilvl w:val="1"/>
          <w:numId w:val="1"/>
        </w:numPr>
        <w:spacing w:after="120"/>
      </w:pPr>
      <w:r w:rsidRPr="009A4DCA">
        <w:rPr>
          <w:iCs/>
        </w:rPr>
        <w:t>RSVpreF for the prevention of LRTI caused by RSV in infants from birth through 6</w:t>
      </w:r>
      <w:r w:rsidR="00B2163D" w:rsidRPr="009A4DCA">
        <w:rPr>
          <w:iCs/>
        </w:rPr>
        <w:t> </w:t>
      </w:r>
      <w:r w:rsidRPr="009A4DCA">
        <w:rPr>
          <w:iCs/>
        </w:rPr>
        <w:t xml:space="preserve">months of age by active immunisation of pregnant women was recommended for listing on the NIP at the May 2024 intra-cycle meeting of the PBAC. </w:t>
      </w:r>
    </w:p>
    <w:p w14:paraId="15A348B8" w14:textId="4BA55D28" w:rsidR="00AE7467" w:rsidRPr="009A4DCA" w:rsidRDefault="00010CAF" w:rsidP="007102B9">
      <w:pPr>
        <w:pStyle w:val="3-BodyText"/>
      </w:pPr>
      <w:bookmarkStart w:id="8" w:name="_Ref180478955"/>
      <w:bookmarkStart w:id="9" w:name="_Ref176438000"/>
      <w:r w:rsidRPr="009A4DCA">
        <w:t xml:space="preserve">An alternative RSV vaccine, </w:t>
      </w:r>
      <w:r w:rsidR="00BC4D6F" w:rsidRPr="009A4DCA">
        <w:t>RSVPreF3</w:t>
      </w:r>
      <w:r w:rsidR="009E77F5" w:rsidRPr="009A4DCA">
        <w:t xml:space="preserve"> OA (Arexvy®)</w:t>
      </w:r>
      <w:r w:rsidRPr="009A4DCA">
        <w:t xml:space="preserve">, was considered by the PBAC in </w:t>
      </w:r>
      <w:r w:rsidR="000B3FFB" w:rsidRPr="009A4DCA">
        <w:t>July</w:t>
      </w:r>
      <w:r w:rsidRPr="009A4DCA">
        <w:t xml:space="preserve"> 2024</w:t>
      </w:r>
      <w:r w:rsidR="001B45B7" w:rsidRPr="009A4DCA">
        <w:t>. RSVPreF3 OA is a combination of the RSVPreF3 antigen and the AS01</w:t>
      </w:r>
      <w:r w:rsidR="001B45B7" w:rsidRPr="009A4DCA">
        <w:rPr>
          <w:vertAlign w:val="subscript"/>
        </w:rPr>
        <w:t>E</w:t>
      </w:r>
      <w:r w:rsidR="001B45B7" w:rsidRPr="009A4DCA">
        <w:t xml:space="preserve"> adjuvant system. The submission proposed</w:t>
      </w:r>
      <w:r w:rsidR="00491076" w:rsidRPr="009A4DCA">
        <w:t xml:space="preserve"> two alternative NIP schedules</w:t>
      </w:r>
      <w:r w:rsidR="001B45B7" w:rsidRPr="009A4DCA">
        <w:t>:</w:t>
      </w:r>
      <w:r w:rsidR="00491076" w:rsidRPr="009A4DCA">
        <w:t xml:space="preserve"> (i)</w:t>
      </w:r>
      <w:r w:rsidR="006D3BDA" w:rsidRPr="009A4DCA">
        <w:t> </w:t>
      </w:r>
      <w:r w:rsidR="00491076" w:rsidRPr="009A4DCA">
        <w:t>among adults aged ≥60 YOA; and (ii)</w:t>
      </w:r>
      <w:r w:rsidR="007620A8" w:rsidRPr="009A4DCA">
        <w:t> </w:t>
      </w:r>
      <w:r w:rsidR="00491076" w:rsidRPr="009A4DCA">
        <w:t xml:space="preserve">among adults ≥75 YOA. </w:t>
      </w:r>
      <w:r w:rsidR="005D208A" w:rsidRPr="009A4DCA">
        <w:t>In July 2024, t</w:t>
      </w:r>
      <w:r w:rsidR="00491076" w:rsidRPr="009A4DCA">
        <w:t>he PBAC noted that</w:t>
      </w:r>
      <w:r w:rsidR="00CB2937" w:rsidRPr="009A4DCA">
        <w:t xml:space="preserve"> the Australian Technical Advisory Group on Immunisation</w:t>
      </w:r>
      <w:r w:rsidR="00491076" w:rsidRPr="009A4DCA">
        <w:t xml:space="preserve"> </w:t>
      </w:r>
      <w:r w:rsidR="00CB2937" w:rsidRPr="009A4DCA">
        <w:t>(</w:t>
      </w:r>
      <w:r w:rsidR="00491076" w:rsidRPr="009A4DCA">
        <w:t>ATAGI</w:t>
      </w:r>
      <w:r w:rsidR="00CB2937" w:rsidRPr="009A4DCA">
        <w:t>)</w:t>
      </w:r>
      <w:r w:rsidR="00491076" w:rsidRPr="009A4DCA">
        <w:t xml:space="preserve"> supported a listing for</w:t>
      </w:r>
      <w:r w:rsidR="00AE7467" w:rsidRPr="009A4DCA">
        <w:t xml:space="preserve"> the following populations:</w:t>
      </w:r>
      <w:bookmarkEnd w:id="8"/>
    </w:p>
    <w:p w14:paraId="71C66E75" w14:textId="77777777" w:rsidR="00AE7467" w:rsidRPr="009A4DCA" w:rsidRDefault="00491076" w:rsidP="00291B5E">
      <w:pPr>
        <w:pStyle w:val="3-BodyText"/>
        <w:keepNext/>
        <w:keepLines/>
        <w:numPr>
          <w:ilvl w:val="0"/>
          <w:numId w:val="25"/>
        </w:numPr>
        <w:ind w:left="1134" w:hanging="357"/>
        <w:rPr>
          <w:i/>
          <w:iCs/>
        </w:rPr>
      </w:pPr>
      <w:r w:rsidRPr="009A4DCA">
        <w:t xml:space="preserve">patients aged 75 years and over; </w:t>
      </w:r>
    </w:p>
    <w:p w14:paraId="7475FDF1" w14:textId="77777777" w:rsidR="00AE7467" w:rsidRPr="009A4DCA" w:rsidRDefault="00C44846" w:rsidP="00291B5E">
      <w:pPr>
        <w:pStyle w:val="3-BodyText"/>
        <w:keepNext/>
        <w:keepLines/>
        <w:numPr>
          <w:ilvl w:val="0"/>
          <w:numId w:val="25"/>
        </w:numPr>
        <w:ind w:left="1134" w:hanging="357"/>
        <w:rPr>
          <w:i/>
          <w:iCs/>
        </w:rPr>
      </w:pPr>
      <w:r w:rsidRPr="009A4DCA">
        <w:t>Aboriginal and Torres Strait Islander</w:t>
      </w:r>
      <w:r w:rsidR="00491076" w:rsidRPr="009A4DCA">
        <w:t xml:space="preserve"> people aged 60 to 74 years; </w:t>
      </w:r>
    </w:p>
    <w:p w14:paraId="66F908BE" w14:textId="6C59106B" w:rsidR="00AE7467" w:rsidRPr="009A4DCA" w:rsidRDefault="00491076" w:rsidP="00291B5E">
      <w:pPr>
        <w:pStyle w:val="3-BodyText"/>
        <w:numPr>
          <w:ilvl w:val="0"/>
          <w:numId w:val="25"/>
        </w:numPr>
        <w:ind w:left="1134" w:hanging="357"/>
        <w:rPr>
          <w:i/>
          <w:iCs/>
        </w:rPr>
      </w:pPr>
      <w:r w:rsidRPr="009A4DCA">
        <w:t xml:space="preserve">people aged 60 to 74 years with conditions that increase their risk of severe disease due to RSV. </w:t>
      </w:r>
    </w:p>
    <w:p w14:paraId="69404D35" w14:textId="30C4F5E4" w:rsidR="005F64C8" w:rsidRPr="009A4DCA" w:rsidRDefault="00491076" w:rsidP="005F64C8">
      <w:pPr>
        <w:pStyle w:val="3-BodyText"/>
        <w:numPr>
          <w:ilvl w:val="0"/>
          <w:numId w:val="0"/>
        </w:numPr>
        <w:ind w:left="720" w:hanging="11"/>
      </w:pPr>
      <w:r w:rsidRPr="009A4DCA">
        <w:t>The PBAC considered that the vaccine was superior to no vaccine in terms of effectiveness with an acceptable safety profile. The PBAC considered that the incremental cost-effectiveness ratio</w:t>
      </w:r>
      <w:r w:rsidR="00C513E4" w:rsidRPr="009A4DCA">
        <w:t xml:space="preserve"> (ICER)</w:t>
      </w:r>
      <w:r w:rsidRPr="009A4DCA">
        <w:t xml:space="preserve"> was unacceptably high and uncertain for adults aged ≥60 YOA and for adults aged ≥75 YOA. The PBAC noted that the cost-effectiveness RSV</w:t>
      </w:r>
      <w:r w:rsidR="00EF068D" w:rsidRPr="009A4DCA">
        <w:t>P</w:t>
      </w:r>
      <w:r w:rsidRPr="009A4DCA">
        <w:t xml:space="preserve">reF3 </w:t>
      </w:r>
      <w:r w:rsidR="005D208A" w:rsidRPr="009A4DCA">
        <w:t xml:space="preserve">OA </w:t>
      </w:r>
      <w:r w:rsidRPr="009A4DCA">
        <w:t xml:space="preserve">in </w:t>
      </w:r>
      <w:r w:rsidR="005F326B" w:rsidRPr="009A4DCA">
        <w:t>Aboriginal and Torres Strait Islander</w:t>
      </w:r>
      <w:r w:rsidRPr="009A4DCA">
        <w:t xml:space="preserve"> and high risk people aged 60-74 years was unknown as this was not addressed by the submission</w:t>
      </w:r>
      <w:r w:rsidR="00010CAF" w:rsidRPr="009A4DCA">
        <w:t xml:space="preserve"> (</w:t>
      </w:r>
      <w:r w:rsidR="00206D54" w:rsidRPr="009A4DCA">
        <w:t>paragraph 7.1</w:t>
      </w:r>
      <w:r w:rsidR="004628BA" w:rsidRPr="009A4DCA">
        <w:t xml:space="preserve">, </w:t>
      </w:r>
      <w:r w:rsidR="00A5260D" w:rsidRPr="009A4DCA">
        <w:t xml:space="preserve">RSVPreF3 OA </w:t>
      </w:r>
      <w:r w:rsidR="00C97E7C" w:rsidRPr="009A4DCA">
        <w:t>Public Summary Document (PSD)</w:t>
      </w:r>
      <w:r w:rsidR="00010CAF" w:rsidRPr="009A4DCA">
        <w:t>, July 2024).</w:t>
      </w:r>
      <w:bookmarkEnd w:id="9"/>
    </w:p>
    <w:p w14:paraId="189E8DD2" w14:textId="77777777" w:rsidR="00C60F22" w:rsidRPr="009A4DCA" w:rsidRDefault="00C60F22" w:rsidP="005F64C8">
      <w:pPr>
        <w:pStyle w:val="4-SubsectionHeading"/>
      </w:pPr>
      <w:bookmarkStart w:id="10" w:name="_Toc177558733"/>
      <w:r w:rsidRPr="009A4DCA">
        <w:t>ATAGI advice</w:t>
      </w:r>
      <w:bookmarkEnd w:id="10"/>
      <w:r w:rsidRPr="009A4DCA">
        <w:t xml:space="preserve"> </w:t>
      </w:r>
    </w:p>
    <w:p w14:paraId="39CCCEAB" w14:textId="5E49F4B7" w:rsidR="00491076" w:rsidRPr="009A4DCA" w:rsidRDefault="00C60F22" w:rsidP="005F64C8">
      <w:pPr>
        <w:pStyle w:val="3-BodyText"/>
        <w:numPr>
          <w:ilvl w:val="1"/>
          <w:numId w:val="1"/>
        </w:numPr>
        <w:rPr>
          <w:lang w:eastAsia="en-US"/>
        </w:rPr>
      </w:pPr>
      <w:r w:rsidRPr="00DA1351">
        <w:rPr>
          <w:lang w:eastAsia="en-US"/>
        </w:rPr>
        <w:t xml:space="preserve">The </w:t>
      </w:r>
      <w:r w:rsidR="00DA1351" w:rsidRPr="00DA1351">
        <w:rPr>
          <w:lang w:eastAsia="en-US"/>
        </w:rPr>
        <w:t>Australian Technical Advisory Group on Immunisation (ATAGI)</w:t>
      </w:r>
      <w:r w:rsidR="00DA1351">
        <w:rPr>
          <w:lang w:eastAsia="en-US"/>
        </w:rPr>
        <w:t xml:space="preserve"> </w:t>
      </w:r>
      <w:r w:rsidRPr="009A4DCA">
        <w:rPr>
          <w:lang w:eastAsia="en-US"/>
        </w:rPr>
        <w:t>provided pre-submission advice</w:t>
      </w:r>
      <w:r w:rsidR="006D3BDA" w:rsidRPr="009A4DCA">
        <w:rPr>
          <w:lang w:eastAsia="en-US"/>
        </w:rPr>
        <w:t xml:space="preserve"> for the</w:t>
      </w:r>
      <w:r w:rsidRPr="009A4DCA">
        <w:rPr>
          <w:lang w:eastAsia="en-US"/>
        </w:rPr>
        <w:t xml:space="preserve"> PBAC</w:t>
      </w:r>
      <w:r w:rsidR="006D3BDA" w:rsidRPr="009A4DCA">
        <w:rPr>
          <w:lang w:eastAsia="en-US"/>
        </w:rPr>
        <w:t xml:space="preserve"> to consider</w:t>
      </w:r>
      <w:r w:rsidRPr="009A4DCA">
        <w:rPr>
          <w:lang w:eastAsia="en-US"/>
        </w:rPr>
        <w:t xml:space="preserve"> for this submission, dated 21</w:t>
      </w:r>
      <w:r w:rsidR="00AD295F">
        <w:rPr>
          <w:lang w:eastAsia="en-US"/>
        </w:rPr>
        <w:t> </w:t>
      </w:r>
      <w:r w:rsidRPr="009A4DCA">
        <w:rPr>
          <w:lang w:eastAsia="en-US"/>
        </w:rPr>
        <w:t>December</w:t>
      </w:r>
      <w:r w:rsidR="00AD295F">
        <w:rPr>
          <w:lang w:eastAsia="en-US"/>
        </w:rPr>
        <w:t> </w:t>
      </w:r>
      <w:r w:rsidRPr="009A4DCA">
        <w:rPr>
          <w:lang w:eastAsia="en-US"/>
        </w:rPr>
        <w:t>2023. The ATAGI also provided post-submission advice for this submission, dated 20</w:t>
      </w:r>
      <w:r w:rsidR="00AD295F">
        <w:rPr>
          <w:lang w:eastAsia="en-US"/>
        </w:rPr>
        <w:t> </w:t>
      </w:r>
      <w:r w:rsidRPr="009A4DCA">
        <w:rPr>
          <w:lang w:eastAsia="en-US"/>
        </w:rPr>
        <w:t>August 2024</w:t>
      </w:r>
      <w:r w:rsidR="00F16E2F" w:rsidRPr="009A4DCA">
        <w:rPr>
          <w:lang w:eastAsia="en-US"/>
        </w:rPr>
        <w:t>, including advice on</w:t>
      </w:r>
      <w:r w:rsidR="00DA1351">
        <w:rPr>
          <w:lang w:eastAsia="en-US"/>
        </w:rPr>
        <w:t xml:space="preserve"> the pivotal</w:t>
      </w:r>
      <w:r w:rsidR="00F16E2F" w:rsidRPr="009A4DCA">
        <w:rPr>
          <w:lang w:eastAsia="en-US"/>
        </w:rPr>
        <w:t xml:space="preserve"> RENOIR</w:t>
      </w:r>
      <w:r w:rsidR="00DA1351">
        <w:rPr>
          <w:lang w:eastAsia="en-US"/>
        </w:rPr>
        <w:t xml:space="preserve"> trial</w:t>
      </w:r>
      <w:r w:rsidR="00F16E2F" w:rsidRPr="009A4DCA">
        <w:rPr>
          <w:lang w:eastAsia="en-US"/>
        </w:rPr>
        <w:t xml:space="preserve"> End-of-season 2</w:t>
      </w:r>
      <w:r w:rsidR="00CB01BF" w:rsidRPr="009A4DCA">
        <w:rPr>
          <w:lang w:eastAsia="en-US"/>
        </w:rPr>
        <w:t xml:space="preserve"> (EOS2)</w:t>
      </w:r>
      <w:r w:rsidR="00F16E2F" w:rsidRPr="009A4DCA">
        <w:rPr>
          <w:lang w:eastAsia="en-US"/>
        </w:rPr>
        <w:t xml:space="preserve"> data and responses to questions</w:t>
      </w:r>
      <w:r w:rsidRPr="009A4DCA">
        <w:rPr>
          <w:lang w:eastAsia="en-US"/>
        </w:rPr>
        <w:t>.</w:t>
      </w:r>
    </w:p>
    <w:p w14:paraId="22C4C5BC" w14:textId="514134D9" w:rsidR="005F64C8" w:rsidRPr="009A4DCA" w:rsidRDefault="005F64C8" w:rsidP="00C41E64">
      <w:pPr>
        <w:pStyle w:val="3-BodyText"/>
        <w:numPr>
          <w:ilvl w:val="0"/>
          <w:numId w:val="0"/>
        </w:numPr>
        <w:ind w:left="720"/>
        <w:rPr>
          <w:lang w:eastAsia="en-US"/>
        </w:rPr>
      </w:pPr>
      <w:r w:rsidRPr="009A4DCA">
        <w:rPr>
          <w:i/>
        </w:rPr>
        <w:t>For more detail on PBAC’s view, see section 7 PBAC outcome.</w:t>
      </w:r>
    </w:p>
    <w:p w14:paraId="59B2F778" w14:textId="77777777" w:rsidR="00F5607C" w:rsidRPr="009A4DCA" w:rsidRDefault="00B50DB8" w:rsidP="008D3AEE">
      <w:pPr>
        <w:pStyle w:val="2-SectionHeading"/>
        <w:keepLines/>
        <w:rPr>
          <w:iCs/>
        </w:rPr>
      </w:pPr>
      <w:bookmarkStart w:id="11" w:name="_Toc107902078"/>
      <w:bookmarkStart w:id="12" w:name="_Toc177558734"/>
      <w:bookmarkEnd w:id="11"/>
      <w:r w:rsidRPr="009A4DCA">
        <w:lastRenderedPageBreak/>
        <w:t>Requested listing</w:t>
      </w:r>
      <w:bookmarkEnd w:id="12"/>
    </w:p>
    <w:tbl>
      <w:tblPr>
        <w:tblStyle w:val="TableGrid"/>
        <w:tblW w:w="5000" w:type="pct"/>
        <w:tblLook w:val="04A0" w:firstRow="1" w:lastRow="0" w:firstColumn="1" w:lastColumn="0" w:noHBand="0" w:noVBand="1"/>
      </w:tblPr>
      <w:tblGrid>
        <w:gridCol w:w="3398"/>
        <w:gridCol w:w="1134"/>
        <w:gridCol w:w="994"/>
        <w:gridCol w:w="992"/>
        <w:gridCol w:w="851"/>
        <w:gridCol w:w="1648"/>
      </w:tblGrid>
      <w:tr w:rsidR="00B11BD7" w:rsidRPr="009A4DCA" w14:paraId="73AFC71F" w14:textId="77777777" w:rsidTr="671D06A2">
        <w:tc>
          <w:tcPr>
            <w:tcW w:w="1884" w:type="pct"/>
          </w:tcPr>
          <w:p w14:paraId="2AF51F1B" w14:textId="77777777" w:rsidR="00B11BD7" w:rsidRPr="009A4DCA" w:rsidRDefault="00B11BD7" w:rsidP="00037C9F">
            <w:pPr>
              <w:keepNext/>
              <w:keepLines/>
              <w:rPr>
                <w:rFonts w:ascii="Arial Narrow" w:hAnsi="Arial Narrow"/>
                <w:b/>
                <w:bCs/>
                <w:sz w:val="20"/>
                <w:szCs w:val="20"/>
              </w:rPr>
            </w:pPr>
            <w:r w:rsidRPr="009A4DCA">
              <w:rPr>
                <w:rFonts w:ascii="Arial Narrow" w:hAnsi="Arial Narrow"/>
                <w:b/>
                <w:bCs/>
                <w:sz w:val="20"/>
                <w:szCs w:val="20"/>
              </w:rPr>
              <w:t>MEDICINAL PRODUCT</w:t>
            </w:r>
          </w:p>
          <w:p w14:paraId="18B71C5D" w14:textId="77777777" w:rsidR="00B11BD7" w:rsidRPr="009A4DCA" w:rsidRDefault="00B11BD7" w:rsidP="00037C9F">
            <w:pPr>
              <w:pStyle w:val="In-tableHeading"/>
              <w:rPr>
                <w:lang w:val="en-AU"/>
              </w:rPr>
            </w:pPr>
          </w:p>
        </w:tc>
        <w:tc>
          <w:tcPr>
            <w:tcW w:w="629" w:type="pct"/>
            <w:vAlign w:val="center"/>
          </w:tcPr>
          <w:p w14:paraId="43C7CF30" w14:textId="77777777" w:rsidR="00B11BD7" w:rsidRPr="009A4DCA" w:rsidRDefault="00B11BD7" w:rsidP="00037C9F">
            <w:pPr>
              <w:pStyle w:val="In-tableHeading"/>
              <w:rPr>
                <w:lang w:val="en-AU"/>
              </w:rPr>
            </w:pPr>
            <w:r w:rsidRPr="009A4DCA">
              <w:rPr>
                <w:snapToGrid w:val="0"/>
                <w:lang w:val="en-AU"/>
              </w:rPr>
              <w:t>Nationally Negotiated Price</w:t>
            </w:r>
          </w:p>
        </w:tc>
        <w:tc>
          <w:tcPr>
            <w:tcW w:w="551" w:type="pct"/>
          </w:tcPr>
          <w:p w14:paraId="63642F24" w14:textId="77777777" w:rsidR="00B11BD7" w:rsidRPr="009A4DCA" w:rsidRDefault="00B11BD7" w:rsidP="00037C9F">
            <w:pPr>
              <w:pStyle w:val="In-tableHeading"/>
              <w:rPr>
                <w:lang w:val="en-AU"/>
              </w:rPr>
            </w:pPr>
            <w:r w:rsidRPr="009A4DCA">
              <w:rPr>
                <w:lang w:val="en-AU"/>
              </w:rPr>
              <w:t>Maximum quantity (packs)</w:t>
            </w:r>
          </w:p>
        </w:tc>
        <w:tc>
          <w:tcPr>
            <w:tcW w:w="550" w:type="pct"/>
          </w:tcPr>
          <w:p w14:paraId="15715597" w14:textId="77777777" w:rsidR="00B11BD7" w:rsidRPr="009A4DCA" w:rsidRDefault="00B11BD7" w:rsidP="00037C9F">
            <w:pPr>
              <w:pStyle w:val="In-tableHeading"/>
              <w:rPr>
                <w:lang w:val="en-AU"/>
              </w:rPr>
            </w:pPr>
            <w:r w:rsidRPr="009A4DCA">
              <w:rPr>
                <w:lang w:val="en-AU"/>
              </w:rPr>
              <w:t>Maximum quantity (units)</w:t>
            </w:r>
          </w:p>
        </w:tc>
        <w:tc>
          <w:tcPr>
            <w:tcW w:w="472" w:type="pct"/>
          </w:tcPr>
          <w:p w14:paraId="37ED4FB5" w14:textId="77777777" w:rsidR="00B11BD7" w:rsidRPr="009A4DCA" w:rsidRDefault="00B11BD7" w:rsidP="00037C9F">
            <w:pPr>
              <w:pStyle w:val="In-tableHeading"/>
              <w:rPr>
                <w:lang w:val="en-AU"/>
              </w:rPr>
            </w:pPr>
            <w:r w:rsidRPr="009A4DCA">
              <w:rPr>
                <w:lang w:val="en-AU"/>
              </w:rPr>
              <w:t>No. of repeats</w:t>
            </w:r>
          </w:p>
        </w:tc>
        <w:tc>
          <w:tcPr>
            <w:tcW w:w="914" w:type="pct"/>
            <w:vAlign w:val="center"/>
          </w:tcPr>
          <w:p w14:paraId="2617A208" w14:textId="77777777" w:rsidR="00B11BD7" w:rsidRPr="009A4DCA" w:rsidRDefault="00B11BD7" w:rsidP="00037C9F">
            <w:pPr>
              <w:pStyle w:val="In-tableHeading"/>
              <w:rPr>
                <w:lang w:val="en-AU"/>
              </w:rPr>
            </w:pPr>
            <w:r w:rsidRPr="009A4DCA">
              <w:rPr>
                <w:lang w:val="en-AU"/>
              </w:rPr>
              <w:t>Available brands</w:t>
            </w:r>
          </w:p>
        </w:tc>
      </w:tr>
      <w:tr w:rsidR="00B11BD7" w:rsidRPr="009A4DCA" w14:paraId="5A3BFE86" w14:textId="77777777" w:rsidTr="671D06A2">
        <w:trPr>
          <w:trHeight w:val="357"/>
        </w:trPr>
        <w:tc>
          <w:tcPr>
            <w:tcW w:w="1884" w:type="pct"/>
          </w:tcPr>
          <w:p w14:paraId="3976F5A3" w14:textId="77777777" w:rsidR="00B11BD7" w:rsidRPr="009A4DCA" w:rsidRDefault="00B11BD7" w:rsidP="00037C9F">
            <w:pPr>
              <w:pStyle w:val="Tabletext"/>
              <w:keepNext/>
              <w:keepLines/>
              <w:rPr>
                <w:bCs/>
              </w:rPr>
            </w:pPr>
            <w:r w:rsidRPr="009A4DCA">
              <w:rPr>
                <w:bCs/>
              </w:rPr>
              <w:t>Recombinant Respiratory Syncytial Virus (RSV) pre-fusion F protein vaccine, pre-filled syringe, 0.5mL containing 120 micrograms (mcg) of stabilised prefusion F proteins (60 mcg RSV-A and 60 mcg RSV-B antigens)</w:t>
            </w:r>
            <w:r w:rsidRPr="009A4DCA">
              <w:rPr>
                <w:i/>
                <w:iCs/>
              </w:rPr>
              <w:t xml:space="preserve"> </w:t>
            </w:r>
          </w:p>
        </w:tc>
        <w:tc>
          <w:tcPr>
            <w:tcW w:w="629" w:type="pct"/>
            <w:vAlign w:val="center"/>
          </w:tcPr>
          <w:p w14:paraId="23BA2DFB" w14:textId="7974B0CF" w:rsidR="00B11BD7" w:rsidRPr="009A4DCA" w:rsidRDefault="00B11BD7" w:rsidP="00037C9F">
            <w:pPr>
              <w:pStyle w:val="Tabletext"/>
              <w:keepNext/>
              <w:keepLines/>
              <w:jc w:val="center"/>
            </w:pPr>
            <w:r>
              <w:t>$</w:t>
            </w:r>
            <w:r w:rsidR="00E44A34" w:rsidRPr="00A03664">
              <w:rPr>
                <w:rFonts w:hint="eastAsia"/>
                <w:color w:val="000000"/>
                <w:w w:val="27"/>
                <w:shd w:val="solid" w:color="000000" w:fill="000000"/>
                <w:fitText w:val="120" w:id="-762047744"/>
                <w14:textFill>
                  <w14:solidFill>
                    <w14:srgbClr w14:val="000000">
                      <w14:alpha w14:val="100000"/>
                    </w14:srgbClr>
                  </w14:solidFill>
                </w14:textFill>
              </w:rPr>
              <w:t xml:space="preserve">　</w:t>
            </w:r>
            <w:r w:rsidR="00E44A34" w:rsidRPr="00A03664">
              <w:rPr>
                <w:color w:val="000000"/>
                <w:w w:val="27"/>
                <w:shd w:val="solid" w:color="000000" w:fill="000000"/>
                <w:fitText w:val="120" w:id="-762047744"/>
                <w14:textFill>
                  <w14:solidFill>
                    <w14:srgbClr w14:val="000000">
                      <w14:alpha w14:val="100000"/>
                    </w14:srgbClr>
                  </w14:solidFill>
                </w14:textFill>
              </w:rPr>
              <w:t>|</w:t>
            </w:r>
            <w:r w:rsidR="00E44A34" w:rsidRPr="00A03664">
              <w:rPr>
                <w:rFonts w:hint="eastAsia"/>
                <w:color w:val="000000"/>
                <w:spacing w:val="2"/>
                <w:w w:val="27"/>
                <w:shd w:val="solid" w:color="000000" w:fill="000000"/>
                <w:fitText w:val="120" w:id="-762047744"/>
                <w14:textFill>
                  <w14:solidFill>
                    <w14:srgbClr w14:val="000000">
                      <w14:alpha w14:val="100000"/>
                    </w14:srgbClr>
                  </w14:solidFill>
                </w14:textFill>
              </w:rPr>
              <w:t xml:space="preserve">　</w:t>
            </w:r>
          </w:p>
        </w:tc>
        <w:tc>
          <w:tcPr>
            <w:tcW w:w="551" w:type="pct"/>
            <w:vAlign w:val="center"/>
          </w:tcPr>
          <w:p w14:paraId="3882BFC4" w14:textId="77777777" w:rsidR="00B11BD7" w:rsidRPr="009A4DCA" w:rsidRDefault="00B11BD7" w:rsidP="00037C9F">
            <w:pPr>
              <w:pStyle w:val="Tabletext"/>
              <w:keepNext/>
              <w:keepLines/>
              <w:jc w:val="center"/>
            </w:pPr>
            <w:r w:rsidRPr="009A4DCA">
              <w:t>1</w:t>
            </w:r>
          </w:p>
        </w:tc>
        <w:tc>
          <w:tcPr>
            <w:tcW w:w="550" w:type="pct"/>
            <w:vAlign w:val="center"/>
          </w:tcPr>
          <w:p w14:paraId="0B0383EB" w14:textId="77777777" w:rsidR="00B11BD7" w:rsidRPr="009A4DCA" w:rsidRDefault="00B11BD7" w:rsidP="00037C9F">
            <w:pPr>
              <w:pStyle w:val="Tabletext"/>
              <w:keepNext/>
              <w:keepLines/>
              <w:jc w:val="center"/>
            </w:pPr>
            <w:r w:rsidRPr="009A4DCA">
              <w:t>1</w:t>
            </w:r>
          </w:p>
        </w:tc>
        <w:tc>
          <w:tcPr>
            <w:tcW w:w="472" w:type="pct"/>
            <w:vAlign w:val="center"/>
          </w:tcPr>
          <w:p w14:paraId="20E88D50" w14:textId="77777777" w:rsidR="00B11BD7" w:rsidRPr="009A4DCA" w:rsidRDefault="00B11BD7" w:rsidP="00037C9F">
            <w:pPr>
              <w:pStyle w:val="Tabletext"/>
              <w:keepNext/>
              <w:keepLines/>
              <w:jc w:val="center"/>
            </w:pPr>
            <w:r w:rsidRPr="009A4DCA">
              <w:t>0</w:t>
            </w:r>
          </w:p>
        </w:tc>
        <w:tc>
          <w:tcPr>
            <w:tcW w:w="914" w:type="pct"/>
            <w:vAlign w:val="center"/>
          </w:tcPr>
          <w:p w14:paraId="1481FFB8" w14:textId="77777777" w:rsidR="00B11BD7" w:rsidRPr="009A4DCA" w:rsidRDefault="00B11BD7" w:rsidP="00037C9F">
            <w:pPr>
              <w:pStyle w:val="Tabletext"/>
              <w:keepNext/>
              <w:keepLines/>
              <w:rPr>
                <w:iCs/>
              </w:rPr>
            </w:pPr>
            <w:r w:rsidRPr="009A4DCA">
              <w:rPr>
                <w:iCs/>
              </w:rPr>
              <w:t>ABRYSVO</w:t>
            </w:r>
            <w:r w:rsidRPr="009A4DCA">
              <w:rPr>
                <w:iCs/>
                <w:vertAlign w:val="superscript"/>
              </w:rPr>
              <w:t>®</w:t>
            </w:r>
          </w:p>
        </w:tc>
      </w:tr>
      <w:tr w:rsidR="00B11BD7" w:rsidRPr="009A4DCA" w14:paraId="4AF1C422" w14:textId="77777777" w:rsidTr="671D06A2">
        <w:trPr>
          <w:trHeight w:val="357"/>
        </w:trPr>
        <w:tc>
          <w:tcPr>
            <w:tcW w:w="5000" w:type="pct"/>
            <w:gridSpan w:val="6"/>
          </w:tcPr>
          <w:p w14:paraId="4AA03BDD" w14:textId="77777777" w:rsidR="00B11BD7" w:rsidRPr="009A4DCA" w:rsidRDefault="00B11BD7" w:rsidP="00037C9F">
            <w:pPr>
              <w:pStyle w:val="Tabletext"/>
              <w:keepNext/>
              <w:keepLines/>
              <w:jc w:val="both"/>
            </w:pPr>
            <w:r w:rsidRPr="009A4DCA">
              <w:t>National Immunisation Program</w:t>
            </w:r>
          </w:p>
          <w:p w14:paraId="00255752" w14:textId="77777777" w:rsidR="00B11BD7" w:rsidRPr="009A4DCA" w:rsidRDefault="00B11BD7" w:rsidP="00C6762E">
            <w:pPr>
              <w:pStyle w:val="Tabletext"/>
              <w:keepNext/>
              <w:keepLines/>
              <w:numPr>
                <w:ilvl w:val="0"/>
                <w:numId w:val="6"/>
              </w:numPr>
              <w:jc w:val="both"/>
            </w:pPr>
            <w:r w:rsidRPr="009A4DCA">
              <w:t>Adults 75 years of age and above</w:t>
            </w:r>
          </w:p>
          <w:p w14:paraId="33938396" w14:textId="77777777" w:rsidR="00B11BD7" w:rsidRPr="009A4DCA" w:rsidRDefault="00B11BD7" w:rsidP="00C6762E">
            <w:pPr>
              <w:pStyle w:val="Tabletext"/>
              <w:keepNext/>
              <w:keepLines/>
              <w:numPr>
                <w:ilvl w:val="0"/>
                <w:numId w:val="6"/>
              </w:numPr>
              <w:jc w:val="both"/>
            </w:pPr>
            <w:r w:rsidRPr="009A4DCA">
              <w:t>Aboriginal and Torres Strait Islander peoples aged 60 to 74 years</w:t>
            </w:r>
          </w:p>
          <w:p w14:paraId="3D2BDE12" w14:textId="0100DE41" w:rsidR="00B11BD7" w:rsidRPr="009A4DCA" w:rsidRDefault="00B11BD7" w:rsidP="00C6762E">
            <w:pPr>
              <w:pStyle w:val="Tabletext"/>
              <w:keepNext/>
              <w:keepLines/>
              <w:numPr>
                <w:ilvl w:val="0"/>
                <w:numId w:val="6"/>
              </w:numPr>
              <w:jc w:val="both"/>
            </w:pPr>
            <w:r w:rsidRPr="009A4DCA">
              <w:t>Adults aged 60 to</w:t>
            </w:r>
            <w:r w:rsidR="00356D07" w:rsidRPr="009A4DCA">
              <w:t xml:space="preserve"> </w:t>
            </w:r>
            <w:r w:rsidRPr="009A4DCA">
              <w:t xml:space="preserve">74 years with a risk condition for severe RSV disease </w:t>
            </w:r>
          </w:p>
          <w:p w14:paraId="56F332D4" w14:textId="77777777" w:rsidR="00B11BD7" w:rsidRPr="009A4DCA" w:rsidRDefault="00B11BD7" w:rsidP="00037C9F">
            <w:pPr>
              <w:pStyle w:val="Tabletext"/>
              <w:keepNext/>
              <w:keepLines/>
              <w:jc w:val="both"/>
              <w:rPr>
                <w:iCs/>
              </w:rPr>
            </w:pPr>
            <w:r w:rsidRPr="009A4DCA">
              <w:t xml:space="preserve">Duration of listing: ongoing NIP </w:t>
            </w:r>
          </w:p>
        </w:tc>
      </w:tr>
      <w:tr w:rsidR="00B11BD7" w:rsidRPr="009A4DCA" w14:paraId="6BD950E4" w14:textId="77777777" w:rsidTr="671D06A2">
        <w:trPr>
          <w:trHeight w:val="357"/>
        </w:trPr>
        <w:tc>
          <w:tcPr>
            <w:tcW w:w="5000" w:type="pct"/>
            <w:gridSpan w:val="6"/>
          </w:tcPr>
          <w:p w14:paraId="37FE3361" w14:textId="77777777" w:rsidR="00B11BD7" w:rsidRPr="009A4DCA" w:rsidRDefault="00B11BD7" w:rsidP="00037C9F">
            <w:pPr>
              <w:pStyle w:val="Tabletext"/>
              <w:keepNext/>
              <w:keepLines/>
              <w:jc w:val="both"/>
            </w:pPr>
            <w:r w:rsidRPr="009A4DCA">
              <w:t>Risk conditions:</w:t>
            </w:r>
          </w:p>
          <w:p w14:paraId="2E05E0B6" w14:textId="77777777" w:rsidR="00B11BD7" w:rsidRPr="009A4DCA" w:rsidRDefault="00B11BD7" w:rsidP="00C6762E">
            <w:pPr>
              <w:pStyle w:val="Tabletext"/>
              <w:keepNext/>
              <w:keepLines/>
              <w:numPr>
                <w:ilvl w:val="0"/>
                <w:numId w:val="11"/>
              </w:numPr>
              <w:jc w:val="both"/>
            </w:pPr>
            <w:r w:rsidRPr="009A4DCA">
              <w:t>Cardiac disease (congenital heart disease, congestive heart failure, coronary artery disease)</w:t>
            </w:r>
          </w:p>
          <w:p w14:paraId="328A831B" w14:textId="77777777" w:rsidR="00B11BD7" w:rsidRPr="009A4DCA" w:rsidRDefault="00B11BD7" w:rsidP="00C6762E">
            <w:pPr>
              <w:pStyle w:val="Tabletext"/>
              <w:keepNext/>
              <w:keepLines/>
              <w:numPr>
                <w:ilvl w:val="0"/>
                <w:numId w:val="11"/>
              </w:numPr>
              <w:jc w:val="both"/>
            </w:pPr>
            <w:r w:rsidRPr="009A4DCA">
              <w:t>Chronic respiratory condition (Suppurative lung disease, bronchiectasis, cystic fibrosis, chronic obstructive pulmonary disease, chronic emphysema, severe asthma (requiring frequent medical consultations or the use of multiple medicines)</w:t>
            </w:r>
          </w:p>
          <w:p w14:paraId="06D4663F" w14:textId="77777777" w:rsidR="00B11BD7" w:rsidRPr="009A4DCA" w:rsidRDefault="00B11BD7" w:rsidP="00C6762E">
            <w:pPr>
              <w:pStyle w:val="Tabletext"/>
              <w:keepNext/>
              <w:keepLines/>
              <w:numPr>
                <w:ilvl w:val="0"/>
                <w:numId w:val="11"/>
              </w:numPr>
              <w:jc w:val="both"/>
            </w:pPr>
            <w:r w:rsidRPr="009A4DCA">
              <w:t>Immunocompromising condition (HIV infection, malignancy, immunocompromise due to disease or treatment, asplenia or splenic dysfunction, solid organ transplant, haematopoietic stem cell transplant, CAR-T cell therapy)</w:t>
            </w:r>
          </w:p>
          <w:p w14:paraId="1D6344A6" w14:textId="77777777" w:rsidR="00B11BD7" w:rsidRPr="009A4DCA" w:rsidRDefault="00B11BD7" w:rsidP="00C6762E">
            <w:pPr>
              <w:pStyle w:val="Tabletext"/>
              <w:keepNext/>
              <w:keepLines/>
              <w:numPr>
                <w:ilvl w:val="0"/>
                <w:numId w:val="11"/>
              </w:numPr>
              <w:jc w:val="both"/>
            </w:pPr>
            <w:r w:rsidRPr="009A4DCA">
              <w:t>Chronic metabolic disorder (Type 1 or 2 diabetes, amino acid disorders, carbohydrate disorders, cholesterol biosynthesis disorders, fatty acid oxidation defects, lactic acidosis, mitochondrial disorders, organic acid disorders, urea cycle disorders, vitamin/cofactor disorders, porphyrias)</w:t>
            </w:r>
          </w:p>
          <w:p w14:paraId="044D4BE8" w14:textId="77777777" w:rsidR="00B11BD7" w:rsidRPr="009A4DCA" w:rsidRDefault="00B11BD7" w:rsidP="00C6762E">
            <w:pPr>
              <w:pStyle w:val="Tabletext"/>
              <w:keepNext/>
              <w:keepLines/>
              <w:numPr>
                <w:ilvl w:val="0"/>
                <w:numId w:val="11"/>
              </w:numPr>
              <w:jc w:val="both"/>
            </w:pPr>
            <w:r w:rsidRPr="009A4DCA">
              <w:t>Chronic kidney disease Stage 4 or 5</w:t>
            </w:r>
          </w:p>
          <w:p w14:paraId="2465AE38" w14:textId="77777777" w:rsidR="00B11BD7" w:rsidRPr="009A4DCA" w:rsidRDefault="00B11BD7" w:rsidP="00C6762E">
            <w:pPr>
              <w:pStyle w:val="Tabletext"/>
              <w:keepNext/>
              <w:keepLines/>
              <w:numPr>
                <w:ilvl w:val="0"/>
                <w:numId w:val="11"/>
              </w:numPr>
              <w:jc w:val="both"/>
            </w:pPr>
            <w:r w:rsidRPr="009A4DCA">
              <w:t>Chronic neurological condition (Hereditary and degenerative central nervous system diseases, seizure disorders, spinal cord injuries, neuromuscular disorders, conditions that increase respiratory infection risk).</w:t>
            </w:r>
          </w:p>
        </w:tc>
      </w:tr>
    </w:tbl>
    <w:p w14:paraId="0B011DA9" w14:textId="77777777" w:rsidR="00B11BD7" w:rsidRPr="009A4DCA" w:rsidRDefault="00B11BD7" w:rsidP="00037C9F">
      <w:pPr>
        <w:pStyle w:val="FooterTableFigure"/>
        <w:keepNext/>
        <w:keepLines/>
      </w:pPr>
      <w:r w:rsidRPr="009A4DCA">
        <w:t>Source: Compiled during the evaluation from Tables 1.4.1 and 1.4.2, p36 of the submission</w:t>
      </w:r>
    </w:p>
    <w:p w14:paraId="37938111" w14:textId="71A81EBE" w:rsidR="00046D64" w:rsidRPr="009A4DCA" w:rsidRDefault="00B11BD7" w:rsidP="00BA0102">
      <w:pPr>
        <w:pStyle w:val="FooterTableFigure"/>
      </w:pPr>
      <w:r w:rsidRPr="009A4DCA">
        <w:t xml:space="preserve">CAR-T = Chimeric Antigen Receptor T; HIV = Human immunodeficiency virus; </w:t>
      </w:r>
      <w:r w:rsidR="00116707" w:rsidRPr="009A4DCA">
        <w:t xml:space="preserve">mL = millilitre; </w:t>
      </w:r>
      <w:r w:rsidRPr="009A4DCA">
        <w:t xml:space="preserve">NIP = National Immunisation Program; RSV = respiratory syncytial virus; </w:t>
      </w:r>
      <w:r w:rsidR="00116707" w:rsidRPr="009A4DCA">
        <w:t xml:space="preserve">RSV-A = RSV subtype A; RSV-B = RSV subtype B; </w:t>
      </w:r>
      <w:r w:rsidRPr="009A4DCA">
        <w:t xml:space="preserve">RSVpreF = </w:t>
      </w:r>
      <w:r w:rsidR="00CE4AF1" w:rsidRPr="009A4DCA">
        <w:t xml:space="preserve">recombinant </w:t>
      </w:r>
      <w:r w:rsidRPr="009A4DCA">
        <w:t>RSV</w:t>
      </w:r>
      <w:r w:rsidR="00CE4AF1" w:rsidRPr="009A4DCA">
        <w:t xml:space="preserve"> </w:t>
      </w:r>
      <w:r w:rsidRPr="009A4DCA">
        <w:t xml:space="preserve">prefusion F </w:t>
      </w:r>
      <w:r w:rsidR="00CE4AF1" w:rsidRPr="009A4DCA">
        <w:t xml:space="preserve">protein </w:t>
      </w:r>
      <w:r w:rsidRPr="009A4DCA">
        <w:t>vaccine</w:t>
      </w:r>
      <w:r w:rsidR="00CE4AF1" w:rsidRPr="009A4DCA">
        <w:t>.</w:t>
      </w:r>
    </w:p>
    <w:p w14:paraId="4288D67A" w14:textId="1AF47B2C" w:rsidR="00C709E3" w:rsidRPr="009A4DCA" w:rsidRDefault="002E571E" w:rsidP="003A0F9B">
      <w:pPr>
        <w:pStyle w:val="3-BodyText"/>
        <w:numPr>
          <w:ilvl w:val="1"/>
          <w:numId w:val="1"/>
        </w:numPr>
      </w:pPr>
      <w:r w:rsidRPr="009A4DCA">
        <w:t xml:space="preserve">The submission proposed 3 separate NIP </w:t>
      </w:r>
      <w:r w:rsidR="00BA35BC" w:rsidRPr="009A4DCA">
        <w:t>populations</w:t>
      </w:r>
      <w:r w:rsidRPr="009A4DCA">
        <w:t xml:space="preserve">; </w:t>
      </w:r>
    </w:p>
    <w:p w14:paraId="31C0FBA7" w14:textId="77777777" w:rsidR="00C709E3" w:rsidRPr="009A4DCA" w:rsidRDefault="002E571E" w:rsidP="00291B5E">
      <w:pPr>
        <w:pStyle w:val="3-BodyText"/>
        <w:numPr>
          <w:ilvl w:val="0"/>
          <w:numId w:val="33"/>
        </w:numPr>
        <w:spacing w:before="0"/>
        <w:ind w:left="1134" w:hanging="357"/>
      </w:pPr>
      <w:r w:rsidRPr="009A4DCA">
        <w:t xml:space="preserve">one dose of RSVpreF for adults 75 years of age and above; </w:t>
      </w:r>
    </w:p>
    <w:p w14:paraId="40F9F9B0" w14:textId="1B04F6D2" w:rsidR="00C709E3" w:rsidRPr="009A4DCA" w:rsidRDefault="002E571E" w:rsidP="00291B5E">
      <w:pPr>
        <w:pStyle w:val="3-BodyText"/>
        <w:numPr>
          <w:ilvl w:val="0"/>
          <w:numId w:val="33"/>
        </w:numPr>
        <w:spacing w:before="0"/>
        <w:ind w:left="1134" w:hanging="357"/>
      </w:pPr>
      <w:r w:rsidRPr="009A4DCA">
        <w:t>one dose for Aboriginal and Torres Strait Islander peoples aged 60 to</w:t>
      </w:r>
      <w:r w:rsidR="00B5331B" w:rsidRPr="009A4DCA">
        <w:t xml:space="preserve"> </w:t>
      </w:r>
      <w:r w:rsidRPr="009A4DCA">
        <w:t xml:space="preserve">74 years;  </w:t>
      </w:r>
    </w:p>
    <w:p w14:paraId="6A77C81F" w14:textId="24FE0B08" w:rsidR="002E571E" w:rsidRPr="009A4DCA" w:rsidRDefault="002E571E" w:rsidP="00291B5E">
      <w:pPr>
        <w:pStyle w:val="3-BodyText"/>
        <w:numPr>
          <w:ilvl w:val="0"/>
          <w:numId w:val="33"/>
        </w:numPr>
        <w:spacing w:before="0"/>
        <w:ind w:left="1134" w:hanging="357"/>
      </w:pPr>
      <w:r w:rsidRPr="009A4DCA">
        <w:t>one dose for adults aged 60 to</w:t>
      </w:r>
      <w:r w:rsidR="0090624B" w:rsidRPr="009A4DCA">
        <w:t xml:space="preserve"> </w:t>
      </w:r>
      <w:r w:rsidRPr="009A4DCA">
        <w:t xml:space="preserve">74 years with a risk condition for severe RSV disease. </w:t>
      </w:r>
    </w:p>
    <w:p w14:paraId="42278C7C" w14:textId="2A6A6F95" w:rsidR="00C709E3" w:rsidRPr="009A4DCA" w:rsidRDefault="00C709E3" w:rsidP="00C709E3">
      <w:pPr>
        <w:pStyle w:val="3-BodyText"/>
        <w:numPr>
          <w:ilvl w:val="0"/>
          <w:numId w:val="0"/>
        </w:numPr>
        <w:spacing w:before="0"/>
        <w:ind w:left="720" w:firstLine="11"/>
      </w:pPr>
      <w:r w:rsidRPr="009A4DCA">
        <w:t xml:space="preserve">The </w:t>
      </w:r>
      <w:r w:rsidR="00DA1351" w:rsidRPr="00DA1351">
        <w:t>Economics Sub-Committee (ESC)</w:t>
      </w:r>
      <w:r w:rsidR="00DA1351" w:rsidRPr="009A4DCA">
        <w:t xml:space="preserve"> </w:t>
      </w:r>
      <w:r w:rsidRPr="009A4DCA">
        <w:t xml:space="preserve">noted that the proposed populations </w:t>
      </w:r>
      <w:r w:rsidR="005D208A" w:rsidRPr="009A4DCA">
        <w:t xml:space="preserve">were </w:t>
      </w:r>
      <w:r w:rsidRPr="009A4DCA">
        <w:t>consistent with ATAGI recommendations. The ESC considered that while the overall burden of disease for RSV is highly uncertain, these groups are at higher risk for severe disease and associated complications.</w:t>
      </w:r>
    </w:p>
    <w:p w14:paraId="587D2198" w14:textId="182F5CB6" w:rsidR="00C817CC" w:rsidRPr="009A4DCA" w:rsidRDefault="00C3191F" w:rsidP="00B479FD">
      <w:pPr>
        <w:pStyle w:val="3-BodyText"/>
      </w:pPr>
      <w:bookmarkStart w:id="13" w:name="_Ref182318442"/>
      <w:bookmarkStart w:id="14" w:name="_Ref183017702"/>
      <w:r w:rsidRPr="009A4DCA">
        <w:t>The</w:t>
      </w:r>
      <w:r w:rsidR="005661B4" w:rsidRPr="009A4DCA">
        <w:t xml:space="preserve"> </w:t>
      </w:r>
      <w:r w:rsidR="00451714" w:rsidRPr="009A4DCA">
        <w:t>defined</w:t>
      </w:r>
      <w:r w:rsidRPr="009A4DCA">
        <w:t xml:space="preserve"> risk conditions</w:t>
      </w:r>
      <w:r w:rsidR="0068659A" w:rsidRPr="009A4DCA">
        <w:t xml:space="preserve"> for severe RSV disease</w:t>
      </w:r>
      <w:r w:rsidRPr="009A4DCA">
        <w:t xml:space="preserve"> </w:t>
      </w:r>
      <w:r w:rsidR="005661B4" w:rsidRPr="009A4DCA">
        <w:t>pertaining to adults 60 to 74 years</w:t>
      </w:r>
      <w:r w:rsidR="0068659A" w:rsidRPr="009A4DCA">
        <w:t xml:space="preserve"> are shown in the requested listing.</w:t>
      </w:r>
      <w:r w:rsidR="003C1B2E" w:rsidRPr="009A4DCA">
        <w:t xml:space="preserve"> The </w:t>
      </w:r>
      <w:r w:rsidR="00E558DD" w:rsidRPr="009A4DCA">
        <w:t>Pre-Sub-Committee Response (</w:t>
      </w:r>
      <w:r w:rsidR="003C1B2E" w:rsidRPr="009A4DCA">
        <w:t>PSCR</w:t>
      </w:r>
      <w:r w:rsidR="00E558DD" w:rsidRPr="009A4DCA">
        <w:t>)</w:t>
      </w:r>
      <w:r w:rsidR="003C1B2E" w:rsidRPr="009A4DCA">
        <w:t xml:space="preserve"> stated that obesity was recently added to the list of risk factors in the clinical recommendations for RSV vaccines in the </w:t>
      </w:r>
      <w:r w:rsidR="000C1299" w:rsidRPr="009A4DCA">
        <w:t>Australian Immunisation Handbook (AIH)</w:t>
      </w:r>
      <w:r w:rsidR="003C1B2E" w:rsidRPr="009A4DCA">
        <w:t xml:space="preserve"> RSV chapter (27 June 2024) and that the sponsor is willing to work with the Department of Health and Aged Care to finalise the list of risk conditions for severe </w:t>
      </w:r>
      <w:r w:rsidR="003C1B2E" w:rsidRPr="009A4DCA">
        <w:lastRenderedPageBreak/>
        <w:t>RSV disease as clinical recommendations evolve.</w:t>
      </w:r>
      <w:bookmarkEnd w:id="13"/>
      <w:r w:rsidR="005D208A" w:rsidRPr="009A4DCA">
        <w:t xml:space="preserve"> The ESC noted that the omission of obesity from the list of risk conditions for the NIP listing would be consistent with influenza, noting that the AIH lists obesity as a risk factor for influenza and severe outcomes, but obesity is not a NIP-funded condition for influenza vaccination.</w:t>
      </w:r>
      <w:bookmarkEnd w:id="14"/>
    </w:p>
    <w:p w14:paraId="199BB0D3" w14:textId="2A64CB46" w:rsidR="00257661" w:rsidRPr="009A4DCA" w:rsidRDefault="002E571E" w:rsidP="003A0F9B">
      <w:pPr>
        <w:pStyle w:val="3-BodyText"/>
      </w:pPr>
      <w:r w:rsidRPr="009A4DCA">
        <w:t>The price proposed in the submission is shown above. The Nationally Negotiated Price will</w:t>
      </w:r>
      <w:r w:rsidR="00FE6828" w:rsidRPr="009A4DCA">
        <w:t xml:space="preserve"> be informed by</w:t>
      </w:r>
      <w:r w:rsidRPr="009A4DCA">
        <w:t xml:space="preserve"> the cost-effective </w:t>
      </w:r>
      <w:r w:rsidR="003E2E76" w:rsidRPr="009A4DCA">
        <w:t>analyses considered appropriate</w:t>
      </w:r>
      <w:r w:rsidR="00400960" w:rsidRPr="009A4DCA">
        <w:t xml:space="preserve"> by the PBAC</w:t>
      </w:r>
      <w:r w:rsidR="00DE07F9" w:rsidRPr="009A4DCA">
        <w:t xml:space="preserve"> (</w:t>
      </w:r>
      <w:r w:rsidR="00400960" w:rsidRPr="009A4DCA">
        <w:t xml:space="preserve">see </w:t>
      </w:r>
      <w:r w:rsidR="00EE1C08" w:rsidRPr="009A4DCA">
        <w:t>section 7 PBAC outcome</w:t>
      </w:r>
      <w:r w:rsidR="00257661" w:rsidRPr="009A4DCA">
        <w:t>).</w:t>
      </w:r>
    </w:p>
    <w:p w14:paraId="4A1B4CFC" w14:textId="17DFAF43" w:rsidR="002E571E" w:rsidRPr="009A4DCA" w:rsidRDefault="002E571E" w:rsidP="003A0F9B">
      <w:pPr>
        <w:pStyle w:val="3-BodyText"/>
        <w:numPr>
          <w:ilvl w:val="1"/>
          <w:numId w:val="1"/>
        </w:numPr>
      </w:pPr>
      <w:bookmarkStart w:id="15" w:name="_Ref177543344"/>
      <w:r w:rsidRPr="009A4DCA">
        <w:t>The requested NIP listing is for a single dose of RSVpreF. The submission stated that the need for revaccination with RSVpreF for the proposed populations of older adults has not yet been established.</w:t>
      </w:r>
      <w:bookmarkEnd w:id="15"/>
      <w:r w:rsidR="00D20100" w:rsidRPr="009A4DCA">
        <w:t xml:space="preserve"> </w:t>
      </w:r>
    </w:p>
    <w:p w14:paraId="168E04FD" w14:textId="3C53166E" w:rsidR="004E7A1C" w:rsidRPr="009A4DCA" w:rsidRDefault="004E7A1C" w:rsidP="003A0F9B">
      <w:pPr>
        <w:pStyle w:val="3-BodyText"/>
        <w:numPr>
          <w:ilvl w:val="1"/>
          <w:numId w:val="1"/>
        </w:numPr>
      </w:pPr>
      <w:r w:rsidRPr="009A4DCA">
        <w:t>The submission presented evidence from</w:t>
      </w:r>
      <w:r w:rsidR="00A46810" w:rsidRPr="009A4DCA">
        <w:t xml:space="preserve"> the pivotal</w:t>
      </w:r>
      <w:r w:rsidRPr="009A4DCA">
        <w:t xml:space="preserve"> RENOIR</w:t>
      </w:r>
      <w:r w:rsidR="00A46810" w:rsidRPr="009A4DCA">
        <w:t xml:space="preserve"> trial</w:t>
      </w:r>
      <w:r w:rsidRPr="009A4DCA">
        <w:t xml:space="preserve"> for the primary efficacy analysis of vaccine efficacy (VE) of RSVpreF against the first episode of RSV</w:t>
      </w:r>
      <w:r w:rsidR="00122A99" w:rsidRPr="009A4DCA">
        <w:noBreakHyphen/>
      </w:r>
      <w:r w:rsidRPr="009A4DCA">
        <w:t>LRTI in the first RSV season in healthy adults ≥60 years (including those with stable pre-existing conditions). The submission noted that analysis of RSVpreF at the EOS2 from the</w:t>
      </w:r>
      <w:r w:rsidR="00DE49DD" w:rsidRPr="009A4DCA">
        <w:t xml:space="preserve"> </w:t>
      </w:r>
      <w:r w:rsidRPr="009A4DCA">
        <w:t>RENOIR</w:t>
      </w:r>
      <w:r w:rsidR="00CB01BF" w:rsidRPr="009A4DCA">
        <w:t xml:space="preserve"> trial</w:t>
      </w:r>
      <w:r w:rsidRPr="009A4DCA">
        <w:t xml:space="preserve"> (data cut off: 18 December 2023) became available after the time of the ATAGI </w:t>
      </w:r>
      <w:r w:rsidR="00122A99" w:rsidRPr="009A4DCA">
        <w:t xml:space="preserve">pre-submission </w:t>
      </w:r>
      <w:r w:rsidRPr="009A4DCA">
        <w:t>advice, which the submission claimed demonstrated durable efficacy over two RSV seasons.</w:t>
      </w:r>
      <w:r w:rsidR="00876DD7" w:rsidRPr="009A4DCA">
        <w:t xml:space="preserve"> </w:t>
      </w:r>
      <w:r w:rsidR="00565390" w:rsidRPr="009A4DCA">
        <w:t>The ATAGI post-submission advice stated t</w:t>
      </w:r>
      <w:r w:rsidR="00565390" w:rsidRPr="009A4DCA">
        <w:rPr>
          <w:rFonts w:ascii="Calibri" w:eastAsia="Aptos" w:hAnsi="Calibri" w:cs="Cordia New"/>
        </w:rPr>
        <w:t>here is currently uncertainty about the duration of protection</w:t>
      </w:r>
      <w:r w:rsidR="007A3853" w:rsidRPr="009A4DCA">
        <w:rPr>
          <w:rFonts w:ascii="Calibri" w:eastAsia="Aptos" w:hAnsi="Calibri" w:cs="Cordia New"/>
        </w:rPr>
        <w:t>,</w:t>
      </w:r>
      <w:r w:rsidR="00565390" w:rsidRPr="009A4DCA">
        <w:rPr>
          <w:rFonts w:ascii="Calibri" w:eastAsia="Aptos" w:hAnsi="Calibri" w:cs="Cordia New"/>
        </w:rPr>
        <w:t xml:space="preserve"> since data are only available across two seasons and there is evidence of some waning in the second season. There are no correlates of protection and there is no evidence</w:t>
      </w:r>
      <w:r w:rsidR="00350003" w:rsidRPr="009A4DCA">
        <w:rPr>
          <w:rFonts w:ascii="Calibri" w:eastAsia="Aptos" w:hAnsi="Calibri" w:cs="Cordia New"/>
        </w:rPr>
        <w:t>,</w:t>
      </w:r>
      <w:r w:rsidR="00565390" w:rsidRPr="009A4DCA">
        <w:rPr>
          <w:rFonts w:ascii="Calibri" w:eastAsia="Aptos" w:hAnsi="Calibri" w:cs="Cordia New"/>
        </w:rPr>
        <w:t xml:space="preserve"> to date, to inform the rate of waning post season two. Therefore, it is unknown whether, or at what point, immunity is likely to decline to a point below a protective threshold.</w:t>
      </w:r>
    </w:p>
    <w:p w14:paraId="14654574" w14:textId="0F25FF70" w:rsidR="002E571E" w:rsidRPr="009A4DCA" w:rsidRDefault="002E571E" w:rsidP="255BFFAA">
      <w:pPr>
        <w:pStyle w:val="3-BodyText"/>
      </w:pPr>
      <w:bookmarkStart w:id="16" w:name="_Ref179896375"/>
      <w:bookmarkStart w:id="17" w:name="_Ref183009552"/>
      <w:r w:rsidRPr="009A4DCA">
        <w:t>The submission</w:t>
      </w:r>
      <w:r w:rsidR="009148E5" w:rsidRPr="009A4DCA">
        <w:t xml:space="preserve"> and the pre-PBAC response </w:t>
      </w:r>
      <w:r w:rsidRPr="009A4DCA">
        <w:t>stated</w:t>
      </w:r>
      <w:r w:rsidR="00BA5A6A" w:rsidRPr="009A4DCA">
        <w:t xml:space="preserve"> </w:t>
      </w:r>
      <w:r w:rsidRPr="009A4DCA">
        <w:t xml:space="preserve">that there </w:t>
      </w:r>
      <w:r w:rsidR="00846180" w:rsidRPr="009A4DCA">
        <w:t xml:space="preserve">are three </w:t>
      </w:r>
      <w:r w:rsidRPr="009A4DCA">
        <w:t>ongoing sub-studies of the RENOIR</w:t>
      </w:r>
      <w:r w:rsidR="00A46810" w:rsidRPr="009A4DCA">
        <w:t xml:space="preserve"> trial</w:t>
      </w:r>
      <w:r w:rsidRPr="009A4DCA">
        <w:t>, Sub-study A (SSA)</w:t>
      </w:r>
      <w:r w:rsidR="00846180" w:rsidRPr="009A4DCA">
        <w:t>,</w:t>
      </w:r>
      <w:r w:rsidRPr="009A4DCA">
        <w:t xml:space="preserve"> Sub-study B (SSB)</w:t>
      </w:r>
      <w:r w:rsidR="00A46810" w:rsidRPr="009A4DCA">
        <w:t>,</w:t>
      </w:r>
      <w:r w:rsidRPr="009A4DCA">
        <w:t xml:space="preserve"> </w:t>
      </w:r>
      <w:r w:rsidR="00846180" w:rsidRPr="009A4DCA">
        <w:t>and Sub-study</w:t>
      </w:r>
      <w:r w:rsidR="00797154">
        <w:t> </w:t>
      </w:r>
      <w:r w:rsidR="00846180" w:rsidRPr="009A4DCA">
        <w:t>C (SSC)</w:t>
      </w:r>
      <w:r w:rsidR="00EA5399" w:rsidRPr="009A4DCA">
        <w:t xml:space="preserve">, </w:t>
      </w:r>
      <w:r w:rsidRPr="009A4DCA">
        <w:t>evaluating the safety and immunogenicity of revaccination at 1</w:t>
      </w:r>
      <w:r w:rsidR="00EA5399" w:rsidRPr="009A4DCA">
        <w:t xml:space="preserve"> year,</w:t>
      </w:r>
      <w:r w:rsidRPr="009A4DCA">
        <w:t xml:space="preserve"> 2 years</w:t>
      </w:r>
      <w:r w:rsidR="00A46810" w:rsidRPr="009A4DCA">
        <w:t>,</w:t>
      </w:r>
      <w:r w:rsidR="00EA5399" w:rsidRPr="009A4DCA">
        <w:t xml:space="preserve"> and 3 or 4 years,</w:t>
      </w:r>
      <w:r w:rsidRPr="009A4DCA">
        <w:t xml:space="preserve"> respectively. The initial results (1</w:t>
      </w:r>
      <w:r w:rsidR="00A46810" w:rsidRPr="009A4DCA">
        <w:t> </w:t>
      </w:r>
      <w:r w:rsidRPr="009A4DCA">
        <w:t xml:space="preserve">month safety and immunogenicity results) from studies SSA and SSB are anticipated </w:t>
      </w:r>
      <w:r w:rsidRPr="001C6514">
        <w:t xml:space="preserve">in quarter 4 of 2024, with 18-month follow-up data available in 2026. The </w:t>
      </w:r>
      <w:r w:rsidR="007E6D45" w:rsidRPr="001C6514">
        <w:t>s</w:t>
      </w:r>
      <w:r w:rsidRPr="001C6514">
        <w:t>ponsor noted</w:t>
      </w:r>
      <w:r w:rsidRPr="009A4DCA">
        <w:t xml:space="preserve"> their intent to seek ATAGI advice on the appropriate </w:t>
      </w:r>
      <w:r w:rsidR="009472A7" w:rsidRPr="009A4DCA">
        <w:t>revaccination</w:t>
      </w:r>
      <w:r w:rsidRPr="009A4DCA">
        <w:t xml:space="preserve"> timeframe in older adults upon availability of those results.</w:t>
      </w:r>
      <w:r w:rsidRPr="255BFFAA">
        <w:rPr>
          <w:i/>
          <w:iCs/>
        </w:rPr>
        <w:t xml:space="preserve"> </w:t>
      </w:r>
      <w:r w:rsidR="009472A7" w:rsidRPr="009A4DCA">
        <w:t>T</w:t>
      </w:r>
      <w:r w:rsidRPr="009A4DCA">
        <w:t>he</w:t>
      </w:r>
      <w:r w:rsidR="00E930AC" w:rsidRPr="009A4DCA">
        <w:t xml:space="preserve"> evaluation noted the</w:t>
      </w:r>
      <w:r w:rsidRPr="009A4DCA">
        <w:t xml:space="preserve"> possibility of a request for NIP listing of subsequent dose</w:t>
      </w:r>
      <w:r w:rsidR="000C0F51" w:rsidRPr="009A4DCA">
        <w:t>/s</w:t>
      </w:r>
      <w:r w:rsidRPr="009A4DCA">
        <w:t xml:space="preserve"> of RSVpreF should the results of those sub-studies support the case for revaccination. </w:t>
      </w:r>
      <w:r w:rsidR="00E930AC" w:rsidRPr="009A4DCA">
        <w:t>The evaluation</w:t>
      </w:r>
      <w:r w:rsidR="00401D46" w:rsidRPr="009A4DCA">
        <w:t xml:space="preserve"> and the ESC</w:t>
      </w:r>
      <w:r w:rsidR="00E930AC" w:rsidRPr="009A4DCA">
        <w:t xml:space="preserve"> considered that m</w:t>
      </w:r>
      <w:r w:rsidRPr="009A4DCA">
        <w:t>onitoring of VE and consideration of future</w:t>
      </w:r>
      <w:r w:rsidR="00E072E2" w:rsidRPr="009A4DCA">
        <w:t xml:space="preserve"> RENOIR</w:t>
      </w:r>
      <w:r w:rsidRPr="009A4DCA">
        <w:t xml:space="preserve"> follow-up data from</w:t>
      </w:r>
      <w:r w:rsidR="004E6135" w:rsidRPr="009A4DCA">
        <w:t xml:space="preserve"> the sub</w:t>
      </w:r>
      <w:r w:rsidR="00797B79" w:rsidRPr="009A4DCA">
        <w:t>-studies</w:t>
      </w:r>
      <w:r w:rsidRPr="009A4DCA">
        <w:t xml:space="preserve"> will be important in determining the ongoing efficacy, and </w:t>
      </w:r>
      <w:r w:rsidR="00CC7879" w:rsidRPr="009A4DCA">
        <w:noBreakHyphen/>
      </w:r>
      <w:r w:rsidR="3D77B0F2" w:rsidRPr="009A4DCA">
        <w:t>cost-effectiveness</w:t>
      </w:r>
      <w:r w:rsidRPr="009A4DCA">
        <w:t>, of RSVpreF and any requirements for revaccination.</w:t>
      </w:r>
      <w:r w:rsidR="00D20100" w:rsidRPr="009A4DCA">
        <w:t xml:space="preserve"> </w:t>
      </w:r>
      <w:bookmarkEnd w:id="16"/>
      <w:r w:rsidR="00AC02D3" w:rsidRPr="009A4DCA">
        <w:rPr>
          <w:iCs/>
        </w:rPr>
        <w:t>The ESC noted that if revaccination is requested in the future, this would impact cost-effectiveness and financial impact</w:t>
      </w:r>
      <w:r w:rsidR="00B107BB" w:rsidRPr="009A4DCA">
        <w:rPr>
          <w:iCs/>
        </w:rPr>
        <w:t xml:space="preserve"> of </w:t>
      </w:r>
      <w:r w:rsidR="00B107BB" w:rsidRPr="009A4DCA">
        <w:t>RSVpreF</w:t>
      </w:r>
      <w:r w:rsidR="00AC02D3" w:rsidRPr="009A4DCA">
        <w:rPr>
          <w:iCs/>
        </w:rPr>
        <w:t>.</w:t>
      </w:r>
      <w:bookmarkEnd w:id="17"/>
    </w:p>
    <w:p w14:paraId="6856D81B" w14:textId="5A462428" w:rsidR="00497974" w:rsidRPr="009A4DCA" w:rsidRDefault="002E571E" w:rsidP="00497974">
      <w:pPr>
        <w:pStyle w:val="3-BodyText"/>
        <w:numPr>
          <w:ilvl w:val="1"/>
          <w:numId w:val="1"/>
        </w:numPr>
      </w:pPr>
      <w:bookmarkStart w:id="18" w:name="_Ref183009439"/>
      <w:r w:rsidRPr="009A4DCA">
        <w:t xml:space="preserve">The TGA approved </w:t>
      </w:r>
      <w:r w:rsidR="004A536D" w:rsidRPr="009A4DCA">
        <w:t>P</w:t>
      </w:r>
      <w:r w:rsidRPr="009A4DCA">
        <w:t xml:space="preserve">roduct </w:t>
      </w:r>
      <w:r w:rsidR="004A536D" w:rsidRPr="009A4DCA">
        <w:t>I</w:t>
      </w:r>
      <w:r w:rsidRPr="009A4DCA">
        <w:t>nformation (PI) states that RSVpreF can be administered concomitantly with seasonal influenza vaccine and COVID-19 mRNA vaccines. The</w:t>
      </w:r>
      <w:r w:rsidR="0083013C" w:rsidRPr="009A4DCA">
        <w:t xml:space="preserve"> </w:t>
      </w:r>
      <w:r w:rsidRPr="009A4DCA">
        <w:t xml:space="preserve">AIH RSV chapter states that older adults can receive RSV vaccines at the same time as other vaccines such as COVID-19, influenza, </w:t>
      </w:r>
      <w:r w:rsidR="0083013C" w:rsidRPr="009A4DCA">
        <w:t xml:space="preserve">herpes </w:t>
      </w:r>
      <w:r w:rsidRPr="009A4DCA">
        <w:t>zoster and pneumococcal vaccines. The AIH RSV chapter further noted that co</w:t>
      </w:r>
      <w:r w:rsidR="00F11D52" w:rsidRPr="009A4DCA">
        <w:noBreakHyphen/>
      </w:r>
      <w:r w:rsidRPr="009A4DCA">
        <w:t xml:space="preserve">administration studies on RSV </w:t>
      </w:r>
      <w:r w:rsidRPr="009A4DCA">
        <w:lastRenderedPageBreak/>
        <w:t>and influenza vaccines have shown slightly lower immune responses to certain strains contained in the RSV vaccine and influenza vaccines compared with when these vaccines are administered separately, however, the clinical significance of the decreased immune responses is uncertain.</w:t>
      </w:r>
      <w:r w:rsidR="00497974" w:rsidRPr="009A4DCA">
        <w:t xml:space="preserve"> </w:t>
      </w:r>
      <w:r w:rsidRPr="009A4DCA">
        <w:t>The AIH RSV chapter added that there is a likelihood of increase in the incidence of local and systemic adverse events (reactogenicity) with co-administration, however, the benefits of giving the vaccines at the same time may outweigh the concerns of increased reactogenicity of vaccines (AIH RSV Chapter, 2024).</w:t>
      </w:r>
      <w:bookmarkEnd w:id="18"/>
      <w:r w:rsidRPr="009A4DCA">
        <w:t xml:space="preserve"> </w:t>
      </w:r>
    </w:p>
    <w:p w14:paraId="25637E5B" w14:textId="4F8E6E73" w:rsidR="00C41E64" w:rsidRPr="009A4DCA" w:rsidRDefault="00C41E64" w:rsidP="00C41E64">
      <w:pPr>
        <w:pStyle w:val="3-BodyText"/>
        <w:numPr>
          <w:ilvl w:val="0"/>
          <w:numId w:val="0"/>
        </w:numPr>
        <w:ind w:left="720"/>
        <w:rPr>
          <w:i/>
          <w:iCs/>
          <w:lang w:eastAsia="en-US"/>
        </w:rPr>
      </w:pPr>
      <w:r w:rsidRPr="009A4DCA">
        <w:rPr>
          <w:i/>
          <w:iCs/>
        </w:rPr>
        <w:t>For more detail on PBAC’s view, see section 7 PBAC outcome.</w:t>
      </w:r>
    </w:p>
    <w:p w14:paraId="55952EA1" w14:textId="77777777" w:rsidR="00B50DB8" w:rsidRPr="009A4DCA" w:rsidDel="00195452" w:rsidRDefault="00203181" w:rsidP="004E18E9">
      <w:pPr>
        <w:pStyle w:val="2-SectionHeading"/>
      </w:pPr>
      <w:bookmarkStart w:id="19" w:name="_Toc177558735"/>
      <w:r w:rsidRPr="009A4DCA" w:rsidDel="00195452">
        <w:t xml:space="preserve">Population and </w:t>
      </w:r>
      <w:r w:rsidR="008E0D3C" w:rsidRPr="009A4DCA" w:rsidDel="00195452">
        <w:t>d</w:t>
      </w:r>
      <w:r w:rsidRPr="009A4DCA" w:rsidDel="00195452">
        <w:t>isease</w:t>
      </w:r>
      <w:bookmarkEnd w:id="19"/>
    </w:p>
    <w:p w14:paraId="3D8DCB4A" w14:textId="1E57193B" w:rsidR="006B3C57" w:rsidRPr="009A4DCA" w:rsidRDefault="006B3C57" w:rsidP="00C1739A">
      <w:pPr>
        <w:pStyle w:val="3-BodyText"/>
        <w:tabs>
          <w:tab w:val="left" w:pos="3402"/>
        </w:tabs>
      </w:pPr>
      <w:r w:rsidRPr="009A4DCA">
        <w:t xml:space="preserve">RSV is a highly infectious disease presenting as either </w:t>
      </w:r>
      <w:r w:rsidR="00936B31" w:rsidRPr="009A4DCA">
        <w:t>RSV-</w:t>
      </w:r>
      <w:r w:rsidRPr="009A4DCA">
        <w:t xml:space="preserve">A or </w:t>
      </w:r>
      <w:r w:rsidR="00936B31" w:rsidRPr="009A4DCA">
        <w:t>RSV-</w:t>
      </w:r>
      <w:r w:rsidRPr="009A4DCA">
        <w:t>B subtypes in a given season, with the predominant subtype varying from year to year.</w:t>
      </w:r>
      <w:r w:rsidRPr="009A4DCA">
        <w:rPr>
          <w:rStyle w:val="FootnoteReference"/>
        </w:rPr>
        <w:footnoteReference w:id="2"/>
      </w:r>
      <w:r w:rsidR="0036614C" w:rsidRPr="009A4DCA">
        <w:t xml:space="preserve"> The clinical presentation varies </w:t>
      </w:r>
      <w:r w:rsidR="00511DBC" w:rsidRPr="009A4DCA">
        <w:t xml:space="preserve">from asymptomatic carriage to cold-like symptoms and </w:t>
      </w:r>
      <w:r w:rsidR="00613E53" w:rsidRPr="009A4DCA">
        <w:t xml:space="preserve">in some cases </w:t>
      </w:r>
      <w:r w:rsidR="00511DBC" w:rsidRPr="009A4DCA">
        <w:t xml:space="preserve">acute respiratory distress. </w:t>
      </w:r>
      <w:r w:rsidR="00E24865" w:rsidRPr="009A4DCA">
        <w:t>Infection is associated with significant morbidity and mortality, particularly in older or vulnerable adults. Severe RSV cases can lead to pneumonia, may require hospitalisation, including admission into intensive care units (ICU), and/or mechanical ventilation.</w:t>
      </w:r>
    </w:p>
    <w:p w14:paraId="0FD54130" w14:textId="5D545CB7" w:rsidR="009C7B0D" w:rsidRPr="009A4DCA" w:rsidRDefault="006B3C57" w:rsidP="008C1CDB">
      <w:pPr>
        <w:pStyle w:val="ExecSumBodyText"/>
        <w:numPr>
          <w:ilvl w:val="1"/>
          <w:numId w:val="1"/>
        </w:numPr>
      </w:pPr>
      <w:r w:rsidRPr="009A4DCA">
        <w:t>The rate of RSV infection varies by regional climate and season. In Australia, most temperate regions experience seasonal RSV outbreaks during the autumn and winter, often peaking in June to July and usually preceding the influenza season. In the more tropical northern parts of Australia, RSV activity correlates with the rainfall and humidity patterns of the rainy season from December to March,</w:t>
      </w:r>
      <w:r w:rsidRPr="009A4DCA">
        <w:rPr>
          <w:rStyle w:val="FootnoteReference"/>
        </w:rPr>
        <w:footnoteReference w:id="3"/>
      </w:r>
      <w:r w:rsidRPr="009A4DCA">
        <w:t xml:space="preserve"> thus RSV seasonality differs between Australian States and territories.</w:t>
      </w:r>
      <w:r w:rsidR="00796FEE" w:rsidRPr="009A4DCA">
        <w:t xml:space="preserve"> </w:t>
      </w:r>
      <w:r w:rsidR="00796FEE" w:rsidRPr="009A4DCA">
        <w:rPr>
          <w:iCs/>
        </w:rPr>
        <w:t>The month of administration may impact the benefits of vaccination due to seasonality of RSV</w:t>
      </w:r>
      <w:r w:rsidR="009C7B0D" w:rsidRPr="009A4DCA">
        <w:rPr>
          <w:iCs/>
        </w:rPr>
        <w:t xml:space="preserve">. </w:t>
      </w:r>
      <w:r w:rsidR="009C7B0D" w:rsidRPr="009A4DCA">
        <w:t xml:space="preserve">The submission noted that RENOIR was timed to coincide with the Northern Hemisphere RSV season, whereas the proposed NIP listing would allow vaccination year-round with targeted use towards the variable peak in RSV incidence across temperate and tropical regions of Australia. </w:t>
      </w:r>
      <w:r w:rsidR="00B030DE" w:rsidRPr="009A4DCA">
        <w:t xml:space="preserve">The submission presented sensitivity analyses </w:t>
      </w:r>
      <w:r w:rsidR="00B030DE" w:rsidRPr="009A4DCA">
        <w:rPr>
          <w:lang w:eastAsia="en-US"/>
        </w:rPr>
        <w:t>regarding the seasonal distribution of incident RSV cases in relation to the timing of vaccination.</w:t>
      </w:r>
    </w:p>
    <w:p w14:paraId="7569A382" w14:textId="7D96D73E" w:rsidR="006B3C57" w:rsidRPr="009A4DCA" w:rsidRDefault="006B3C57" w:rsidP="008C1CDB">
      <w:pPr>
        <w:pStyle w:val="3-BodyText"/>
      </w:pPr>
      <w:r w:rsidRPr="009A4DCA">
        <w:t>The clinical manifestations of RSV vary by age groups, with the highest rates of symptomatic diseases reported in infants, young children and the elderly.</w:t>
      </w:r>
      <w:r w:rsidR="00772781" w:rsidRPr="009A4DCA">
        <w:t xml:space="preserve"> Amongst the elderly, RSV is one of the leading causes of respiratory illness, especially those with medical conditions that put them at </w:t>
      </w:r>
      <w:r w:rsidR="009746F5" w:rsidRPr="009A4DCA">
        <w:t xml:space="preserve">higher </w:t>
      </w:r>
      <w:r w:rsidR="00772781" w:rsidRPr="009A4DCA">
        <w:t>risk for severe RSV disease.</w:t>
      </w:r>
      <w:r w:rsidR="00772781" w:rsidRPr="009A4DCA">
        <w:rPr>
          <w:rStyle w:val="FootnoteReference"/>
        </w:rPr>
        <w:footnoteReference w:id="4"/>
      </w:r>
      <w:r w:rsidRPr="009A4DCA">
        <w:t xml:space="preserve"> Risk factors for severe RSV disease</w:t>
      </w:r>
      <w:r w:rsidR="00214AA6" w:rsidRPr="009A4DCA">
        <w:t xml:space="preserve"> in adults</w:t>
      </w:r>
      <w:r w:rsidRPr="009A4DCA">
        <w:t xml:space="preserve"> include advanced age, frailty and the presence of </w:t>
      </w:r>
      <w:r w:rsidRPr="009A4DCA">
        <w:lastRenderedPageBreak/>
        <w:t>comorbidities (including cardiopulmonary and immunocompromising conditions).</w:t>
      </w:r>
      <w:r w:rsidRPr="009A4DCA">
        <w:rPr>
          <w:rStyle w:val="FootnoteReference"/>
        </w:rPr>
        <w:footnoteReference w:id="5"/>
      </w:r>
      <w:r w:rsidR="00F95DF2" w:rsidRPr="009A4DCA">
        <w:t xml:space="preserve"> </w:t>
      </w:r>
      <w:r w:rsidR="006A36D5" w:rsidRPr="009A4DCA">
        <w:t>First Nations people have a greater risk of RSV hospitalisation compared with non-Indigenous Australians.</w:t>
      </w:r>
    </w:p>
    <w:p w14:paraId="13E1075C" w14:textId="3FB454D8" w:rsidR="006B3C57" w:rsidRPr="009A4DCA" w:rsidRDefault="006B3C57" w:rsidP="003A0F9B">
      <w:pPr>
        <w:pStyle w:val="3-BodyText"/>
      </w:pPr>
      <w:r w:rsidRPr="009A4DCA">
        <w:t>The submission used data from the Australian Institute of Health and Welfare (AIHW) National Hospital Morbidity Database (NHMD) of data from 2010 to 2019, here</w:t>
      </w:r>
      <w:r w:rsidR="006267EE" w:rsidRPr="009A4DCA">
        <w:t>after</w:t>
      </w:r>
      <w:r w:rsidRPr="009A4DCA">
        <w:t xml:space="preserve"> referred to as the Australian modelling study, to estimate the incidence and mortality of RSV disease. </w:t>
      </w:r>
      <w:r w:rsidR="00036B38" w:rsidRPr="009A4DCA">
        <w:t xml:space="preserve">The evaluation </w:t>
      </w:r>
      <w:r w:rsidR="006E458F" w:rsidRPr="009A4DCA">
        <w:t>considered</w:t>
      </w:r>
      <w:r w:rsidR="00036B38" w:rsidRPr="009A4DCA">
        <w:t xml:space="preserve"> that</w:t>
      </w:r>
      <w:r w:rsidRPr="009A4DCA">
        <w:t xml:space="preserve"> the extent to which these data reflect the current incidence and mortality of RSV disease</w:t>
      </w:r>
      <w:r w:rsidR="00036B38" w:rsidRPr="009A4DCA">
        <w:t xml:space="preserve"> in the</w:t>
      </w:r>
      <w:r w:rsidRPr="009A4DCA">
        <w:t xml:space="preserve"> post</w:t>
      </w:r>
      <w:r w:rsidR="006267EE" w:rsidRPr="009A4DCA">
        <w:t>-</w:t>
      </w:r>
      <w:r w:rsidRPr="009A4DCA">
        <w:t>COVID</w:t>
      </w:r>
      <w:r w:rsidR="00036B38" w:rsidRPr="009A4DCA">
        <w:t xml:space="preserve"> period was unclear,</w:t>
      </w:r>
      <w:r w:rsidRPr="009A4DCA">
        <w:t xml:space="preserve"> as the period in the report exclude</w:t>
      </w:r>
      <w:r w:rsidR="0042726E" w:rsidRPr="009A4DCA">
        <w:t>d</w:t>
      </w:r>
      <w:r w:rsidRPr="009A4DCA">
        <w:t xml:space="preserve"> the effects of COVID and its associated public health measures on RSV incidence. </w:t>
      </w:r>
      <w:r w:rsidR="00D435D8" w:rsidRPr="009A4DCA">
        <w:t>While the</w:t>
      </w:r>
      <w:r w:rsidRPr="009A4DCA">
        <w:t xml:space="preserve"> submission acknowledged that the long-term impact of public health measures associated with COVID-19 on the </w:t>
      </w:r>
      <w:r w:rsidR="004D4D84" w:rsidRPr="009A4DCA">
        <w:t xml:space="preserve">patterns of </w:t>
      </w:r>
      <w:r w:rsidRPr="009A4DCA">
        <w:t xml:space="preserve">RSV </w:t>
      </w:r>
      <w:r w:rsidR="004D4D84" w:rsidRPr="009A4DCA">
        <w:t xml:space="preserve">infections </w:t>
      </w:r>
      <w:r w:rsidRPr="009A4DCA">
        <w:t>across Australia remain</w:t>
      </w:r>
      <w:r w:rsidR="00882EBB" w:rsidRPr="009A4DCA">
        <w:t>ed</w:t>
      </w:r>
      <w:r w:rsidRPr="009A4DCA">
        <w:t xml:space="preserve"> unknown and would require ongoing monitoring</w:t>
      </w:r>
      <w:r w:rsidR="00D435D8" w:rsidRPr="009A4DCA">
        <w:t>, the PSCR stated that results from the modelling study are likely representative of post-COVID-19 RSV incidence as described by Thindwa et al. 2024,</w:t>
      </w:r>
      <w:r w:rsidR="00835B11" w:rsidRPr="009A4DCA">
        <w:rPr>
          <w:rStyle w:val="FootnoteReference"/>
        </w:rPr>
        <w:footnoteReference w:id="6"/>
      </w:r>
      <w:r w:rsidR="00D435D8" w:rsidRPr="009A4DCA">
        <w:t xml:space="preserve"> whose study shows that “Patterns of RSV activity have largely returned to normal following successive waves in the post</w:t>
      </w:r>
      <w:r w:rsidR="00835B11" w:rsidRPr="009A4DCA">
        <w:t>-</w:t>
      </w:r>
      <w:r w:rsidR="00D435D8" w:rsidRPr="009A4DCA">
        <w:t>pandemic era</w:t>
      </w:r>
      <w:r w:rsidRPr="009A4DCA">
        <w:t>.</w:t>
      </w:r>
      <w:r w:rsidR="00D435D8" w:rsidRPr="009A4DCA">
        <w:t>”</w:t>
      </w:r>
      <w:r w:rsidR="00225281" w:rsidRPr="009A4DCA">
        <w:t xml:space="preserve"> </w:t>
      </w:r>
      <w:r w:rsidR="00835B11" w:rsidRPr="009A4DCA">
        <w:t>T</w:t>
      </w:r>
      <w:r w:rsidR="00225281" w:rsidRPr="009A4DCA">
        <w:t xml:space="preserve">he ESC </w:t>
      </w:r>
      <w:r w:rsidR="006E458F" w:rsidRPr="009A4DCA">
        <w:t xml:space="preserve">considered that </w:t>
      </w:r>
      <w:r w:rsidR="004E2C22" w:rsidRPr="009A4DCA">
        <w:t xml:space="preserve">the </w:t>
      </w:r>
      <w:r w:rsidR="006E458F" w:rsidRPr="009A4DCA">
        <w:t>current rate of RSV infections may be at pre-pandemic levels and therefore the Australian modelling study</w:t>
      </w:r>
      <w:r w:rsidR="004E2C22" w:rsidRPr="009A4DCA">
        <w:t xml:space="preserve"> may be considered informative</w:t>
      </w:r>
      <w:r w:rsidR="006E458F" w:rsidRPr="009A4DCA">
        <w:t>. The ESC</w:t>
      </w:r>
      <w:r w:rsidR="00225281" w:rsidRPr="009A4DCA">
        <w:t xml:space="preserve"> also comment</w:t>
      </w:r>
      <w:r w:rsidR="006E458F" w:rsidRPr="009A4DCA">
        <w:t>ed</w:t>
      </w:r>
      <w:r w:rsidR="00225281" w:rsidRPr="009A4DCA">
        <w:t xml:space="preserve"> that there has been increased testing for RSV, COVID-19 and influenza in the post-pandemic period. </w:t>
      </w:r>
      <w:r w:rsidR="004E2C22" w:rsidRPr="009A4DCA">
        <w:t xml:space="preserve">Further discussion on the Australian modelling study is provided in </w:t>
      </w:r>
      <w:r w:rsidR="006C53BE" w:rsidRPr="009A4DCA">
        <w:t xml:space="preserve">paragraphs </w:t>
      </w:r>
      <w:r w:rsidR="00DF3E1B" w:rsidRPr="009A4DCA">
        <w:fldChar w:fldCharType="begin"/>
      </w:r>
      <w:r w:rsidR="00DF3E1B" w:rsidRPr="009A4DCA">
        <w:instrText xml:space="preserve"> REF _Ref180486709 \r \h  \* MERGEFORMAT </w:instrText>
      </w:r>
      <w:r w:rsidR="00DF3E1B" w:rsidRPr="009A4DCA">
        <w:fldChar w:fldCharType="separate"/>
      </w:r>
      <w:r w:rsidR="007B2F50">
        <w:t>6.49</w:t>
      </w:r>
      <w:r w:rsidR="00DF3E1B" w:rsidRPr="009A4DCA">
        <w:fldChar w:fldCharType="end"/>
      </w:r>
      <w:r w:rsidR="006C53BE" w:rsidRPr="009A4DCA">
        <w:t xml:space="preserve"> and </w:t>
      </w:r>
      <w:r w:rsidR="00DF3E1B" w:rsidRPr="009A4DCA">
        <w:fldChar w:fldCharType="begin"/>
      </w:r>
      <w:r w:rsidR="00DF3E1B" w:rsidRPr="009A4DCA">
        <w:instrText xml:space="preserve"> REF _Ref180486712 \r \h  \* MERGEFORMAT </w:instrText>
      </w:r>
      <w:r w:rsidR="00DF3E1B" w:rsidRPr="009A4DCA">
        <w:fldChar w:fldCharType="separate"/>
      </w:r>
      <w:r w:rsidR="007B2F50">
        <w:t>6.50</w:t>
      </w:r>
      <w:r w:rsidR="00DF3E1B" w:rsidRPr="009A4DCA">
        <w:fldChar w:fldCharType="end"/>
      </w:r>
      <w:r w:rsidR="006C53BE" w:rsidRPr="009A4DCA">
        <w:t>.</w:t>
      </w:r>
    </w:p>
    <w:p w14:paraId="5D262527" w14:textId="2C9EAD2E" w:rsidR="006B3C57" w:rsidRPr="009A4DCA" w:rsidRDefault="006B3C57" w:rsidP="008C1CDB">
      <w:pPr>
        <w:pStyle w:val="3-BodyText"/>
      </w:pPr>
      <w:r w:rsidRPr="009A4DCA">
        <w:t>RSVpreF is an unadjuvanted 120 microgram/0.5</w:t>
      </w:r>
      <w:r w:rsidR="00EC4C78" w:rsidRPr="009A4DCA">
        <w:t xml:space="preserve"> </w:t>
      </w:r>
      <w:r w:rsidRPr="009A4DCA">
        <w:t>mL bivalent vaccine composed of stable RSV prefusion F antigens representing the 2 major virus subgroups (RSV-A and RSV-B)</w:t>
      </w:r>
      <w:r w:rsidR="00126EF2" w:rsidRPr="009A4DCA">
        <w:t xml:space="preserve">. </w:t>
      </w:r>
      <w:r w:rsidRPr="009A4DCA">
        <w:t>Prefusion F is the active form of the protein and is capable of mediating fusion of virus and host cell membranes during cell entry. Following intramuscular administration, the prefusion F antigens elicit an immune response, which protects against RSV</w:t>
      </w:r>
      <w:r w:rsidR="0022227C" w:rsidRPr="009A4DCA">
        <w:t>-</w:t>
      </w:r>
      <w:r w:rsidRPr="009A4DCA">
        <w:t xml:space="preserve">associated LRTI. </w:t>
      </w:r>
    </w:p>
    <w:p w14:paraId="592BBEA5" w14:textId="432DEAC2" w:rsidR="00C41E64" w:rsidRPr="009A4DCA" w:rsidDel="00195452" w:rsidRDefault="00C41E64" w:rsidP="00C41E64">
      <w:pPr>
        <w:pStyle w:val="3-BodyText"/>
        <w:numPr>
          <w:ilvl w:val="0"/>
          <w:numId w:val="0"/>
        </w:numPr>
        <w:ind w:left="720"/>
        <w:rPr>
          <w:i/>
          <w:iCs/>
          <w:lang w:eastAsia="en-US"/>
        </w:rPr>
      </w:pPr>
      <w:r w:rsidRPr="009A4DCA">
        <w:rPr>
          <w:i/>
          <w:iCs/>
        </w:rPr>
        <w:t>For more detail on PBAC’s view, see section 7 PBAC outcome.</w:t>
      </w:r>
    </w:p>
    <w:p w14:paraId="1E4FEC10" w14:textId="77777777" w:rsidR="00B50DB8" w:rsidRPr="009A4DCA" w:rsidRDefault="00B50DB8" w:rsidP="004E18E9">
      <w:pPr>
        <w:pStyle w:val="2-SectionHeading"/>
      </w:pPr>
      <w:bookmarkStart w:id="20" w:name="_Toc177558736"/>
      <w:r w:rsidRPr="009A4DCA">
        <w:t>Comparator</w:t>
      </w:r>
      <w:bookmarkEnd w:id="20"/>
    </w:p>
    <w:p w14:paraId="2A232C94" w14:textId="7100FD52" w:rsidR="00632827" w:rsidRPr="009A4DCA" w:rsidRDefault="00632827" w:rsidP="003A0F9B">
      <w:pPr>
        <w:pStyle w:val="3-BodyText"/>
        <w:numPr>
          <w:ilvl w:val="1"/>
          <w:numId w:val="1"/>
        </w:numPr>
      </w:pPr>
      <w:r w:rsidRPr="009A4DCA">
        <w:t>The submission nominated ‘no vaccine’ as the main comparator. The main argument provided in support of this nomination was that there is neither a vaccine to protect older adults against RSV</w:t>
      </w:r>
      <w:r w:rsidR="007A08BE" w:rsidRPr="009A4DCA">
        <w:t xml:space="preserve"> </w:t>
      </w:r>
      <w:r w:rsidR="000D6BD4" w:rsidRPr="009A4DCA">
        <w:t xml:space="preserve">currently </w:t>
      </w:r>
      <w:r w:rsidR="007A08BE" w:rsidRPr="009A4DCA">
        <w:t>available on the NIP</w:t>
      </w:r>
      <w:r w:rsidRPr="009A4DCA">
        <w:t xml:space="preserve">, nor a specific RSV treatment currently </w:t>
      </w:r>
      <w:r w:rsidR="00AC48AC" w:rsidRPr="009A4DCA">
        <w:t>funded</w:t>
      </w:r>
      <w:r w:rsidRPr="009A4DCA">
        <w:t xml:space="preserve"> for older adults. Th</w:t>
      </w:r>
      <w:r w:rsidR="004648A0" w:rsidRPr="009A4DCA">
        <w:t>e evaluation</w:t>
      </w:r>
      <w:r w:rsidR="009802FB" w:rsidRPr="009A4DCA">
        <w:t xml:space="preserve"> and the ESC</w:t>
      </w:r>
      <w:r w:rsidR="004648A0" w:rsidRPr="009A4DCA">
        <w:t xml:space="preserve"> considered th</w:t>
      </w:r>
      <w:r w:rsidRPr="009A4DCA">
        <w:t xml:space="preserve">is </w:t>
      </w:r>
      <w:r w:rsidR="004648A0" w:rsidRPr="009A4DCA">
        <w:t xml:space="preserve">to be </w:t>
      </w:r>
      <w:r w:rsidRPr="009A4DCA">
        <w:t xml:space="preserve">reasonable and </w:t>
      </w:r>
      <w:r w:rsidR="004D4D84" w:rsidRPr="009A4DCA">
        <w:t xml:space="preserve">aligned </w:t>
      </w:r>
      <w:r w:rsidRPr="009A4DCA">
        <w:t xml:space="preserve">with the ATAGI advice to the PBAC that concluded no vaccine </w:t>
      </w:r>
      <w:r w:rsidRPr="009A4DCA">
        <w:lastRenderedPageBreak/>
        <w:t xml:space="preserve">was </w:t>
      </w:r>
      <w:r w:rsidR="000E7D4C" w:rsidRPr="009A4DCA">
        <w:t xml:space="preserve">an </w:t>
      </w:r>
      <w:r w:rsidRPr="009A4DCA">
        <w:t xml:space="preserve">appropriate comparator (ATAGI Pre-Submission Advice to the PBAC, </w:t>
      </w:r>
      <w:r w:rsidR="00ED54B9" w:rsidRPr="009A4DCA">
        <w:t>December</w:t>
      </w:r>
      <w:r w:rsidR="00ED54B9">
        <w:t> </w:t>
      </w:r>
      <w:r w:rsidRPr="009A4DCA">
        <w:t>2023).</w:t>
      </w:r>
    </w:p>
    <w:p w14:paraId="227201F5" w14:textId="5BD41359" w:rsidR="00632827" w:rsidRPr="009A4DCA" w:rsidRDefault="00632827" w:rsidP="00632827">
      <w:pPr>
        <w:pStyle w:val="3-BodyText"/>
        <w:numPr>
          <w:ilvl w:val="1"/>
          <w:numId w:val="1"/>
        </w:numPr>
      </w:pPr>
      <w:bookmarkStart w:id="21" w:name="_Ref179295741"/>
      <w:r w:rsidRPr="009A4DCA">
        <w:t>The submission noted the existence of two other RSV vaccines:</w:t>
      </w:r>
      <w:bookmarkEnd w:id="21"/>
      <w:r w:rsidRPr="009A4DCA">
        <w:t xml:space="preserve"> </w:t>
      </w:r>
    </w:p>
    <w:p w14:paraId="0AC1E5D4" w14:textId="0E333785" w:rsidR="00632827" w:rsidRPr="009A4DCA" w:rsidRDefault="00632827" w:rsidP="00C6762E">
      <w:pPr>
        <w:pStyle w:val="3-BodyText"/>
        <w:numPr>
          <w:ilvl w:val="0"/>
          <w:numId w:val="9"/>
        </w:numPr>
        <w:ind w:left="1134"/>
      </w:pPr>
      <w:r w:rsidRPr="009A4DCA">
        <w:t>RSV</w:t>
      </w:r>
      <w:r w:rsidR="00E72C33" w:rsidRPr="009A4DCA">
        <w:t>P</w:t>
      </w:r>
      <w:r w:rsidRPr="009A4DCA">
        <w:t>reF3</w:t>
      </w:r>
      <w:r w:rsidR="00A2340E" w:rsidRPr="009A4DCA">
        <w:t xml:space="preserve"> OA</w:t>
      </w:r>
      <w:r w:rsidR="00B9620B" w:rsidRPr="009A4DCA">
        <w:t xml:space="preserve"> (Arexvy®)</w:t>
      </w:r>
      <w:r w:rsidRPr="009A4DCA">
        <w:t xml:space="preserve">, which was considered by the PBAC in </w:t>
      </w:r>
      <w:r w:rsidR="00577A5B" w:rsidRPr="009A4DCA">
        <w:t>July</w:t>
      </w:r>
      <w:r w:rsidRPr="009A4DCA">
        <w:t xml:space="preserve"> 2024 for NIP listing for the prevention of LRTI in patients aged ≥60 years</w:t>
      </w:r>
      <w:r w:rsidR="001C401C" w:rsidRPr="009A4DCA">
        <w:t xml:space="preserve"> and ≥75 years</w:t>
      </w:r>
      <w:r w:rsidRPr="009A4DCA">
        <w:t>.</w:t>
      </w:r>
    </w:p>
    <w:p w14:paraId="4B9AB6FA" w14:textId="68196860" w:rsidR="00632827" w:rsidRPr="009A4DCA" w:rsidRDefault="00632827" w:rsidP="00C6762E">
      <w:pPr>
        <w:pStyle w:val="3-BodyText"/>
        <w:numPr>
          <w:ilvl w:val="0"/>
          <w:numId w:val="9"/>
        </w:numPr>
        <w:ind w:left="1134"/>
      </w:pPr>
      <w:r w:rsidRPr="009A4DCA">
        <w:t>mRNA-1345, which was accepted for priority review by the TGA on 30</w:t>
      </w:r>
      <w:r w:rsidR="00586C6E">
        <w:t> </w:t>
      </w:r>
      <w:r w:rsidRPr="009A4DCA">
        <w:t>March</w:t>
      </w:r>
      <w:r w:rsidR="00586C6E">
        <w:t> </w:t>
      </w:r>
      <w:r w:rsidRPr="009A4DCA">
        <w:t>2023 for the prevention of RSV-associated LRTI in adults aged ≥60 years. mRNA-1345 consists of a single mRNA sequence encoding for a stabilised prefusion F glycoprotein.</w:t>
      </w:r>
    </w:p>
    <w:p w14:paraId="096A812C" w14:textId="042DABD7" w:rsidR="00632827" w:rsidRPr="009A4DCA" w:rsidRDefault="00632827" w:rsidP="00C41E64">
      <w:pPr>
        <w:pStyle w:val="3-BodyText"/>
        <w:numPr>
          <w:ilvl w:val="1"/>
          <w:numId w:val="1"/>
        </w:numPr>
      </w:pPr>
      <w:bookmarkStart w:id="22" w:name="_Ref183771326"/>
      <w:r w:rsidRPr="009A4DCA">
        <w:t xml:space="preserve">The submission nominated RSVPreF3 and mRNA-1345 as near market comparators. </w:t>
      </w:r>
      <w:r w:rsidR="000E2644" w:rsidRPr="009A4DCA">
        <w:t>RSV</w:t>
      </w:r>
      <w:r w:rsidR="005800C5" w:rsidRPr="009A4DCA">
        <w:t>P</w:t>
      </w:r>
      <w:r w:rsidR="000E2644" w:rsidRPr="009A4DCA">
        <w:t>reF3</w:t>
      </w:r>
      <w:r w:rsidR="002F1FBD" w:rsidRPr="009A4DCA">
        <w:t xml:space="preserve"> OA</w:t>
      </w:r>
      <w:r w:rsidR="000E2644" w:rsidRPr="009A4DCA">
        <w:t xml:space="preserve"> was considered</w:t>
      </w:r>
      <w:r w:rsidR="00B3055C" w:rsidRPr="009A4DCA">
        <w:t xml:space="preserve"> but not recommended</w:t>
      </w:r>
      <w:r w:rsidR="000E2644" w:rsidRPr="009A4DCA">
        <w:t xml:space="preserve"> by the PBAC in July 2024 for the prevention of RSV-confirmed LRTI</w:t>
      </w:r>
      <w:r w:rsidR="00CD44BC" w:rsidRPr="009A4DCA">
        <w:t xml:space="preserve"> </w:t>
      </w:r>
      <w:r w:rsidR="009A31E4" w:rsidRPr="009A4DCA">
        <w:t>in patients aged ≥60 years</w:t>
      </w:r>
      <w:r w:rsidR="00630088" w:rsidRPr="009A4DCA">
        <w:t xml:space="preserve"> and ≥75 years</w:t>
      </w:r>
      <w:r w:rsidR="00FB2F40" w:rsidRPr="009A4DCA">
        <w:t xml:space="preserve"> (paragraph </w:t>
      </w:r>
      <w:r w:rsidR="00AA7D06" w:rsidRPr="009A4DCA">
        <w:fldChar w:fldCharType="begin"/>
      </w:r>
      <w:r w:rsidR="00AA7D06" w:rsidRPr="009A4DCA">
        <w:instrText xml:space="preserve"> REF _Ref180478955 \r \h  \* MERGEFORMAT </w:instrText>
      </w:r>
      <w:r w:rsidR="00AA7D06" w:rsidRPr="009A4DCA">
        <w:fldChar w:fldCharType="separate"/>
      </w:r>
      <w:r w:rsidR="007B2F50">
        <w:t>2.3</w:t>
      </w:r>
      <w:r w:rsidR="00AA7D06" w:rsidRPr="009A4DCA">
        <w:fldChar w:fldCharType="end"/>
      </w:r>
      <w:r w:rsidR="008A13B3" w:rsidRPr="009A4DCA">
        <w:t>)</w:t>
      </w:r>
      <w:r w:rsidR="00190274" w:rsidRPr="009A4DCA">
        <w:t>;</w:t>
      </w:r>
      <w:r w:rsidRPr="009A4DCA">
        <w:t xml:space="preserve"> </w:t>
      </w:r>
      <w:r w:rsidR="009F28DF" w:rsidRPr="009A4DCA">
        <w:t>mRNA-1345 has not been considered by the PBAC.</w:t>
      </w:r>
      <w:r w:rsidRPr="009A4DCA">
        <w:t xml:space="preserve"> The</w:t>
      </w:r>
      <w:r w:rsidR="00FA0043" w:rsidRPr="009A4DCA">
        <w:t xml:space="preserve"> evaluation</w:t>
      </w:r>
      <w:r w:rsidR="009802FB" w:rsidRPr="009A4DCA">
        <w:t xml:space="preserve"> and the ESC</w:t>
      </w:r>
      <w:r w:rsidR="00FA0043" w:rsidRPr="009A4DCA">
        <w:t xml:space="preserve"> considered that the</w:t>
      </w:r>
      <w:r w:rsidRPr="009A4DCA">
        <w:t xml:space="preserve"> proposed near market comparators were appropriate. </w:t>
      </w:r>
      <w:r w:rsidR="000108FF" w:rsidRPr="009A4DCA">
        <w:t xml:space="preserve">The PBAC noted </w:t>
      </w:r>
      <w:r w:rsidR="002F4A6D" w:rsidRPr="009A4DCA">
        <w:t xml:space="preserve">that </w:t>
      </w:r>
      <w:r w:rsidR="000108FF" w:rsidRPr="009A4DCA">
        <w:t xml:space="preserve">the near market comparators have </w:t>
      </w:r>
      <w:r w:rsidR="002F4A6D" w:rsidRPr="009A4DCA">
        <w:t xml:space="preserve">not </w:t>
      </w:r>
      <w:r w:rsidR="000108FF" w:rsidRPr="009A4DCA">
        <w:t xml:space="preserve">been recommended </w:t>
      </w:r>
      <w:r w:rsidR="002F4A6D" w:rsidRPr="009A4DCA">
        <w:t xml:space="preserve">by the PBAC </w:t>
      </w:r>
      <w:r w:rsidR="000108FF" w:rsidRPr="009A4DCA">
        <w:t xml:space="preserve">and therefore </w:t>
      </w:r>
      <w:r w:rsidR="002F4A6D" w:rsidRPr="009A4DCA">
        <w:t xml:space="preserve">did not require </w:t>
      </w:r>
      <w:r w:rsidR="000108FF" w:rsidRPr="009A4DCA">
        <w:t>further</w:t>
      </w:r>
      <w:r w:rsidR="002F4A6D" w:rsidRPr="009A4DCA">
        <w:t xml:space="preserve"> consideration</w:t>
      </w:r>
      <w:r w:rsidR="000108FF" w:rsidRPr="009A4DCA">
        <w:t>.</w:t>
      </w:r>
      <w:bookmarkEnd w:id="22"/>
    </w:p>
    <w:p w14:paraId="229E9A53" w14:textId="7AED11E1" w:rsidR="00C41E64" w:rsidRPr="009A4DCA" w:rsidRDefault="00C41E64" w:rsidP="00C41E64">
      <w:pPr>
        <w:pStyle w:val="3-BodyText"/>
        <w:numPr>
          <w:ilvl w:val="0"/>
          <w:numId w:val="0"/>
        </w:numPr>
        <w:ind w:left="720"/>
      </w:pPr>
      <w:r w:rsidRPr="009A4DCA">
        <w:rPr>
          <w:i/>
          <w:iCs/>
        </w:rPr>
        <w:t>For more detail on PBAC’s view, see section 7 PBAC outcome.</w:t>
      </w:r>
    </w:p>
    <w:p w14:paraId="1193CE75" w14:textId="77777777" w:rsidR="00223D5A" w:rsidRPr="009A4DCA" w:rsidRDefault="00223D5A" w:rsidP="00223D5A">
      <w:pPr>
        <w:pStyle w:val="2-SectionHeading"/>
        <w:numPr>
          <w:ilvl w:val="0"/>
          <w:numId w:val="1"/>
        </w:numPr>
      </w:pPr>
      <w:bookmarkStart w:id="23" w:name="_Toc177558737"/>
      <w:bookmarkStart w:id="24" w:name="_Toc22897640"/>
      <w:r w:rsidRPr="009A4DCA">
        <w:t>Consideration of the evidence</w:t>
      </w:r>
      <w:bookmarkEnd w:id="23"/>
    </w:p>
    <w:p w14:paraId="59F2865D" w14:textId="77777777" w:rsidR="003E42F0" w:rsidRPr="009A4DCA" w:rsidRDefault="003E42F0" w:rsidP="003B765E">
      <w:pPr>
        <w:pStyle w:val="4-SubsectionHeading"/>
      </w:pPr>
      <w:bookmarkStart w:id="25" w:name="_Hlk76375935"/>
      <w:r w:rsidRPr="009A4DCA">
        <w:t>Sponsor hearing</w:t>
      </w:r>
    </w:p>
    <w:p w14:paraId="28C8D39B" w14:textId="740DA270" w:rsidR="003E42F0" w:rsidRPr="009A4DCA" w:rsidRDefault="0083601F" w:rsidP="0083601F">
      <w:pPr>
        <w:widowControl w:val="0"/>
        <w:numPr>
          <w:ilvl w:val="1"/>
          <w:numId w:val="1"/>
        </w:numPr>
        <w:spacing w:after="120"/>
        <w:rPr>
          <w:rFonts w:cs="Calibri"/>
          <w:bCs/>
          <w:snapToGrid w:val="0"/>
        </w:rPr>
      </w:pPr>
      <w:r w:rsidRPr="009A4DCA">
        <w:rPr>
          <w:rFonts w:cs="Calibri"/>
          <w:bCs/>
          <w:snapToGrid w:val="0"/>
        </w:rPr>
        <w:t>There was no hearing for this item.</w:t>
      </w:r>
    </w:p>
    <w:p w14:paraId="3B6AB095" w14:textId="77777777" w:rsidR="003E42F0" w:rsidRPr="009A4DCA" w:rsidRDefault="003E42F0" w:rsidP="003B765E">
      <w:pPr>
        <w:pStyle w:val="4-SubsectionHeading"/>
      </w:pPr>
      <w:r w:rsidRPr="009A4DCA">
        <w:t>Consumer comments</w:t>
      </w:r>
    </w:p>
    <w:p w14:paraId="5BEA839E" w14:textId="03545284" w:rsidR="009C2893" w:rsidRPr="009A4DCA" w:rsidRDefault="003E42F0" w:rsidP="009C2893">
      <w:pPr>
        <w:pStyle w:val="3-BodyText"/>
        <w:rPr>
          <w:bCs/>
          <w:snapToGrid w:val="0"/>
        </w:rPr>
      </w:pPr>
      <w:bookmarkStart w:id="26" w:name="_Hlk76382618"/>
      <w:r w:rsidRPr="009A4DCA">
        <w:rPr>
          <w:bCs/>
          <w:snapToGrid w:val="0"/>
        </w:rPr>
        <w:t>The PBAC noted and welcomed the input from individuals (</w:t>
      </w:r>
      <w:r w:rsidR="0042495A" w:rsidRPr="009A4DCA">
        <w:rPr>
          <w:bCs/>
          <w:snapToGrid w:val="0"/>
        </w:rPr>
        <w:t>2</w:t>
      </w:r>
      <w:r w:rsidRPr="009A4DCA">
        <w:rPr>
          <w:bCs/>
          <w:snapToGrid w:val="0"/>
        </w:rPr>
        <w:t>) and organisations (</w:t>
      </w:r>
      <w:r w:rsidR="00FA448D" w:rsidRPr="009A4DCA">
        <w:rPr>
          <w:bCs/>
          <w:snapToGrid w:val="0"/>
        </w:rPr>
        <w:t>4</w:t>
      </w:r>
      <w:r w:rsidRPr="009A4DCA">
        <w:rPr>
          <w:bCs/>
          <w:snapToGrid w:val="0"/>
        </w:rPr>
        <w:t xml:space="preserve">) via the Consumer Comments facility on the PBS website. The comments </w:t>
      </w:r>
      <w:r w:rsidR="007E186C" w:rsidRPr="009A4DCA">
        <w:rPr>
          <w:bCs/>
          <w:snapToGrid w:val="0"/>
        </w:rPr>
        <w:t>from indi</w:t>
      </w:r>
      <w:r w:rsidR="00410732" w:rsidRPr="009A4DCA">
        <w:rPr>
          <w:bCs/>
          <w:snapToGrid w:val="0"/>
        </w:rPr>
        <w:t>viduals</w:t>
      </w:r>
      <w:r w:rsidRPr="009A4DCA">
        <w:rPr>
          <w:bCs/>
          <w:snapToGrid w:val="0"/>
        </w:rPr>
        <w:t xml:space="preserve"> </w:t>
      </w:r>
      <w:r w:rsidR="003332B4" w:rsidRPr="009A4DCA">
        <w:rPr>
          <w:bCs/>
          <w:snapToGrid w:val="0"/>
        </w:rPr>
        <w:t xml:space="preserve">focussed on </w:t>
      </w:r>
      <w:r w:rsidR="00EF232D" w:rsidRPr="009A4DCA">
        <w:rPr>
          <w:bCs/>
          <w:snapToGrid w:val="0"/>
        </w:rPr>
        <w:t xml:space="preserve">the </w:t>
      </w:r>
      <w:r w:rsidR="00982BC8" w:rsidRPr="009A4DCA">
        <w:rPr>
          <w:bCs/>
          <w:snapToGrid w:val="0"/>
        </w:rPr>
        <w:t xml:space="preserve">benefits </w:t>
      </w:r>
      <w:r w:rsidR="00C62BF3" w:rsidRPr="009A4DCA">
        <w:rPr>
          <w:bCs/>
          <w:snapToGrid w:val="0"/>
        </w:rPr>
        <w:t>of</w:t>
      </w:r>
      <w:r w:rsidR="001F3927" w:rsidRPr="009A4DCA">
        <w:rPr>
          <w:bCs/>
          <w:snapToGrid w:val="0"/>
        </w:rPr>
        <w:t xml:space="preserve"> effective</w:t>
      </w:r>
      <w:r w:rsidRPr="009A4DCA">
        <w:rPr>
          <w:bCs/>
          <w:snapToGrid w:val="0"/>
        </w:rPr>
        <w:t xml:space="preserve"> </w:t>
      </w:r>
      <w:r w:rsidR="00290644" w:rsidRPr="009A4DCA">
        <w:rPr>
          <w:bCs/>
          <w:snapToGrid w:val="0"/>
        </w:rPr>
        <w:t>RSV vaccination</w:t>
      </w:r>
      <w:r w:rsidR="00CC6C0A" w:rsidRPr="009A4DCA">
        <w:rPr>
          <w:bCs/>
          <w:snapToGrid w:val="0"/>
        </w:rPr>
        <w:t xml:space="preserve"> </w:t>
      </w:r>
      <w:r w:rsidR="003332B4" w:rsidRPr="009A4DCA">
        <w:rPr>
          <w:bCs/>
          <w:snapToGrid w:val="0"/>
        </w:rPr>
        <w:t xml:space="preserve">for older adults, </w:t>
      </w:r>
      <w:r w:rsidR="00797B9B" w:rsidRPr="009A4DCA">
        <w:rPr>
          <w:bCs/>
          <w:snapToGrid w:val="0"/>
        </w:rPr>
        <w:t xml:space="preserve">and the </w:t>
      </w:r>
      <w:r w:rsidR="00CC7EC9" w:rsidRPr="009A4DCA">
        <w:rPr>
          <w:bCs/>
          <w:snapToGrid w:val="0"/>
        </w:rPr>
        <w:t xml:space="preserve">high </w:t>
      </w:r>
      <w:r w:rsidR="00797B9B" w:rsidRPr="009A4DCA">
        <w:rPr>
          <w:bCs/>
          <w:snapToGrid w:val="0"/>
        </w:rPr>
        <w:t xml:space="preserve">cost of </w:t>
      </w:r>
      <w:r w:rsidR="003332B4" w:rsidRPr="009A4DCA">
        <w:rPr>
          <w:bCs/>
          <w:snapToGrid w:val="0"/>
        </w:rPr>
        <w:t>the vaccine without a listing on the NIP</w:t>
      </w:r>
      <w:r w:rsidR="00FF1B47" w:rsidRPr="009A4DCA">
        <w:rPr>
          <w:bCs/>
          <w:snapToGrid w:val="0"/>
        </w:rPr>
        <w:t>.</w:t>
      </w:r>
      <w:r w:rsidR="00CB058B" w:rsidRPr="009A4DCA">
        <w:rPr>
          <w:bCs/>
          <w:snapToGrid w:val="0"/>
        </w:rPr>
        <w:t xml:space="preserve"> </w:t>
      </w:r>
      <w:r w:rsidR="009C2893" w:rsidRPr="009A4DCA">
        <w:rPr>
          <w:bCs/>
          <w:snapToGrid w:val="0"/>
        </w:rPr>
        <w:t>The comments from organisations were supportive of the proposed listing of RSV vaccination. Some of the main themes of the input were:</w:t>
      </w:r>
    </w:p>
    <w:p w14:paraId="3FF0623A" w14:textId="0875B5C5" w:rsidR="00F124B9" w:rsidRPr="009A4DCA" w:rsidRDefault="001453BD" w:rsidP="00C6762E">
      <w:pPr>
        <w:widowControl w:val="0"/>
        <w:numPr>
          <w:ilvl w:val="1"/>
          <w:numId w:val="38"/>
        </w:numPr>
        <w:spacing w:after="120"/>
        <w:ind w:left="1134" w:hanging="283"/>
        <w:rPr>
          <w:rFonts w:asciiTheme="minorHAnsi" w:hAnsiTheme="minorHAnsi"/>
          <w:bCs/>
          <w:snapToGrid w:val="0"/>
        </w:rPr>
      </w:pPr>
      <w:r w:rsidRPr="009A4DCA">
        <w:rPr>
          <w:rFonts w:asciiTheme="minorHAnsi" w:hAnsiTheme="minorHAnsi"/>
          <w:bCs/>
          <w:snapToGrid w:val="0"/>
        </w:rPr>
        <w:t xml:space="preserve"> National Aboriginal Community Controlled Health Organisation (NACCHO) </w:t>
      </w:r>
      <w:r w:rsidR="000E61D5" w:rsidRPr="009A4DCA">
        <w:rPr>
          <w:rFonts w:asciiTheme="minorHAnsi" w:hAnsiTheme="minorHAnsi"/>
          <w:bCs/>
          <w:snapToGrid w:val="0"/>
        </w:rPr>
        <w:t xml:space="preserve">described </w:t>
      </w:r>
      <w:r w:rsidR="00CC7EC9" w:rsidRPr="009A4DCA">
        <w:rPr>
          <w:rFonts w:asciiTheme="minorHAnsi" w:hAnsiTheme="minorHAnsi"/>
          <w:bCs/>
          <w:snapToGrid w:val="0"/>
        </w:rPr>
        <w:t xml:space="preserve">the </w:t>
      </w:r>
      <w:r w:rsidR="00C874E5" w:rsidRPr="009A4DCA">
        <w:rPr>
          <w:rFonts w:asciiTheme="minorHAnsi" w:hAnsiTheme="minorHAnsi"/>
          <w:bCs/>
          <w:snapToGrid w:val="0"/>
        </w:rPr>
        <w:t xml:space="preserve">disproportionate </w:t>
      </w:r>
      <w:r w:rsidR="00CC7EC9" w:rsidRPr="009A4DCA">
        <w:rPr>
          <w:rFonts w:asciiTheme="minorHAnsi" w:hAnsiTheme="minorHAnsi"/>
          <w:bCs/>
          <w:snapToGrid w:val="0"/>
        </w:rPr>
        <w:t xml:space="preserve">burden of </w:t>
      </w:r>
      <w:r w:rsidR="007F2655" w:rsidRPr="009A4DCA">
        <w:rPr>
          <w:rFonts w:asciiTheme="minorHAnsi" w:hAnsiTheme="minorHAnsi"/>
          <w:bCs/>
          <w:snapToGrid w:val="0"/>
        </w:rPr>
        <w:t xml:space="preserve">RSV </w:t>
      </w:r>
      <w:r w:rsidR="005A2D46" w:rsidRPr="009A4DCA">
        <w:rPr>
          <w:rFonts w:asciiTheme="minorHAnsi" w:hAnsiTheme="minorHAnsi"/>
          <w:bCs/>
          <w:snapToGrid w:val="0"/>
        </w:rPr>
        <w:t>disease</w:t>
      </w:r>
      <w:r w:rsidR="00CC7EC9" w:rsidRPr="009A4DCA">
        <w:rPr>
          <w:rFonts w:asciiTheme="minorHAnsi" w:hAnsiTheme="minorHAnsi"/>
          <w:bCs/>
          <w:snapToGrid w:val="0"/>
        </w:rPr>
        <w:t xml:space="preserve"> in </w:t>
      </w:r>
      <w:r w:rsidR="00374AA5" w:rsidRPr="009A4DCA">
        <w:rPr>
          <w:rFonts w:asciiTheme="minorHAnsi" w:hAnsiTheme="minorHAnsi"/>
          <w:bCs/>
          <w:snapToGrid w:val="0"/>
        </w:rPr>
        <w:t>Aboriginal and Torres Strait Islander peopl</w:t>
      </w:r>
      <w:r w:rsidR="00F124B9" w:rsidRPr="009A4DCA">
        <w:rPr>
          <w:rFonts w:asciiTheme="minorHAnsi" w:hAnsiTheme="minorHAnsi"/>
          <w:bCs/>
          <w:snapToGrid w:val="0"/>
        </w:rPr>
        <w:t xml:space="preserve">e. </w:t>
      </w:r>
      <w:r w:rsidR="009C2893" w:rsidRPr="009A4DCA">
        <w:rPr>
          <w:rFonts w:asciiTheme="minorHAnsi" w:hAnsiTheme="minorHAnsi"/>
          <w:bCs/>
          <w:snapToGrid w:val="0"/>
        </w:rPr>
        <w:t>I</w:t>
      </w:r>
      <w:r w:rsidR="00F124B9" w:rsidRPr="009A4DCA">
        <w:rPr>
          <w:rFonts w:asciiTheme="minorHAnsi" w:hAnsiTheme="minorHAnsi"/>
          <w:bCs/>
          <w:snapToGrid w:val="0"/>
        </w:rPr>
        <w:t xml:space="preserve">ncreased prevalence of chronic diseases in Aboriginal and Torres Strait Islander people increases the risk of severe RSV, and Aboriginal and Torres Strait Islander adults aged 60-74 years have a similar hospitalisation rate to non-Indigenous adults aged </w:t>
      </w:r>
      <w:r w:rsidR="00C874E5" w:rsidRPr="009A4DCA">
        <w:rPr>
          <w:rFonts w:asciiTheme="minorHAnsi" w:hAnsiTheme="minorHAnsi"/>
          <w:bCs/>
          <w:snapToGrid w:val="0"/>
        </w:rPr>
        <w:t>at least</w:t>
      </w:r>
      <w:r w:rsidR="00F124B9" w:rsidRPr="009A4DCA">
        <w:rPr>
          <w:rFonts w:asciiTheme="minorHAnsi" w:hAnsiTheme="minorHAnsi"/>
          <w:bCs/>
          <w:snapToGrid w:val="0"/>
        </w:rPr>
        <w:t xml:space="preserve"> 75 years.</w:t>
      </w:r>
    </w:p>
    <w:p w14:paraId="27B8EA12" w14:textId="25ACE5C8" w:rsidR="00C874E5" w:rsidRPr="009A4DCA" w:rsidRDefault="005F4C7C" w:rsidP="00C6762E">
      <w:pPr>
        <w:pStyle w:val="3-BodyText"/>
        <w:numPr>
          <w:ilvl w:val="1"/>
          <w:numId w:val="38"/>
        </w:numPr>
        <w:ind w:left="1134" w:hanging="283"/>
        <w:rPr>
          <w:bCs/>
          <w:snapToGrid w:val="0"/>
        </w:rPr>
      </w:pPr>
      <w:r w:rsidRPr="009A4DCA">
        <w:rPr>
          <w:bCs/>
          <w:snapToGrid w:val="0"/>
        </w:rPr>
        <w:t xml:space="preserve">Lung Foundation Australia described </w:t>
      </w:r>
      <w:r w:rsidR="00C874E5" w:rsidRPr="009A4DCA">
        <w:rPr>
          <w:bCs/>
          <w:snapToGrid w:val="0"/>
        </w:rPr>
        <w:t>strong</w:t>
      </w:r>
      <w:r w:rsidR="00BB63AC" w:rsidRPr="009A4DCA">
        <w:rPr>
          <w:bCs/>
          <w:snapToGrid w:val="0"/>
        </w:rPr>
        <w:t xml:space="preserve"> consumer</w:t>
      </w:r>
      <w:r w:rsidRPr="009A4DCA">
        <w:rPr>
          <w:bCs/>
          <w:snapToGrid w:val="0"/>
        </w:rPr>
        <w:t xml:space="preserve"> support </w:t>
      </w:r>
      <w:r w:rsidR="00C874E5" w:rsidRPr="009A4DCA">
        <w:rPr>
          <w:bCs/>
          <w:snapToGrid w:val="0"/>
        </w:rPr>
        <w:t>for</w:t>
      </w:r>
      <w:r w:rsidRPr="009A4DCA">
        <w:rPr>
          <w:bCs/>
          <w:snapToGrid w:val="0"/>
        </w:rPr>
        <w:t xml:space="preserve"> making the RSV vaccine available on the NIP for people aged 60 and over, and </w:t>
      </w:r>
      <w:r w:rsidR="005306BA">
        <w:rPr>
          <w:bCs/>
          <w:snapToGrid w:val="0"/>
        </w:rPr>
        <w:t xml:space="preserve">for </w:t>
      </w:r>
      <w:r w:rsidRPr="009A4DCA">
        <w:rPr>
          <w:bCs/>
          <w:snapToGrid w:val="0"/>
        </w:rPr>
        <w:t xml:space="preserve">those with a lung disease or other </w:t>
      </w:r>
      <w:r w:rsidR="00C874E5" w:rsidRPr="009A4DCA">
        <w:rPr>
          <w:bCs/>
          <w:snapToGrid w:val="0"/>
        </w:rPr>
        <w:t xml:space="preserve">medical </w:t>
      </w:r>
      <w:r w:rsidRPr="009A4DCA">
        <w:rPr>
          <w:bCs/>
          <w:snapToGrid w:val="0"/>
        </w:rPr>
        <w:t>condition</w:t>
      </w:r>
      <w:r w:rsidR="00C97239" w:rsidRPr="009A4DCA">
        <w:rPr>
          <w:bCs/>
          <w:snapToGrid w:val="0"/>
        </w:rPr>
        <w:t>, based on</w:t>
      </w:r>
      <w:r w:rsidRPr="009A4DCA">
        <w:rPr>
          <w:bCs/>
          <w:snapToGrid w:val="0"/>
        </w:rPr>
        <w:t xml:space="preserve"> a survey of 860 people living or caring for someone with a lung disease or lung cancer in December 2023</w:t>
      </w:r>
      <w:r w:rsidR="00571B2F">
        <w:rPr>
          <w:bCs/>
          <w:snapToGrid w:val="0"/>
        </w:rPr>
        <w:t xml:space="preserve"> – </w:t>
      </w:r>
      <w:r w:rsidRPr="009A4DCA">
        <w:rPr>
          <w:bCs/>
          <w:snapToGrid w:val="0"/>
        </w:rPr>
        <w:lastRenderedPageBreak/>
        <w:t>January</w:t>
      </w:r>
      <w:r w:rsidR="00571B2F">
        <w:rPr>
          <w:bCs/>
          <w:snapToGrid w:val="0"/>
        </w:rPr>
        <w:t> </w:t>
      </w:r>
      <w:r w:rsidRPr="009A4DCA">
        <w:rPr>
          <w:bCs/>
          <w:snapToGrid w:val="0"/>
        </w:rPr>
        <w:t>2024</w:t>
      </w:r>
      <w:r w:rsidR="00C874E5" w:rsidRPr="009A4DCA">
        <w:rPr>
          <w:bCs/>
          <w:snapToGrid w:val="0"/>
        </w:rPr>
        <w:t xml:space="preserve">. </w:t>
      </w:r>
      <w:r w:rsidR="009C2893" w:rsidRPr="009A4DCA">
        <w:rPr>
          <w:bCs/>
          <w:snapToGrid w:val="0"/>
        </w:rPr>
        <w:t>A</w:t>
      </w:r>
      <w:r w:rsidR="00F21B2B" w:rsidRPr="009A4DCA">
        <w:rPr>
          <w:bCs/>
          <w:snapToGrid w:val="0"/>
        </w:rPr>
        <w:t xml:space="preserve">lmost half (45%) </w:t>
      </w:r>
      <w:r w:rsidR="001422EE" w:rsidRPr="009A4DCA">
        <w:rPr>
          <w:bCs/>
          <w:snapToGrid w:val="0"/>
        </w:rPr>
        <w:t xml:space="preserve">of the respondents aged 60 years and older claimed that </w:t>
      </w:r>
      <w:r w:rsidR="005C42CB" w:rsidRPr="009A4DCA">
        <w:rPr>
          <w:bCs/>
          <w:snapToGrid w:val="0"/>
        </w:rPr>
        <w:t xml:space="preserve">they would only receive </w:t>
      </w:r>
      <w:r w:rsidR="00C874E5" w:rsidRPr="009A4DCA">
        <w:rPr>
          <w:bCs/>
          <w:snapToGrid w:val="0"/>
        </w:rPr>
        <w:t xml:space="preserve">the </w:t>
      </w:r>
      <w:r w:rsidR="005C42CB" w:rsidRPr="009A4DCA">
        <w:rPr>
          <w:bCs/>
          <w:snapToGrid w:val="0"/>
        </w:rPr>
        <w:t xml:space="preserve">RSV vaccination if </w:t>
      </w:r>
      <w:r w:rsidR="00C874E5" w:rsidRPr="009A4DCA">
        <w:rPr>
          <w:bCs/>
          <w:snapToGrid w:val="0"/>
        </w:rPr>
        <w:t xml:space="preserve">it was </w:t>
      </w:r>
      <w:r w:rsidR="006D14B8" w:rsidRPr="009A4DCA">
        <w:rPr>
          <w:bCs/>
          <w:snapToGrid w:val="0"/>
        </w:rPr>
        <w:t>free</w:t>
      </w:r>
      <w:r w:rsidR="00C874E5" w:rsidRPr="009A4DCA">
        <w:rPr>
          <w:bCs/>
          <w:snapToGrid w:val="0"/>
        </w:rPr>
        <w:t>,</w:t>
      </w:r>
      <w:r w:rsidR="006D14B8" w:rsidRPr="009A4DCA">
        <w:rPr>
          <w:bCs/>
          <w:snapToGrid w:val="0"/>
        </w:rPr>
        <w:t xml:space="preserve"> </w:t>
      </w:r>
      <w:r w:rsidR="00C874E5" w:rsidRPr="009A4DCA">
        <w:rPr>
          <w:bCs/>
          <w:snapToGrid w:val="0"/>
        </w:rPr>
        <w:t>based on</w:t>
      </w:r>
      <w:r w:rsidR="00751FFA" w:rsidRPr="009A4DCA">
        <w:rPr>
          <w:bCs/>
          <w:snapToGrid w:val="0"/>
        </w:rPr>
        <w:t xml:space="preserve"> a survey</w:t>
      </w:r>
      <w:r w:rsidR="00AB088B" w:rsidRPr="009A4DCA">
        <w:rPr>
          <w:bCs/>
          <w:snapToGrid w:val="0"/>
        </w:rPr>
        <w:t xml:space="preserve"> </w:t>
      </w:r>
      <w:r w:rsidR="00C874E5" w:rsidRPr="009A4DCA">
        <w:rPr>
          <w:bCs/>
          <w:snapToGrid w:val="0"/>
        </w:rPr>
        <w:t xml:space="preserve">of the broader community </w:t>
      </w:r>
      <w:r w:rsidR="00AB088B" w:rsidRPr="009A4DCA">
        <w:rPr>
          <w:bCs/>
          <w:snapToGrid w:val="0"/>
        </w:rPr>
        <w:t>(</w:t>
      </w:r>
      <w:r w:rsidR="004A3736" w:rsidRPr="009A4DCA">
        <w:rPr>
          <w:bCs/>
          <w:snapToGrid w:val="0"/>
        </w:rPr>
        <w:t>3,300 response</w:t>
      </w:r>
      <w:r w:rsidR="00BA260B" w:rsidRPr="009A4DCA">
        <w:rPr>
          <w:bCs/>
          <w:snapToGrid w:val="0"/>
        </w:rPr>
        <w:t>s, May 2024).</w:t>
      </w:r>
      <w:r w:rsidR="00BD019B" w:rsidRPr="009A4DCA">
        <w:rPr>
          <w:bCs/>
          <w:snapToGrid w:val="0"/>
        </w:rPr>
        <w:t xml:space="preserve"> </w:t>
      </w:r>
    </w:p>
    <w:p w14:paraId="3C9D01DA" w14:textId="29353E05" w:rsidR="009C2893" w:rsidRPr="009A4DCA" w:rsidRDefault="00610DA2" w:rsidP="00C6762E">
      <w:pPr>
        <w:pStyle w:val="3-BodyText"/>
        <w:numPr>
          <w:ilvl w:val="1"/>
          <w:numId w:val="38"/>
        </w:numPr>
        <w:ind w:left="1134" w:hanging="283"/>
        <w:rPr>
          <w:bCs/>
          <w:snapToGrid w:val="0"/>
        </w:rPr>
      </w:pPr>
      <w:r w:rsidRPr="009A4DCA">
        <w:rPr>
          <w:bCs/>
          <w:snapToGrid w:val="0"/>
        </w:rPr>
        <w:t>Asthma Australia describ</w:t>
      </w:r>
      <w:r w:rsidR="006D6BCB" w:rsidRPr="009A4DCA">
        <w:rPr>
          <w:bCs/>
          <w:snapToGrid w:val="0"/>
        </w:rPr>
        <w:t>ed</w:t>
      </w:r>
      <w:r w:rsidR="004D0F2D" w:rsidRPr="009A4DCA">
        <w:rPr>
          <w:bCs/>
          <w:snapToGrid w:val="0"/>
        </w:rPr>
        <w:t xml:space="preserve"> RSV as having an important impact on people with asthma</w:t>
      </w:r>
      <w:r w:rsidR="009C2893" w:rsidRPr="009A4DCA">
        <w:rPr>
          <w:bCs/>
          <w:snapToGrid w:val="0"/>
        </w:rPr>
        <w:t xml:space="preserve">, including </w:t>
      </w:r>
      <w:r w:rsidR="003F39DA" w:rsidRPr="009A4DCA">
        <w:rPr>
          <w:bCs/>
          <w:snapToGrid w:val="0"/>
        </w:rPr>
        <w:t>worsen</w:t>
      </w:r>
      <w:r w:rsidR="009C2893" w:rsidRPr="009A4DCA">
        <w:rPr>
          <w:bCs/>
          <w:snapToGrid w:val="0"/>
        </w:rPr>
        <w:t>ing</w:t>
      </w:r>
      <w:r w:rsidR="005144FE" w:rsidRPr="009A4DCA">
        <w:rPr>
          <w:bCs/>
          <w:snapToGrid w:val="0"/>
        </w:rPr>
        <w:t xml:space="preserve"> asthma symptom</w:t>
      </w:r>
      <w:r w:rsidR="007E0C42" w:rsidRPr="009A4DCA">
        <w:rPr>
          <w:bCs/>
          <w:snapToGrid w:val="0"/>
        </w:rPr>
        <w:t>s</w:t>
      </w:r>
      <w:r w:rsidR="009C2893" w:rsidRPr="009A4DCA">
        <w:rPr>
          <w:bCs/>
          <w:snapToGrid w:val="0"/>
        </w:rPr>
        <w:t xml:space="preserve"> and increased risk from pneumonia</w:t>
      </w:r>
      <w:r w:rsidR="007E0C42" w:rsidRPr="009A4DCA">
        <w:rPr>
          <w:bCs/>
          <w:snapToGrid w:val="0"/>
        </w:rPr>
        <w:t xml:space="preserve">. </w:t>
      </w:r>
    </w:p>
    <w:p w14:paraId="5B5CC9EE" w14:textId="1C8E60AB" w:rsidR="009C2893" w:rsidRPr="009A4DCA" w:rsidRDefault="004A6BE0" w:rsidP="00C6762E">
      <w:pPr>
        <w:pStyle w:val="3-BodyText"/>
        <w:numPr>
          <w:ilvl w:val="1"/>
          <w:numId w:val="38"/>
        </w:numPr>
        <w:ind w:left="1134" w:hanging="283"/>
        <w:rPr>
          <w:bCs/>
          <w:snapToGrid w:val="0"/>
        </w:rPr>
      </w:pPr>
      <w:r w:rsidRPr="009A4DCA">
        <w:rPr>
          <w:bCs/>
          <w:snapToGrid w:val="0"/>
        </w:rPr>
        <w:t xml:space="preserve">Immunisation Foundation of Australia </w:t>
      </w:r>
      <w:r w:rsidR="00C07ACF" w:rsidRPr="009A4DCA">
        <w:rPr>
          <w:bCs/>
          <w:snapToGrid w:val="0"/>
        </w:rPr>
        <w:t xml:space="preserve">described </w:t>
      </w:r>
      <w:r w:rsidR="00E30D25" w:rsidRPr="009A4DCA">
        <w:rPr>
          <w:bCs/>
          <w:snapToGrid w:val="0"/>
        </w:rPr>
        <w:t>current</w:t>
      </w:r>
      <w:r w:rsidR="00523CD1" w:rsidRPr="009A4DCA">
        <w:rPr>
          <w:bCs/>
          <w:snapToGrid w:val="0"/>
        </w:rPr>
        <w:t xml:space="preserve"> access</w:t>
      </w:r>
      <w:r w:rsidR="00D91174" w:rsidRPr="009A4DCA">
        <w:rPr>
          <w:bCs/>
          <w:snapToGrid w:val="0"/>
        </w:rPr>
        <w:t xml:space="preserve"> to </w:t>
      </w:r>
      <w:r w:rsidR="005C45D8" w:rsidRPr="009A4DCA">
        <w:rPr>
          <w:bCs/>
          <w:snapToGrid w:val="0"/>
        </w:rPr>
        <w:t>RSV va</w:t>
      </w:r>
      <w:r w:rsidR="00FA2A8C" w:rsidRPr="009A4DCA">
        <w:rPr>
          <w:bCs/>
          <w:snapToGrid w:val="0"/>
        </w:rPr>
        <w:t>ccine</w:t>
      </w:r>
      <w:r w:rsidR="00B57370" w:rsidRPr="009A4DCA">
        <w:rPr>
          <w:bCs/>
          <w:snapToGrid w:val="0"/>
        </w:rPr>
        <w:t xml:space="preserve"> </w:t>
      </w:r>
      <w:r w:rsidR="000F772C" w:rsidRPr="009A4DCA">
        <w:rPr>
          <w:bCs/>
          <w:snapToGrid w:val="0"/>
        </w:rPr>
        <w:t xml:space="preserve">as </w:t>
      </w:r>
      <w:r w:rsidR="00EF450E" w:rsidRPr="009A4DCA">
        <w:rPr>
          <w:bCs/>
          <w:snapToGrid w:val="0"/>
        </w:rPr>
        <w:t>in</w:t>
      </w:r>
      <w:r w:rsidR="000D1985" w:rsidRPr="009A4DCA">
        <w:rPr>
          <w:bCs/>
          <w:snapToGrid w:val="0"/>
        </w:rPr>
        <w:t xml:space="preserve">equitable </w:t>
      </w:r>
      <w:r w:rsidR="00CB0964" w:rsidRPr="009A4DCA">
        <w:rPr>
          <w:bCs/>
          <w:snapToGrid w:val="0"/>
        </w:rPr>
        <w:t>(</w:t>
      </w:r>
      <w:r w:rsidR="00055483" w:rsidRPr="009A4DCA">
        <w:rPr>
          <w:bCs/>
          <w:snapToGrid w:val="0"/>
        </w:rPr>
        <w:t xml:space="preserve">only </w:t>
      </w:r>
      <w:r w:rsidR="00CB0964" w:rsidRPr="009A4DCA">
        <w:rPr>
          <w:bCs/>
          <w:snapToGrid w:val="0"/>
        </w:rPr>
        <w:t xml:space="preserve">those </w:t>
      </w:r>
      <w:r w:rsidR="00055483" w:rsidRPr="009A4DCA">
        <w:rPr>
          <w:bCs/>
          <w:snapToGrid w:val="0"/>
        </w:rPr>
        <w:t xml:space="preserve">who can afford </w:t>
      </w:r>
      <w:r w:rsidR="00CB0964" w:rsidRPr="009A4DCA">
        <w:rPr>
          <w:bCs/>
          <w:snapToGrid w:val="0"/>
        </w:rPr>
        <w:t xml:space="preserve">the vaccine can access </w:t>
      </w:r>
      <w:r w:rsidR="00055483" w:rsidRPr="009A4DCA">
        <w:rPr>
          <w:bCs/>
          <w:snapToGrid w:val="0"/>
        </w:rPr>
        <w:t>it</w:t>
      </w:r>
      <w:r w:rsidR="00CB0964" w:rsidRPr="009A4DCA">
        <w:rPr>
          <w:bCs/>
          <w:snapToGrid w:val="0"/>
        </w:rPr>
        <w:t>) and</w:t>
      </w:r>
      <w:r w:rsidR="009C2893" w:rsidRPr="009A4DCA">
        <w:rPr>
          <w:bCs/>
          <w:snapToGrid w:val="0"/>
        </w:rPr>
        <w:t xml:space="preserve"> stated</w:t>
      </w:r>
      <w:r w:rsidR="00CB0964" w:rsidRPr="009A4DCA">
        <w:rPr>
          <w:bCs/>
          <w:snapToGrid w:val="0"/>
        </w:rPr>
        <w:t xml:space="preserve"> that many consumers do not know about it</w:t>
      </w:r>
      <w:r w:rsidR="009C2893" w:rsidRPr="009A4DCA">
        <w:rPr>
          <w:bCs/>
          <w:snapToGrid w:val="0"/>
        </w:rPr>
        <w:t xml:space="preserve">, </w:t>
      </w:r>
      <w:r w:rsidR="00A22D61" w:rsidRPr="009A4DCA">
        <w:rPr>
          <w:bCs/>
          <w:snapToGrid w:val="0"/>
        </w:rPr>
        <w:t>do not prioritise it</w:t>
      </w:r>
      <w:r w:rsidR="009C2893" w:rsidRPr="009A4DCA">
        <w:rPr>
          <w:bCs/>
          <w:snapToGrid w:val="0"/>
        </w:rPr>
        <w:t>,</w:t>
      </w:r>
      <w:r w:rsidR="00A22D61" w:rsidRPr="009A4DCA">
        <w:rPr>
          <w:bCs/>
          <w:snapToGrid w:val="0"/>
        </w:rPr>
        <w:t xml:space="preserve"> or cannot afford it</w:t>
      </w:r>
      <w:r w:rsidR="00055483" w:rsidRPr="009A4DCA">
        <w:rPr>
          <w:bCs/>
          <w:snapToGrid w:val="0"/>
        </w:rPr>
        <w:t xml:space="preserve">. </w:t>
      </w:r>
    </w:p>
    <w:p w14:paraId="216DB7AD" w14:textId="77777777" w:rsidR="00843E49" w:rsidRPr="009A4DCA" w:rsidRDefault="00843E49" w:rsidP="00843E49">
      <w:pPr>
        <w:pStyle w:val="4-SubsectionHeading"/>
      </w:pPr>
      <w:bookmarkStart w:id="27" w:name="_Toc177558738"/>
      <w:bookmarkEnd w:id="24"/>
      <w:bookmarkEnd w:id="25"/>
      <w:bookmarkEnd w:id="26"/>
      <w:r w:rsidRPr="009A4DCA">
        <w:t>Clinical trials</w:t>
      </w:r>
      <w:bookmarkEnd w:id="27"/>
    </w:p>
    <w:p w14:paraId="092C3E18" w14:textId="79F281B4" w:rsidR="00843E49" w:rsidRPr="009A4DCA" w:rsidRDefault="00843E49" w:rsidP="003A0F9B">
      <w:pPr>
        <w:pStyle w:val="3-BodyText"/>
        <w:numPr>
          <w:ilvl w:val="1"/>
          <w:numId w:val="1"/>
        </w:numPr>
      </w:pPr>
      <w:r w:rsidRPr="009A4DCA">
        <w:t xml:space="preserve">The submission was based on two </w:t>
      </w:r>
      <w:r w:rsidR="00436CEF" w:rsidRPr="009A4DCA">
        <w:t xml:space="preserve">randomised </w:t>
      </w:r>
      <w:r w:rsidRPr="009A4DCA">
        <w:t>trials comparing RSVpreF vaccine to placebo (sterile water injection): RENOIR and Study 1006. The submission also presented a</w:t>
      </w:r>
      <w:r w:rsidR="00FA0043" w:rsidRPr="009A4DCA">
        <w:t xml:space="preserve"> supplementary</w:t>
      </w:r>
      <w:r w:rsidRPr="009A4DCA">
        <w:t xml:space="preserve"> indirect treatment comparison (ITC) of RSVpreF with RSVPreF3</w:t>
      </w:r>
      <w:r w:rsidR="00852C09" w:rsidRPr="009A4DCA">
        <w:t xml:space="preserve"> </w:t>
      </w:r>
      <w:r w:rsidRPr="009A4DCA">
        <w:t xml:space="preserve">and mRNA-1345, using placebo as the common </w:t>
      </w:r>
      <w:r w:rsidR="00E50146" w:rsidRPr="009A4DCA">
        <w:t>reference</w:t>
      </w:r>
      <w:r w:rsidRPr="009A4DCA">
        <w:t>. The 3 trials used to inform the ITC were RENOIR (RSVpreF), AReSVi-006 (RSVPreF3), and ConquerRSV (mRNA-1345).</w:t>
      </w:r>
    </w:p>
    <w:p w14:paraId="0156D4D2" w14:textId="76CC6C0B" w:rsidR="00843E49" w:rsidRPr="009A4DCA" w:rsidRDefault="00843E49" w:rsidP="003A0F9B">
      <w:pPr>
        <w:pStyle w:val="3-BodyText"/>
        <w:numPr>
          <w:ilvl w:val="1"/>
          <w:numId w:val="1"/>
        </w:numPr>
      </w:pPr>
      <w:r w:rsidRPr="009A4DCA">
        <w:t xml:space="preserve">A claim of superior </w:t>
      </w:r>
      <w:r w:rsidR="004B7B19" w:rsidRPr="009A4DCA">
        <w:t>effectiveness</w:t>
      </w:r>
      <w:r w:rsidRPr="009A4DCA">
        <w:t xml:space="preserve"> was made on the basis of the prevention of LRTI and acute respiratory </w:t>
      </w:r>
      <w:r w:rsidR="00DD7AA9" w:rsidRPr="009A4DCA">
        <w:t xml:space="preserve">illness </w:t>
      </w:r>
      <w:r w:rsidRPr="009A4DCA">
        <w:t xml:space="preserve">(ARI) caused by RSV, </w:t>
      </w:r>
      <w:r w:rsidR="00263F1B" w:rsidRPr="009A4DCA">
        <w:t>compared</w:t>
      </w:r>
      <w:r w:rsidRPr="009A4DCA">
        <w:t xml:space="preserve"> </w:t>
      </w:r>
      <w:r w:rsidR="00323A85" w:rsidRPr="009A4DCA">
        <w:t>with placebo. The submission claimed</w:t>
      </w:r>
      <w:r w:rsidRPr="009A4DCA">
        <w:t xml:space="preserve"> non-inferior safety compared with placebo. </w:t>
      </w:r>
    </w:p>
    <w:p w14:paraId="7B2F354E" w14:textId="2B47D948" w:rsidR="00843E49" w:rsidRPr="009A4DCA" w:rsidRDefault="00843E49" w:rsidP="003A0F9B">
      <w:pPr>
        <w:pStyle w:val="3-BodyText"/>
        <w:numPr>
          <w:ilvl w:val="1"/>
          <w:numId w:val="1"/>
        </w:numPr>
      </w:pPr>
      <w:r w:rsidRPr="009A4DCA">
        <w:t xml:space="preserve">Details of the trials presented in the submission are provided in </w:t>
      </w:r>
      <w:r w:rsidRPr="009A4DCA">
        <w:fldChar w:fldCharType="begin"/>
      </w:r>
      <w:r w:rsidRPr="009A4DCA">
        <w:instrText xml:space="preserve"> REF _Ref104803956 \h </w:instrText>
      </w:r>
      <w:r w:rsidRPr="009A4DCA">
        <w:fldChar w:fldCharType="separate"/>
      </w:r>
      <w:r w:rsidR="007B2F50" w:rsidRPr="009A4DCA">
        <w:t xml:space="preserve">Table </w:t>
      </w:r>
      <w:r w:rsidR="007B2F50">
        <w:rPr>
          <w:noProof/>
        </w:rPr>
        <w:t>2</w:t>
      </w:r>
      <w:r w:rsidRPr="009A4DCA">
        <w:fldChar w:fldCharType="end"/>
      </w:r>
      <w:r w:rsidRPr="009A4DCA">
        <w:t>.</w:t>
      </w:r>
    </w:p>
    <w:p w14:paraId="3BBB6937" w14:textId="72FA72AA" w:rsidR="00843E49" w:rsidRPr="009A4DCA" w:rsidRDefault="00843E49" w:rsidP="00843E49">
      <w:pPr>
        <w:pStyle w:val="TableFigureHeading"/>
        <w:rPr>
          <w:rStyle w:val="CommentReference"/>
          <w:b/>
          <w:szCs w:val="24"/>
        </w:rPr>
      </w:pPr>
      <w:bookmarkStart w:id="28" w:name="_Ref104803956"/>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2</w:t>
      </w:r>
      <w:r w:rsidR="00491347">
        <w:fldChar w:fldCharType="end"/>
      </w:r>
      <w:bookmarkEnd w:id="28"/>
      <w:r w:rsidRPr="009A4DCA">
        <w:t>:</w:t>
      </w:r>
      <w:r w:rsidRPr="009A4DCA">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49"/>
        <w:gridCol w:w="5141"/>
        <w:gridCol w:w="2627"/>
      </w:tblGrid>
      <w:tr w:rsidR="00843E49" w:rsidRPr="009A4DCA" w14:paraId="1BD30CA5" w14:textId="77777777" w:rsidTr="00973287">
        <w:trPr>
          <w:tblHeader/>
        </w:trPr>
        <w:tc>
          <w:tcPr>
            <w:tcW w:w="693" w:type="pct"/>
          </w:tcPr>
          <w:p w14:paraId="1FC02585" w14:textId="77777777" w:rsidR="00843E49" w:rsidRPr="009A4DCA" w:rsidRDefault="00843E49" w:rsidP="001B654C">
            <w:pPr>
              <w:pStyle w:val="In-tableHeading"/>
              <w:rPr>
                <w:lang w:val="en-AU"/>
              </w:rPr>
            </w:pPr>
            <w:r w:rsidRPr="009A4DCA">
              <w:rPr>
                <w:lang w:val="en-AU"/>
              </w:rPr>
              <w:t>Trial ID</w:t>
            </w:r>
          </w:p>
        </w:tc>
        <w:tc>
          <w:tcPr>
            <w:tcW w:w="2851" w:type="pct"/>
            <w:tcBorders>
              <w:bottom w:val="single" w:sz="4" w:space="0" w:color="auto"/>
            </w:tcBorders>
          </w:tcPr>
          <w:p w14:paraId="296C1E2F" w14:textId="77777777" w:rsidR="00843E49" w:rsidRPr="009A4DCA" w:rsidRDefault="00843E49" w:rsidP="001B654C">
            <w:pPr>
              <w:pStyle w:val="In-tableHeading"/>
              <w:rPr>
                <w:lang w:val="en-AU"/>
              </w:rPr>
            </w:pPr>
            <w:r w:rsidRPr="009A4DCA">
              <w:rPr>
                <w:lang w:val="en-AU"/>
              </w:rPr>
              <w:t>Protocol title/ Publication title</w:t>
            </w:r>
          </w:p>
        </w:tc>
        <w:tc>
          <w:tcPr>
            <w:tcW w:w="1457" w:type="pct"/>
            <w:tcBorders>
              <w:bottom w:val="single" w:sz="4" w:space="0" w:color="auto"/>
            </w:tcBorders>
          </w:tcPr>
          <w:p w14:paraId="33CEB3C3" w14:textId="77777777" w:rsidR="00843E49" w:rsidRPr="009A4DCA" w:rsidRDefault="00843E49" w:rsidP="001B654C">
            <w:pPr>
              <w:pStyle w:val="In-tableHeading"/>
              <w:rPr>
                <w:lang w:val="en-AU"/>
              </w:rPr>
            </w:pPr>
            <w:r w:rsidRPr="009A4DCA">
              <w:rPr>
                <w:lang w:val="en-AU"/>
              </w:rPr>
              <w:t>Publication citation</w:t>
            </w:r>
          </w:p>
        </w:tc>
      </w:tr>
      <w:tr w:rsidR="00843E49" w:rsidRPr="009A4DCA" w14:paraId="1369095F" w14:textId="77777777" w:rsidTr="00973287">
        <w:tc>
          <w:tcPr>
            <w:tcW w:w="693" w:type="pct"/>
            <w:tcBorders>
              <w:top w:val="nil"/>
              <w:bottom w:val="nil"/>
            </w:tcBorders>
          </w:tcPr>
          <w:p w14:paraId="0A98D064" w14:textId="77777777" w:rsidR="00843E49" w:rsidRPr="009A4DCA" w:rsidRDefault="00843E49" w:rsidP="00E76F4F">
            <w:pPr>
              <w:pStyle w:val="TableText0"/>
              <w:rPr>
                <w:i/>
              </w:rPr>
            </w:pPr>
            <w:r w:rsidRPr="009A4DCA">
              <w:t>RENOIR (NCT05035212)</w:t>
            </w:r>
          </w:p>
        </w:tc>
        <w:tc>
          <w:tcPr>
            <w:tcW w:w="2851" w:type="pct"/>
            <w:tcBorders>
              <w:top w:val="single" w:sz="4" w:space="0" w:color="auto"/>
              <w:bottom w:val="single" w:sz="4" w:space="0" w:color="auto"/>
            </w:tcBorders>
          </w:tcPr>
          <w:p w14:paraId="237F3385" w14:textId="77777777" w:rsidR="00843E49" w:rsidRPr="009A4DCA" w:rsidRDefault="00843E49" w:rsidP="00E76F4F">
            <w:pPr>
              <w:pStyle w:val="TableText0"/>
              <w:rPr>
                <w:i/>
              </w:rPr>
            </w:pPr>
            <w:r w:rsidRPr="009A4DCA">
              <w:t xml:space="preserve">Study C3671013: Efficacy Study RSV Season 1 Primary Analysis </w:t>
            </w:r>
          </w:p>
          <w:p w14:paraId="61E828B7" w14:textId="77777777" w:rsidR="00843E49" w:rsidRPr="009A4DCA" w:rsidRDefault="00843E49" w:rsidP="00E76F4F">
            <w:pPr>
              <w:pStyle w:val="TableText0"/>
              <w:rPr>
                <w:i/>
              </w:rPr>
            </w:pPr>
            <w:r w:rsidRPr="009A4DCA">
              <w:t xml:space="preserve">A Phase 3 Study to Evaluate the Efficacy, Immunogenicity, and Safety of Respiratory Syncytial Virus (RSV) Prefusion F Subunit Vaccine in Adults. </w:t>
            </w:r>
          </w:p>
        </w:tc>
        <w:tc>
          <w:tcPr>
            <w:tcW w:w="1457" w:type="pct"/>
            <w:tcBorders>
              <w:top w:val="single" w:sz="4" w:space="0" w:color="auto"/>
              <w:bottom w:val="single" w:sz="4" w:space="0" w:color="auto"/>
            </w:tcBorders>
          </w:tcPr>
          <w:p w14:paraId="226EE58D" w14:textId="77777777" w:rsidR="00843E49" w:rsidRPr="009A4DCA" w:rsidRDefault="00843E49" w:rsidP="00E76F4F">
            <w:pPr>
              <w:pStyle w:val="TableText0"/>
            </w:pPr>
            <w:r w:rsidRPr="009A4DCA">
              <w:t>CSR – Version 1.0 dated 22 September 2022</w:t>
            </w:r>
          </w:p>
        </w:tc>
      </w:tr>
      <w:tr w:rsidR="00843E49" w:rsidRPr="009A4DCA" w14:paraId="24055E15" w14:textId="77777777" w:rsidTr="00973287">
        <w:tc>
          <w:tcPr>
            <w:tcW w:w="693" w:type="pct"/>
            <w:tcBorders>
              <w:top w:val="nil"/>
              <w:bottom w:val="nil"/>
            </w:tcBorders>
          </w:tcPr>
          <w:p w14:paraId="3F994F5D" w14:textId="77777777" w:rsidR="00843E49" w:rsidRPr="009A4DCA" w:rsidRDefault="00843E49" w:rsidP="00E76F4F">
            <w:pPr>
              <w:pStyle w:val="TableText0"/>
            </w:pPr>
          </w:p>
        </w:tc>
        <w:tc>
          <w:tcPr>
            <w:tcW w:w="2851" w:type="pct"/>
            <w:tcBorders>
              <w:top w:val="single" w:sz="4" w:space="0" w:color="auto"/>
              <w:bottom w:val="single" w:sz="4" w:space="0" w:color="auto"/>
            </w:tcBorders>
          </w:tcPr>
          <w:p w14:paraId="7786720E" w14:textId="77777777" w:rsidR="00843E49" w:rsidRPr="009A4DCA" w:rsidRDefault="00843E49" w:rsidP="00E76F4F">
            <w:pPr>
              <w:pStyle w:val="TableText0"/>
              <w:rPr>
                <w:i/>
              </w:rPr>
            </w:pPr>
            <w:r w:rsidRPr="009A4DCA">
              <w:t xml:space="preserve">Study C3671013: Efficacy Study End of Season 1  </w:t>
            </w:r>
          </w:p>
          <w:p w14:paraId="7BD28A07" w14:textId="77777777" w:rsidR="00843E49" w:rsidRPr="009A4DCA" w:rsidRDefault="00843E49" w:rsidP="00E76F4F">
            <w:pPr>
              <w:pStyle w:val="TableText0"/>
              <w:rPr>
                <w:i/>
              </w:rPr>
            </w:pPr>
            <w:r w:rsidRPr="009A4DCA">
              <w:t xml:space="preserve">A Phase 3 Study to Evaluate the Efficacy, Immunogenicity, and Safety of Respiratory Syncytial Virus (RSV) Prefusion F Subunit Vaccine in Adults. </w:t>
            </w:r>
          </w:p>
        </w:tc>
        <w:tc>
          <w:tcPr>
            <w:tcW w:w="1457" w:type="pct"/>
            <w:tcBorders>
              <w:top w:val="single" w:sz="4" w:space="0" w:color="auto"/>
              <w:bottom w:val="single" w:sz="4" w:space="0" w:color="auto"/>
            </w:tcBorders>
          </w:tcPr>
          <w:p w14:paraId="570633FD" w14:textId="77777777" w:rsidR="00843E49" w:rsidRPr="009A4DCA" w:rsidRDefault="00843E49" w:rsidP="00E76F4F">
            <w:pPr>
              <w:pStyle w:val="TableText0"/>
              <w:rPr>
                <w:i/>
              </w:rPr>
            </w:pPr>
            <w:r w:rsidRPr="009A4DCA">
              <w:t>CSR – Version 1.0 - dated 22 May 2023</w:t>
            </w:r>
          </w:p>
        </w:tc>
      </w:tr>
      <w:tr w:rsidR="00843E49" w:rsidRPr="009A4DCA" w14:paraId="0CFD0083" w14:textId="77777777" w:rsidTr="00973287">
        <w:tc>
          <w:tcPr>
            <w:tcW w:w="693" w:type="pct"/>
            <w:tcBorders>
              <w:top w:val="nil"/>
              <w:bottom w:val="nil"/>
            </w:tcBorders>
          </w:tcPr>
          <w:p w14:paraId="7CF7180D" w14:textId="77777777" w:rsidR="00843E49" w:rsidRPr="009A4DCA" w:rsidRDefault="00843E49" w:rsidP="00E76F4F">
            <w:pPr>
              <w:pStyle w:val="TableText0"/>
            </w:pPr>
          </w:p>
        </w:tc>
        <w:tc>
          <w:tcPr>
            <w:tcW w:w="2851" w:type="pct"/>
            <w:tcBorders>
              <w:top w:val="single" w:sz="4" w:space="0" w:color="auto"/>
              <w:bottom w:val="single" w:sz="4" w:space="0" w:color="auto"/>
            </w:tcBorders>
          </w:tcPr>
          <w:p w14:paraId="2E62B56B" w14:textId="77777777" w:rsidR="00843E49" w:rsidRPr="009A4DCA" w:rsidRDefault="00843E49" w:rsidP="00E76F4F">
            <w:pPr>
              <w:pStyle w:val="TableText0"/>
              <w:rPr>
                <w:i/>
              </w:rPr>
            </w:pPr>
            <w:r w:rsidRPr="009A4DCA">
              <w:t xml:space="preserve">Study C3671013: EOS2 Analysis – Brief Report of Clinical Data </w:t>
            </w:r>
          </w:p>
          <w:p w14:paraId="1BD685BE" w14:textId="77777777" w:rsidR="00843E49" w:rsidRPr="009A4DCA" w:rsidRDefault="00843E49" w:rsidP="00E76F4F">
            <w:pPr>
              <w:pStyle w:val="TableText0"/>
              <w:rPr>
                <w:i/>
              </w:rPr>
            </w:pPr>
            <w:r w:rsidRPr="009A4DCA">
              <w:t xml:space="preserve">A Phase 3 Study to Evaluate the Efficacy, Immunogenicity, and Safety of Respiratory Syncytial Virus (RSV) Prefusion F Subunit Vaccine in Adults. </w:t>
            </w:r>
          </w:p>
        </w:tc>
        <w:tc>
          <w:tcPr>
            <w:tcW w:w="1457" w:type="pct"/>
            <w:tcBorders>
              <w:top w:val="single" w:sz="4" w:space="0" w:color="auto"/>
              <w:bottom w:val="single" w:sz="4" w:space="0" w:color="auto"/>
            </w:tcBorders>
          </w:tcPr>
          <w:p w14:paraId="0FD58286" w14:textId="77777777" w:rsidR="00843E49" w:rsidRPr="009A4DCA" w:rsidRDefault="00843E49" w:rsidP="00E76F4F">
            <w:pPr>
              <w:pStyle w:val="TableText0"/>
              <w:rPr>
                <w:i/>
              </w:rPr>
            </w:pPr>
            <w:r w:rsidRPr="009A4DCA">
              <w:t>CSR - dated 13 March 2024</w:t>
            </w:r>
          </w:p>
        </w:tc>
      </w:tr>
      <w:tr w:rsidR="00843E49" w:rsidRPr="009A4DCA" w14:paraId="0DEEA73D" w14:textId="77777777" w:rsidTr="00973287">
        <w:tc>
          <w:tcPr>
            <w:tcW w:w="693" w:type="pct"/>
            <w:tcBorders>
              <w:top w:val="nil"/>
              <w:bottom w:val="nil"/>
            </w:tcBorders>
          </w:tcPr>
          <w:p w14:paraId="61094D0C" w14:textId="77777777" w:rsidR="00843E49" w:rsidRPr="009A4DCA" w:rsidRDefault="00843E49" w:rsidP="00E76F4F">
            <w:pPr>
              <w:pStyle w:val="TableText0"/>
            </w:pPr>
          </w:p>
        </w:tc>
        <w:tc>
          <w:tcPr>
            <w:tcW w:w="2851" w:type="pct"/>
            <w:tcBorders>
              <w:top w:val="single" w:sz="4" w:space="0" w:color="auto"/>
              <w:bottom w:val="single" w:sz="4" w:space="0" w:color="auto"/>
            </w:tcBorders>
          </w:tcPr>
          <w:p w14:paraId="3CDDACB0" w14:textId="77777777" w:rsidR="00843E49" w:rsidRPr="009A4DCA" w:rsidRDefault="00843E49" w:rsidP="00E76F4F">
            <w:pPr>
              <w:pStyle w:val="TableText0"/>
              <w:rPr>
                <w:i/>
              </w:rPr>
            </w:pPr>
            <w:r w:rsidRPr="009A4DCA">
              <w:t xml:space="preserve">Walsh EE, Pérez Marc G, Zareba AM, Falsey AR, Jiang Q, Patton M, Polack FP, Llapur C, Doreski PA, Ilangovan K, Rämet M. Efficacy and safety of a bivalent RSV prefusion F vaccine in older adults. </w:t>
            </w:r>
          </w:p>
        </w:tc>
        <w:tc>
          <w:tcPr>
            <w:tcW w:w="1457" w:type="pct"/>
            <w:tcBorders>
              <w:top w:val="single" w:sz="4" w:space="0" w:color="auto"/>
              <w:bottom w:val="single" w:sz="4" w:space="0" w:color="auto"/>
            </w:tcBorders>
          </w:tcPr>
          <w:p w14:paraId="1F36A1EC" w14:textId="77777777" w:rsidR="00843E49" w:rsidRPr="009A4DCA" w:rsidRDefault="00843E49" w:rsidP="00E76F4F">
            <w:pPr>
              <w:pStyle w:val="TableText0"/>
            </w:pPr>
            <w:r w:rsidRPr="009A4DCA">
              <w:t>New England Journal of Medicine. 2023 Apr 20;388(16):1465-77.</w:t>
            </w:r>
          </w:p>
        </w:tc>
      </w:tr>
      <w:tr w:rsidR="00843E49" w:rsidRPr="009A4DCA" w14:paraId="47CA4F7D" w14:textId="77777777" w:rsidTr="00973287">
        <w:tc>
          <w:tcPr>
            <w:tcW w:w="693" w:type="pct"/>
            <w:tcBorders>
              <w:bottom w:val="nil"/>
            </w:tcBorders>
          </w:tcPr>
          <w:p w14:paraId="17929419" w14:textId="77777777" w:rsidR="00843E49" w:rsidRPr="009A4DCA" w:rsidRDefault="00843E49" w:rsidP="00E76F4F">
            <w:pPr>
              <w:pStyle w:val="TableText0"/>
              <w:rPr>
                <w:i/>
              </w:rPr>
            </w:pPr>
            <w:r w:rsidRPr="009A4DCA">
              <w:t>Study 1006 (NCT05301322)</w:t>
            </w:r>
          </w:p>
        </w:tc>
        <w:tc>
          <w:tcPr>
            <w:tcW w:w="2851" w:type="pct"/>
            <w:tcBorders>
              <w:top w:val="single" w:sz="4" w:space="0" w:color="auto"/>
              <w:bottom w:val="nil"/>
            </w:tcBorders>
          </w:tcPr>
          <w:p w14:paraId="6D483AC0" w14:textId="77777777" w:rsidR="00843E49" w:rsidRPr="009A4DCA" w:rsidRDefault="00843E49" w:rsidP="00E76F4F">
            <w:pPr>
              <w:pStyle w:val="TableText0"/>
              <w:rPr>
                <w:i/>
              </w:rPr>
            </w:pPr>
            <w:r w:rsidRPr="009A4DCA">
              <w:t xml:space="preserve">Study C3671006: Final CSR (primary completion date)  </w:t>
            </w:r>
          </w:p>
          <w:p w14:paraId="0702D662" w14:textId="77777777" w:rsidR="00843E49" w:rsidRPr="009A4DCA" w:rsidRDefault="00843E49" w:rsidP="00E76F4F">
            <w:pPr>
              <w:pStyle w:val="TableText0"/>
              <w:rPr>
                <w:i/>
              </w:rPr>
            </w:pPr>
            <w:r w:rsidRPr="009A4DCA">
              <w:t xml:space="preserve">A Phase 3, Randomized, Double-Blind, Placebo-Controlled Study to Evaluate the Safety, Tolerability, and Immunogenicity of Respiratory Syncytial Virus Prefusion F Subunit Vaccine When Coadministered With Seasonal Inactivated Influenza Vaccine in Adults ≥65 Years of Age. </w:t>
            </w:r>
          </w:p>
        </w:tc>
        <w:tc>
          <w:tcPr>
            <w:tcW w:w="1457" w:type="pct"/>
            <w:tcBorders>
              <w:top w:val="single" w:sz="4" w:space="0" w:color="auto"/>
              <w:bottom w:val="nil"/>
            </w:tcBorders>
          </w:tcPr>
          <w:p w14:paraId="12E7202E" w14:textId="4A7D487E" w:rsidR="00843E49" w:rsidRPr="009A4DCA" w:rsidRDefault="00843E49" w:rsidP="00E76F4F">
            <w:pPr>
              <w:pStyle w:val="TableText0"/>
              <w:rPr>
                <w:i/>
              </w:rPr>
            </w:pPr>
            <w:r w:rsidRPr="009A4DCA">
              <w:t>CSR – Version 1.0, dated 06 June 2023</w:t>
            </w:r>
          </w:p>
        </w:tc>
      </w:tr>
      <w:tr w:rsidR="00843E49" w:rsidRPr="009A4DCA" w14:paraId="446D21A5" w14:textId="77777777" w:rsidTr="00973287">
        <w:tc>
          <w:tcPr>
            <w:tcW w:w="693" w:type="pct"/>
            <w:tcBorders>
              <w:top w:val="nil"/>
              <w:bottom w:val="single" w:sz="4" w:space="0" w:color="auto"/>
            </w:tcBorders>
          </w:tcPr>
          <w:p w14:paraId="375852E4" w14:textId="77777777" w:rsidR="00843E49" w:rsidRPr="009A4DCA" w:rsidRDefault="00843E49" w:rsidP="00E76F4F">
            <w:pPr>
              <w:pStyle w:val="TableText0"/>
            </w:pPr>
          </w:p>
        </w:tc>
        <w:tc>
          <w:tcPr>
            <w:tcW w:w="2851" w:type="pct"/>
            <w:tcBorders>
              <w:bottom w:val="single" w:sz="4" w:space="0" w:color="auto"/>
            </w:tcBorders>
          </w:tcPr>
          <w:p w14:paraId="5270BE8F" w14:textId="77777777" w:rsidR="00843E49" w:rsidRPr="009A4DCA" w:rsidRDefault="00843E49" w:rsidP="00E76F4F">
            <w:pPr>
              <w:pStyle w:val="TableText0"/>
              <w:rPr>
                <w:i/>
              </w:rPr>
            </w:pPr>
            <w:r w:rsidRPr="009A4DCA">
              <w:t xml:space="preserve">Athan E, Baber J, Quan K, Scott RJ, Jaques A, Jiang Q, Li W, Cooper D, Cutler MW, Kalinina EV, Anderson AS. Safety and immunogenicity of bivalent RSVpreF vaccine coadministered with seasonal inactivated influenza vaccine in older adults. </w:t>
            </w:r>
          </w:p>
        </w:tc>
        <w:tc>
          <w:tcPr>
            <w:tcW w:w="1457" w:type="pct"/>
            <w:tcBorders>
              <w:bottom w:val="single" w:sz="4" w:space="0" w:color="auto"/>
            </w:tcBorders>
          </w:tcPr>
          <w:p w14:paraId="4A4B4399" w14:textId="77777777" w:rsidR="00843E49" w:rsidRPr="009A4DCA" w:rsidRDefault="00843E49" w:rsidP="00E76F4F">
            <w:pPr>
              <w:pStyle w:val="TableText0"/>
            </w:pPr>
            <w:r w:rsidRPr="009A4DCA">
              <w:t>Clinical Infectious Diseases. 2024 May 15;78(5):1360-8.</w:t>
            </w:r>
          </w:p>
        </w:tc>
      </w:tr>
      <w:tr w:rsidR="00843E49" w:rsidRPr="009A4DCA" w14:paraId="735EF4F7" w14:textId="77777777" w:rsidTr="00973287">
        <w:tc>
          <w:tcPr>
            <w:tcW w:w="5000" w:type="pct"/>
            <w:gridSpan w:val="3"/>
            <w:tcBorders>
              <w:top w:val="nil"/>
              <w:bottom w:val="single" w:sz="4" w:space="0" w:color="auto"/>
            </w:tcBorders>
          </w:tcPr>
          <w:p w14:paraId="29B08159" w14:textId="77777777" w:rsidR="00843E49" w:rsidRPr="009A4DCA" w:rsidRDefault="00843E49" w:rsidP="00E76F4F">
            <w:pPr>
              <w:pStyle w:val="TableText0"/>
              <w:rPr>
                <w:i/>
              </w:rPr>
            </w:pPr>
            <w:r w:rsidRPr="009A4DCA">
              <w:t>Near market comparator trials</w:t>
            </w:r>
          </w:p>
        </w:tc>
      </w:tr>
      <w:tr w:rsidR="00843E49" w:rsidRPr="009A4DCA" w14:paraId="7C117152" w14:textId="77777777" w:rsidTr="00973287">
        <w:tc>
          <w:tcPr>
            <w:tcW w:w="693" w:type="pct"/>
            <w:tcBorders>
              <w:top w:val="single" w:sz="4" w:space="0" w:color="auto"/>
              <w:bottom w:val="nil"/>
            </w:tcBorders>
          </w:tcPr>
          <w:p w14:paraId="1CE8AC6E" w14:textId="77777777" w:rsidR="00843E49" w:rsidRPr="009A4DCA" w:rsidRDefault="00843E49" w:rsidP="00E76F4F">
            <w:pPr>
              <w:pStyle w:val="TableText0"/>
              <w:rPr>
                <w:i/>
              </w:rPr>
            </w:pPr>
            <w:r w:rsidRPr="009A4DCA">
              <w:t>AReSVi-006 (NCT04886596)</w:t>
            </w:r>
          </w:p>
        </w:tc>
        <w:tc>
          <w:tcPr>
            <w:tcW w:w="2851" w:type="pct"/>
            <w:tcBorders>
              <w:top w:val="single" w:sz="4" w:space="0" w:color="auto"/>
              <w:bottom w:val="single" w:sz="4" w:space="0" w:color="auto"/>
            </w:tcBorders>
          </w:tcPr>
          <w:p w14:paraId="252BC5D0" w14:textId="77777777" w:rsidR="00843E49" w:rsidRPr="009A4DCA" w:rsidRDefault="00843E49" w:rsidP="00E76F4F">
            <w:pPr>
              <w:pStyle w:val="TableText0"/>
              <w:rPr>
                <w:i/>
              </w:rPr>
            </w:pPr>
            <w:r w:rsidRPr="009A4DCA">
              <w:t xml:space="preserve">Papi, A.; Ison, M.G., Langley, D.G. et al (for the AReSVi-006 Study Group). Respiratory Syncytial Virus Prefusion F Protein Vaccine in Older Adults. </w:t>
            </w:r>
          </w:p>
        </w:tc>
        <w:tc>
          <w:tcPr>
            <w:tcW w:w="1457" w:type="pct"/>
            <w:tcBorders>
              <w:top w:val="single" w:sz="4" w:space="0" w:color="auto"/>
              <w:bottom w:val="single" w:sz="4" w:space="0" w:color="auto"/>
            </w:tcBorders>
          </w:tcPr>
          <w:p w14:paraId="1B508BD7" w14:textId="77777777" w:rsidR="00843E49" w:rsidRPr="009A4DCA" w:rsidRDefault="00843E49" w:rsidP="00E76F4F">
            <w:pPr>
              <w:pStyle w:val="TableText0"/>
              <w:rPr>
                <w:i/>
              </w:rPr>
            </w:pPr>
            <w:r w:rsidRPr="009A4DCA">
              <w:rPr>
                <w:i/>
              </w:rPr>
              <w:t>N Engl J Med</w:t>
            </w:r>
            <w:r w:rsidRPr="009A4DCA">
              <w:t xml:space="preserve"> 2023;388:595-608 DOI: 10.1056/NEJMoa2209604 </w:t>
            </w:r>
          </w:p>
        </w:tc>
      </w:tr>
      <w:tr w:rsidR="00843E49" w:rsidRPr="009A4DCA" w14:paraId="5619FC8D" w14:textId="77777777" w:rsidTr="00973287">
        <w:tc>
          <w:tcPr>
            <w:tcW w:w="693" w:type="pct"/>
            <w:tcBorders>
              <w:top w:val="nil"/>
              <w:bottom w:val="nil"/>
            </w:tcBorders>
          </w:tcPr>
          <w:p w14:paraId="44355C29" w14:textId="77777777" w:rsidR="00843E49" w:rsidRPr="009A4DCA" w:rsidRDefault="00843E49" w:rsidP="00E76F4F">
            <w:pPr>
              <w:pStyle w:val="TableText0"/>
            </w:pPr>
          </w:p>
        </w:tc>
        <w:tc>
          <w:tcPr>
            <w:tcW w:w="2851" w:type="pct"/>
            <w:tcBorders>
              <w:top w:val="single" w:sz="4" w:space="0" w:color="auto"/>
              <w:bottom w:val="single" w:sz="4" w:space="0" w:color="auto"/>
            </w:tcBorders>
          </w:tcPr>
          <w:p w14:paraId="4E1D7705" w14:textId="77777777" w:rsidR="00843E49" w:rsidRPr="009A4DCA" w:rsidRDefault="00843E49" w:rsidP="00E76F4F">
            <w:pPr>
              <w:pStyle w:val="TableText0"/>
              <w:rPr>
                <w:i/>
              </w:rPr>
            </w:pPr>
            <w:r w:rsidRPr="009A4DCA">
              <w:t xml:space="preserve">Ison MG, Papi A, Athan E, Feldman RG, Langley JM, Lee DG, Leroux-Roels I, Martinon-Torres F, Schwarz TF, van Zyl-Smit RN, Verheust C. Efficacy and safety of Respiratory Syncytial Virus (RSV) prefusion F protein vaccine (RSVPreF3 OA) in older adults over 2 RSV seasons. </w:t>
            </w:r>
          </w:p>
        </w:tc>
        <w:tc>
          <w:tcPr>
            <w:tcW w:w="1457" w:type="pct"/>
            <w:tcBorders>
              <w:top w:val="single" w:sz="4" w:space="0" w:color="auto"/>
              <w:bottom w:val="single" w:sz="4" w:space="0" w:color="auto"/>
            </w:tcBorders>
          </w:tcPr>
          <w:p w14:paraId="5B6BEAC2" w14:textId="77777777" w:rsidR="00843E49" w:rsidRPr="009A4DCA" w:rsidRDefault="00843E49" w:rsidP="00E76F4F">
            <w:pPr>
              <w:pStyle w:val="TableText0"/>
              <w:rPr>
                <w:i/>
              </w:rPr>
            </w:pPr>
            <w:r w:rsidRPr="009A4DCA">
              <w:rPr>
                <w:i/>
              </w:rPr>
              <w:t>Clinical Infectious Diseases</w:t>
            </w:r>
            <w:r w:rsidRPr="009A4DCA">
              <w:t xml:space="preserve">. 2024 Jun 15;78(6):1732-44. DOI: </w:t>
            </w:r>
            <w:hyperlink r:id="rId11" w:history="1">
              <w:r w:rsidRPr="009A4DCA">
                <w:rPr>
                  <w:rStyle w:val="Hyperlink"/>
                </w:rPr>
                <w:t>https://doi.org/10.1093/cid/ciae010</w:t>
              </w:r>
            </w:hyperlink>
            <w:r w:rsidRPr="009A4DCA">
              <w:t>.</w:t>
            </w:r>
          </w:p>
        </w:tc>
      </w:tr>
      <w:tr w:rsidR="00843E49" w:rsidRPr="009A4DCA" w14:paraId="50624DEF" w14:textId="77777777" w:rsidTr="00973287">
        <w:tc>
          <w:tcPr>
            <w:tcW w:w="693" w:type="pct"/>
            <w:tcBorders>
              <w:top w:val="nil"/>
              <w:bottom w:val="nil"/>
            </w:tcBorders>
          </w:tcPr>
          <w:p w14:paraId="3DFA9287" w14:textId="77777777" w:rsidR="00843E49" w:rsidRPr="009A4DCA" w:rsidRDefault="00843E49" w:rsidP="00E76F4F">
            <w:pPr>
              <w:pStyle w:val="TableText0"/>
            </w:pPr>
          </w:p>
        </w:tc>
        <w:tc>
          <w:tcPr>
            <w:tcW w:w="2851" w:type="pct"/>
            <w:tcBorders>
              <w:top w:val="single" w:sz="4" w:space="0" w:color="auto"/>
              <w:bottom w:val="single" w:sz="4" w:space="0" w:color="auto"/>
            </w:tcBorders>
          </w:tcPr>
          <w:p w14:paraId="50D40EB2" w14:textId="77777777" w:rsidR="00843E49" w:rsidRPr="009A4DCA" w:rsidRDefault="00843E49" w:rsidP="00E76F4F">
            <w:pPr>
              <w:pStyle w:val="TableText0"/>
              <w:rPr>
                <w:i/>
              </w:rPr>
            </w:pPr>
            <w:r w:rsidRPr="009A4DCA">
              <w:t xml:space="preserve">Feldman, R.G.; Antonelli-Incalzi, R.; Steenackers, K. et al (for the AReSVi-006 Study Group) Respiratory Syncytial Virus Prefusion F Protein Vaccine Is Efficacious in Older Adults With Underlying Medical Conditions. </w:t>
            </w:r>
          </w:p>
        </w:tc>
        <w:tc>
          <w:tcPr>
            <w:tcW w:w="1457" w:type="pct"/>
            <w:tcBorders>
              <w:top w:val="single" w:sz="4" w:space="0" w:color="auto"/>
              <w:bottom w:val="single" w:sz="4" w:space="0" w:color="auto"/>
            </w:tcBorders>
          </w:tcPr>
          <w:p w14:paraId="7244B1B4" w14:textId="77777777" w:rsidR="00843E49" w:rsidRPr="009A4DCA" w:rsidRDefault="00843E49" w:rsidP="00E76F4F">
            <w:pPr>
              <w:pStyle w:val="TableText0"/>
            </w:pPr>
            <w:r w:rsidRPr="009A4DCA">
              <w:t>Clinical Infectious Diseases 2024; 78(1):202–9.</w:t>
            </w:r>
          </w:p>
        </w:tc>
      </w:tr>
      <w:tr w:rsidR="00843E49" w:rsidRPr="009A4DCA" w14:paraId="36D5DB28" w14:textId="77777777" w:rsidTr="00973287">
        <w:tc>
          <w:tcPr>
            <w:tcW w:w="693" w:type="pct"/>
            <w:tcBorders>
              <w:top w:val="nil"/>
              <w:bottom w:val="single" w:sz="4" w:space="0" w:color="auto"/>
            </w:tcBorders>
          </w:tcPr>
          <w:p w14:paraId="6654BA4A" w14:textId="77777777" w:rsidR="00843E49" w:rsidRPr="009A4DCA" w:rsidRDefault="00843E49" w:rsidP="00E76F4F">
            <w:pPr>
              <w:pStyle w:val="TableText0"/>
            </w:pPr>
          </w:p>
        </w:tc>
        <w:tc>
          <w:tcPr>
            <w:tcW w:w="2851" w:type="pct"/>
            <w:tcBorders>
              <w:top w:val="single" w:sz="4" w:space="0" w:color="auto"/>
              <w:bottom w:val="single" w:sz="4" w:space="0" w:color="auto"/>
            </w:tcBorders>
          </w:tcPr>
          <w:p w14:paraId="5B7B9B5F" w14:textId="77777777" w:rsidR="00843E49" w:rsidRPr="009A4DCA" w:rsidRDefault="00843E49" w:rsidP="00E76F4F">
            <w:pPr>
              <w:pStyle w:val="TableText0"/>
              <w:rPr>
                <w:i/>
              </w:rPr>
            </w:pPr>
            <w:r w:rsidRPr="009A4DCA">
              <w:t xml:space="preserve">Matte, P.; Feldman, R.; Antonelli-Incalzi, R. et al. Efficacy of a respiratory syncytial virus (RSV) prefusion F protein vaccine (RSVPreF3 OA) in older adults with pre-existing medical conditions. </w:t>
            </w:r>
          </w:p>
        </w:tc>
        <w:tc>
          <w:tcPr>
            <w:tcW w:w="1457" w:type="pct"/>
            <w:tcBorders>
              <w:top w:val="single" w:sz="4" w:space="0" w:color="auto"/>
              <w:bottom w:val="single" w:sz="4" w:space="0" w:color="auto"/>
            </w:tcBorders>
          </w:tcPr>
          <w:p w14:paraId="30047A55" w14:textId="77777777" w:rsidR="00843E49" w:rsidRPr="009A4DCA" w:rsidRDefault="00843E49" w:rsidP="00E76F4F">
            <w:pPr>
              <w:pStyle w:val="TableText0"/>
              <w:rPr>
                <w:i/>
              </w:rPr>
            </w:pPr>
            <w:r w:rsidRPr="009A4DCA">
              <w:rPr>
                <w:i/>
              </w:rPr>
              <w:t>Vascular</w:t>
            </w:r>
            <w:r w:rsidRPr="009A4DCA">
              <w:t xml:space="preserve"> Abstracts 2023; S195.</w:t>
            </w:r>
          </w:p>
        </w:tc>
      </w:tr>
      <w:tr w:rsidR="00843E49" w:rsidRPr="009A4DCA" w14:paraId="78E10F20" w14:textId="77777777" w:rsidTr="00973287">
        <w:tc>
          <w:tcPr>
            <w:tcW w:w="693" w:type="pct"/>
            <w:tcBorders>
              <w:top w:val="single" w:sz="4" w:space="0" w:color="auto"/>
              <w:bottom w:val="single" w:sz="4" w:space="0" w:color="auto"/>
            </w:tcBorders>
          </w:tcPr>
          <w:p w14:paraId="454563EC" w14:textId="77777777" w:rsidR="00843E49" w:rsidRPr="009A4DCA" w:rsidRDefault="00843E49" w:rsidP="00E76F4F">
            <w:pPr>
              <w:pStyle w:val="TableText0"/>
              <w:rPr>
                <w:i/>
              </w:rPr>
            </w:pPr>
            <w:r w:rsidRPr="009A4DCA">
              <w:t>ConquerRSV (NCT05127434)</w:t>
            </w:r>
          </w:p>
        </w:tc>
        <w:tc>
          <w:tcPr>
            <w:tcW w:w="2851" w:type="pct"/>
            <w:tcBorders>
              <w:top w:val="single" w:sz="4" w:space="0" w:color="auto"/>
              <w:bottom w:val="single" w:sz="4" w:space="0" w:color="auto"/>
            </w:tcBorders>
          </w:tcPr>
          <w:p w14:paraId="12173F23" w14:textId="77777777" w:rsidR="00843E49" w:rsidRPr="009A4DCA" w:rsidRDefault="00843E49" w:rsidP="00E76F4F">
            <w:pPr>
              <w:pStyle w:val="TableText0"/>
              <w:rPr>
                <w:i/>
              </w:rPr>
            </w:pPr>
            <w:r w:rsidRPr="009A4DCA">
              <w:t xml:space="preserve">Wilson E, Goswami J, Baqui AH, Doreski PA, Perez-Marc G, Zaman K, Monroy J, Duncan CJ, Ujiie M, Rämet M, Pérez-Breva L. Efficacy and safety of an mRNA-based RSV PreF vaccine in older adults. </w:t>
            </w:r>
          </w:p>
        </w:tc>
        <w:tc>
          <w:tcPr>
            <w:tcW w:w="1457" w:type="pct"/>
            <w:tcBorders>
              <w:top w:val="single" w:sz="4" w:space="0" w:color="auto"/>
              <w:bottom w:val="single" w:sz="4" w:space="0" w:color="auto"/>
            </w:tcBorders>
          </w:tcPr>
          <w:p w14:paraId="20DDD27F" w14:textId="77777777" w:rsidR="00843E49" w:rsidRPr="009A4DCA" w:rsidRDefault="00843E49" w:rsidP="00E76F4F">
            <w:pPr>
              <w:pStyle w:val="TableText0"/>
            </w:pPr>
            <w:r w:rsidRPr="009A4DCA">
              <w:t>New England Journal of Medicine. 2023 Dec 14;389(24):2233-44.</w:t>
            </w:r>
          </w:p>
        </w:tc>
      </w:tr>
    </w:tbl>
    <w:p w14:paraId="55B86655" w14:textId="1C7EAAEC" w:rsidR="00843E49" w:rsidRPr="00571B2F" w:rsidRDefault="00843E49" w:rsidP="00843E49">
      <w:pPr>
        <w:pStyle w:val="FooterTableFigure"/>
      </w:pPr>
      <w:r w:rsidRPr="009A4DCA">
        <w:t>Source: Table 2.2.1 p45, Appendix A Table 2.2.1 p8, and Appendix B Table 2.2.1 p8 of the submission</w:t>
      </w:r>
    </w:p>
    <w:p w14:paraId="4B80307F" w14:textId="528164DA" w:rsidR="00843E49" w:rsidRPr="009A4DCA" w:rsidRDefault="00843E49" w:rsidP="00571B2F">
      <w:pPr>
        <w:pStyle w:val="3-BodyText"/>
        <w:numPr>
          <w:ilvl w:val="1"/>
          <w:numId w:val="1"/>
        </w:numPr>
      </w:pPr>
      <w:r w:rsidRPr="009A4DCA">
        <w:t xml:space="preserve">The key features of the included evidence are summarised </w:t>
      </w:r>
      <w:r w:rsidRPr="009A4DCA">
        <w:rPr>
          <w:rFonts w:cstheme="minorHAnsi"/>
          <w:szCs w:val="24"/>
        </w:rPr>
        <w:t>in</w:t>
      </w:r>
      <w:r w:rsidR="00B91912" w:rsidRPr="009A4DCA">
        <w:rPr>
          <w:rFonts w:cstheme="minorHAnsi"/>
          <w:szCs w:val="24"/>
        </w:rPr>
        <w:t xml:space="preserve"> </w:t>
      </w:r>
      <w:r w:rsidR="00B91912" w:rsidRPr="009A4DCA">
        <w:rPr>
          <w:rFonts w:cstheme="minorHAnsi"/>
          <w:szCs w:val="24"/>
        </w:rPr>
        <w:fldChar w:fldCharType="begin"/>
      </w:r>
      <w:r w:rsidR="00B91912" w:rsidRPr="009A4DCA">
        <w:rPr>
          <w:rFonts w:cstheme="minorHAnsi"/>
          <w:szCs w:val="24"/>
        </w:rPr>
        <w:instrText xml:space="preserve"> REF _Ref175578113 \h  \* MERGEFORMAT </w:instrText>
      </w:r>
      <w:r w:rsidR="00B91912" w:rsidRPr="009A4DCA">
        <w:rPr>
          <w:rFonts w:cstheme="minorHAnsi"/>
          <w:szCs w:val="24"/>
        </w:rPr>
      </w:r>
      <w:r w:rsidR="00B91912" w:rsidRPr="009A4DCA">
        <w:rPr>
          <w:rFonts w:cstheme="minorHAnsi"/>
          <w:szCs w:val="24"/>
        </w:rPr>
        <w:fldChar w:fldCharType="separate"/>
      </w:r>
      <w:r w:rsidR="007B2F50" w:rsidRPr="007B2F50">
        <w:rPr>
          <w:rStyle w:val="CommentReference"/>
          <w:rFonts w:asciiTheme="minorHAnsi" w:eastAsiaTheme="majorEastAsia" w:hAnsiTheme="minorHAnsi" w:cstheme="minorHAnsi"/>
          <w:b w:val="0"/>
          <w:bCs/>
          <w:sz w:val="24"/>
          <w:szCs w:val="24"/>
        </w:rPr>
        <w:t>Table</w:t>
      </w:r>
      <w:r w:rsidR="007B2F50" w:rsidRPr="007B2F50">
        <w:rPr>
          <w:rStyle w:val="CommentReference"/>
          <w:rFonts w:asciiTheme="minorHAnsi" w:eastAsiaTheme="majorEastAsia" w:hAnsiTheme="minorHAnsi" w:cstheme="minorHAnsi"/>
          <w:sz w:val="24"/>
          <w:szCs w:val="24"/>
        </w:rPr>
        <w:t xml:space="preserve"> </w:t>
      </w:r>
      <w:r w:rsidR="007B2F50" w:rsidRPr="007B2F50">
        <w:rPr>
          <w:rStyle w:val="CommentReference"/>
          <w:rFonts w:asciiTheme="minorHAnsi" w:eastAsiaTheme="majorEastAsia" w:hAnsiTheme="minorHAnsi" w:cstheme="minorHAnsi"/>
          <w:b w:val="0"/>
          <w:sz w:val="24"/>
          <w:szCs w:val="24"/>
        </w:rPr>
        <w:t>3</w:t>
      </w:r>
      <w:r w:rsidR="00B91912" w:rsidRPr="009A4DCA">
        <w:rPr>
          <w:rFonts w:cstheme="minorHAnsi"/>
          <w:szCs w:val="24"/>
        </w:rPr>
        <w:fldChar w:fldCharType="end"/>
      </w:r>
      <w:r w:rsidRPr="009A4DCA">
        <w:t>. The</w:t>
      </w:r>
      <w:r w:rsidR="007328B6" w:rsidRPr="009A4DCA">
        <w:t xml:space="preserve"> evaluation considered that the</w:t>
      </w:r>
      <w:r w:rsidRPr="009A4DCA">
        <w:t xml:space="preserve"> overall risk of bias for RENOIR and Study 1006 was low. </w:t>
      </w:r>
    </w:p>
    <w:p w14:paraId="0FD15E91" w14:textId="5890030B" w:rsidR="00843E49" w:rsidRPr="009A4DCA" w:rsidRDefault="00843E49" w:rsidP="00A927A1">
      <w:pPr>
        <w:pStyle w:val="Caption"/>
        <w:rPr>
          <w:rStyle w:val="CommentReference"/>
          <w:rFonts w:eastAsiaTheme="majorEastAsia" w:cstheme="majorBidi"/>
          <w:b/>
          <w:szCs w:val="24"/>
        </w:rPr>
      </w:pPr>
      <w:bookmarkStart w:id="29" w:name="_Ref175578113"/>
      <w:r w:rsidRPr="009A4DCA">
        <w:rPr>
          <w:rStyle w:val="CommentReference"/>
          <w:rFonts w:eastAsiaTheme="majorEastAsia" w:cstheme="majorBidi"/>
          <w:b/>
          <w:szCs w:val="24"/>
        </w:rPr>
        <w:lastRenderedPageBreak/>
        <w:t xml:space="preserve">Table </w:t>
      </w:r>
      <w:r w:rsidR="00997319" w:rsidRPr="009A4DCA">
        <w:rPr>
          <w:rStyle w:val="CommentReference"/>
          <w:rFonts w:eastAsiaTheme="majorEastAsia" w:cstheme="majorBidi"/>
          <w:b/>
          <w:szCs w:val="24"/>
        </w:rPr>
        <w:fldChar w:fldCharType="begin"/>
      </w:r>
      <w:r w:rsidR="00997319" w:rsidRPr="009A4DCA">
        <w:rPr>
          <w:rStyle w:val="CommentReference"/>
          <w:rFonts w:eastAsiaTheme="majorEastAsia" w:cstheme="majorBidi"/>
          <w:b/>
          <w:szCs w:val="24"/>
        </w:rPr>
        <w:instrText xml:space="preserve"> SEQ Table \* ARABIC </w:instrText>
      </w:r>
      <w:r w:rsidR="00997319" w:rsidRPr="009A4DCA">
        <w:rPr>
          <w:rStyle w:val="CommentReference"/>
          <w:rFonts w:eastAsiaTheme="majorEastAsia" w:cstheme="majorBidi"/>
          <w:b/>
          <w:szCs w:val="24"/>
        </w:rPr>
        <w:fldChar w:fldCharType="separate"/>
      </w:r>
      <w:r w:rsidR="007B2F50">
        <w:rPr>
          <w:rStyle w:val="CommentReference"/>
          <w:rFonts w:eastAsiaTheme="majorEastAsia" w:cstheme="majorBidi"/>
          <w:b/>
          <w:noProof/>
          <w:szCs w:val="24"/>
        </w:rPr>
        <w:t>3</w:t>
      </w:r>
      <w:r w:rsidR="00997319" w:rsidRPr="009A4DCA">
        <w:rPr>
          <w:rStyle w:val="CommentReference"/>
          <w:rFonts w:eastAsiaTheme="majorEastAsia" w:cstheme="majorBidi"/>
          <w:b/>
          <w:szCs w:val="24"/>
        </w:rPr>
        <w:fldChar w:fldCharType="end"/>
      </w:r>
      <w:bookmarkEnd w:id="29"/>
      <w:r w:rsidRPr="009A4DCA">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9"/>
        <w:gridCol w:w="702"/>
        <w:gridCol w:w="1305"/>
        <w:gridCol w:w="559"/>
        <w:gridCol w:w="996"/>
        <w:gridCol w:w="3395"/>
        <w:gridCol w:w="1221"/>
      </w:tblGrid>
      <w:tr w:rsidR="00843E49" w:rsidRPr="009A4DCA" w14:paraId="09215399" w14:textId="77777777" w:rsidTr="00E26044">
        <w:trPr>
          <w:cantSplit/>
          <w:tblHeader/>
        </w:trPr>
        <w:tc>
          <w:tcPr>
            <w:tcW w:w="468" w:type="pct"/>
            <w:shd w:val="clear" w:color="auto" w:fill="auto"/>
            <w:vAlign w:val="center"/>
          </w:tcPr>
          <w:p w14:paraId="6E259FC3" w14:textId="77777777" w:rsidR="00843E49" w:rsidRPr="009A4DCA" w:rsidRDefault="00843E49" w:rsidP="00A927A1">
            <w:pPr>
              <w:pStyle w:val="In-tableHeading"/>
              <w:rPr>
                <w:lang w:val="en-AU"/>
              </w:rPr>
            </w:pPr>
            <w:r w:rsidRPr="009A4DCA">
              <w:rPr>
                <w:lang w:val="en-AU"/>
              </w:rPr>
              <w:t>Trial</w:t>
            </w:r>
          </w:p>
        </w:tc>
        <w:tc>
          <w:tcPr>
            <w:tcW w:w="392" w:type="pct"/>
            <w:shd w:val="clear" w:color="auto" w:fill="auto"/>
            <w:vAlign w:val="center"/>
          </w:tcPr>
          <w:p w14:paraId="346EF9CC" w14:textId="77777777" w:rsidR="00843E49" w:rsidRPr="009A4DCA" w:rsidRDefault="00843E49" w:rsidP="00A927A1">
            <w:pPr>
              <w:pStyle w:val="In-tableHeading"/>
              <w:rPr>
                <w:lang w:val="en-AU"/>
              </w:rPr>
            </w:pPr>
            <w:r w:rsidRPr="009A4DCA">
              <w:rPr>
                <w:lang w:val="en-AU"/>
              </w:rPr>
              <w:t>N</w:t>
            </w:r>
          </w:p>
        </w:tc>
        <w:tc>
          <w:tcPr>
            <w:tcW w:w="708" w:type="pct"/>
            <w:shd w:val="clear" w:color="auto" w:fill="auto"/>
            <w:vAlign w:val="center"/>
          </w:tcPr>
          <w:p w14:paraId="2071C7A0" w14:textId="55CB0314" w:rsidR="00843E49" w:rsidRPr="009A4DCA" w:rsidRDefault="00843E49" w:rsidP="00A927A1">
            <w:pPr>
              <w:pStyle w:val="In-tableHeading"/>
              <w:rPr>
                <w:lang w:val="en-AU"/>
              </w:rPr>
            </w:pPr>
            <w:r w:rsidRPr="009A4DCA">
              <w:rPr>
                <w:lang w:val="en-AU"/>
              </w:rPr>
              <w:t>Design/duration</w:t>
            </w:r>
          </w:p>
        </w:tc>
        <w:tc>
          <w:tcPr>
            <w:tcW w:w="313" w:type="pct"/>
            <w:shd w:val="clear" w:color="auto" w:fill="auto"/>
            <w:vAlign w:val="center"/>
          </w:tcPr>
          <w:p w14:paraId="480407A9" w14:textId="77777777" w:rsidR="00843E49" w:rsidRPr="009A4DCA" w:rsidRDefault="00843E49" w:rsidP="00A927A1">
            <w:pPr>
              <w:pStyle w:val="In-tableHeading"/>
              <w:rPr>
                <w:lang w:val="en-AU"/>
              </w:rPr>
            </w:pPr>
            <w:r w:rsidRPr="009A4DCA">
              <w:rPr>
                <w:lang w:val="en-AU"/>
              </w:rPr>
              <w:t xml:space="preserve">Risk </w:t>
            </w:r>
            <w:r w:rsidRPr="009A4DCA">
              <w:rPr>
                <w:lang w:val="en-AU"/>
              </w:rPr>
              <w:br/>
              <w:t>of bias</w:t>
            </w:r>
          </w:p>
        </w:tc>
        <w:tc>
          <w:tcPr>
            <w:tcW w:w="555" w:type="pct"/>
            <w:shd w:val="clear" w:color="auto" w:fill="auto"/>
            <w:vAlign w:val="center"/>
          </w:tcPr>
          <w:p w14:paraId="5DA6C39F" w14:textId="77777777" w:rsidR="00843E49" w:rsidRPr="009A4DCA" w:rsidRDefault="00843E49" w:rsidP="00A927A1">
            <w:pPr>
              <w:pStyle w:val="In-tableHeading"/>
              <w:rPr>
                <w:lang w:val="en-AU"/>
              </w:rPr>
            </w:pPr>
            <w:r w:rsidRPr="009A4DCA">
              <w:rPr>
                <w:lang w:val="en-AU"/>
              </w:rPr>
              <w:t>Patient population</w:t>
            </w:r>
          </w:p>
        </w:tc>
        <w:tc>
          <w:tcPr>
            <w:tcW w:w="1885" w:type="pct"/>
            <w:shd w:val="clear" w:color="auto" w:fill="auto"/>
            <w:vAlign w:val="center"/>
          </w:tcPr>
          <w:p w14:paraId="61AB93CF" w14:textId="77777777" w:rsidR="00843E49" w:rsidRPr="009A4DCA" w:rsidRDefault="00843E49" w:rsidP="00A927A1">
            <w:pPr>
              <w:pStyle w:val="In-tableHeading"/>
              <w:rPr>
                <w:lang w:val="en-AU"/>
              </w:rPr>
            </w:pPr>
            <w:r w:rsidRPr="009A4DCA">
              <w:rPr>
                <w:lang w:val="en-AU"/>
              </w:rPr>
              <w:t>Outcomes</w:t>
            </w:r>
          </w:p>
        </w:tc>
        <w:tc>
          <w:tcPr>
            <w:tcW w:w="679" w:type="pct"/>
            <w:shd w:val="clear" w:color="auto" w:fill="auto"/>
            <w:vAlign w:val="center"/>
          </w:tcPr>
          <w:p w14:paraId="0E525F5E" w14:textId="77777777" w:rsidR="00843E49" w:rsidRPr="009A4DCA" w:rsidRDefault="00843E49" w:rsidP="00A927A1">
            <w:pPr>
              <w:pStyle w:val="In-tableHeading"/>
              <w:rPr>
                <w:lang w:val="en-AU"/>
              </w:rPr>
            </w:pPr>
            <w:r w:rsidRPr="009A4DCA">
              <w:rPr>
                <w:lang w:val="en-AU"/>
              </w:rPr>
              <w:t>Use in modelled evaluation</w:t>
            </w:r>
          </w:p>
        </w:tc>
      </w:tr>
      <w:tr w:rsidR="00843E49" w:rsidRPr="009A4DCA" w14:paraId="71804E54" w14:textId="77777777" w:rsidTr="00973287">
        <w:trPr>
          <w:cantSplit/>
        </w:trPr>
        <w:tc>
          <w:tcPr>
            <w:tcW w:w="5000" w:type="pct"/>
            <w:gridSpan w:val="7"/>
            <w:shd w:val="clear" w:color="auto" w:fill="auto"/>
            <w:vAlign w:val="center"/>
          </w:tcPr>
          <w:p w14:paraId="5E90BBC5" w14:textId="77777777" w:rsidR="00843E49" w:rsidRPr="009A4DCA" w:rsidRDefault="00843E49" w:rsidP="00E76F4F">
            <w:pPr>
              <w:pStyle w:val="TableText0"/>
              <w:rPr>
                <w:i/>
              </w:rPr>
            </w:pPr>
            <w:r w:rsidRPr="009A4DCA">
              <w:t>RSVpreF vs. placebo</w:t>
            </w:r>
          </w:p>
        </w:tc>
      </w:tr>
      <w:tr w:rsidR="00843E49" w:rsidRPr="009A4DCA" w14:paraId="38122075" w14:textId="77777777" w:rsidTr="00E26044">
        <w:trPr>
          <w:cantSplit/>
        </w:trPr>
        <w:tc>
          <w:tcPr>
            <w:tcW w:w="468" w:type="pct"/>
            <w:shd w:val="clear" w:color="auto" w:fill="auto"/>
            <w:vAlign w:val="center"/>
          </w:tcPr>
          <w:p w14:paraId="6249DD95" w14:textId="77777777" w:rsidR="00843E49" w:rsidRPr="009A4DCA" w:rsidRDefault="00843E49" w:rsidP="00E76F4F">
            <w:pPr>
              <w:pStyle w:val="TableText0"/>
              <w:rPr>
                <w:i/>
              </w:rPr>
            </w:pPr>
            <w:r w:rsidRPr="009A4DCA">
              <w:t>RENOIR</w:t>
            </w:r>
          </w:p>
        </w:tc>
        <w:tc>
          <w:tcPr>
            <w:tcW w:w="392" w:type="pct"/>
            <w:shd w:val="clear" w:color="auto" w:fill="auto"/>
            <w:vAlign w:val="center"/>
          </w:tcPr>
          <w:p w14:paraId="46C67AB7" w14:textId="77777777" w:rsidR="00843E49" w:rsidRPr="009A4DCA" w:rsidRDefault="00843E49" w:rsidP="00E76F4F">
            <w:pPr>
              <w:pStyle w:val="TableText0"/>
              <w:rPr>
                <w:i/>
              </w:rPr>
            </w:pPr>
            <w:r w:rsidRPr="009A4DCA">
              <w:t>34,383</w:t>
            </w:r>
            <w:r w:rsidRPr="009A4DCA">
              <w:rPr>
                <w:vertAlign w:val="superscript"/>
              </w:rPr>
              <w:t>a</w:t>
            </w:r>
          </w:p>
        </w:tc>
        <w:tc>
          <w:tcPr>
            <w:tcW w:w="708" w:type="pct"/>
            <w:shd w:val="clear" w:color="auto" w:fill="auto"/>
            <w:vAlign w:val="center"/>
          </w:tcPr>
          <w:p w14:paraId="475E934D" w14:textId="4368F5D9" w:rsidR="00843E49" w:rsidRPr="009A4DCA" w:rsidRDefault="00B726E0" w:rsidP="00E76F4F">
            <w:pPr>
              <w:pStyle w:val="TableText0"/>
              <w:rPr>
                <w:i/>
              </w:rPr>
            </w:pPr>
            <w:r w:rsidRPr="009A4DCA">
              <w:t xml:space="preserve">Phase 3, </w:t>
            </w:r>
            <w:r w:rsidR="00843E49" w:rsidRPr="009A4DCA">
              <w:t xml:space="preserve">R, DB, MC, PC. </w:t>
            </w:r>
          </w:p>
          <w:p w14:paraId="1245BC21" w14:textId="77777777" w:rsidR="00843E49" w:rsidRPr="009A4DCA" w:rsidRDefault="00843E49" w:rsidP="00E76F4F">
            <w:pPr>
              <w:pStyle w:val="TableText0"/>
            </w:pPr>
          </w:p>
          <w:p w14:paraId="184EF896" w14:textId="77777777" w:rsidR="00843E49" w:rsidRPr="009A4DCA" w:rsidRDefault="00843E49" w:rsidP="00E76F4F">
            <w:pPr>
              <w:pStyle w:val="TableText0"/>
              <w:rPr>
                <w:i/>
              </w:rPr>
            </w:pPr>
            <w:r w:rsidRPr="009A4DCA">
              <w:t>Single dose of RSVpreF</w:t>
            </w:r>
          </w:p>
          <w:p w14:paraId="28A3479E" w14:textId="77777777" w:rsidR="00843E49" w:rsidRPr="009A4DCA" w:rsidRDefault="00843E49" w:rsidP="00E76F4F">
            <w:pPr>
              <w:pStyle w:val="TableText0"/>
            </w:pPr>
          </w:p>
          <w:p w14:paraId="1AFF49EC" w14:textId="49AF167C" w:rsidR="00843E49" w:rsidRPr="009A4DCA" w:rsidRDefault="00843E49" w:rsidP="00E76F4F">
            <w:pPr>
              <w:pStyle w:val="TableText0"/>
              <w:rPr>
                <w:i/>
              </w:rPr>
            </w:pPr>
            <w:r w:rsidRPr="009A4DCA">
              <w:t xml:space="preserve">ARI surveillance: </w:t>
            </w:r>
            <w:r w:rsidR="00CC263C" w:rsidRPr="009A4DCA">
              <w:br/>
            </w:r>
            <w:r w:rsidRPr="009A4DCA">
              <w:t>16.4 months</w:t>
            </w:r>
            <w:r w:rsidRPr="009A4DCA">
              <w:rPr>
                <w:vertAlign w:val="superscript"/>
              </w:rPr>
              <w:t>b</w:t>
            </w:r>
            <w:r w:rsidR="009A1648" w:rsidRPr="009A4DCA">
              <w:rPr>
                <w:vertAlign w:val="superscript"/>
              </w:rPr>
              <w:t>, c</w:t>
            </w:r>
          </w:p>
        </w:tc>
        <w:tc>
          <w:tcPr>
            <w:tcW w:w="313" w:type="pct"/>
            <w:shd w:val="clear" w:color="auto" w:fill="auto"/>
            <w:vAlign w:val="center"/>
          </w:tcPr>
          <w:p w14:paraId="4EC3AE30" w14:textId="77777777" w:rsidR="00843E49" w:rsidRPr="009A4DCA" w:rsidRDefault="00843E49" w:rsidP="00E76F4F">
            <w:pPr>
              <w:pStyle w:val="TableText0"/>
              <w:rPr>
                <w:i/>
              </w:rPr>
            </w:pPr>
            <w:r w:rsidRPr="009A4DCA">
              <w:t>Low</w:t>
            </w:r>
          </w:p>
        </w:tc>
        <w:tc>
          <w:tcPr>
            <w:tcW w:w="555" w:type="pct"/>
            <w:shd w:val="clear" w:color="auto" w:fill="auto"/>
            <w:vAlign w:val="center"/>
          </w:tcPr>
          <w:p w14:paraId="43FE3DE8" w14:textId="77777777" w:rsidR="00843E49" w:rsidRPr="009A4DCA" w:rsidRDefault="00843E49" w:rsidP="00E76F4F">
            <w:pPr>
              <w:pStyle w:val="TableText0"/>
              <w:rPr>
                <w:i/>
              </w:rPr>
            </w:pPr>
            <w:r w:rsidRPr="009A4DCA">
              <w:t>Adults aged ≥ 60 years</w:t>
            </w:r>
          </w:p>
        </w:tc>
        <w:tc>
          <w:tcPr>
            <w:tcW w:w="1885" w:type="pct"/>
            <w:shd w:val="clear" w:color="auto" w:fill="auto"/>
            <w:vAlign w:val="center"/>
          </w:tcPr>
          <w:p w14:paraId="0B99B84A" w14:textId="79C1CBF7" w:rsidR="00843E49" w:rsidRPr="009A4DCA" w:rsidRDefault="00843E49" w:rsidP="00E76F4F">
            <w:pPr>
              <w:pStyle w:val="TableText0"/>
              <w:rPr>
                <w:i/>
              </w:rPr>
            </w:pPr>
            <w:r w:rsidRPr="009A4DCA">
              <w:t>Primary</w:t>
            </w:r>
            <w:r w:rsidR="0005558A" w:rsidRPr="009A4DCA">
              <w:t xml:space="preserve"> outcomes:</w:t>
            </w:r>
          </w:p>
          <w:p w14:paraId="233F9B8B" w14:textId="5FF2166C" w:rsidR="00843E49" w:rsidRPr="009A4DCA" w:rsidRDefault="00843E49" w:rsidP="00E76F4F">
            <w:pPr>
              <w:pStyle w:val="TableText0"/>
              <w:rPr>
                <w:i/>
              </w:rPr>
            </w:pPr>
            <w:r w:rsidRPr="009A4DCA">
              <w:t xml:space="preserve">VE </w:t>
            </w:r>
            <w:r w:rsidR="0070475B" w:rsidRPr="009A4DCA">
              <w:t>categorised by</w:t>
            </w:r>
            <w:r w:rsidRPr="009A4DCA">
              <w:t xml:space="preserve">: </w:t>
            </w:r>
          </w:p>
          <w:p w14:paraId="5A3EE0DC" w14:textId="77777777" w:rsidR="00843E49" w:rsidRPr="009A4DCA" w:rsidRDefault="00843E49" w:rsidP="00E76F4F">
            <w:pPr>
              <w:pStyle w:val="TableText0"/>
              <w:numPr>
                <w:ilvl w:val="0"/>
                <w:numId w:val="12"/>
              </w:numPr>
              <w:rPr>
                <w:i/>
              </w:rPr>
            </w:pPr>
            <w:r w:rsidRPr="009A4DCA">
              <w:t>RSV-LRTI with ≥ 2 signs or symptoms</w:t>
            </w:r>
          </w:p>
          <w:p w14:paraId="39454F0F" w14:textId="77777777" w:rsidR="00843E49" w:rsidRPr="009A4DCA" w:rsidRDefault="00843E49" w:rsidP="00E76F4F">
            <w:pPr>
              <w:pStyle w:val="TableText0"/>
              <w:numPr>
                <w:ilvl w:val="0"/>
                <w:numId w:val="12"/>
              </w:numPr>
              <w:rPr>
                <w:i/>
              </w:rPr>
            </w:pPr>
            <w:r w:rsidRPr="009A4DCA">
              <w:t xml:space="preserve">RSV-LRTI with ≥ 3 signs or symptoms </w:t>
            </w:r>
          </w:p>
          <w:p w14:paraId="32F6C4F2" w14:textId="7C526123" w:rsidR="00843E49" w:rsidRPr="009A4DCA" w:rsidRDefault="00843E49" w:rsidP="00E76F4F">
            <w:pPr>
              <w:pStyle w:val="TableText0"/>
              <w:rPr>
                <w:i/>
              </w:rPr>
            </w:pPr>
            <w:r w:rsidRPr="009A4DCA">
              <w:t>Secondary</w:t>
            </w:r>
            <w:r w:rsidR="0005558A" w:rsidRPr="009A4DCA">
              <w:t xml:space="preserve"> outcomes</w:t>
            </w:r>
            <w:r w:rsidRPr="009A4DCA">
              <w:t>:</w:t>
            </w:r>
          </w:p>
          <w:p w14:paraId="3FEE513B" w14:textId="77777777" w:rsidR="00843E49" w:rsidRPr="009A4DCA" w:rsidRDefault="00843E49" w:rsidP="00E76F4F">
            <w:pPr>
              <w:pStyle w:val="TableText0"/>
              <w:numPr>
                <w:ilvl w:val="0"/>
                <w:numId w:val="12"/>
              </w:numPr>
            </w:pPr>
            <w:r w:rsidRPr="009A4DCA">
              <w:t>VE against RSV-ARI</w:t>
            </w:r>
          </w:p>
          <w:p w14:paraId="34AF0BB1" w14:textId="77777777" w:rsidR="00843E49" w:rsidRPr="009A4DCA" w:rsidRDefault="00843E49" w:rsidP="00E76F4F">
            <w:pPr>
              <w:pStyle w:val="TableText0"/>
              <w:numPr>
                <w:ilvl w:val="0"/>
                <w:numId w:val="12"/>
              </w:numPr>
            </w:pPr>
            <w:r w:rsidRPr="009A4DCA">
              <w:t>VE against sRSV-LRTI</w:t>
            </w:r>
          </w:p>
          <w:p w14:paraId="3A60552D" w14:textId="77777777" w:rsidR="00843E49" w:rsidRPr="009A4DCA" w:rsidRDefault="00843E49" w:rsidP="00E76F4F">
            <w:pPr>
              <w:pStyle w:val="TableText0"/>
              <w:numPr>
                <w:ilvl w:val="0"/>
                <w:numId w:val="12"/>
              </w:numPr>
            </w:pPr>
            <w:r w:rsidRPr="009A4DCA">
              <w:t>Immunogenicity</w:t>
            </w:r>
          </w:p>
          <w:p w14:paraId="1CB06AF4" w14:textId="77777777" w:rsidR="00843E49" w:rsidRPr="009A4DCA" w:rsidRDefault="00843E49" w:rsidP="00E76F4F">
            <w:pPr>
              <w:pStyle w:val="TableText0"/>
              <w:rPr>
                <w:i/>
              </w:rPr>
            </w:pPr>
            <w:r w:rsidRPr="009A4DCA">
              <w:t xml:space="preserve">Exploratory outcomes: </w:t>
            </w:r>
          </w:p>
          <w:p w14:paraId="3703D0AF" w14:textId="77777777" w:rsidR="00843E49" w:rsidRPr="009A4DCA" w:rsidRDefault="00843E49" w:rsidP="00E76F4F">
            <w:pPr>
              <w:pStyle w:val="TableText0"/>
              <w:rPr>
                <w:i/>
              </w:rPr>
            </w:pPr>
            <w:r w:rsidRPr="009A4DCA">
              <w:t xml:space="preserve">VE against medically-attended cases of: </w:t>
            </w:r>
          </w:p>
          <w:p w14:paraId="28698C56" w14:textId="77777777" w:rsidR="00843E49" w:rsidRPr="009A4DCA" w:rsidRDefault="00843E49" w:rsidP="00E76F4F">
            <w:pPr>
              <w:pStyle w:val="TableText0"/>
              <w:numPr>
                <w:ilvl w:val="0"/>
                <w:numId w:val="12"/>
              </w:numPr>
            </w:pPr>
            <w:r w:rsidRPr="009A4DCA">
              <w:t>RSV-LRTI with ≥ 2 signs or symptoms</w:t>
            </w:r>
          </w:p>
          <w:p w14:paraId="74399302" w14:textId="77777777" w:rsidR="00843E49" w:rsidRPr="009A4DCA" w:rsidRDefault="00843E49" w:rsidP="00E76F4F">
            <w:pPr>
              <w:pStyle w:val="TableText0"/>
              <w:numPr>
                <w:ilvl w:val="0"/>
                <w:numId w:val="12"/>
              </w:numPr>
            </w:pPr>
            <w:r w:rsidRPr="009A4DCA">
              <w:t xml:space="preserve">RSV-LRTI with ≥ 3 signs or symptoms </w:t>
            </w:r>
          </w:p>
          <w:p w14:paraId="5FC9B6C6" w14:textId="77777777" w:rsidR="00843E49" w:rsidRPr="009A4DCA" w:rsidRDefault="00843E49" w:rsidP="00E76F4F">
            <w:pPr>
              <w:pStyle w:val="TableText0"/>
              <w:numPr>
                <w:ilvl w:val="0"/>
                <w:numId w:val="12"/>
              </w:numPr>
              <w:rPr>
                <w:i/>
              </w:rPr>
            </w:pPr>
            <w:r w:rsidRPr="009A4DCA">
              <w:t>RSV-ARI</w:t>
            </w:r>
          </w:p>
        </w:tc>
        <w:tc>
          <w:tcPr>
            <w:tcW w:w="679" w:type="pct"/>
            <w:shd w:val="clear" w:color="auto" w:fill="auto"/>
            <w:vAlign w:val="center"/>
          </w:tcPr>
          <w:p w14:paraId="5875BE4B" w14:textId="77777777" w:rsidR="00843E49" w:rsidRPr="009A4DCA" w:rsidRDefault="00843E49" w:rsidP="00E76F4F">
            <w:pPr>
              <w:pStyle w:val="TableText0"/>
              <w:rPr>
                <w:i/>
              </w:rPr>
            </w:pPr>
            <w:r w:rsidRPr="009A4DCA">
              <w:t>Exploratory outcomes for medically-attended cases were used to inform economic modelling.</w:t>
            </w:r>
          </w:p>
        </w:tc>
      </w:tr>
      <w:tr w:rsidR="00843E49" w:rsidRPr="009A4DCA" w14:paraId="6E26D7CC" w14:textId="77777777" w:rsidTr="00E26044">
        <w:trPr>
          <w:cantSplit/>
        </w:trPr>
        <w:tc>
          <w:tcPr>
            <w:tcW w:w="468" w:type="pct"/>
            <w:shd w:val="clear" w:color="auto" w:fill="auto"/>
            <w:vAlign w:val="center"/>
          </w:tcPr>
          <w:p w14:paraId="2A7400D9" w14:textId="77777777" w:rsidR="00843E49" w:rsidRPr="009A4DCA" w:rsidRDefault="00843E49" w:rsidP="00E76F4F">
            <w:pPr>
              <w:pStyle w:val="TableText0"/>
              <w:rPr>
                <w:i/>
              </w:rPr>
            </w:pPr>
            <w:r w:rsidRPr="009A4DCA">
              <w:t>Study 1006</w:t>
            </w:r>
          </w:p>
        </w:tc>
        <w:tc>
          <w:tcPr>
            <w:tcW w:w="392" w:type="pct"/>
            <w:shd w:val="clear" w:color="auto" w:fill="auto"/>
            <w:vAlign w:val="center"/>
          </w:tcPr>
          <w:p w14:paraId="3F513E3A" w14:textId="77777777" w:rsidR="00843E49" w:rsidRPr="009A4DCA" w:rsidRDefault="00843E49" w:rsidP="00E76F4F">
            <w:pPr>
              <w:pStyle w:val="TableText0"/>
              <w:rPr>
                <w:i/>
              </w:rPr>
            </w:pPr>
            <w:r w:rsidRPr="009A4DCA">
              <w:t>1,403</w:t>
            </w:r>
          </w:p>
        </w:tc>
        <w:tc>
          <w:tcPr>
            <w:tcW w:w="708" w:type="pct"/>
            <w:shd w:val="clear" w:color="auto" w:fill="auto"/>
            <w:vAlign w:val="center"/>
          </w:tcPr>
          <w:p w14:paraId="59A1A530" w14:textId="7953B64F" w:rsidR="00B726E0" w:rsidRPr="009A4DCA" w:rsidRDefault="005D4650" w:rsidP="00E76F4F">
            <w:pPr>
              <w:pStyle w:val="TableText0"/>
            </w:pPr>
            <w:r w:rsidRPr="009A4DCA">
              <w:t xml:space="preserve">Phase </w:t>
            </w:r>
            <w:r w:rsidR="00D063CF" w:rsidRPr="009A4DCA">
              <w:t>3</w:t>
            </w:r>
            <w:r w:rsidRPr="009A4DCA">
              <w:t xml:space="preserve"> </w:t>
            </w:r>
          </w:p>
          <w:p w14:paraId="2ACD1628" w14:textId="6D802B08" w:rsidR="00843E49" w:rsidRPr="009A4DCA" w:rsidRDefault="00843E49" w:rsidP="00E76F4F">
            <w:pPr>
              <w:pStyle w:val="TableText0"/>
              <w:rPr>
                <w:i/>
              </w:rPr>
            </w:pPr>
            <w:r w:rsidRPr="009A4DCA">
              <w:t>R, MC, DB</w:t>
            </w:r>
            <w:r w:rsidR="00F67C64" w:rsidRPr="009A4DCA">
              <w:t xml:space="preserve">, </w:t>
            </w:r>
            <w:r w:rsidR="00F75BDD" w:rsidRPr="009A4DCA">
              <w:t xml:space="preserve">PC, </w:t>
            </w:r>
            <w:r w:rsidR="00F67C64" w:rsidRPr="009A4DCA">
              <w:t>conducted in Australia</w:t>
            </w:r>
            <w:r w:rsidRPr="009A4DCA">
              <w:t xml:space="preserve"> </w:t>
            </w:r>
          </w:p>
          <w:p w14:paraId="18D7C344" w14:textId="71F824B6" w:rsidR="00843E49" w:rsidRPr="009A4DCA" w:rsidRDefault="00843E49" w:rsidP="00E76F4F">
            <w:pPr>
              <w:pStyle w:val="TableText0"/>
            </w:pPr>
          </w:p>
          <w:p w14:paraId="286ACD2A" w14:textId="1C976233" w:rsidR="00843E49" w:rsidRPr="009A4DCA" w:rsidRDefault="00843E49" w:rsidP="00E76F4F">
            <w:pPr>
              <w:pStyle w:val="TableText0"/>
              <w:rPr>
                <w:i/>
              </w:rPr>
            </w:pPr>
            <w:r w:rsidRPr="009A4DCA">
              <w:t>Single dose</w:t>
            </w:r>
            <w:r w:rsidR="00AD2B77" w:rsidRPr="009A4DCA">
              <w:t>s</w:t>
            </w:r>
            <w:r w:rsidRPr="009A4DCA">
              <w:t xml:space="preserve"> of RSVpreF</w:t>
            </w:r>
            <w:r w:rsidR="00EF7909" w:rsidRPr="009A4DCA">
              <w:t xml:space="preserve"> and SIIV</w:t>
            </w:r>
            <w:r w:rsidR="00BD0CEA" w:rsidRPr="009A4DCA">
              <w:t>.</w:t>
            </w:r>
            <w:r w:rsidR="00EF7909" w:rsidRPr="009A4DCA">
              <w:t xml:space="preserve"> </w:t>
            </w:r>
            <w:r w:rsidR="00AD2B77" w:rsidRPr="009A4DCA">
              <w:br/>
            </w:r>
            <w:r w:rsidR="00BD0CEA" w:rsidRPr="009A4DCA">
              <w:t>Co-</w:t>
            </w:r>
            <w:r w:rsidR="00AD2B77" w:rsidRPr="009A4DCA">
              <w:t>administration</w:t>
            </w:r>
            <w:r w:rsidR="00BD0CEA" w:rsidRPr="009A4DCA">
              <w:t xml:space="preserve"> ver</w:t>
            </w:r>
            <w:r w:rsidR="00AD2B77" w:rsidRPr="009A4DCA">
              <w:t>sus</w:t>
            </w:r>
            <w:r w:rsidR="00EF7909" w:rsidRPr="009A4DCA">
              <w:t xml:space="preserve"> sequential administration. </w:t>
            </w:r>
          </w:p>
          <w:p w14:paraId="244D8659" w14:textId="77777777" w:rsidR="00843E49" w:rsidRPr="009A4DCA" w:rsidRDefault="00843E49" w:rsidP="00E76F4F">
            <w:pPr>
              <w:pStyle w:val="TableText0"/>
            </w:pPr>
          </w:p>
          <w:p w14:paraId="4D27BFC0" w14:textId="77777777" w:rsidR="00843E49" w:rsidRPr="009A4DCA" w:rsidRDefault="00843E49" w:rsidP="00E76F4F">
            <w:pPr>
              <w:pStyle w:val="TableText0"/>
              <w:rPr>
                <w:i/>
              </w:rPr>
            </w:pPr>
            <w:r w:rsidRPr="009A4DCA">
              <w:t>2 months</w:t>
            </w:r>
          </w:p>
        </w:tc>
        <w:tc>
          <w:tcPr>
            <w:tcW w:w="313" w:type="pct"/>
            <w:shd w:val="clear" w:color="auto" w:fill="auto"/>
            <w:vAlign w:val="center"/>
          </w:tcPr>
          <w:p w14:paraId="08F4042B" w14:textId="77777777" w:rsidR="00843E49" w:rsidRPr="009A4DCA" w:rsidRDefault="00843E49" w:rsidP="00E76F4F">
            <w:pPr>
              <w:pStyle w:val="TableText0"/>
              <w:rPr>
                <w:i/>
              </w:rPr>
            </w:pPr>
            <w:r w:rsidRPr="009A4DCA">
              <w:t>Low</w:t>
            </w:r>
          </w:p>
        </w:tc>
        <w:tc>
          <w:tcPr>
            <w:tcW w:w="555" w:type="pct"/>
            <w:shd w:val="clear" w:color="auto" w:fill="auto"/>
            <w:vAlign w:val="center"/>
          </w:tcPr>
          <w:p w14:paraId="145089D1" w14:textId="77777777" w:rsidR="00843E49" w:rsidRPr="009A4DCA" w:rsidRDefault="00843E49" w:rsidP="00E76F4F">
            <w:pPr>
              <w:pStyle w:val="TableText0"/>
              <w:rPr>
                <w:i/>
              </w:rPr>
            </w:pPr>
            <w:r w:rsidRPr="009A4DCA">
              <w:t>Adults aged ≥ 65 years</w:t>
            </w:r>
          </w:p>
        </w:tc>
        <w:tc>
          <w:tcPr>
            <w:tcW w:w="1885" w:type="pct"/>
            <w:shd w:val="clear" w:color="auto" w:fill="auto"/>
            <w:vAlign w:val="center"/>
          </w:tcPr>
          <w:p w14:paraId="70C3C022" w14:textId="77777777" w:rsidR="00843E49" w:rsidRPr="009A4DCA" w:rsidRDefault="00843E49" w:rsidP="00E76F4F">
            <w:pPr>
              <w:pStyle w:val="TableText0"/>
              <w:rPr>
                <w:i/>
              </w:rPr>
            </w:pPr>
            <w:r w:rsidRPr="009A4DCA">
              <w:t>Immunogenicity and safety</w:t>
            </w:r>
          </w:p>
        </w:tc>
        <w:tc>
          <w:tcPr>
            <w:tcW w:w="679" w:type="pct"/>
            <w:shd w:val="clear" w:color="auto" w:fill="auto"/>
            <w:vAlign w:val="center"/>
          </w:tcPr>
          <w:p w14:paraId="20AED4CF" w14:textId="77777777" w:rsidR="00843E49" w:rsidRPr="009A4DCA" w:rsidRDefault="00843E49" w:rsidP="00E76F4F">
            <w:pPr>
              <w:pStyle w:val="TableText0"/>
              <w:rPr>
                <w:i/>
              </w:rPr>
            </w:pPr>
            <w:r w:rsidRPr="009A4DCA">
              <w:t>Not used</w:t>
            </w:r>
          </w:p>
        </w:tc>
        <w:bookmarkStart w:id="30" w:name="_Toc22897641"/>
      </w:tr>
    </w:tbl>
    <w:p w14:paraId="63319BB4" w14:textId="77777777" w:rsidR="00843E49" w:rsidRPr="009A4DCA" w:rsidRDefault="00843E49" w:rsidP="009B2E6E">
      <w:pPr>
        <w:pStyle w:val="FooterTableFigure"/>
        <w:keepNext/>
        <w:keepLines/>
      </w:pPr>
      <w:r w:rsidRPr="009A4DCA">
        <w:t>Source: Compiled during the evaluation.</w:t>
      </w:r>
    </w:p>
    <w:p w14:paraId="012F2621" w14:textId="00E4FB39" w:rsidR="00843E49" w:rsidRPr="009A4DCA" w:rsidRDefault="00843E49" w:rsidP="009B2E6E">
      <w:pPr>
        <w:pStyle w:val="FooterTableFigure"/>
        <w:keepNext/>
        <w:keepLines/>
      </w:pPr>
      <w:r w:rsidRPr="009A4DCA">
        <w:t xml:space="preserve">ARI = acute respiratory </w:t>
      </w:r>
      <w:r w:rsidR="00116707" w:rsidRPr="009A4DCA">
        <w:t>illness</w:t>
      </w:r>
      <w:r w:rsidRPr="009A4DCA">
        <w:t xml:space="preserve">; DB = double-blind; LRTI = lower respiratory tract </w:t>
      </w:r>
      <w:r w:rsidR="00DD7AA9" w:rsidRPr="009A4DCA">
        <w:t>illness</w:t>
      </w:r>
      <w:r w:rsidRPr="009A4DCA">
        <w:t xml:space="preserve">; MC = multi-centre; PC = placebo-controlled; R = randomised; </w:t>
      </w:r>
      <w:r w:rsidR="003D10A2" w:rsidRPr="009A4DCA">
        <w:t xml:space="preserve">SIIV = </w:t>
      </w:r>
      <w:r w:rsidR="003D10A2" w:rsidRPr="009A4DCA">
        <w:rPr>
          <w:bCs/>
        </w:rPr>
        <w:t>seasonal inactivated influenza vaccine</w:t>
      </w:r>
      <w:r w:rsidR="003D10A2" w:rsidRPr="009A4DCA">
        <w:t xml:space="preserve">; </w:t>
      </w:r>
      <w:r w:rsidRPr="009A4DCA">
        <w:t>sRSV-LRTI =</w:t>
      </w:r>
      <w:r w:rsidRPr="009A4DCA">
        <w:rPr>
          <w:i/>
          <w:iCs/>
        </w:rPr>
        <w:t xml:space="preserve"> </w:t>
      </w:r>
      <w:r w:rsidRPr="009A4DCA">
        <w:t xml:space="preserve">severe lower respiratory tract </w:t>
      </w:r>
      <w:r w:rsidR="00623963" w:rsidRPr="009A4DCA">
        <w:t>illness</w:t>
      </w:r>
      <w:r w:rsidRPr="009A4DCA">
        <w:t>; RSV = respiratory syncytial virus; VE = vaccine efficacy.</w:t>
      </w:r>
    </w:p>
    <w:p w14:paraId="08D67C62" w14:textId="65530B44" w:rsidR="00843E49" w:rsidRPr="009A4DCA" w:rsidRDefault="00843E49" w:rsidP="009B2E6E">
      <w:pPr>
        <w:pStyle w:val="FooterTableFigure"/>
        <w:keepNext/>
        <w:keepLines/>
      </w:pPr>
      <w:r w:rsidRPr="009A4DCA">
        <w:t xml:space="preserve">a Number of participants randomised for primary analysis was 34,383; Number of participants randomised for EOS1 was 36,967. The sample size was increased from 30,000 to 45,000 with the implementation of Protocol Amendment 2 (dated 23 March 2022). </w:t>
      </w:r>
    </w:p>
    <w:p w14:paraId="276E7E84" w14:textId="77777777" w:rsidR="00843E49" w:rsidRPr="009A4DCA" w:rsidRDefault="00843E49" w:rsidP="009B2E6E">
      <w:pPr>
        <w:pStyle w:val="FooterTableFigure"/>
        <w:keepNext/>
        <w:keepLines/>
      </w:pPr>
      <w:r w:rsidRPr="009A4DCA">
        <w:t>b Completion of RENOIR is expected by June 2026.</w:t>
      </w:r>
    </w:p>
    <w:p w14:paraId="54F854CC" w14:textId="77777777" w:rsidR="00843E49" w:rsidRPr="009A4DCA" w:rsidRDefault="00843E49" w:rsidP="009B2E6E">
      <w:pPr>
        <w:pStyle w:val="FooterTableFigure"/>
        <w:keepNext/>
        <w:keepLines/>
      </w:pPr>
      <w:r w:rsidRPr="009A4DCA">
        <w:t>c Results from RENOIR were provided for 3 data analysis cut-offs:</w:t>
      </w:r>
    </w:p>
    <w:p w14:paraId="55D9F933" w14:textId="77777777" w:rsidR="00843E49" w:rsidRPr="009A4DCA" w:rsidRDefault="00843E49" w:rsidP="009B2E6E">
      <w:pPr>
        <w:pStyle w:val="FooterTableFigure"/>
        <w:keepNext/>
        <w:keepLines/>
        <w:numPr>
          <w:ilvl w:val="1"/>
          <w:numId w:val="4"/>
        </w:numPr>
        <w:ind w:left="504" w:hanging="308"/>
      </w:pPr>
      <w:r w:rsidRPr="009A4DCA">
        <w:t>Primary (interim) analysis Season 1: data cut off 08 and 14 July 2022 (average follow-up 6.78 months);</w:t>
      </w:r>
    </w:p>
    <w:p w14:paraId="263A0F04" w14:textId="77777777" w:rsidR="00843E49" w:rsidRPr="009A4DCA" w:rsidRDefault="00843E49" w:rsidP="009B2E6E">
      <w:pPr>
        <w:pStyle w:val="FooterTableFigure"/>
        <w:keepNext/>
        <w:keepLines/>
        <w:numPr>
          <w:ilvl w:val="1"/>
          <w:numId w:val="4"/>
        </w:numPr>
        <w:ind w:left="504" w:hanging="308"/>
      </w:pPr>
      <w:r w:rsidRPr="009A4DCA">
        <w:t>End of Season 1 (EOS1) analysis: data cut off 07 and 13 October 2022 (average follow-up 7.05 months); and</w:t>
      </w:r>
    </w:p>
    <w:p w14:paraId="080E7218" w14:textId="05FC429D" w:rsidR="003D10A2" w:rsidRPr="009A4DCA" w:rsidRDefault="00843E49" w:rsidP="00571B2F">
      <w:pPr>
        <w:pStyle w:val="FooterTableFigure"/>
        <w:keepLines/>
        <w:numPr>
          <w:ilvl w:val="1"/>
          <w:numId w:val="4"/>
        </w:numPr>
        <w:ind w:left="504" w:hanging="306"/>
      </w:pPr>
      <w:r w:rsidRPr="009A4DCA">
        <w:t xml:space="preserve">End of </w:t>
      </w:r>
      <w:r w:rsidR="009B2E6E">
        <w:t>S</w:t>
      </w:r>
      <w:r w:rsidRPr="009A4DCA">
        <w:t>eason 2 (EOS2)</w:t>
      </w:r>
      <w:r w:rsidR="009B2E6E">
        <w:t xml:space="preserve"> analysis</w:t>
      </w:r>
      <w:r w:rsidRPr="009A4DCA">
        <w:t>: Data cut off 18 December 2023 (average follow-up 16.4 months).</w:t>
      </w:r>
    </w:p>
    <w:p w14:paraId="1AEA0742" w14:textId="19D12C1B" w:rsidR="00843E49" w:rsidRPr="009A4DCA" w:rsidRDefault="00843E49" w:rsidP="003A0F9B">
      <w:pPr>
        <w:pStyle w:val="3-BodyText"/>
        <w:numPr>
          <w:ilvl w:val="1"/>
          <w:numId w:val="1"/>
        </w:numPr>
      </w:pPr>
      <w:r w:rsidRPr="009A4DCA">
        <w:t xml:space="preserve">RENOIR was designed to investigate the efficacy, immunogenicity and safety of a single dose of RSVpreF 120 μg in adults aged 60 years and over. Randomisation was stratified by age group (60-69 years, 70-79 years, ≥80 years). Both healthy adults and adults with stable chronic conditions were enrolled. Approximately 10% of participants were to be enrolled with stable chronic cardiopulmonary conditions such </w:t>
      </w:r>
      <w:r w:rsidRPr="009A4DCA">
        <w:lastRenderedPageBreak/>
        <w:t xml:space="preserve">as chronic obstructive pulmonary disease (COPD), asthma or congestive heart failure (CHF). </w:t>
      </w:r>
    </w:p>
    <w:p w14:paraId="1F253FAD" w14:textId="2E3374B1" w:rsidR="00843E49" w:rsidRPr="009A4DCA" w:rsidRDefault="00843E49" w:rsidP="003A0F9B">
      <w:pPr>
        <w:pStyle w:val="3-BodyText"/>
        <w:numPr>
          <w:ilvl w:val="1"/>
          <w:numId w:val="1"/>
        </w:numPr>
      </w:pPr>
      <w:r w:rsidRPr="009A4DCA">
        <w:t>In RENOIR, VE was defined as the relative risk reduction at first-episode of RSV-LRTI</w:t>
      </w:r>
      <w:r w:rsidR="00082307" w:rsidRPr="009A4DCA">
        <w:rPr>
          <w:rStyle w:val="FootnoteReference"/>
        </w:rPr>
        <w:footnoteReference w:id="7"/>
      </w:r>
      <w:r w:rsidRPr="009A4DCA">
        <w:t xml:space="preserve"> cases with ≥2 LRTI symptoms and ≥3 LRTI symptoms for RSVpreF compared to placebo. The primary efficacy objective would be achieved if the lower bound of the VE confidence interval (CI) was &gt;20% for </w:t>
      </w:r>
      <w:r w:rsidR="004742DB" w:rsidRPr="009A4DCA">
        <w:t>RSV-LRTI</w:t>
      </w:r>
      <w:r w:rsidRPr="009A4DCA">
        <w:t xml:space="preserve"> with ≥2 symptoms, with Pocock-adjusted CI at the primary analysis</w:t>
      </w:r>
      <w:r w:rsidR="002631A1" w:rsidRPr="009A4DCA">
        <w:rPr>
          <w:rStyle w:val="FootnoteReference"/>
        </w:rPr>
        <w:footnoteReference w:id="8"/>
      </w:r>
      <w:r w:rsidRPr="009A4DCA">
        <w:t xml:space="preserve">. </w:t>
      </w:r>
    </w:p>
    <w:p w14:paraId="73089B5F" w14:textId="7B2CBAE1" w:rsidR="00843E49" w:rsidRPr="009A4DCA" w:rsidRDefault="00EB0A1B" w:rsidP="003A0F9B">
      <w:pPr>
        <w:pStyle w:val="3-BodyText"/>
        <w:numPr>
          <w:ilvl w:val="1"/>
          <w:numId w:val="1"/>
        </w:numPr>
      </w:pPr>
      <w:r w:rsidRPr="009A4DCA">
        <w:t>C</w:t>
      </w:r>
      <w:r w:rsidR="00843E49" w:rsidRPr="009A4DCA">
        <w:t xml:space="preserve">linically relevant outcomes </w:t>
      </w:r>
      <w:r w:rsidRPr="009A4DCA">
        <w:t>included</w:t>
      </w:r>
      <w:r w:rsidR="00843E49" w:rsidRPr="009A4DCA">
        <w:t xml:space="preserve"> the incidence of RSV-LRTI, RSV-ARI and associated hospitalisation and mortality. </w:t>
      </w:r>
      <w:r w:rsidR="008C4E6B" w:rsidRPr="009A4DCA">
        <w:t xml:space="preserve">Selected </w:t>
      </w:r>
      <w:r w:rsidR="00843E49" w:rsidRPr="009A4DCA">
        <w:t xml:space="preserve">exploratory outcomes from </w:t>
      </w:r>
      <w:r w:rsidR="008C4E6B" w:rsidRPr="009A4DCA">
        <w:t xml:space="preserve">the </w:t>
      </w:r>
      <w:r w:rsidR="00843E49" w:rsidRPr="009A4DCA">
        <w:t>RENOIR</w:t>
      </w:r>
      <w:r w:rsidR="00CB0D79" w:rsidRPr="009A4DCA">
        <w:t xml:space="preserve"> trial</w:t>
      </w:r>
      <w:r w:rsidR="008C4E6B" w:rsidRPr="009A4DCA">
        <w:t xml:space="preserve"> were used to </w:t>
      </w:r>
      <w:r w:rsidR="00F45629" w:rsidRPr="009A4DCA">
        <w:t>inform the economic evaluation:</w:t>
      </w:r>
      <w:r w:rsidR="00843E49" w:rsidRPr="009A4DCA">
        <w:t xml:space="preserve"> VE against RSV-LRTI with ≥2 </w:t>
      </w:r>
      <w:r w:rsidR="001D6400" w:rsidRPr="009A4DCA">
        <w:t xml:space="preserve">and ≥3 </w:t>
      </w:r>
      <w:r w:rsidR="00843E49" w:rsidRPr="009A4DCA">
        <w:t>symptoms prompting a health care visit</w:t>
      </w:r>
      <w:r w:rsidR="00A33252" w:rsidRPr="009A4DCA">
        <w:t xml:space="preserve"> as proxies for VE against RSV</w:t>
      </w:r>
      <w:r w:rsidR="002074A9" w:rsidRPr="009A4DCA">
        <w:t xml:space="preserve">-related emergency visits and hospitalisations, respectively. </w:t>
      </w:r>
      <w:r w:rsidR="00843E49" w:rsidRPr="009A4DCA">
        <w:t>VE against RSV-ARI prompting a health care visit</w:t>
      </w:r>
      <w:r w:rsidR="00D14C4B" w:rsidRPr="009A4DCA">
        <w:t xml:space="preserve"> was used to inform VE against </w:t>
      </w:r>
      <w:r w:rsidR="008A283E" w:rsidRPr="009A4DCA">
        <w:t>RSV-related outpatient visits</w:t>
      </w:r>
      <w:r w:rsidR="00843E49" w:rsidRPr="009A4DCA">
        <w:t>. Quality of life outcomes were not collected in RENOIR.</w:t>
      </w:r>
    </w:p>
    <w:p w14:paraId="2C3D8F50" w14:textId="4E032F8B" w:rsidR="00843E49" w:rsidRPr="009A4DCA" w:rsidRDefault="00536985" w:rsidP="003A0F9B">
      <w:pPr>
        <w:pStyle w:val="3-BodyText"/>
        <w:numPr>
          <w:ilvl w:val="1"/>
          <w:numId w:val="1"/>
        </w:numPr>
        <w:rPr>
          <w:iCs/>
        </w:rPr>
      </w:pPr>
      <w:bookmarkStart w:id="31" w:name="_Ref182419380"/>
      <w:r w:rsidRPr="009A4DCA">
        <w:rPr>
          <w:iCs/>
        </w:rPr>
        <w:t xml:space="preserve">The evaluation noted that </w:t>
      </w:r>
      <w:r w:rsidR="00843E49" w:rsidRPr="009A4DCA">
        <w:rPr>
          <w:iCs/>
        </w:rPr>
        <w:t xml:space="preserve">RENOIR included participants reflective of some of the populations for the NIP listing being sought. </w:t>
      </w:r>
      <w:r w:rsidR="006274D9" w:rsidRPr="009A4DCA">
        <w:rPr>
          <w:iCs/>
        </w:rPr>
        <w:t>However, p</w:t>
      </w:r>
      <w:r w:rsidR="00843E49" w:rsidRPr="009A4DCA">
        <w:rPr>
          <w:iCs/>
        </w:rPr>
        <w:t xml:space="preserve">articipants in RENOIR were younger </w:t>
      </w:r>
      <w:r w:rsidR="006A6478" w:rsidRPr="009A4DCA">
        <w:rPr>
          <w:iCs/>
        </w:rPr>
        <w:t>(mean age 68.3 years)</w:t>
      </w:r>
      <w:r w:rsidR="00843E49" w:rsidRPr="009A4DCA">
        <w:rPr>
          <w:iCs/>
        </w:rPr>
        <w:t xml:space="preserve"> than </w:t>
      </w:r>
      <w:r w:rsidR="008F6252" w:rsidRPr="009A4DCA">
        <w:rPr>
          <w:iCs/>
        </w:rPr>
        <w:t xml:space="preserve">one of </w:t>
      </w:r>
      <w:r w:rsidR="00843E49" w:rsidRPr="009A4DCA">
        <w:rPr>
          <w:iCs/>
        </w:rPr>
        <w:t>the target population</w:t>
      </w:r>
      <w:r w:rsidR="008F6252" w:rsidRPr="009A4DCA">
        <w:rPr>
          <w:iCs/>
        </w:rPr>
        <w:t>s</w:t>
      </w:r>
      <w:r w:rsidR="00843E49" w:rsidRPr="009A4DCA">
        <w:rPr>
          <w:iCs/>
        </w:rPr>
        <w:t xml:space="preserve"> </w:t>
      </w:r>
      <w:r w:rsidR="00806EB4" w:rsidRPr="009A4DCA">
        <w:rPr>
          <w:iCs/>
        </w:rPr>
        <w:t>(</w:t>
      </w:r>
      <w:r w:rsidR="00843E49" w:rsidRPr="009A4DCA">
        <w:rPr>
          <w:iCs/>
        </w:rPr>
        <w:t>adults aged ≥75</w:t>
      </w:r>
      <w:r w:rsidR="00571B2F">
        <w:rPr>
          <w:iCs/>
        </w:rPr>
        <w:t> </w:t>
      </w:r>
      <w:r w:rsidR="00843E49" w:rsidRPr="009A4DCA">
        <w:rPr>
          <w:iCs/>
        </w:rPr>
        <w:t>years</w:t>
      </w:r>
      <w:r w:rsidR="00806EB4" w:rsidRPr="009A4DCA">
        <w:rPr>
          <w:iCs/>
        </w:rPr>
        <w:t>)</w:t>
      </w:r>
      <w:r w:rsidR="006274D9" w:rsidRPr="009A4DCA">
        <w:rPr>
          <w:iCs/>
        </w:rPr>
        <w:t>,</w:t>
      </w:r>
      <w:r w:rsidR="00843E49" w:rsidRPr="009A4DCA">
        <w:rPr>
          <w:iCs/>
        </w:rPr>
        <w:t xml:space="preserve"> </w:t>
      </w:r>
      <w:r w:rsidR="006274D9" w:rsidRPr="009A4DCA">
        <w:rPr>
          <w:iCs/>
        </w:rPr>
        <w:t xml:space="preserve">and </w:t>
      </w:r>
      <w:r w:rsidR="00843E49" w:rsidRPr="009A4DCA">
        <w:rPr>
          <w:iCs/>
        </w:rPr>
        <w:t>RENOIR did not enrol participants in Australia. ATAGI considered that there were gaps in the evidence for some pre-specified high-risk conditions</w:t>
      </w:r>
      <w:r w:rsidR="00820B5E" w:rsidRPr="009A4DCA">
        <w:rPr>
          <w:iCs/>
        </w:rPr>
        <w:t xml:space="preserve"> (e.g., </w:t>
      </w:r>
      <w:r w:rsidR="003F4A34" w:rsidRPr="009A4DCA">
        <w:rPr>
          <w:iCs/>
        </w:rPr>
        <w:t xml:space="preserve">people with </w:t>
      </w:r>
      <w:r w:rsidR="00972C26" w:rsidRPr="009A4DCA">
        <w:rPr>
          <w:iCs/>
        </w:rPr>
        <w:t>neurological conditions or that were immunocompromised were excluded from RENOIR</w:t>
      </w:r>
      <w:r w:rsidR="00820B5E" w:rsidRPr="009A4DCA">
        <w:rPr>
          <w:iCs/>
        </w:rPr>
        <w:t>)</w:t>
      </w:r>
      <w:r w:rsidR="00843E49" w:rsidRPr="009A4DCA">
        <w:rPr>
          <w:iCs/>
        </w:rPr>
        <w:t xml:space="preserve"> and for Aboriginal and Torres Strait Islander peoples (ATAGI Pre-Submission Advice December 2023).</w:t>
      </w:r>
      <w:bookmarkEnd w:id="31"/>
    </w:p>
    <w:p w14:paraId="50AFB705" w14:textId="4C5B1BBE" w:rsidR="00843E49" w:rsidRPr="009A4DCA" w:rsidRDefault="00843E49" w:rsidP="00843E49">
      <w:pPr>
        <w:pStyle w:val="3-BodyText"/>
        <w:numPr>
          <w:ilvl w:val="1"/>
          <w:numId w:val="1"/>
        </w:numPr>
      </w:pPr>
      <w:r w:rsidRPr="009A4DCA">
        <w:rPr>
          <w:bCs/>
        </w:rPr>
        <w:t>Study 1006 compared the safety, tolerability and immunogenicity of</w:t>
      </w:r>
      <w:r w:rsidR="00536985" w:rsidRPr="009A4DCA">
        <w:rPr>
          <w:bCs/>
        </w:rPr>
        <w:t xml:space="preserve"> vaccine</w:t>
      </w:r>
      <w:r w:rsidRPr="009A4DCA">
        <w:rPr>
          <w:bCs/>
        </w:rPr>
        <w:t xml:space="preserve"> co-administration (</w:t>
      </w:r>
      <w:r w:rsidRPr="009A4DCA">
        <w:t xml:space="preserve">RSVpreF with </w:t>
      </w:r>
      <w:r w:rsidRPr="009A4DCA">
        <w:rPr>
          <w:bCs/>
        </w:rPr>
        <w:t xml:space="preserve">seasonal inactivated influenza vaccine (SIIV) </w:t>
      </w:r>
      <w:r w:rsidRPr="009A4DCA">
        <w:t>followed by placebo one month later)</w:t>
      </w:r>
      <w:r w:rsidRPr="009A4DCA">
        <w:rPr>
          <w:bCs/>
        </w:rPr>
        <w:t xml:space="preserve"> with sequential dosing (</w:t>
      </w:r>
      <w:r w:rsidRPr="009A4DCA">
        <w:t>placebo+SIIV followed by RSVpreF one month later)</w:t>
      </w:r>
      <w:r w:rsidRPr="009A4DCA">
        <w:rPr>
          <w:bCs/>
        </w:rPr>
        <w:t xml:space="preserve"> in adults aged 65 years and older. Study 1006 was conducted in Australia</w:t>
      </w:r>
      <w:r w:rsidR="00C92924" w:rsidRPr="009A4DCA">
        <w:rPr>
          <w:bCs/>
        </w:rPr>
        <w:t xml:space="preserve"> and had a</w:t>
      </w:r>
      <w:r w:rsidRPr="009A4DCA">
        <w:rPr>
          <w:bCs/>
        </w:rPr>
        <w:t xml:space="preserve"> trial duration </w:t>
      </w:r>
      <w:r w:rsidR="00C92924" w:rsidRPr="009A4DCA">
        <w:rPr>
          <w:bCs/>
        </w:rPr>
        <w:t xml:space="preserve">of </w:t>
      </w:r>
      <w:r w:rsidRPr="009A4DCA">
        <w:rPr>
          <w:bCs/>
        </w:rPr>
        <w:t xml:space="preserve">only 2 months. Only outcomes pertaining to immunogenicity </w:t>
      </w:r>
      <w:r w:rsidR="00AC5B53" w:rsidRPr="009A4DCA">
        <w:rPr>
          <w:bCs/>
        </w:rPr>
        <w:t xml:space="preserve">and safety </w:t>
      </w:r>
      <w:r w:rsidRPr="009A4DCA">
        <w:rPr>
          <w:bCs/>
        </w:rPr>
        <w:t>were reported.</w:t>
      </w:r>
    </w:p>
    <w:p w14:paraId="6514D5EF" w14:textId="77777777" w:rsidR="00B60939" w:rsidRPr="009A4DCA" w:rsidRDefault="00B60939" w:rsidP="006F5F86">
      <w:pPr>
        <w:pStyle w:val="4-SubsectionHeading"/>
        <w:keepLines/>
      </w:pPr>
      <w:bookmarkStart w:id="32" w:name="_Toc177558739"/>
      <w:r w:rsidRPr="009A4DCA">
        <w:lastRenderedPageBreak/>
        <w:t>Comparative effectiveness</w:t>
      </w:r>
      <w:bookmarkEnd w:id="30"/>
      <w:bookmarkEnd w:id="32"/>
    </w:p>
    <w:p w14:paraId="627769B6" w14:textId="216E1920" w:rsidR="00E42D19" w:rsidRPr="009A4DCA" w:rsidRDefault="00E42D19" w:rsidP="006F5F86">
      <w:pPr>
        <w:pStyle w:val="3-BodyText"/>
        <w:keepNext/>
        <w:keepLines/>
        <w:numPr>
          <w:ilvl w:val="0"/>
          <w:numId w:val="0"/>
        </w:numPr>
        <w:spacing w:after="0"/>
        <w:ind w:left="720" w:hanging="720"/>
      </w:pPr>
      <w:bookmarkStart w:id="33" w:name="_Toc22897642"/>
      <w:r w:rsidRPr="009A4DCA">
        <w:rPr>
          <w:b/>
          <w:bCs/>
        </w:rPr>
        <w:t xml:space="preserve">RENOIR: </w:t>
      </w:r>
      <w:r w:rsidR="00F75BDD" w:rsidRPr="009A4DCA">
        <w:rPr>
          <w:b/>
          <w:bCs/>
        </w:rPr>
        <w:t>RSVpreF versus placebo</w:t>
      </w:r>
    </w:p>
    <w:p w14:paraId="765A1489" w14:textId="52E02F21" w:rsidR="005728F2" w:rsidRPr="009A4DCA" w:rsidRDefault="00C7280F" w:rsidP="00AD6C84">
      <w:pPr>
        <w:pStyle w:val="3-BodyText"/>
        <w:keepNext/>
        <w:keepLines/>
        <w:numPr>
          <w:ilvl w:val="1"/>
          <w:numId w:val="1"/>
        </w:numPr>
        <w:spacing w:before="120"/>
      </w:pPr>
      <w:r w:rsidRPr="009A4DCA">
        <w:t xml:space="preserve">A summary of the primary efficacy outcomes </w:t>
      </w:r>
      <w:r w:rsidR="00E15A66" w:rsidRPr="009A4DCA">
        <w:t>(</w:t>
      </w:r>
      <w:r w:rsidR="00FA072A" w:rsidRPr="009A4DCA">
        <w:t>RSV-LRTI</w:t>
      </w:r>
      <w:r w:rsidR="003B1A7D" w:rsidRPr="009A4DCA">
        <w:t xml:space="preserve"> with ≥2</w:t>
      </w:r>
      <w:r w:rsidR="00B44542" w:rsidRPr="009A4DCA">
        <w:t xml:space="preserve"> or ≥3</w:t>
      </w:r>
      <w:r w:rsidR="003B1A7D" w:rsidRPr="009A4DCA">
        <w:t xml:space="preserve"> symptoms</w:t>
      </w:r>
      <w:r w:rsidR="00E15A66" w:rsidRPr="009A4DCA">
        <w:t>)</w:t>
      </w:r>
      <w:r w:rsidRPr="009A4DCA">
        <w:t xml:space="preserve"> for RENOIR is presented in </w:t>
      </w:r>
      <w:r w:rsidRPr="009A4DCA">
        <w:fldChar w:fldCharType="begin"/>
      </w:r>
      <w:r w:rsidRPr="009A4DCA">
        <w:instrText xml:space="preserve"> REF _Ref175223904 \h </w:instrText>
      </w:r>
      <w:r w:rsidRPr="009A4DCA">
        <w:fldChar w:fldCharType="separate"/>
      </w:r>
      <w:r w:rsidR="007B2F50" w:rsidRPr="009A4DCA">
        <w:t xml:space="preserve">Table </w:t>
      </w:r>
      <w:r w:rsidR="007B2F50">
        <w:rPr>
          <w:noProof/>
        </w:rPr>
        <w:t>4</w:t>
      </w:r>
      <w:r w:rsidRPr="009A4DCA">
        <w:fldChar w:fldCharType="end"/>
      </w:r>
      <w:r w:rsidRPr="009A4DCA">
        <w:t>.</w:t>
      </w:r>
      <w:r w:rsidRPr="009A4DCA">
        <w:rPr>
          <w:i/>
          <w:iCs/>
        </w:rPr>
        <w:t xml:space="preserve"> </w:t>
      </w:r>
      <w:r w:rsidRPr="009A4DCA">
        <w:t>In Season</w:t>
      </w:r>
      <w:r w:rsidR="00AC5B53" w:rsidRPr="009A4DCA">
        <w:t> </w:t>
      </w:r>
      <w:r w:rsidRPr="009A4DCA">
        <w:t>1</w:t>
      </w:r>
      <w:r w:rsidRPr="009A4DCA">
        <w:rPr>
          <w:i/>
          <w:iCs/>
        </w:rPr>
        <w:t xml:space="preserve">, </w:t>
      </w:r>
      <w:r w:rsidRPr="009A4DCA">
        <w:t>VE to prevent the first episode of RSV-LRTI with</w:t>
      </w:r>
      <w:r w:rsidR="005728F2" w:rsidRPr="009A4DCA">
        <w:t>:</w:t>
      </w:r>
      <w:r w:rsidRPr="009A4DCA">
        <w:t xml:space="preserve"> </w:t>
      </w:r>
    </w:p>
    <w:p w14:paraId="07F051E6" w14:textId="21217CC0" w:rsidR="005728F2" w:rsidRPr="009A4DCA" w:rsidRDefault="00C7280F" w:rsidP="0023069B">
      <w:pPr>
        <w:pStyle w:val="3-BodyText"/>
        <w:numPr>
          <w:ilvl w:val="0"/>
          <w:numId w:val="26"/>
        </w:numPr>
        <w:spacing w:before="120"/>
        <w:ind w:left="1134" w:hanging="357"/>
      </w:pPr>
      <w:r w:rsidRPr="009A4DCA">
        <w:t>≥2 symptoms was 65.1% (95%</w:t>
      </w:r>
      <w:r w:rsidR="00531BED" w:rsidRPr="009A4DCA">
        <w:t xml:space="preserve"> confidence interval</w:t>
      </w:r>
      <w:r w:rsidRPr="009A4DCA">
        <w:t xml:space="preserve"> </w:t>
      </w:r>
      <w:r w:rsidR="00531BED" w:rsidRPr="009A4DCA">
        <w:t>[</w:t>
      </w:r>
      <w:r w:rsidRPr="009A4DCA">
        <w:t>CI</w:t>
      </w:r>
      <w:r w:rsidR="00531BED" w:rsidRPr="009A4DCA">
        <w:t>]</w:t>
      </w:r>
      <w:r w:rsidRPr="009A4DCA">
        <w:t xml:space="preserve">: 35.9 to 82.0) </w:t>
      </w:r>
    </w:p>
    <w:p w14:paraId="4A35F087" w14:textId="1CBBA081" w:rsidR="005728F2" w:rsidRPr="009A4DCA" w:rsidRDefault="00C7280F" w:rsidP="0023069B">
      <w:pPr>
        <w:pStyle w:val="3-BodyText"/>
        <w:numPr>
          <w:ilvl w:val="0"/>
          <w:numId w:val="26"/>
        </w:numPr>
        <w:spacing w:before="120"/>
        <w:ind w:left="1134" w:hanging="357"/>
      </w:pPr>
      <w:r w:rsidRPr="009A4DCA">
        <w:t xml:space="preserve">≥3 symptoms was 88.9% (95% CI: 53.6 to 98.7). </w:t>
      </w:r>
    </w:p>
    <w:p w14:paraId="64C6889A" w14:textId="77777777" w:rsidR="005728F2" w:rsidRPr="009A4DCA" w:rsidRDefault="00C7280F" w:rsidP="00AD6C84">
      <w:pPr>
        <w:pStyle w:val="3-BodyText"/>
        <w:numPr>
          <w:ilvl w:val="0"/>
          <w:numId w:val="0"/>
        </w:numPr>
        <w:spacing w:before="120"/>
        <w:ind w:left="720" w:hanging="11"/>
      </w:pPr>
      <w:r w:rsidRPr="009A4DCA">
        <w:t>Across 2</w:t>
      </w:r>
      <w:r w:rsidR="001B1BE6" w:rsidRPr="009A4DCA">
        <w:t xml:space="preserve"> </w:t>
      </w:r>
      <w:r w:rsidRPr="009A4DCA">
        <w:t>seasons, VE to prevent the first episode of RSV-LRTI with</w:t>
      </w:r>
      <w:r w:rsidR="005728F2" w:rsidRPr="009A4DCA">
        <w:t>:</w:t>
      </w:r>
    </w:p>
    <w:p w14:paraId="65A367A3" w14:textId="3C74ADCB" w:rsidR="005728F2" w:rsidRPr="009A4DCA" w:rsidRDefault="00C7280F" w:rsidP="0023069B">
      <w:pPr>
        <w:pStyle w:val="3-BodyText"/>
        <w:numPr>
          <w:ilvl w:val="0"/>
          <w:numId w:val="27"/>
        </w:numPr>
        <w:spacing w:before="120"/>
        <w:ind w:left="1134" w:hanging="357"/>
      </w:pPr>
      <w:r w:rsidRPr="009A4DCA">
        <w:t xml:space="preserve">≥2 symptoms was 58.8% (95% CI: 43.0 to 70.6) </w:t>
      </w:r>
    </w:p>
    <w:p w14:paraId="07A20A33" w14:textId="633C2A6C" w:rsidR="005728F2" w:rsidRPr="009A4DCA" w:rsidRDefault="00C7280F" w:rsidP="0023069B">
      <w:pPr>
        <w:pStyle w:val="3-BodyText"/>
        <w:numPr>
          <w:ilvl w:val="0"/>
          <w:numId w:val="27"/>
        </w:numPr>
        <w:spacing w:before="120"/>
        <w:ind w:left="1134" w:hanging="357"/>
      </w:pPr>
      <w:r w:rsidRPr="009A4DCA">
        <w:t xml:space="preserve">≥3 symptoms was 81.5% (95% CI: 63.3 to 91.6). </w:t>
      </w:r>
    </w:p>
    <w:p w14:paraId="3CFBB3F7" w14:textId="33A7F8C9" w:rsidR="00C7280F" w:rsidRPr="009A4DCA" w:rsidRDefault="00C7280F" w:rsidP="00AD6C84">
      <w:pPr>
        <w:pStyle w:val="3-BodyText"/>
        <w:numPr>
          <w:ilvl w:val="0"/>
          <w:numId w:val="0"/>
        </w:numPr>
        <w:spacing w:before="120"/>
        <w:ind w:left="720" w:hanging="11"/>
      </w:pPr>
      <w:r w:rsidRPr="009A4DCA">
        <w:t>The predefined success criteria (lower bound of the 95% CI &gt;20%) were met for both primary endpoints</w:t>
      </w:r>
      <w:r w:rsidR="0040076F" w:rsidRPr="009A4DCA">
        <w:t xml:space="preserve"> for both Season 1 and across 2 seasons</w:t>
      </w:r>
      <w:r w:rsidRPr="009A4DCA">
        <w:t xml:space="preserve">. </w:t>
      </w:r>
    </w:p>
    <w:p w14:paraId="0966DF38" w14:textId="088A1F37" w:rsidR="005728F2" w:rsidRPr="009A4DCA" w:rsidRDefault="00936B31" w:rsidP="00AD6C84">
      <w:pPr>
        <w:pStyle w:val="3-BodyText"/>
        <w:numPr>
          <w:ilvl w:val="1"/>
          <w:numId w:val="1"/>
        </w:numPr>
        <w:spacing w:before="120"/>
      </w:pPr>
      <w:r w:rsidRPr="009A4DCA">
        <w:fldChar w:fldCharType="begin"/>
      </w:r>
      <w:r w:rsidRPr="009A4DCA">
        <w:instrText xml:space="preserve"> REF _Ref175223904 \h  \* MERGEFORMAT </w:instrText>
      </w:r>
      <w:r w:rsidRPr="009A4DCA">
        <w:fldChar w:fldCharType="separate"/>
      </w:r>
      <w:r w:rsidR="007B2F50" w:rsidRPr="009A4DCA">
        <w:t xml:space="preserve">Table </w:t>
      </w:r>
      <w:r w:rsidR="007B2F50">
        <w:t>4</w:t>
      </w:r>
      <w:r w:rsidRPr="009A4DCA">
        <w:fldChar w:fldCharType="end"/>
      </w:r>
      <w:r w:rsidRPr="009A4DCA">
        <w:t xml:space="preserve"> also shows a breakdown of results for the RSV-A and RSV-B subtypes. </w:t>
      </w:r>
      <w:r w:rsidR="005728F2" w:rsidRPr="009A4DCA">
        <w:t>In Season</w:t>
      </w:r>
      <w:r w:rsidR="00216379" w:rsidRPr="009A4DCA">
        <w:t> </w:t>
      </w:r>
      <w:r w:rsidR="005728F2" w:rsidRPr="009A4DCA">
        <w:t xml:space="preserve">1, </w:t>
      </w:r>
      <w:r w:rsidR="00C7280F" w:rsidRPr="009A4DCA">
        <w:t xml:space="preserve">VE </w:t>
      </w:r>
      <w:r w:rsidR="00BB0966" w:rsidRPr="009A4DCA">
        <w:t xml:space="preserve">to prevent the first episode of </w:t>
      </w:r>
      <w:r w:rsidR="00C7280F" w:rsidRPr="009A4DCA">
        <w:t>RSV-LRTI with ≥2 symptoms was</w:t>
      </w:r>
      <w:r w:rsidR="005728F2" w:rsidRPr="009A4DCA">
        <w:t>:</w:t>
      </w:r>
      <w:r w:rsidR="00C7280F" w:rsidRPr="009A4DCA">
        <w:t xml:space="preserve"> </w:t>
      </w:r>
    </w:p>
    <w:p w14:paraId="796C05ED" w14:textId="1B0E820E" w:rsidR="005728F2" w:rsidRPr="009A4DCA" w:rsidRDefault="00C7280F" w:rsidP="0023069B">
      <w:pPr>
        <w:pStyle w:val="3-BodyText"/>
        <w:numPr>
          <w:ilvl w:val="0"/>
          <w:numId w:val="29"/>
        </w:numPr>
        <w:spacing w:before="120"/>
        <w:ind w:left="1134" w:hanging="357"/>
      </w:pPr>
      <w:r w:rsidRPr="009A4DCA">
        <w:t xml:space="preserve">81.3% (95% CI: 34.5 to 96.5) for RSV-A </w:t>
      </w:r>
    </w:p>
    <w:p w14:paraId="0A0EE2F3" w14:textId="4B28CE51" w:rsidR="003E1D5A" w:rsidRPr="009A4DCA" w:rsidRDefault="00C7280F" w:rsidP="0023069B">
      <w:pPr>
        <w:pStyle w:val="3-BodyText"/>
        <w:numPr>
          <w:ilvl w:val="0"/>
          <w:numId w:val="28"/>
        </w:numPr>
        <w:spacing w:before="120"/>
        <w:ind w:left="1134"/>
      </w:pPr>
      <w:r w:rsidRPr="009A4DCA">
        <w:t xml:space="preserve">53.8% (95% CI: 5.2 to 78.8) for RSV-B. </w:t>
      </w:r>
    </w:p>
    <w:p w14:paraId="283D36CF" w14:textId="4777B6D8" w:rsidR="00063191" w:rsidRPr="009A4DCA" w:rsidRDefault="00C7280F" w:rsidP="00AD6C84">
      <w:pPr>
        <w:pStyle w:val="3-BodyText"/>
        <w:numPr>
          <w:ilvl w:val="0"/>
          <w:numId w:val="0"/>
        </w:numPr>
        <w:spacing w:before="120"/>
        <w:ind w:left="720"/>
        <w:rPr>
          <w:i/>
          <w:iCs/>
        </w:rPr>
      </w:pPr>
      <w:r w:rsidRPr="009A4DCA">
        <w:t xml:space="preserve">ATAGI noted that for the end of </w:t>
      </w:r>
      <w:r w:rsidR="001F53CE" w:rsidRPr="009A4DCA">
        <w:t>S</w:t>
      </w:r>
      <w:r w:rsidRPr="009A4DCA">
        <w:t xml:space="preserve">eason 1 </w:t>
      </w:r>
      <w:r w:rsidR="005238D8" w:rsidRPr="009A4DCA">
        <w:t xml:space="preserve">(EOS1) </w:t>
      </w:r>
      <w:r w:rsidRPr="009A4DCA">
        <w:t>estimates</w:t>
      </w:r>
      <w:r w:rsidR="00E12751" w:rsidRPr="009A4DCA">
        <w:t>,</w:t>
      </w:r>
      <w:r w:rsidRPr="009A4DCA">
        <w:t xml:space="preserve"> the </w:t>
      </w:r>
      <w:r w:rsidR="00BB0966" w:rsidRPr="009A4DCA">
        <w:t xml:space="preserve">predefined success criteria </w:t>
      </w:r>
      <w:r w:rsidRPr="009A4DCA">
        <w:t xml:space="preserve">did not apply </w:t>
      </w:r>
      <w:r w:rsidR="009C0733" w:rsidRPr="009A4DCA">
        <w:t xml:space="preserve">to the individual </w:t>
      </w:r>
      <w:r w:rsidRPr="009A4DCA">
        <w:t>RSV subtypes (A and B); the sample sizes were small</w:t>
      </w:r>
      <w:r w:rsidR="007F2662" w:rsidRPr="009A4DCA">
        <w:t xml:space="preserve"> (</w:t>
      </w:r>
      <w:r w:rsidR="00FF4195" w:rsidRPr="009A4DCA">
        <w:t>and thus confidence intervals were wide</w:t>
      </w:r>
      <w:r w:rsidR="007F2662" w:rsidRPr="009A4DCA">
        <w:t>)</w:t>
      </w:r>
      <w:r w:rsidRPr="009A4DCA">
        <w:t xml:space="preserve"> such that it was not possible to determine whether there may be differential protection against each subtype (ATAGI Pre-Submission Advice to the PBAC Dec 2023).</w:t>
      </w:r>
      <w:r w:rsidR="007139F8" w:rsidRPr="009A4DCA">
        <w:rPr>
          <w:i/>
          <w:iCs/>
        </w:rPr>
        <w:t xml:space="preserve"> </w:t>
      </w:r>
    </w:p>
    <w:p w14:paraId="0E9B433C" w14:textId="56BA751C" w:rsidR="003E1D5A" w:rsidRPr="009A4DCA" w:rsidRDefault="009D6B7F" w:rsidP="00AD6C84">
      <w:pPr>
        <w:pStyle w:val="3-BodyText"/>
        <w:numPr>
          <w:ilvl w:val="0"/>
          <w:numId w:val="0"/>
        </w:numPr>
        <w:spacing w:before="120"/>
        <w:ind w:left="720"/>
      </w:pPr>
      <w:r w:rsidRPr="009A4DCA">
        <w:t>Across the 2-seasons</w:t>
      </w:r>
      <w:r w:rsidR="00DA6C53" w:rsidRPr="009A4DCA">
        <w:t xml:space="preserve">, VE </w:t>
      </w:r>
      <w:r w:rsidR="00BB0966" w:rsidRPr="009A4DCA">
        <w:t xml:space="preserve">to prevent the first episode of </w:t>
      </w:r>
      <w:r w:rsidR="00DA6C53" w:rsidRPr="009A4DCA">
        <w:t>RSV-LRTI with ≥2 symptoms was</w:t>
      </w:r>
      <w:r w:rsidR="003E1D5A" w:rsidRPr="009A4DCA">
        <w:t>:</w:t>
      </w:r>
      <w:r w:rsidR="00DA6C53" w:rsidRPr="009A4DCA">
        <w:t xml:space="preserve"> </w:t>
      </w:r>
    </w:p>
    <w:p w14:paraId="51F5A113" w14:textId="0D222BFA" w:rsidR="003E1D5A" w:rsidRPr="009A4DCA" w:rsidRDefault="00DA6C53" w:rsidP="0023069B">
      <w:pPr>
        <w:pStyle w:val="3-BodyText"/>
        <w:numPr>
          <w:ilvl w:val="0"/>
          <w:numId w:val="28"/>
        </w:numPr>
        <w:spacing w:before="120"/>
        <w:ind w:left="1134" w:hanging="357"/>
      </w:pPr>
      <w:r w:rsidRPr="009A4DCA">
        <w:t xml:space="preserve">66.3% (95% CI: 47.2 to 79.0) for RSV-A </w:t>
      </w:r>
    </w:p>
    <w:p w14:paraId="3A352EDF" w14:textId="77777777" w:rsidR="003E1D5A" w:rsidRPr="009A4DCA" w:rsidRDefault="00DA6C53" w:rsidP="0023069B">
      <w:pPr>
        <w:pStyle w:val="3-BodyText"/>
        <w:numPr>
          <w:ilvl w:val="0"/>
          <w:numId w:val="28"/>
        </w:numPr>
        <w:spacing w:before="120"/>
        <w:ind w:left="1134" w:hanging="357"/>
      </w:pPr>
      <w:r w:rsidRPr="009A4DCA">
        <w:t>50.0% (95% CI: 18.5 to 70.0) for RSV-B.</w:t>
      </w:r>
      <w:r w:rsidR="00085AA2" w:rsidRPr="009A4DCA">
        <w:t xml:space="preserve"> </w:t>
      </w:r>
    </w:p>
    <w:p w14:paraId="238155F9" w14:textId="704FCEE4" w:rsidR="00C7280F" w:rsidRPr="009A4DCA" w:rsidRDefault="00085AA2" w:rsidP="00AD6C84">
      <w:pPr>
        <w:pStyle w:val="3-BodyText"/>
        <w:numPr>
          <w:ilvl w:val="0"/>
          <w:numId w:val="0"/>
        </w:numPr>
        <w:spacing w:before="120"/>
        <w:ind w:left="720" w:hanging="11"/>
      </w:pPr>
      <w:r w:rsidRPr="009A4DCA">
        <w:t>The</w:t>
      </w:r>
      <w:r w:rsidR="005D68E0" w:rsidRPr="009A4DCA">
        <w:t xml:space="preserve"> evaluation noted that the</w:t>
      </w:r>
      <w:r w:rsidRPr="009A4DCA">
        <w:t xml:space="preserve"> lower limit of the 95% CI was &gt;20% for RSV-A </w:t>
      </w:r>
      <w:r w:rsidR="00F64795" w:rsidRPr="009A4DCA">
        <w:t xml:space="preserve">(above predefined success criteria) but </w:t>
      </w:r>
      <w:r w:rsidRPr="009A4DCA">
        <w:t>&lt;20% for RSV-B</w:t>
      </w:r>
      <w:r w:rsidR="00D37700" w:rsidRPr="009A4DCA">
        <w:t xml:space="preserve"> </w:t>
      </w:r>
      <w:r w:rsidR="0040076F" w:rsidRPr="009A4DCA">
        <w:t>for both Season 1 and across 2</w:t>
      </w:r>
      <w:r w:rsidR="0023069B">
        <w:t> </w:t>
      </w:r>
      <w:r w:rsidR="0040076F" w:rsidRPr="009A4DCA">
        <w:t>seasons</w:t>
      </w:r>
      <w:r w:rsidRPr="009A4DCA">
        <w:t xml:space="preserve">. </w:t>
      </w:r>
      <w:r w:rsidR="001A2E80" w:rsidRPr="009A4DCA">
        <w:t xml:space="preserve">The pre-PBAC response noted that </w:t>
      </w:r>
      <w:r w:rsidR="00B650A1" w:rsidRPr="009A4DCA">
        <w:t>the RENOIR trial was not powered to</w:t>
      </w:r>
      <w:r w:rsidR="00CE4F4E" w:rsidRPr="009A4DCA">
        <w:t xml:space="preserve"> detect </w:t>
      </w:r>
      <w:r w:rsidR="00274A2A" w:rsidRPr="009A4DCA">
        <w:t>significant differences</w:t>
      </w:r>
      <w:r w:rsidR="006908B3" w:rsidRPr="009A4DCA">
        <w:t xml:space="preserve"> between RSVpreF and placebo with</w:t>
      </w:r>
      <w:r w:rsidR="00274A2A" w:rsidRPr="009A4DCA">
        <w:t>in RSV subtypes</w:t>
      </w:r>
      <w:r w:rsidR="008D18FD" w:rsidRPr="009A4DCA">
        <w:t xml:space="preserve">, as per the ATAGI </w:t>
      </w:r>
      <w:r w:rsidR="00A434BD" w:rsidRPr="009A4DCA">
        <w:t>Pre-Submission Advice.</w:t>
      </w:r>
    </w:p>
    <w:p w14:paraId="33CBFE69" w14:textId="669AD322" w:rsidR="00C7280F" w:rsidRPr="009A4DCA" w:rsidRDefault="00C7280F" w:rsidP="00BE2884">
      <w:pPr>
        <w:pStyle w:val="TableFigureHeading"/>
        <w:keepLines/>
      </w:pPr>
      <w:bookmarkStart w:id="34" w:name="_Ref175223904"/>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4</w:t>
      </w:r>
      <w:r w:rsidR="00491347">
        <w:fldChar w:fldCharType="end"/>
      </w:r>
      <w:bookmarkEnd w:id="34"/>
      <w:r w:rsidRPr="009A4DCA">
        <w:t>:</w:t>
      </w:r>
      <w:r w:rsidRPr="009A4DCA">
        <w:rPr>
          <w:rStyle w:val="CommentReference"/>
          <w:b/>
          <w:szCs w:val="24"/>
        </w:rPr>
        <w:t xml:space="preserve"> </w:t>
      </w:r>
      <w:r w:rsidRPr="009A4DCA">
        <w:t>Results of RSVpreF VE against the first episode of RSV in RENOIR, evaluable efficacy population – primary efficacy outcomes</w:t>
      </w:r>
    </w:p>
    <w:tbl>
      <w:tblPr>
        <w:tblStyle w:val="TableGrid"/>
        <w:tblW w:w="5000" w:type="pct"/>
        <w:tblLook w:val="04A0" w:firstRow="1" w:lastRow="0" w:firstColumn="1" w:lastColumn="0" w:noHBand="0" w:noVBand="1"/>
      </w:tblPr>
      <w:tblGrid>
        <w:gridCol w:w="1402"/>
        <w:gridCol w:w="952"/>
        <w:gridCol w:w="954"/>
        <w:gridCol w:w="952"/>
        <w:gridCol w:w="952"/>
        <w:gridCol w:w="952"/>
        <w:gridCol w:w="952"/>
        <w:gridCol w:w="952"/>
        <w:gridCol w:w="949"/>
      </w:tblGrid>
      <w:tr w:rsidR="00C7280F" w:rsidRPr="009A4DCA" w14:paraId="4078C81A" w14:textId="77777777" w:rsidTr="00421004">
        <w:trPr>
          <w:tblHeader/>
        </w:trPr>
        <w:tc>
          <w:tcPr>
            <w:tcW w:w="777" w:type="pct"/>
            <w:tcBorders>
              <w:bottom w:val="nil"/>
            </w:tcBorders>
          </w:tcPr>
          <w:p w14:paraId="33EBCA87"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p>
        </w:tc>
        <w:tc>
          <w:tcPr>
            <w:tcW w:w="1057" w:type="pct"/>
            <w:gridSpan w:val="2"/>
            <w:tcBorders>
              <w:bottom w:val="nil"/>
            </w:tcBorders>
          </w:tcPr>
          <w:p w14:paraId="77C56259"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Mid-season</w:t>
            </w:r>
            <w:r w:rsidRPr="009A4DCA">
              <w:rPr>
                <w:rFonts w:ascii="Arial Narrow" w:eastAsiaTheme="majorEastAsia" w:hAnsi="Arial Narrow" w:cs="Times New Roman"/>
                <w:b/>
                <w:sz w:val="20"/>
                <w:vertAlign w:val="superscript"/>
              </w:rPr>
              <w:t>a</w:t>
            </w:r>
          </w:p>
        </w:tc>
        <w:tc>
          <w:tcPr>
            <w:tcW w:w="1056" w:type="pct"/>
            <w:gridSpan w:val="2"/>
            <w:tcBorders>
              <w:bottom w:val="nil"/>
            </w:tcBorders>
          </w:tcPr>
          <w:p w14:paraId="6A5AF135"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1</w:t>
            </w:r>
          </w:p>
        </w:tc>
        <w:tc>
          <w:tcPr>
            <w:tcW w:w="1056" w:type="pct"/>
            <w:gridSpan w:val="2"/>
            <w:tcBorders>
              <w:bottom w:val="nil"/>
            </w:tcBorders>
          </w:tcPr>
          <w:p w14:paraId="3DE46847"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2</w:t>
            </w:r>
          </w:p>
        </w:tc>
        <w:tc>
          <w:tcPr>
            <w:tcW w:w="1054" w:type="pct"/>
            <w:gridSpan w:val="2"/>
            <w:tcBorders>
              <w:bottom w:val="nil"/>
            </w:tcBorders>
          </w:tcPr>
          <w:p w14:paraId="7E814674"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Across 2 seasons</w:t>
            </w:r>
          </w:p>
        </w:tc>
      </w:tr>
      <w:tr w:rsidR="00C7280F" w:rsidRPr="009A4DCA" w14:paraId="5260FCCC" w14:textId="77777777" w:rsidTr="00421004">
        <w:trPr>
          <w:tblHeader/>
        </w:trPr>
        <w:tc>
          <w:tcPr>
            <w:tcW w:w="777" w:type="pct"/>
            <w:tcBorders>
              <w:top w:val="nil"/>
              <w:bottom w:val="nil"/>
            </w:tcBorders>
          </w:tcPr>
          <w:p w14:paraId="74A15FF0"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p>
        </w:tc>
        <w:tc>
          <w:tcPr>
            <w:tcW w:w="1057" w:type="pct"/>
            <w:gridSpan w:val="2"/>
            <w:tcBorders>
              <w:top w:val="nil"/>
            </w:tcBorders>
          </w:tcPr>
          <w:p w14:paraId="6DEA79DD"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6.78 months</w:t>
            </w:r>
          </w:p>
        </w:tc>
        <w:tc>
          <w:tcPr>
            <w:tcW w:w="1056" w:type="pct"/>
            <w:gridSpan w:val="2"/>
            <w:tcBorders>
              <w:top w:val="nil"/>
            </w:tcBorders>
          </w:tcPr>
          <w:p w14:paraId="575200E7"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7.05 months</w:t>
            </w:r>
          </w:p>
        </w:tc>
        <w:tc>
          <w:tcPr>
            <w:tcW w:w="1056" w:type="pct"/>
            <w:gridSpan w:val="2"/>
            <w:tcBorders>
              <w:top w:val="nil"/>
            </w:tcBorders>
          </w:tcPr>
          <w:p w14:paraId="7FF9943A"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7.59 months</w:t>
            </w:r>
          </w:p>
        </w:tc>
        <w:tc>
          <w:tcPr>
            <w:tcW w:w="1054" w:type="pct"/>
            <w:gridSpan w:val="2"/>
            <w:tcBorders>
              <w:top w:val="nil"/>
            </w:tcBorders>
          </w:tcPr>
          <w:p w14:paraId="24B86E02"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16.36 months</w:t>
            </w:r>
          </w:p>
        </w:tc>
      </w:tr>
      <w:tr w:rsidR="00C7280F" w:rsidRPr="009A4DCA" w14:paraId="5652BEFF" w14:textId="77777777" w:rsidTr="00421004">
        <w:trPr>
          <w:tblHeader/>
        </w:trPr>
        <w:tc>
          <w:tcPr>
            <w:tcW w:w="777" w:type="pct"/>
            <w:tcBorders>
              <w:top w:val="nil"/>
              <w:bottom w:val="single" w:sz="4" w:space="0" w:color="auto"/>
            </w:tcBorders>
          </w:tcPr>
          <w:p w14:paraId="6DCEEF2E"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p>
        </w:tc>
        <w:tc>
          <w:tcPr>
            <w:tcW w:w="528" w:type="pct"/>
            <w:tcBorders>
              <w:bottom w:val="single" w:sz="4" w:space="0" w:color="auto"/>
            </w:tcBorders>
          </w:tcPr>
          <w:p w14:paraId="36BAA615"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529" w:type="pct"/>
            <w:tcBorders>
              <w:bottom w:val="single" w:sz="4" w:space="0" w:color="auto"/>
            </w:tcBorders>
          </w:tcPr>
          <w:p w14:paraId="31823C89"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528" w:type="pct"/>
            <w:tcBorders>
              <w:bottom w:val="single" w:sz="4" w:space="0" w:color="auto"/>
            </w:tcBorders>
          </w:tcPr>
          <w:p w14:paraId="6C59237E"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528" w:type="pct"/>
            <w:tcBorders>
              <w:bottom w:val="single" w:sz="4" w:space="0" w:color="auto"/>
            </w:tcBorders>
          </w:tcPr>
          <w:p w14:paraId="32B37CCE"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528" w:type="pct"/>
            <w:tcBorders>
              <w:bottom w:val="single" w:sz="4" w:space="0" w:color="auto"/>
            </w:tcBorders>
          </w:tcPr>
          <w:p w14:paraId="2AC7B132"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528" w:type="pct"/>
            <w:tcBorders>
              <w:bottom w:val="single" w:sz="4" w:space="0" w:color="auto"/>
            </w:tcBorders>
          </w:tcPr>
          <w:p w14:paraId="49E59425"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528" w:type="pct"/>
            <w:tcBorders>
              <w:bottom w:val="single" w:sz="4" w:space="0" w:color="auto"/>
            </w:tcBorders>
          </w:tcPr>
          <w:p w14:paraId="07712623"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526" w:type="pct"/>
            <w:tcBorders>
              <w:bottom w:val="single" w:sz="4" w:space="0" w:color="auto"/>
            </w:tcBorders>
          </w:tcPr>
          <w:p w14:paraId="1AD0C643"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r>
      <w:tr w:rsidR="00C7280F" w:rsidRPr="009A4DCA" w14:paraId="6955D6DE" w14:textId="77777777" w:rsidTr="00421004">
        <w:trPr>
          <w:tblHeader/>
        </w:trPr>
        <w:tc>
          <w:tcPr>
            <w:tcW w:w="777" w:type="pct"/>
            <w:tcBorders>
              <w:top w:val="single" w:sz="4" w:space="0" w:color="auto"/>
              <w:bottom w:val="single" w:sz="4" w:space="0" w:color="auto"/>
            </w:tcBorders>
          </w:tcPr>
          <w:p w14:paraId="3F76217E" w14:textId="77777777" w:rsidR="00C7280F" w:rsidRPr="009A4DCA" w:rsidRDefault="00C7280F" w:rsidP="00BE2884">
            <w:pPr>
              <w:keepNext/>
              <w:keepLines/>
              <w:ind w:right="-49"/>
              <w:jc w:val="righ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N</w:t>
            </w:r>
          </w:p>
        </w:tc>
        <w:tc>
          <w:tcPr>
            <w:tcW w:w="528" w:type="pct"/>
            <w:tcBorders>
              <w:top w:val="single" w:sz="4" w:space="0" w:color="auto"/>
              <w:bottom w:val="single" w:sz="4" w:space="0" w:color="auto"/>
            </w:tcBorders>
          </w:tcPr>
          <w:p w14:paraId="31EFA4FC"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16,306</w:t>
            </w:r>
          </w:p>
        </w:tc>
        <w:tc>
          <w:tcPr>
            <w:tcW w:w="529" w:type="pct"/>
            <w:tcBorders>
              <w:top w:val="single" w:sz="4" w:space="0" w:color="auto"/>
              <w:bottom w:val="single" w:sz="4" w:space="0" w:color="auto"/>
            </w:tcBorders>
          </w:tcPr>
          <w:p w14:paraId="51991297"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16,308</w:t>
            </w:r>
          </w:p>
        </w:tc>
        <w:tc>
          <w:tcPr>
            <w:tcW w:w="528" w:type="pct"/>
            <w:tcBorders>
              <w:top w:val="single" w:sz="4" w:space="0" w:color="auto"/>
              <w:bottom w:val="single" w:sz="4" w:space="0" w:color="auto"/>
            </w:tcBorders>
          </w:tcPr>
          <w:p w14:paraId="786B09C9"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18,050</w:t>
            </w:r>
          </w:p>
        </w:tc>
        <w:tc>
          <w:tcPr>
            <w:tcW w:w="528" w:type="pct"/>
            <w:tcBorders>
              <w:top w:val="single" w:sz="4" w:space="0" w:color="auto"/>
              <w:bottom w:val="single" w:sz="4" w:space="0" w:color="auto"/>
            </w:tcBorders>
          </w:tcPr>
          <w:p w14:paraId="3D63698B"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18,074</w:t>
            </w:r>
          </w:p>
        </w:tc>
        <w:tc>
          <w:tcPr>
            <w:tcW w:w="528" w:type="pct"/>
            <w:tcBorders>
              <w:top w:val="single" w:sz="4" w:space="0" w:color="auto"/>
              <w:bottom w:val="single" w:sz="4" w:space="0" w:color="auto"/>
            </w:tcBorders>
          </w:tcPr>
          <w:p w14:paraId="29D4C759"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16,164</w:t>
            </w:r>
          </w:p>
        </w:tc>
        <w:tc>
          <w:tcPr>
            <w:tcW w:w="528" w:type="pct"/>
            <w:tcBorders>
              <w:top w:val="single" w:sz="4" w:space="0" w:color="auto"/>
              <w:bottom w:val="single" w:sz="4" w:space="0" w:color="auto"/>
            </w:tcBorders>
          </w:tcPr>
          <w:p w14:paraId="62F0709B"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16,059</w:t>
            </w:r>
          </w:p>
        </w:tc>
        <w:tc>
          <w:tcPr>
            <w:tcW w:w="528" w:type="pct"/>
            <w:tcBorders>
              <w:top w:val="single" w:sz="4" w:space="0" w:color="auto"/>
              <w:bottom w:val="single" w:sz="4" w:space="0" w:color="auto"/>
            </w:tcBorders>
          </w:tcPr>
          <w:p w14:paraId="3D1CCAE4"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18,050</w:t>
            </w:r>
          </w:p>
        </w:tc>
        <w:tc>
          <w:tcPr>
            <w:tcW w:w="526" w:type="pct"/>
            <w:tcBorders>
              <w:top w:val="single" w:sz="4" w:space="0" w:color="auto"/>
              <w:bottom w:val="single" w:sz="4" w:space="0" w:color="auto"/>
            </w:tcBorders>
          </w:tcPr>
          <w:p w14:paraId="14A06BD7"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18,074</w:t>
            </w:r>
          </w:p>
        </w:tc>
      </w:tr>
      <w:tr w:rsidR="00C7280F" w:rsidRPr="009A4DCA" w14:paraId="140772EF" w14:textId="77777777" w:rsidTr="00421004">
        <w:tc>
          <w:tcPr>
            <w:tcW w:w="5000" w:type="pct"/>
            <w:gridSpan w:val="9"/>
            <w:tcBorders>
              <w:top w:val="single" w:sz="4" w:space="0" w:color="auto"/>
              <w:bottom w:val="single" w:sz="4" w:space="0" w:color="auto"/>
            </w:tcBorders>
            <w:shd w:val="clear" w:color="auto" w:fill="D9D9D9" w:themeFill="background1" w:themeFillShade="D9"/>
          </w:tcPr>
          <w:p w14:paraId="1D20F298" w14:textId="48FDE8B6" w:rsidR="00C7280F" w:rsidRPr="009A4DCA" w:rsidRDefault="00C7280F" w:rsidP="00BE2884">
            <w:pPr>
              <w:keepNext/>
              <w:keepLines/>
              <w:ind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 xml:space="preserve">First episode of RSV-LRTI </w:t>
            </w:r>
            <w:bookmarkStart w:id="35" w:name="_Hlk176625980"/>
            <w:r w:rsidRPr="009A4DCA">
              <w:rPr>
                <w:rFonts w:ascii="Arial Narrow" w:eastAsiaTheme="majorEastAsia" w:hAnsi="Arial Narrow" w:cstheme="majorBidi"/>
                <w:b/>
                <w:bCs/>
                <w:sz w:val="20"/>
                <w:lang w:eastAsia="en-US"/>
              </w:rPr>
              <w:t>with ≥2 symptoms</w:t>
            </w:r>
            <w:bookmarkEnd w:id="35"/>
          </w:p>
        </w:tc>
      </w:tr>
      <w:tr w:rsidR="00C7280F" w:rsidRPr="009A4DCA" w14:paraId="0B72B8D5" w14:textId="77777777" w:rsidTr="00421004">
        <w:tc>
          <w:tcPr>
            <w:tcW w:w="777" w:type="pct"/>
            <w:tcBorders>
              <w:bottom w:val="nil"/>
              <w:right w:val="single" w:sz="4" w:space="0" w:color="auto"/>
            </w:tcBorders>
          </w:tcPr>
          <w:p w14:paraId="7CD0F9C3"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 (%)</w:t>
            </w:r>
          </w:p>
        </w:tc>
        <w:tc>
          <w:tcPr>
            <w:tcW w:w="528" w:type="pct"/>
            <w:tcBorders>
              <w:left w:val="single" w:sz="4" w:space="0" w:color="auto"/>
              <w:bottom w:val="nil"/>
              <w:right w:val="single" w:sz="4" w:space="0" w:color="auto"/>
            </w:tcBorders>
          </w:tcPr>
          <w:p w14:paraId="780A9DDB"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 (0.07)</w:t>
            </w:r>
          </w:p>
        </w:tc>
        <w:tc>
          <w:tcPr>
            <w:tcW w:w="529" w:type="pct"/>
            <w:tcBorders>
              <w:left w:val="single" w:sz="4" w:space="0" w:color="auto"/>
              <w:bottom w:val="nil"/>
              <w:right w:val="single" w:sz="4" w:space="0" w:color="auto"/>
            </w:tcBorders>
          </w:tcPr>
          <w:p w14:paraId="4A56C9A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33 (0.20)</w:t>
            </w:r>
          </w:p>
        </w:tc>
        <w:tc>
          <w:tcPr>
            <w:tcW w:w="528" w:type="pct"/>
            <w:tcBorders>
              <w:left w:val="single" w:sz="4" w:space="0" w:color="auto"/>
              <w:bottom w:val="nil"/>
              <w:right w:val="single" w:sz="4" w:space="0" w:color="auto"/>
            </w:tcBorders>
          </w:tcPr>
          <w:p w14:paraId="7E83DA1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 (0.08)</w:t>
            </w:r>
          </w:p>
        </w:tc>
        <w:tc>
          <w:tcPr>
            <w:tcW w:w="528" w:type="pct"/>
            <w:tcBorders>
              <w:left w:val="single" w:sz="4" w:space="0" w:color="auto"/>
              <w:bottom w:val="nil"/>
              <w:right w:val="single" w:sz="4" w:space="0" w:color="auto"/>
            </w:tcBorders>
          </w:tcPr>
          <w:p w14:paraId="2351D7C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43 (0.24)</w:t>
            </w:r>
          </w:p>
        </w:tc>
        <w:tc>
          <w:tcPr>
            <w:tcW w:w="528" w:type="pct"/>
            <w:tcBorders>
              <w:left w:val="single" w:sz="4" w:space="0" w:color="auto"/>
              <w:bottom w:val="nil"/>
              <w:right w:val="single" w:sz="4" w:space="0" w:color="auto"/>
            </w:tcBorders>
            <w:vAlign w:val="center"/>
          </w:tcPr>
          <w:p w14:paraId="15CFD53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39 (0.24)</w:t>
            </w:r>
          </w:p>
        </w:tc>
        <w:tc>
          <w:tcPr>
            <w:tcW w:w="528" w:type="pct"/>
            <w:tcBorders>
              <w:left w:val="single" w:sz="4" w:space="0" w:color="auto"/>
              <w:bottom w:val="nil"/>
              <w:right w:val="single" w:sz="4" w:space="0" w:color="auto"/>
            </w:tcBorders>
            <w:vAlign w:val="center"/>
          </w:tcPr>
          <w:p w14:paraId="61339CB5"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88 (0.55)</w:t>
            </w:r>
          </w:p>
        </w:tc>
        <w:tc>
          <w:tcPr>
            <w:tcW w:w="528" w:type="pct"/>
            <w:tcBorders>
              <w:left w:val="single" w:sz="4" w:space="0" w:color="auto"/>
              <w:bottom w:val="nil"/>
              <w:right w:val="single" w:sz="4" w:space="0" w:color="auto"/>
            </w:tcBorders>
            <w:vAlign w:val="center"/>
          </w:tcPr>
          <w:p w14:paraId="140FC40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54 (0.30)</w:t>
            </w:r>
          </w:p>
        </w:tc>
        <w:tc>
          <w:tcPr>
            <w:tcW w:w="526" w:type="pct"/>
            <w:tcBorders>
              <w:left w:val="single" w:sz="4" w:space="0" w:color="auto"/>
              <w:bottom w:val="nil"/>
            </w:tcBorders>
            <w:vAlign w:val="center"/>
          </w:tcPr>
          <w:p w14:paraId="3BDF956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131 (0.72)</w:t>
            </w:r>
          </w:p>
        </w:tc>
      </w:tr>
      <w:tr w:rsidR="00C7280F" w:rsidRPr="009A4DCA" w14:paraId="058033CD" w14:textId="77777777" w:rsidTr="00421004">
        <w:tc>
          <w:tcPr>
            <w:tcW w:w="777" w:type="pct"/>
            <w:tcBorders>
              <w:top w:val="nil"/>
              <w:bottom w:val="nil"/>
              <w:right w:val="single" w:sz="4" w:space="0" w:color="auto"/>
            </w:tcBorders>
          </w:tcPr>
          <w:p w14:paraId="4B2969E4"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28" w:type="pct"/>
            <w:tcBorders>
              <w:top w:val="nil"/>
              <w:left w:val="single" w:sz="4" w:space="0" w:color="auto"/>
              <w:bottom w:val="nil"/>
              <w:right w:val="single" w:sz="4" w:space="0" w:color="auto"/>
            </w:tcBorders>
          </w:tcPr>
          <w:p w14:paraId="0ED0379B"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1.19</w:t>
            </w:r>
          </w:p>
        </w:tc>
        <w:tc>
          <w:tcPr>
            <w:tcW w:w="529" w:type="pct"/>
            <w:tcBorders>
              <w:top w:val="nil"/>
              <w:left w:val="single" w:sz="4" w:space="0" w:color="auto"/>
              <w:bottom w:val="nil"/>
              <w:right w:val="single" w:sz="4" w:space="0" w:color="auto"/>
            </w:tcBorders>
          </w:tcPr>
          <w:p w14:paraId="64F1FEB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3.58</w:t>
            </w:r>
          </w:p>
        </w:tc>
        <w:tc>
          <w:tcPr>
            <w:tcW w:w="528" w:type="pct"/>
            <w:tcBorders>
              <w:top w:val="nil"/>
              <w:left w:val="single" w:sz="4" w:space="0" w:color="auto"/>
              <w:bottom w:val="nil"/>
              <w:right w:val="single" w:sz="4" w:space="0" w:color="auto"/>
            </w:tcBorders>
          </w:tcPr>
          <w:p w14:paraId="32C672C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1.41</w:t>
            </w:r>
          </w:p>
        </w:tc>
        <w:tc>
          <w:tcPr>
            <w:tcW w:w="528" w:type="pct"/>
            <w:tcBorders>
              <w:top w:val="nil"/>
              <w:left w:val="single" w:sz="4" w:space="0" w:color="auto"/>
              <w:bottom w:val="nil"/>
              <w:right w:val="single" w:sz="4" w:space="0" w:color="auto"/>
            </w:tcBorders>
          </w:tcPr>
          <w:p w14:paraId="022EE9A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4.06</w:t>
            </w:r>
          </w:p>
        </w:tc>
        <w:tc>
          <w:tcPr>
            <w:tcW w:w="528" w:type="pct"/>
            <w:tcBorders>
              <w:top w:val="nil"/>
              <w:left w:val="single" w:sz="4" w:space="0" w:color="auto"/>
              <w:bottom w:val="nil"/>
              <w:right w:val="single" w:sz="4" w:space="0" w:color="auto"/>
            </w:tcBorders>
            <w:vAlign w:val="center"/>
          </w:tcPr>
          <w:p w14:paraId="5CC69AE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3.83</w:t>
            </w:r>
          </w:p>
        </w:tc>
        <w:tc>
          <w:tcPr>
            <w:tcW w:w="528" w:type="pct"/>
            <w:tcBorders>
              <w:top w:val="nil"/>
              <w:left w:val="single" w:sz="4" w:space="0" w:color="auto"/>
              <w:bottom w:val="nil"/>
              <w:right w:val="single" w:sz="4" w:space="0" w:color="auto"/>
            </w:tcBorders>
            <w:vAlign w:val="center"/>
          </w:tcPr>
          <w:p w14:paraId="4A32B8E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8.63</w:t>
            </w:r>
          </w:p>
        </w:tc>
        <w:tc>
          <w:tcPr>
            <w:tcW w:w="528" w:type="pct"/>
            <w:tcBorders>
              <w:top w:val="nil"/>
              <w:left w:val="single" w:sz="4" w:space="0" w:color="auto"/>
              <w:bottom w:val="nil"/>
              <w:right w:val="single" w:sz="4" w:space="0" w:color="auto"/>
            </w:tcBorders>
            <w:vAlign w:val="center"/>
          </w:tcPr>
          <w:p w14:paraId="16ECBDAE"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2.19</w:t>
            </w:r>
          </w:p>
        </w:tc>
        <w:tc>
          <w:tcPr>
            <w:tcW w:w="526" w:type="pct"/>
            <w:tcBorders>
              <w:top w:val="nil"/>
              <w:left w:val="single" w:sz="4" w:space="0" w:color="auto"/>
              <w:bottom w:val="nil"/>
            </w:tcBorders>
            <w:vAlign w:val="center"/>
          </w:tcPr>
          <w:p w14:paraId="1335796E"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5.32</w:t>
            </w:r>
          </w:p>
        </w:tc>
      </w:tr>
      <w:tr w:rsidR="00C7280F" w:rsidRPr="009A4DCA" w14:paraId="7F08C09B" w14:textId="77777777" w:rsidTr="00421004">
        <w:tc>
          <w:tcPr>
            <w:tcW w:w="777" w:type="pct"/>
            <w:tcBorders>
              <w:top w:val="nil"/>
              <w:bottom w:val="single" w:sz="4" w:space="0" w:color="auto"/>
              <w:right w:val="single" w:sz="4" w:space="0" w:color="auto"/>
            </w:tcBorders>
          </w:tcPr>
          <w:p w14:paraId="224FF3DA"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1057" w:type="pct"/>
            <w:gridSpan w:val="2"/>
            <w:tcBorders>
              <w:top w:val="nil"/>
              <w:left w:val="single" w:sz="4" w:space="0" w:color="auto"/>
              <w:bottom w:val="single" w:sz="4" w:space="0" w:color="auto"/>
              <w:right w:val="single" w:sz="4" w:space="0" w:color="auto"/>
            </w:tcBorders>
            <w:shd w:val="clear" w:color="auto" w:fill="auto"/>
          </w:tcPr>
          <w:p w14:paraId="704AA465"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66.7 (28.8, 85.8)*</w:t>
            </w:r>
          </w:p>
        </w:tc>
        <w:tc>
          <w:tcPr>
            <w:tcW w:w="1056" w:type="pct"/>
            <w:gridSpan w:val="2"/>
            <w:tcBorders>
              <w:top w:val="nil"/>
              <w:left w:val="single" w:sz="4" w:space="0" w:color="auto"/>
              <w:bottom w:val="single" w:sz="4" w:space="0" w:color="auto"/>
              <w:right w:val="single" w:sz="4" w:space="0" w:color="auto"/>
            </w:tcBorders>
            <w:shd w:val="clear" w:color="auto" w:fill="auto"/>
          </w:tcPr>
          <w:p w14:paraId="7A91AB5A"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65.1 (35.9, 82.0)*</w:t>
            </w:r>
          </w:p>
        </w:tc>
        <w:tc>
          <w:tcPr>
            <w:tcW w:w="1056" w:type="pct"/>
            <w:gridSpan w:val="2"/>
            <w:tcBorders>
              <w:top w:val="nil"/>
              <w:left w:val="single" w:sz="4" w:space="0" w:color="auto"/>
              <w:bottom w:val="single" w:sz="4" w:space="0" w:color="auto"/>
              <w:right w:val="single" w:sz="4" w:space="0" w:color="auto"/>
            </w:tcBorders>
            <w:shd w:val="clear" w:color="auto" w:fill="auto"/>
          </w:tcPr>
          <w:p w14:paraId="416794DB"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55.7 (34.7, 70.4)*</w:t>
            </w:r>
          </w:p>
        </w:tc>
        <w:tc>
          <w:tcPr>
            <w:tcW w:w="1054" w:type="pct"/>
            <w:gridSpan w:val="2"/>
            <w:tcBorders>
              <w:top w:val="nil"/>
              <w:left w:val="single" w:sz="4" w:space="0" w:color="auto"/>
              <w:bottom w:val="single" w:sz="4" w:space="0" w:color="auto"/>
              <w:right w:val="single" w:sz="4" w:space="0" w:color="auto"/>
            </w:tcBorders>
            <w:shd w:val="clear" w:color="auto" w:fill="auto"/>
          </w:tcPr>
          <w:p w14:paraId="3DC66475"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58.8 (43.0, 70.6)*</w:t>
            </w:r>
          </w:p>
        </w:tc>
      </w:tr>
      <w:tr w:rsidR="00C7280F" w:rsidRPr="009A4DCA" w14:paraId="7B632491" w14:textId="77777777" w:rsidTr="00421004">
        <w:tc>
          <w:tcPr>
            <w:tcW w:w="777" w:type="pct"/>
            <w:tcBorders>
              <w:top w:val="single" w:sz="4" w:space="0" w:color="auto"/>
              <w:bottom w:val="nil"/>
              <w:right w:val="single" w:sz="4" w:space="0" w:color="auto"/>
            </w:tcBorders>
          </w:tcPr>
          <w:p w14:paraId="0DD1EDED"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RSV-A, n (%)</w:t>
            </w:r>
          </w:p>
        </w:tc>
        <w:tc>
          <w:tcPr>
            <w:tcW w:w="528" w:type="pct"/>
            <w:tcBorders>
              <w:top w:val="single" w:sz="4" w:space="0" w:color="auto"/>
              <w:left w:val="single" w:sz="4" w:space="0" w:color="auto"/>
              <w:bottom w:val="nil"/>
              <w:right w:val="single" w:sz="4" w:space="0" w:color="auto"/>
            </w:tcBorders>
            <w:shd w:val="clear" w:color="auto" w:fill="auto"/>
          </w:tcPr>
          <w:p w14:paraId="49A15B1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29" w:type="pct"/>
            <w:tcBorders>
              <w:top w:val="single" w:sz="4" w:space="0" w:color="auto"/>
              <w:left w:val="single" w:sz="4" w:space="0" w:color="auto"/>
              <w:bottom w:val="nil"/>
              <w:right w:val="single" w:sz="4" w:space="0" w:color="auto"/>
            </w:tcBorders>
            <w:shd w:val="clear" w:color="auto" w:fill="auto"/>
          </w:tcPr>
          <w:p w14:paraId="4E2F56F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 (0.06)</w:t>
            </w:r>
          </w:p>
        </w:tc>
        <w:tc>
          <w:tcPr>
            <w:tcW w:w="528" w:type="pct"/>
            <w:tcBorders>
              <w:top w:val="single" w:sz="4" w:space="0" w:color="auto"/>
              <w:left w:val="single" w:sz="4" w:space="0" w:color="auto"/>
              <w:bottom w:val="nil"/>
              <w:right w:val="single" w:sz="4" w:space="0" w:color="auto"/>
            </w:tcBorders>
            <w:shd w:val="clear" w:color="auto" w:fill="auto"/>
          </w:tcPr>
          <w:p w14:paraId="09283FF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 (0.02)</w:t>
            </w:r>
          </w:p>
        </w:tc>
        <w:tc>
          <w:tcPr>
            <w:tcW w:w="528" w:type="pct"/>
            <w:tcBorders>
              <w:top w:val="single" w:sz="4" w:space="0" w:color="auto"/>
              <w:left w:val="single" w:sz="4" w:space="0" w:color="auto"/>
              <w:bottom w:val="nil"/>
              <w:right w:val="single" w:sz="4" w:space="0" w:color="auto"/>
            </w:tcBorders>
            <w:shd w:val="clear" w:color="auto" w:fill="auto"/>
          </w:tcPr>
          <w:p w14:paraId="682B82DB"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 (0.09)</w:t>
            </w:r>
          </w:p>
        </w:tc>
        <w:tc>
          <w:tcPr>
            <w:tcW w:w="528" w:type="pct"/>
            <w:tcBorders>
              <w:top w:val="single" w:sz="4" w:space="0" w:color="auto"/>
              <w:left w:val="single" w:sz="4" w:space="0" w:color="auto"/>
              <w:bottom w:val="nil"/>
              <w:right w:val="single" w:sz="4" w:space="0" w:color="auto"/>
            </w:tcBorders>
            <w:shd w:val="clear" w:color="auto" w:fill="auto"/>
            <w:vAlign w:val="center"/>
          </w:tcPr>
          <w:p w14:paraId="6848035E"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 (0.15)</w:t>
            </w:r>
          </w:p>
        </w:tc>
        <w:tc>
          <w:tcPr>
            <w:tcW w:w="528" w:type="pct"/>
            <w:tcBorders>
              <w:top w:val="single" w:sz="4" w:space="0" w:color="auto"/>
              <w:left w:val="single" w:sz="4" w:space="0" w:color="auto"/>
              <w:bottom w:val="nil"/>
              <w:right w:val="single" w:sz="4" w:space="0" w:color="auto"/>
            </w:tcBorders>
            <w:shd w:val="clear" w:color="auto" w:fill="auto"/>
            <w:vAlign w:val="center"/>
          </w:tcPr>
          <w:p w14:paraId="2DB617F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64 (0.4)</w:t>
            </w:r>
          </w:p>
        </w:tc>
        <w:tc>
          <w:tcPr>
            <w:tcW w:w="528" w:type="pct"/>
            <w:tcBorders>
              <w:top w:val="single" w:sz="4" w:space="0" w:color="auto"/>
              <w:left w:val="single" w:sz="4" w:space="0" w:color="auto"/>
              <w:bottom w:val="nil"/>
              <w:right w:val="single" w:sz="4" w:space="0" w:color="auto"/>
            </w:tcBorders>
            <w:shd w:val="clear" w:color="auto" w:fill="auto"/>
            <w:vAlign w:val="center"/>
          </w:tcPr>
          <w:p w14:paraId="3DC36C3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27 (0.15)</w:t>
            </w:r>
          </w:p>
        </w:tc>
        <w:tc>
          <w:tcPr>
            <w:tcW w:w="526" w:type="pct"/>
            <w:tcBorders>
              <w:top w:val="single" w:sz="4" w:space="0" w:color="auto"/>
              <w:left w:val="single" w:sz="4" w:space="0" w:color="auto"/>
              <w:bottom w:val="nil"/>
            </w:tcBorders>
            <w:shd w:val="clear" w:color="auto" w:fill="auto"/>
            <w:vAlign w:val="center"/>
          </w:tcPr>
          <w:p w14:paraId="0D1BB7B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80 (0.44)</w:t>
            </w:r>
          </w:p>
        </w:tc>
      </w:tr>
      <w:tr w:rsidR="00C7280F" w:rsidRPr="009A4DCA" w14:paraId="6C292E6B" w14:textId="77777777" w:rsidTr="00421004">
        <w:tc>
          <w:tcPr>
            <w:tcW w:w="777" w:type="pct"/>
            <w:tcBorders>
              <w:top w:val="nil"/>
              <w:bottom w:val="nil"/>
              <w:right w:val="single" w:sz="4" w:space="0" w:color="auto"/>
            </w:tcBorders>
          </w:tcPr>
          <w:p w14:paraId="257EC703"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28" w:type="pct"/>
            <w:tcBorders>
              <w:top w:val="nil"/>
              <w:left w:val="single" w:sz="4" w:space="0" w:color="auto"/>
              <w:bottom w:val="nil"/>
              <w:right w:val="single" w:sz="4" w:space="0" w:color="auto"/>
            </w:tcBorders>
            <w:shd w:val="clear" w:color="auto" w:fill="auto"/>
          </w:tcPr>
          <w:p w14:paraId="0BA58D25"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0.11</w:t>
            </w:r>
          </w:p>
        </w:tc>
        <w:tc>
          <w:tcPr>
            <w:tcW w:w="529" w:type="pct"/>
            <w:tcBorders>
              <w:top w:val="nil"/>
              <w:left w:val="single" w:sz="4" w:space="0" w:color="auto"/>
              <w:bottom w:val="nil"/>
              <w:right w:val="single" w:sz="4" w:space="0" w:color="auto"/>
            </w:tcBorders>
            <w:shd w:val="clear" w:color="auto" w:fill="auto"/>
          </w:tcPr>
          <w:p w14:paraId="692469C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0.98</w:t>
            </w:r>
          </w:p>
        </w:tc>
        <w:tc>
          <w:tcPr>
            <w:tcW w:w="528" w:type="pct"/>
            <w:tcBorders>
              <w:top w:val="nil"/>
              <w:left w:val="single" w:sz="4" w:space="0" w:color="auto"/>
              <w:bottom w:val="nil"/>
              <w:right w:val="single" w:sz="4" w:space="0" w:color="auto"/>
            </w:tcBorders>
            <w:shd w:val="clear" w:color="auto" w:fill="auto"/>
          </w:tcPr>
          <w:p w14:paraId="34F9FC7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0.28</w:t>
            </w:r>
          </w:p>
        </w:tc>
        <w:tc>
          <w:tcPr>
            <w:tcW w:w="528" w:type="pct"/>
            <w:tcBorders>
              <w:top w:val="nil"/>
              <w:left w:val="single" w:sz="4" w:space="0" w:color="auto"/>
              <w:bottom w:val="nil"/>
              <w:right w:val="single" w:sz="4" w:space="0" w:color="auto"/>
            </w:tcBorders>
            <w:shd w:val="clear" w:color="auto" w:fill="auto"/>
          </w:tcPr>
          <w:p w14:paraId="7558060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1.51</w:t>
            </w:r>
          </w:p>
        </w:tc>
        <w:tc>
          <w:tcPr>
            <w:tcW w:w="528" w:type="pct"/>
            <w:tcBorders>
              <w:top w:val="nil"/>
              <w:left w:val="single" w:sz="4" w:space="0" w:color="auto"/>
              <w:bottom w:val="nil"/>
              <w:right w:val="single" w:sz="4" w:space="0" w:color="auto"/>
            </w:tcBorders>
            <w:shd w:val="clear" w:color="auto" w:fill="auto"/>
            <w:vAlign w:val="center"/>
          </w:tcPr>
          <w:p w14:paraId="4CECF4DE"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2.36</w:t>
            </w:r>
          </w:p>
        </w:tc>
        <w:tc>
          <w:tcPr>
            <w:tcW w:w="528" w:type="pct"/>
            <w:tcBorders>
              <w:top w:val="nil"/>
              <w:left w:val="single" w:sz="4" w:space="0" w:color="auto"/>
              <w:bottom w:val="nil"/>
              <w:right w:val="single" w:sz="4" w:space="0" w:color="auto"/>
            </w:tcBorders>
            <w:shd w:val="clear" w:color="auto" w:fill="auto"/>
            <w:vAlign w:val="center"/>
          </w:tcPr>
          <w:p w14:paraId="397AC1E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6.27</w:t>
            </w:r>
          </w:p>
        </w:tc>
        <w:tc>
          <w:tcPr>
            <w:tcW w:w="528" w:type="pct"/>
            <w:tcBorders>
              <w:top w:val="nil"/>
              <w:left w:val="single" w:sz="4" w:space="0" w:color="auto"/>
              <w:bottom w:val="nil"/>
              <w:right w:val="single" w:sz="4" w:space="0" w:color="auto"/>
            </w:tcBorders>
            <w:shd w:val="clear" w:color="auto" w:fill="auto"/>
            <w:vAlign w:val="center"/>
          </w:tcPr>
          <w:p w14:paraId="356D081E"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w:t>
            </w:r>
          </w:p>
        </w:tc>
        <w:tc>
          <w:tcPr>
            <w:tcW w:w="526" w:type="pct"/>
            <w:tcBorders>
              <w:top w:val="nil"/>
              <w:left w:val="single" w:sz="4" w:space="0" w:color="auto"/>
              <w:bottom w:val="nil"/>
            </w:tcBorders>
            <w:shd w:val="clear" w:color="auto" w:fill="auto"/>
            <w:vAlign w:val="center"/>
          </w:tcPr>
          <w:p w14:paraId="32DD3AE5"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3.25</w:t>
            </w:r>
          </w:p>
        </w:tc>
      </w:tr>
      <w:tr w:rsidR="00C7280F" w:rsidRPr="009A4DCA" w14:paraId="56DBF3B6" w14:textId="77777777" w:rsidTr="00421004">
        <w:tc>
          <w:tcPr>
            <w:tcW w:w="777" w:type="pct"/>
            <w:tcBorders>
              <w:top w:val="nil"/>
              <w:bottom w:val="single" w:sz="4" w:space="0" w:color="auto"/>
              <w:right w:val="single" w:sz="4" w:space="0" w:color="auto"/>
            </w:tcBorders>
          </w:tcPr>
          <w:p w14:paraId="02E6A6CD"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1057" w:type="pct"/>
            <w:gridSpan w:val="2"/>
            <w:tcBorders>
              <w:top w:val="nil"/>
              <w:left w:val="single" w:sz="4" w:space="0" w:color="auto"/>
              <w:bottom w:val="single" w:sz="4" w:space="0" w:color="auto"/>
              <w:right w:val="single" w:sz="4" w:space="0" w:color="auto"/>
            </w:tcBorders>
            <w:shd w:val="clear" w:color="auto" w:fill="auto"/>
          </w:tcPr>
          <w:p w14:paraId="6599B78C"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88.9 (10.6, 99.8)</w:t>
            </w:r>
          </w:p>
        </w:tc>
        <w:tc>
          <w:tcPr>
            <w:tcW w:w="1056" w:type="pct"/>
            <w:gridSpan w:val="2"/>
            <w:tcBorders>
              <w:top w:val="nil"/>
              <w:left w:val="single" w:sz="4" w:space="0" w:color="auto"/>
              <w:bottom w:val="single" w:sz="4" w:space="0" w:color="auto"/>
              <w:right w:val="single" w:sz="4" w:space="0" w:color="auto"/>
            </w:tcBorders>
            <w:shd w:val="clear" w:color="auto" w:fill="auto"/>
          </w:tcPr>
          <w:p w14:paraId="55237517" w14:textId="77777777" w:rsidR="00C7280F" w:rsidRPr="009A4DCA" w:rsidRDefault="00C7280F" w:rsidP="00BE2884">
            <w:pPr>
              <w:keepNext/>
              <w:keepLines/>
              <w:ind w:right="17"/>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81.3 (34.5, 96.5)*</w:t>
            </w:r>
          </w:p>
        </w:tc>
        <w:tc>
          <w:tcPr>
            <w:tcW w:w="1056" w:type="pct"/>
            <w:gridSpan w:val="2"/>
            <w:tcBorders>
              <w:top w:val="nil"/>
              <w:left w:val="single" w:sz="4" w:space="0" w:color="auto"/>
              <w:bottom w:val="single" w:sz="4" w:space="0" w:color="auto"/>
              <w:right w:val="single" w:sz="4" w:space="0" w:color="auto"/>
            </w:tcBorders>
            <w:shd w:val="clear" w:color="auto" w:fill="auto"/>
          </w:tcPr>
          <w:p w14:paraId="4C4FCE2B"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62.5 (39.2, 77.6)*</w:t>
            </w:r>
          </w:p>
        </w:tc>
        <w:tc>
          <w:tcPr>
            <w:tcW w:w="1054" w:type="pct"/>
            <w:gridSpan w:val="2"/>
            <w:tcBorders>
              <w:top w:val="nil"/>
              <w:left w:val="single" w:sz="4" w:space="0" w:color="auto"/>
              <w:bottom w:val="single" w:sz="4" w:space="0" w:color="auto"/>
              <w:right w:val="single" w:sz="4" w:space="0" w:color="auto"/>
            </w:tcBorders>
            <w:shd w:val="clear" w:color="auto" w:fill="auto"/>
          </w:tcPr>
          <w:p w14:paraId="2CA52728"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66.3 (47.2, 79.0)*</w:t>
            </w:r>
          </w:p>
        </w:tc>
      </w:tr>
      <w:tr w:rsidR="00C7280F" w:rsidRPr="009A4DCA" w14:paraId="4D5CB555" w14:textId="77777777" w:rsidTr="00421004">
        <w:tc>
          <w:tcPr>
            <w:tcW w:w="777" w:type="pct"/>
            <w:tcBorders>
              <w:top w:val="single" w:sz="4" w:space="0" w:color="auto"/>
              <w:bottom w:val="nil"/>
              <w:right w:val="single" w:sz="4" w:space="0" w:color="auto"/>
            </w:tcBorders>
          </w:tcPr>
          <w:p w14:paraId="4F216036"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RSV-B, n (%)</w:t>
            </w:r>
          </w:p>
        </w:tc>
        <w:tc>
          <w:tcPr>
            <w:tcW w:w="528" w:type="pct"/>
            <w:tcBorders>
              <w:top w:val="single" w:sz="4" w:space="0" w:color="auto"/>
              <w:left w:val="single" w:sz="4" w:space="0" w:color="auto"/>
              <w:bottom w:val="nil"/>
              <w:right w:val="single" w:sz="4" w:space="0" w:color="auto"/>
            </w:tcBorders>
            <w:shd w:val="clear" w:color="auto" w:fill="auto"/>
          </w:tcPr>
          <w:p w14:paraId="4E74E25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 (0.06)</w:t>
            </w:r>
          </w:p>
        </w:tc>
        <w:tc>
          <w:tcPr>
            <w:tcW w:w="529" w:type="pct"/>
            <w:tcBorders>
              <w:top w:val="single" w:sz="4" w:space="0" w:color="auto"/>
              <w:left w:val="single" w:sz="4" w:space="0" w:color="auto"/>
              <w:bottom w:val="nil"/>
              <w:right w:val="single" w:sz="4" w:space="0" w:color="auto"/>
            </w:tcBorders>
            <w:shd w:val="clear" w:color="auto" w:fill="auto"/>
          </w:tcPr>
          <w:p w14:paraId="751B0A1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23 (0.14)</w:t>
            </w:r>
          </w:p>
        </w:tc>
        <w:tc>
          <w:tcPr>
            <w:tcW w:w="528" w:type="pct"/>
            <w:tcBorders>
              <w:top w:val="single" w:sz="4" w:space="0" w:color="auto"/>
              <w:left w:val="single" w:sz="4" w:space="0" w:color="auto"/>
              <w:bottom w:val="nil"/>
              <w:right w:val="single" w:sz="4" w:space="0" w:color="auto"/>
            </w:tcBorders>
            <w:shd w:val="clear" w:color="auto" w:fill="auto"/>
          </w:tcPr>
          <w:p w14:paraId="295E742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 (0.07)</w:t>
            </w:r>
          </w:p>
        </w:tc>
        <w:tc>
          <w:tcPr>
            <w:tcW w:w="528" w:type="pct"/>
            <w:tcBorders>
              <w:top w:val="single" w:sz="4" w:space="0" w:color="auto"/>
              <w:left w:val="single" w:sz="4" w:space="0" w:color="auto"/>
              <w:bottom w:val="nil"/>
              <w:right w:val="single" w:sz="4" w:space="0" w:color="auto"/>
            </w:tcBorders>
            <w:shd w:val="clear" w:color="auto" w:fill="auto"/>
          </w:tcPr>
          <w:p w14:paraId="279A38A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26 (0.14)</w:t>
            </w:r>
          </w:p>
        </w:tc>
        <w:tc>
          <w:tcPr>
            <w:tcW w:w="528" w:type="pct"/>
            <w:tcBorders>
              <w:top w:val="single" w:sz="4" w:space="0" w:color="auto"/>
              <w:left w:val="single" w:sz="4" w:space="0" w:color="auto"/>
              <w:bottom w:val="nil"/>
              <w:right w:val="single" w:sz="4" w:space="0" w:color="auto"/>
            </w:tcBorders>
            <w:shd w:val="clear" w:color="auto" w:fill="auto"/>
            <w:vAlign w:val="center"/>
          </w:tcPr>
          <w:p w14:paraId="627C6BFB"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14 (0.09)</w:t>
            </w:r>
          </w:p>
        </w:tc>
        <w:tc>
          <w:tcPr>
            <w:tcW w:w="528" w:type="pct"/>
            <w:tcBorders>
              <w:top w:val="single" w:sz="4" w:space="0" w:color="auto"/>
              <w:left w:val="single" w:sz="4" w:space="0" w:color="auto"/>
              <w:bottom w:val="nil"/>
              <w:right w:val="single" w:sz="4" w:space="0" w:color="auto"/>
            </w:tcBorders>
            <w:shd w:val="clear" w:color="auto" w:fill="auto"/>
            <w:vAlign w:val="center"/>
          </w:tcPr>
          <w:p w14:paraId="5A476C0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26 (0.16)</w:t>
            </w:r>
          </w:p>
        </w:tc>
        <w:tc>
          <w:tcPr>
            <w:tcW w:w="528" w:type="pct"/>
            <w:tcBorders>
              <w:top w:val="single" w:sz="4" w:space="0" w:color="auto"/>
              <w:left w:val="single" w:sz="4" w:space="0" w:color="auto"/>
              <w:bottom w:val="nil"/>
              <w:right w:val="single" w:sz="4" w:space="0" w:color="auto"/>
            </w:tcBorders>
            <w:shd w:val="clear" w:color="auto" w:fill="auto"/>
            <w:vAlign w:val="center"/>
          </w:tcPr>
          <w:p w14:paraId="01090FD5"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26 (0.14)</w:t>
            </w:r>
          </w:p>
        </w:tc>
        <w:tc>
          <w:tcPr>
            <w:tcW w:w="526" w:type="pct"/>
            <w:tcBorders>
              <w:top w:val="single" w:sz="4" w:space="0" w:color="auto"/>
              <w:left w:val="single" w:sz="4" w:space="0" w:color="auto"/>
              <w:bottom w:val="nil"/>
            </w:tcBorders>
            <w:shd w:val="clear" w:color="auto" w:fill="auto"/>
            <w:vAlign w:val="center"/>
          </w:tcPr>
          <w:p w14:paraId="53B1217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52 (0.29)</w:t>
            </w:r>
          </w:p>
        </w:tc>
      </w:tr>
      <w:tr w:rsidR="00C7280F" w:rsidRPr="009A4DCA" w14:paraId="0015ACD0" w14:textId="77777777" w:rsidTr="00421004">
        <w:tc>
          <w:tcPr>
            <w:tcW w:w="777" w:type="pct"/>
            <w:tcBorders>
              <w:top w:val="nil"/>
              <w:bottom w:val="nil"/>
              <w:right w:val="single" w:sz="4" w:space="0" w:color="auto"/>
            </w:tcBorders>
          </w:tcPr>
          <w:p w14:paraId="78A5558B"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28" w:type="pct"/>
            <w:tcBorders>
              <w:top w:val="nil"/>
              <w:left w:val="single" w:sz="4" w:space="0" w:color="auto"/>
              <w:bottom w:val="nil"/>
              <w:right w:val="single" w:sz="4" w:space="0" w:color="auto"/>
            </w:tcBorders>
            <w:shd w:val="clear" w:color="auto" w:fill="auto"/>
          </w:tcPr>
          <w:p w14:paraId="79CFA34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1.08</w:t>
            </w:r>
          </w:p>
        </w:tc>
        <w:tc>
          <w:tcPr>
            <w:tcW w:w="529" w:type="pct"/>
            <w:tcBorders>
              <w:top w:val="nil"/>
              <w:left w:val="single" w:sz="4" w:space="0" w:color="auto"/>
              <w:bottom w:val="nil"/>
              <w:right w:val="single" w:sz="4" w:space="0" w:color="auto"/>
            </w:tcBorders>
            <w:shd w:val="clear" w:color="auto" w:fill="auto"/>
          </w:tcPr>
          <w:p w14:paraId="2DB7459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2.50</w:t>
            </w:r>
          </w:p>
        </w:tc>
        <w:tc>
          <w:tcPr>
            <w:tcW w:w="528" w:type="pct"/>
            <w:tcBorders>
              <w:top w:val="nil"/>
              <w:left w:val="single" w:sz="4" w:space="0" w:color="auto"/>
              <w:bottom w:val="nil"/>
              <w:right w:val="single" w:sz="4" w:space="0" w:color="auto"/>
            </w:tcBorders>
            <w:shd w:val="clear" w:color="auto" w:fill="auto"/>
          </w:tcPr>
          <w:p w14:paraId="6AF57C4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w:t>
            </w:r>
          </w:p>
        </w:tc>
        <w:tc>
          <w:tcPr>
            <w:tcW w:w="528" w:type="pct"/>
            <w:tcBorders>
              <w:top w:val="nil"/>
              <w:left w:val="single" w:sz="4" w:space="0" w:color="auto"/>
              <w:bottom w:val="nil"/>
              <w:right w:val="single" w:sz="4" w:space="0" w:color="auto"/>
            </w:tcBorders>
            <w:shd w:val="clear" w:color="auto" w:fill="auto"/>
          </w:tcPr>
          <w:p w14:paraId="66ACD7F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2.45</w:t>
            </w:r>
          </w:p>
        </w:tc>
        <w:tc>
          <w:tcPr>
            <w:tcW w:w="528" w:type="pct"/>
            <w:tcBorders>
              <w:top w:val="nil"/>
              <w:left w:val="single" w:sz="4" w:space="0" w:color="auto"/>
              <w:bottom w:val="nil"/>
              <w:right w:val="single" w:sz="4" w:space="0" w:color="auto"/>
            </w:tcBorders>
            <w:shd w:val="clear" w:color="auto" w:fill="auto"/>
            <w:vAlign w:val="center"/>
          </w:tcPr>
          <w:p w14:paraId="0FE6702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1.38</w:t>
            </w:r>
          </w:p>
        </w:tc>
        <w:tc>
          <w:tcPr>
            <w:tcW w:w="528" w:type="pct"/>
            <w:tcBorders>
              <w:top w:val="nil"/>
              <w:left w:val="single" w:sz="4" w:space="0" w:color="auto"/>
              <w:bottom w:val="nil"/>
              <w:right w:val="single" w:sz="4" w:space="0" w:color="auto"/>
            </w:tcBorders>
            <w:shd w:val="clear" w:color="auto" w:fill="auto"/>
            <w:vAlign w:val="center"/>
          </w:tcPr>
          <w:p w14:paraId="16697C4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2.55</w:t>
            </w:r>
          </w:p>
        </w:tc>
        <w:tc>
          <w:tcPr>
            <w:tcW w:w="528" w:type="pct"/>
            <w:tcBorders>
              <w:top w:val="nil"/>
              <w:left w:val="single" w:sz="4" w:space="0" w:color="auto"/>
              <w:bottom w:val="nil"/>
              <w:right w:val="single" w:sz="4" w:space="0" w:color="auto"/>
            </w:tcBorders>
            <w:shd w:val="clear" w:color="auto" w:fill="auto"/>
            <w:vAlign w:val="center"/>
          </w:tcPr>
          <w:p w14:paraId="67D2AB0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1.05</w:t>
            </w:r>
          </w:p>
        </w:tc>
        <w:tc>
          <w:tcPr>
            <w:tcW w:w="526" w:type="pct"/>
            <w:tcBorders>
              <w:top w:val="nil"/>
              <w:left w:val="single" w:sz="4" w:space="0" w:color="auto"/>
              <w:bottom w:val="nil"/>
            </w:tcBorders>
            <w:shd w:val="clear" w:color="auto" w:fill="auto"/>
            <w:vAlign w:val="center"/>
          </w:tcPr>
          <w:p w14:paraId="17F72A1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2.11</w:t>
            </w:r>
          </w:p>
        </w:tc>
      </w:tr>
      <w:tr w:rsidR="00C7280F" w:rsidRPr="009A4DCA" w14:paraId="5DF8BF6C" w14:textId="77777777" w:rsidTr="00421004">
        <w:tc>
          <w:tcPr>
            <w:tcW w:w="777" w:type="pct"/>
            <w:tcBorders>
              <w:top w:val="nil"/>
              <w:right w:val="single" w:sz="4" w:space="0" w:color="auto"/>
            </w:tcBorders>
          </w:tcPr>
          <w:p w14:paraId="5A936AD9"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1057" w:type="pct"/>
            <w:gridSpan w:val="2"/>
            <w:tcBorders>
              <w:top w:val="nil"/>
              <w:left w:val="single" w:sz="4" w:space="0" w:color="auto"/>
              <w:right w:val="single" w:sz="4" w:space="0" w:color="auto"/>
            </w:tcBorders>
            <w:shd w:val="clear" w:color="auto" w:fill="auto"/>
          </w:tcPr>
          <w:p w14:paraId="6476E504"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56.5 (-0.7, 82.8)</w:t>
            </w:r>
          </w:p>
        </w:tc>
        <w:tc>
          <w:tcPr>
            <w:tcW w:w="1056" w:type="pct"/>
            <w:gridSpan w:val="2"/>
            <w:tcBorders>
              <w:top w:val="nil"/>
              <w:left w:val="single" w:sz="4" w:space="0" w:color="auto"/>
              <w:right w:val="single" w:sz="4" w:space="0" w:color="auto"/>
            </w:tcBorders>
            <w:shd w:val="clear" w:color="auto" w:fill="auto"/>
          </w:tcPr>
          <w:p w14:paraId="403CBE4B"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53.8 (5.2, 78.8)</w:t>
            </w:r>
          </w:p>
        </w:tc>
        <w:tc>
          <w:tcPr>
            <w:tcW w:w="1056" w:type="pct"/>
            <w:gridSpan w:val="2"/>
            <w:tcBorders>
              <w:top w:val="nil"/>
              <w:left w:val="single" w:sz="4" w:space="0" w:color="auto"/>
              <w:right w:val="single" w:sz="4" w:space="0" w:color="auto"/>
            </w:tcBorders>
            <w:shd w:val="clear" w:color="auto" w:fill="auto"/>
          </w:tcPr>
          <w:p w14:paraId="755D160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46.2 (-7.0, 74.0)</w:t>
            </w:r>
          </w:p>
        </w:tc>
        <w:tc>
          <w:tcPr>
            <w:tcW w:w="1054" w:type="pct"/>
            <w:gridSpan w:val="2"/>
            <w:tcBorders>
              <w:top w:val="nil"/>
              <w:left w:val="single" w:sz="4" w:space="0" w:color="auto"/>
              <w:right w:val="single" w:sz="4" w:space="0" w:color="auto"/>
            </w:tcBorders>
            <w:shd w:val="clear" w:color="auto" w:fill="auto"/>
          </w:tcPr>
          <w:p w14:paraId="0F2372D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
                <w:sz w:val="20"/>
                <w:lang w:eastAsia="en-US"/>
              </w:rPr>
              <w:t>50.0 (18.5, 70.0)</w:t>
            </w:r>
          </w:p>
        </w:tc>
      </w:tr>
      <w:tr w:rsidR="00C7280F" w:rsidRPr="009A4DCA" w14:paraId="36BDD2F9" w14:textId="77777777" w:rsidTr="00421004">
        <w:tc>
          <w:tcPr>
            <w:tcW w:w="5000" w:type="pct"/>
            <w:gridSpan w:val="9"/>
            <w:tcBorders>
              <w:bottom w:val="single" w:sz="4" w:space="0" w:color="auto"/>
            </w:tcBorders>
            <w:shd w:val="clear" w:color="auto" w:fill="D9D9D9" w:themeFill="background1" w:themeFillShade="D9"/>
          </w:tcPr>
          <w:p w14:paraId="2AD489F9" w14:textId="4FD575AB" w:rsidR="00C7280F" w:rsidRPr="009A4DCA" w:rsidRDefault="00C7280F" w:rsidP="00BE2884">
            <w:pPr>
              <w:keepNext/>
              <w:keepLines/>
              <w:ind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 episode of RSV-LRTI with ≥3 symptoms</w:t>
            </w:r>
          </w:p>
        </w:tc>
      </w:tr>
      <w:tr w:rsidR="00C7280F" w:rsidRPr="009A4DCA" w14:paraId="7E8DDC56" w14:textId="77777777" w:rsidTr="00421004">
        <w:tc>
          <w:tcPr>
            <w:tcW w:w="777" w:type="pct"/>
            <w:tcBorders>
              <w:bottom w:val="nil"/>
              <w:right w:val="single" w:sz="4" w:space="0" w:color="auto"/>
            </w:tcBorders>
          </w:tcPr>
          <w:p w14:paraId="2B53792B"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 (%)</w:t>
            </w:r>
          </w:p>
        </w:tc>
        <w:tc>
          <w:tcPr>
            <w:tcW w:w="528" w:type="pct"/>
            <w:tcBorders>
              <w:left w:val="single" w:sz="4" w:space="0" w:color="auto"/>
              <w:bottom w:val="nil"/>
              <w:right w:val="single" w:sz="4" w:space="0" w:color="auto"/>
            </w:tcBorders>
            <w:shd w:val="clear" w:color="auto" w:fill="auto"/>
          </w:tcPr>
          <w:p w14:paraId="3C5C30E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 (0.01)</w:t>
            </w:r>
          </w:p>
        </w:tc>
        <w:tc>
          <w:tcPr>
            <w:tcW w:w="529" w:type="pct"/>
            <w:tcBorders>
              <w:left w:val="single" w:sz="4" w:space="0" w:color="auto"/>
              <w:bottom w:val="nil"/>
              <w:right w:val="single" w:sz="4" w:space="0" w:color="auto"/>
            </w:tcBorders>
            <w:shd w:val="clear" w:color="auto" w:fill="auto"/>
          </w:tcPr>
          <w:p w14:paraId="37CBDB7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14 (0.09)</w:t>
            </w:r>
          </w:p>
        </w:tc>
        <w:tc>
          <w:tcPr>
            <w:tcW w:w="528" w:type="pct"/>
            <w:tcBorders>
              <w:left w:val="single" w:sz="4" w:space="0" w:color="auto"/>
              <w:bottom w:val="nil"/>
              <w:right w:val="single" w:sz="4" w:space="0" w:color="auto"/>
            </w:tcBorders>
            <w:shd w:val="clear" w:color="auto" w:fill="auto"/>
          </w:tcPr>
          <w:p w14:paraId="22AE3E4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 (0.01)</w:t>
            </w:r>
          </w:p>
        </w:tc>
        <w:tc>
          <w:tcPr>
            <w:tcW w:w="528" w:type="pct"/>
            <w:tcBorders>
              <w:left w:val="single" w:sz="4" w:space="0" w:color="auto"/>
              <w:bottom w:val="nil"/>
              <w:right w:val="single" w:sz="4" w:space="0" w:color="auto"/>
            </w:tcBorders>
            <w:shd w:val="clear" w:color="auto" w:fill="auto"/>
          </w:tcPr>
          <w:p w14:paraId="119783B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 (0.10)</w:t>
            </w:r>
          </w:p>
        </w:tc>
        <w:tc>
          <w:tcPr>
            <w:tcW w:w="528" w:type="pct"/>
            <w:tcBorders>
              <w:left w:val="single" w:sz="4" w:space="0" w:color="auto"/>
              <w:bottom w:val="nil"/>
              <w:right w:val="single" w:sz="4" w:space="0" w:color="auto"/>
            </w:tcBorders>
            <w:shd w:val="clear" w:color="auto" w:fill="auto"/>
            <w:vAlign w:val="center"/>
          </w:tcPr>
          <w:p w14:paraId="7CA56C4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 (0.05)</w:t>
            </w:r>
          </w:p>
        </w:tc>
        <w:tc>
          <w:tcPr>
            <w:tcW w:w="528" w:type="pct"/>
            <w:tcBorders>
              <w:left w:val="single" w:sz="4" w:space="0" w:color="auto"/>
              <w:bottom w:val="nil"/>
              <w:right w:val="single" w:sz="4" w:space="0" w:color="auto"/>
            </w:tcBorders>
            <w:shd w:val="clear" w:color="auto" w:fill="auto"/>
            <w:vAlign w:val="center"/>
          </w:tcPr>
          <w:p w14:paraId="7137EDB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36 (0.22)</w:t>
            </w:r>
          </w:p>
        </w:tc>
        <w:tc>
          <w:tcPr>
            <w:tcW w:w="528" w:type="pct"/>
            <w:tcBorders>
              <w:left w:val="single" w:sz="4" w:space="0" w:color="auto"/>
              <w:bottom w:val="nil"/>
              <w:right w:val="single" w:sz="4" w:space="0" w:color="auto"/>
            </w:tcBorders>
            <w:shd w:val="clear" w:color="auto" w:fill="auto"/>
            <w:vAlign w:val="center"/>
          </w:tcPr>
          <w:p w14:paraId="09A713C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 (0.06)</w:t>
            </w:r>
          </w:p>
        </w:tc>
        <w:tc>
          <w:tcPr>
            <w:tcW w:w="526" w:type="pct"/>
            <w:tcBorders>
              <w:left w:val="single" w:sz="4" w:space="0" w:color="auto"/>
              <w:bottom w:val="nil"/>
            </w:tcBorders>
            <w:shd w:val="clear" w:color="auto" w:fill="auto"/>
            <w:vAlign w:val="center"/>
          </w:tcPr>
          <w:p w14:paraId="69AF20E5"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54 (0.30)</w:t>
            </w:r>
          </w:p>
        </w:tc>
      </w:tr>
      <w:tr w:rsidR="00C7280F" w:rsidRPr="009A4DCA" w14:paraId="18F65F56" w14:textId="77777777" w:rsidTr="00421004">
        <w:tc>
          <w:tcPr>
            <w:tcW w:w="777" w:type="pct"/>
            <w:tcBorders>
              <w:top w:val="nil"/>
              <w:bottom w:val="nil"/>
              <w:right w:val="single" w:sz="4" w:space="0" w:color="auto"/>
            </w:tcBorders>
          </w:tcPr>
          <w:p w14:paraId="234AC5B5"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28" w:type="pct"/>
            <w:tcBorders>
              <w:top w:val="nil"/>
              <w:left w:val="single" w:sz="4" w:space="0" w:color="auto"/>
              <w:bottom w:val="nil"/>
              <w:right w:val="single" w:sz="4" w:space="0" w:color="auto"/>
            </w:tcBorders>
            <w:shd w:val="clear" w:color="auto" w:fill="auto"/>
          </w:tcPr>
          <w:p w14:paraId="068F6AF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0.22</w:t>
            </w:r>
          </w:p>
        </w:tc>
        <w:tc>
          <w:tcPr>
            <w:tcW w:w="529" w:type="pct"/>
            <w:tcBorders>
              <w:top w:val="nil"/>
              <w:left w:val="single" w:sz="4" w:space="0" w:color="auto"/>
              <w:bottom w:val="nil"/>
              <w:right w:val="single" w:sz="4" w:space="0" w:color="auto"/>
            </w:tcBorders>
            <w:shd w:val="clear" w:color="auto" w:fill="auto"/>
          </w:tcPr>
          <w:p w14:paraId="4707B17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1.52</w:t>
            </w:r>
          </w:p>
        </w:tc>
        <w:tc>
          <w:tcPr>
            <w:tcW w:w="528" w:type="pct"/>
            <w:tcBorders>
              <w:top w:val="nil"/>
              <w:left w:val="single" w:sz="4" w:space="0" w:color="auto"/>
              <w:bottom w:val="nil"/>
              <w:right w:val="single" w:sz="4" w:space="0" w:color="auto"/>
            </w:tcBorders>
            <w:shd w:val="clear" w:color="auto" w:fill="auto"/>
          </w:tcPr>
          <w:p w14:paraId="0D30085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0.19</w:t>
            </w:r>
          </w:p>
        </w:tc>
        <w:tc>
          <w:tcPr>
            <w:tcW w:w="528" w:type="pct"/>
            <w:tcBorders>
              <w:top w:val="nil"/>
              <w:left w:val="single" w:sz="4" w:space="0" w:color="auto"/>
              <w:bottom w:val="nil"/>
              <w:right w:val="single" w:sz="4" w:space="0" w:color="auto"/>
            </w:tcBorders>
            <w:shd w:val="clear" w:color="auto" w:fill="auto"/>
          </w:tcPr>
          <w:p w14:paraId="06BD7B0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1.70</w:t>
            </w:r>
          </w:p>
        </w:tc>
        <w:tc>
          <w:tcPr>
            <w:tcW w:w="528" w:type="pct"/>
            <w:tcBorders>
              <w:top w:val="nil"/>
              <w:left w:val="single" w:sz="4" w:space="0" w:color="auto"/>
              <w:bottom w:val="nil"/>
              <w:right w:val="single" w:sz="4" w:space="0" w:color="auto"/>
            </w:tcBorders>
            <w:shd w:val="clear" w:color="auto" w:fill="auto"/>
            <w:vAlign w:val="center"/>
          </w:tcPr>
          <w:p w14:paraId="2E24971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0.79</w:t>
            </w:r>
          </w:p>
        </w:tc>
        <w:tc>
          <w:tcPr>
            <w:tcW w:w="528" w:type="pct"/>
            <w:tcBorders>
              <w:top w:val="nil"/>
              <w:left w:val="single" w:sz="4" w:space="0" w:color="auto"/>
              <w:bottom w:val="nil"/>
              <w:right w:val="single" w:sz="4" w:space="0" w:color="auto"/>
            </w:tcBorders>
            <w:shd w:val="clear" w:color="auto" w:fill="auto"/>
            <w:vAlign w:val="center"/>
          </w:tcPr>
          <w:p w14:paraId="4CC4993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3.53</w:t>
            </w:r>
          </w:p>
        </w:tc>
        <w:tc>
          <w:tcPr>
            <w:tcW w:w="528" w:type="pct"/>
            <w:tcBorders>
              <w:top w:val="nil"/>
              <w:left w:val="single" w:sz="4" w:space="0" w:color="auto"/>
              <w:bottom w:val="nil"/>
              <w:right w:val="single" w:sz="4" w:space="0" w:color="auto"/>
            </w:tcBorders>
            <w:shd w:val="clear" w:color="auto" w:fill="auto"/>
            <w:vAlign w:val="center"/>
          </w:tcPr>
          <w:p w14:paraId="2D364FE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0.41</w:t>
            </w:r>
          </w:p>
        </w:tc>
        <w:tc>
          <w:tcPr>
            <w:tcW w:w="526" w:type="pct"/>
            <w:tcBorders>
              <w:top w:val="nil"/>
              <w:left w:val="single" w:sz="4" w:space="0" w:color="auto"/>
              <w:bottom w:val="nil"/>
            </w:tcBorders>
            <w:shd w:val="clear" w:color="auto" w:fill="auto"/>
            <w:vAlign w:val="center"/>
          </w:tcPr>
          <w:p w14:paraId="17A4665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2.19</w:t>
            </w:r>
          </w:p>
        </w:tc>
      </w:tr>
      <w:tr w:rsidR="00C7280F" w:rsidRPr="009A4DCA" w14:paraId="004A6F23" w14:textId="77777777" w:rsidTr="00421004">
        <w:tc>
          <w:tcPr>
            <w:tcW w:w="777" w:type="pct"/>
            <w:tcBorders>
              <w:top w:val="nil"/>
              <w:bottom w:val="single" w:sz="4" w:space="0" w:color="auto"/>
              <w:right w:val="single" w:sz="4" w:space="0" w:color="auto"/>
            </w:tcBorders>
          </w:tcPr>
          <w:p w14:paraId="3EB43046"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1057" w:type="pct"/>
            <w:gridSpan w:val="2"/>
            <w:tcBorders>
              <w:top w:val="nil"/>
              <w:left w:val="single" w:sz="4" w:space="0" w:color="auto"/>
              <w:bottom w:val="single" w:sz="4" w:space="0" w:color="auto"/>
              <w:right w:val="single" w:sz="4" w:space="0" w:color="auto"/>
            </w:tcBorders>
            <w:shd w:val="clear" w:color="auto" w:fill="auto"/>
          </w:tcPr>
          <w:p w14:paraId="21ACB297"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85.7 (32.0, 98.7)*</w:t>
            </w:r>
          </w:p>
        </w:tc>
        <w:tc>
          <w:tcPr>
            <w:tcW w:w="1056" w:type="pct"/>
            <w:gridSpan w:val="2"/>
            <w:tcBorders>
              <w:top w:val="nil"/>
              <w:left w:val="single" w:sz="4" w:space="0" w:color="auto"/>
              <w:bottom w:val="single" w:sz="4" w:space="0" w:color="auto"/>
              <w:right w:val="single" w:sz="4" w:space="0" w:color="auto"/>
            </w:tcBorders>
            <w:shd w:val="clear" w:color="auto" w:fill="auto"/>
          </w:tcPr>
          <w:p w14:paraId="794C176E"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88.9 (53.6, 98.7)*</w:t>
            </w:r>
          </w:p>
        </w:tc>
        <w:tc>
          <w:tcPr>
            <w:tcW w:w="1056" w:type="pct"/>
            <w:gridSpan w:val="2"/>
            <w:tcBorders>
              <w:top w:val="nil"/>
              <w:left w:val="single" w:sz="4" w:space="0" w:color="auto"/>
              <w:bottom w:val="single" w:sz="4" w:space="0" w:color="auto"/>
              <w:right w:val="single" w:sz="4" w:space="0" w:color="auto"/>
            </w:tcBorders>
            <w:shd w:val="clear" w:color="auto" w:fill="auto"/>
          </w:tcPr>
          <w:p w14:paraId="772BC939"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77.8 (51.4, 91.1)*</w:t>
            </w:r>
          </w:p>
        </w:tc>
        <w:tc>
          <w:tcPr>
            <w:tcW w:w="1054" w:type="pct"/>
            <w:gridSpan w:val="2"/>
            <w:tcBorders>
              <w:top w:val="nil"/>
              <w:left w:val="single" w:sz="4" w:space="0" w:color="auto"/>
              <w:bottom w:val="single" w:sz="4" w:space="0" w:color="auto"/>
              <w:right w:val="single" w:sz="4" w:space="0" w:color="auto"/>
            </w:tcBorders>
            <w:shd w:val="clear" w:color="auto" w:fill="auto"/>
          </w:tcPr>
          <w:p w14:paraId="65D3900F"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81.5 (63.3, 91.6)*</w:t>
            </w:r>
          </w:p>
        </w:tc>
      </w:tr>
      <w:tr w:rsidR="00C7280F" w:rsidRPr="009A4DCA" w14:paraId="447087E7" w14:textId="77777777" w:rsidTr="00421004">
        <w:tc>
          <w:tcPr>
            <w:tcW w:w="777" w:type="pct"/>
            <w:tcBorders>
              <w:top w:val="single" w:sz="4" w:space="0" w:color="auto"/>
              <w:bottom w:val="nil"/>
              <w:right w:val="single" w:sz="4" w:space="0" w:color="auto"/>
            </w:tcBorders>
          </w:tcPr>
          <w:p w14:paraId="42964378"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RSV-A, n (%)</w:t>
            </w:r>
          </w:p>
        </w:tc>
        <w:tc>
          <w:tcPr>
            <w:tcW w:w="528" w:type="pct"/>
            <w:tcBorders>
              <w:top w:val="single" w:sz="4" w:space="0" w:color="auto"/>
              <w:left w:val="single" w:sz="4" w:space="0" w:color="auto"/>
              <w:bottom w:val="nil"/>
              <w:right w:val="single" w:sz="4" w:space="0" w:color="auto"/>
            </w:tcBorders>
            <w:shd w:val="clear" w:color="auto" w:fill="auto"/>
          </w:tcPr>
          <w:p w14:paraId="19A71D7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29" w:type="pct"/>
            <w:tcBorders>
              <w:top w:val="single" w:sz="4" w:space="0" w:color="auto"/>
              <w:left w:val="single" w:sz="4" w:space="0" w:color="auto"/>
              <w:bottom w:val="nil"/>
              <w:right w:val="single" w:sz="4" w:space="0" w:color="auto"/>
            </w:tcBorders>
            <w:shd w:val="clear" w:color="auto" w:fill="auto"/>
          </w:tcPr>
          <w:p w14:paraId="3B21984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 (0.02)</w:t>
            </w:r>
          </w:p>
        </w:tc>
        <w:tc>
          <w:tcPr>
            <w:tcW w:w="528" w:type="pct"/>
            <w:tcBorders>
              <w:top w:val="single" w:sz="4" w:space="0" w:color="auto"/>
              <w:left w:val="single" w:sz="4" w:space="0" w:color="auto"/>
              <w:bottom w:val="nil"/>
              <w:right w:val="single" w:sz="4" w:space="0" w:color="auto"/>
            </w:tcBorders>
            <w:shd w:val="clear" w:color="auto" w:fill="auto"/>
          </w:tcPr>
          <w:p w14:paraId="12DA901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28" w:type="pct"/>
            <w:tcBorders>
              <w:top w:val="single" w:sz="4" w:space="0" w:color="auto"/>
              <w:left w:val="single" w:sz="4" w:space="0" w:color="auto"/>
              <w:bottom w:val="nil"/>
              <w:right w:val="single" w:sz="4" w:space="0" w:color="auto"/>
            </w:tcBorders>
            <w:shd w:val="clear" w:color="auto" w:fill="auto"/>
          </w:tcPr>
          <w:p w14:paraId="65D5943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 (0.03)</w:t>
            </w:r>
          </w:p>
        </w:tc>
        <w:tc>
          <w:tcPr>
            <w:tcW w:w="528" w:type="pct"/>
            <w:tcBorders>
              <w:top w:val="single" w:sz="4" w:space="0" w:color="auto"/>
              <w:left w:val="single" w:sz="4" w:space="0" w:color="auto"/>
              <w:bottom w:val="nil"/>
              <w:right w:val="single" w:sz="4" w:space="0" w:color="auto"/>
            </w:tcBorders>
            <w:shd w:val="clear" w:color="auto" w:fill="auto"/>
            <w:vAlign w:val="center"/>
          </w:tcPr>
          <w:p w14:paraId="4DA4237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 (0.03)</w:t>
            </w:r>
          </w:p>
        </w:tc>
        <w:tc>
          <w:tcPr>
            <w:tcW w:w="528" w:type="pct"/>
            <w:tcBorders>
              <w:top w:val="single" w:sz="4" w:space="0" w:color="auto"/>
              <w:left w:val="single" w:sz="4" w:space="0" w:color="auto"/>
              <w:bottom w:val="nil"/>
              <w:right w:val="single" w:sz="4" w:space="0" w:color="auto"/>
            </w:tcBorders>
            <w:shd w:val="clear" w:color="auto" w:fill="auto"/>
            <w:vAlign w:val="center"/>
          </w:tcPr>
          <w:p w14:paraId="2CF0DD5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26 (0.16)</w:t>
            </w:r>
          </w:p>
        </w:tc>
        <w:tc>
          <w:tcPr>
            <w:tcW w:w="528" w:type="pct"/>
            <w:tcBorders>
              <w:top w:val="single" w:sz="4" w:space="0" w:color="auto"/>
              <w:left w:val="single" w:sz="4" w:space="0" w:color="auto"/>
              <w:bottom w:val="nil"/>
              <w:right w:val="single" w:sz="4" w:space="0" w:color="auto"/>
            </w:tcBorders>
            <w:shd w:val="clear" w:color="auto" w:fill="auto"/>
            <w:vAlign w:val="center"/>
          </w:tcPr>
          <w:p w14:paraId="2F679E3B"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 (0.03)</w:t>
            </w:r>
          </w:p>
        </w:tc>
        <w:tc>
          <w:tcPr>
            <w:tcW w:w="526" w:type="pct"/>
            <w:tcBorders>
              <w:top w:val="single" w:sz="4" w:space="0" w:color="auto"/>
              <w:left w:val="single" w:sz="4" w:space="0" w:color="auto"/>
              <w:bottom w:val="nil"/>
            </w:tcBorders>
            <w:shd w:val="clear" w:color="auto" w:fill="auto"/>
            <w:vAlign w:val="center"/>
          </w:tcPr>
          <w:p w14:paraId="352E188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31 (0.17)</w:t>
            </w:r>
          </w:p>
        </w:tc>
      </w:tr>
      <w:tr w:rsidR="00C7280F" w:rsidRPr="009A4DCA" w14:paraId="76CF88CE" w14:textId="77777777" w:rsidTr="00421004">
        <w:tc>
          <w:tcPr>
            <w:tcW w:w="777" w:type="pct"/>
            <w:tcBorders>
              <w:top w:val="nil"/>
              <w:bottom w:val="nil"/>
              <w:right w:val="single" w:sz="4" w:space="0" w:color="auto"/>
            </w:tcBorders>
          </w:tcPr>
          <w:p w14:paraId="2C1A88FA"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28" w:type="pct"/>
            <w:tcBorders>
              <w:top w:val="nil"/>
              <w:left w:val="single" w:sz="4" w:space="0" w:color="auto"/>
              <w:bottom w:val="nil"/>
              <w:right w:val="single" w:sz="4" w:space="0" w:color="auto"/>
            </w:tcBorders>
            <w:shd w:val="clear" w:color="auto" w:fill="auto"/>
          </w:tcPr>
          <w:p w14:paraId="1105B36B"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0.11</w:t>
            </w:r>
          </w:p>
        </w:tc>
        <w:tc>
          <w:tcPr>
            <w:tcW w:w="529" w:type="pct"/>
            <w:tcBorders>
              <w:top w:val="nil"/>
              <w:left w:val="single" w:sz="4" w:space="0" w:color="auto"/>
              <w:bottom w:val="nil"/>
              <w:right w:val="single" w:sz="4" w:space="0" w:color="auto"/>
            </w:tcBorders>
            <w:shd w:val="clear" w:color="auto" w:fill="auto"/>
          </w:tcPr>
          <w:p w14:paraId="22C0C61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0.33</w:t>
            </w:r>
          </w:p>
        </w:tc>
        <w:tc>
          <w:tcPr>
            <w:tcW w:w="528" w:type="pct"/>
            <w:tcBorders>
              <w:top w:val="nil"/>
              <w:left w:val="single" w:sz="4" w:space="0" w:color="auto"/>
              <w:bottom w:val="nil"/>
              <w:right w:val="single" w:sz="4" w:space="0" w:color="auto"/>
            </w:tcBorders>
            <w:shd w:val="clear" w:color="auto" w:fill="auto"/>
          </w:tcPr>
          <w:p w14:paraId="587D5A3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0.09</w:t>
            </w:r>
          </w:p>
        </w:tc>
        <w:tc>
          <w:tcPr>
            <w:tcW w:w="528" w:type="pct"/>
            <w:tcBorders>
              <w:top w:val="nil"/>
              <w:left w:val="single" w:sz="4" w:space="0" w:color="auto"/>
              <w:bottom w:val="nil"/>
              <w:right w:val="single" w:sz="4" w:space="0" w:color="auto"/>
            </w:tcBorders>
            <w:shd w:val="clear" w:color="auto" w:fill="auto"/>
          </w:tcPr>
          <w:p w14:paraId="5BFAF0B5"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0.47</w:t>
            </w:r>
          </w:p>
        </w:tc>
        <w:tc>
          <w:tcPr>
            <w:tcW w:w="528" w:type="pct"/>
            <w:tcBorders>
              <w:top w:val="nil"/>
              <w:left w:val="single" w:sz="4" w:space="0" w:color="auto"/>
              <w:bottom w:val="nil"/>
              <w:right w:val="single" w:sz="4" w:space="0" w:color="auto"/>
            </w:tcBorders>
            <w:shd w:val="clear" w:color="auto" w:fill="auto"/>
            <w:vAlign w:val="center"/>
          </w:tcPr>
          <w:p w14:paraId="44F12BD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0.49</w:t>
            </w:r>
          </w:p>
        </w:tc>
        <w:tc>
          <w:tcPr>
            <w:tcW w:w="528" w:type="pct"/>
            <w:tcBorders>
              <w:top w:val="nil"/>
              <w:left w:val="single" w:sz="4" w:space="0" w:color="auto"/>
              <w:bottom w:val="nil"/>
              <w:right w:val="single" w:sz="4" w:space="0" w:color="auto"/>
            </w:tcBorders>
            <w:shd w:val="clear" w:color="auto" w:fill="auto"/>
            <w:vAlign w:val="center"/>
          </w:tcPr>
          <w:p w14:paraId="732BBA0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2.55</w:t>
            </w:r>
          </w:p>
        </w:tc>
        <w:tc>
          <w:tcPr>
            <w:tcW w:w="528" w:type="pct"/>
            <w:tcBorders>
              <w:top w:val="nil"/>
              <w:left w:val="single" w:sz="4" w:space="0" w:color="auto"/>
              <w:bottom w:val="nil"/>
              <w:right w:val="single" w:sz="4" w:space="0" w:color="auto"/>
            </w:tcBorders>
            <w:shd w:val="clear" w:color="auto" w:fill="auto"/>
            <w:vAlign w:val="center"/>
          </w:tcPr>
          <w:p w14:paraId="6F8BD5E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0.24</w:t>
            </w:r>
          </w:p>
        </w:tc>
        <w:tc>
          <w:tcPr>
            <w:tcW w:w="526" w:type="pct"/>
            <w:tcBorders>
              <w:top w:val="nil"/>
              <w:left w:val="single" w:sz="4" w:space="0" w:color="auto"/>
              <w:bottom w:val="nil"/>
            </w:tcBorders>
            <w:shd w:val="clear" w:color="auto" w:fill="auto"/>
            <w:vAlign w:val="center"/>
          </w:tcPr>
          <w:p w14:paraId="629B31B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1.26</w:t>
            </w:r>
          </w:p>
        </w:tc>
      </w:tr>
      <w:tr w:rsidR="00C7280F" w:rsidRPr="009A4DCA" w14:paraId="303FFFF6" w14:textId="77777777" w:rsidTr="00421004">
        <w:tc>
          <w:tcPr>
            <w:tcW w:w="777" w:type="pct"/>
            <w:tcBorders>
              <w:top w:val="nil"/>
              <w:bottom w:val="single" w:sz="4" w:space="0" w:color="auto"/>
              <w:right w:val="single" w:sz="4" w:space="0" w:color="auto"/>
            </w:tcBorders>
          </w:tcPr>
          <w:p w14:paraId="12C037AE"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1057" w:type="pct"/>
            <w:gridSpan w:val="2"/>
            <w:tcBorders>
              <w:top w:val="nil"/>
              <w:left w:val="single" w:sz="4" w:space="0" w:color="auto"/>
              <w:bottom w:val="single" w:sz="4" w:space="0" w:color="auto"/>
              <w:right w:val="single" w:sz="4" w:space="0" w:color="auto"/>
            </w:tcBorders>
            <w:shd w:val="clear" w:color="auto" w:fill="auto"/>
          </w:tcPr>
          <w:p w14:paraId="7324D6F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66.7 (-393.7, 99.6)</w:t>
            </w:r>
          </w:p>
        </w:tc>
        <w:tc>
          <w:tcPr>
            <w:tcW w:w="1056" w:type="pct"/>
            <w:gridSpan w:val="2"/>
            <w:tcBorders>
              <w:top w:val="nil"/>
              <w:left w:val="single" w:sz="4" w:space="0" w:color="auto"/>
              <w:bottom w:val="single" w:sz="4" w:space="0" w:color="auto"/>
              <w:right w:val="single" w:sz="4" w:space="0" w:color="auto"/>
            </w:tcBorders>
            <w:shd w:val="clear" w:color="auto" w:fill="auto"/>
          </w:tcPr>
          <w:p w14:paraId="6757A9E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80.0 (-78.7, 99.6)</w:t>
            </w:r>
          </w:p>
        </w:tc>
        <w:tc>
          <w:tcPr>
            <w:tcW w:w="1056" w:type="pct"/>
            <w:gridSpan w:val="2"/>
            <w:tcBorders>
              <w:top w:val="nil"/>
              <w:left w:val="single" w:sz="4" w:space="0" w:color="auto"/>
              <w:bottom w:val="single" w:sz="4" w:space="0" w:color="auto"/>
              <w:right w:val="single" w:sz="4" w:space="0" w:color="auto"/>
            </w:tcBorders>
            <w:shd w:val="clear" w:color="auto" w:fill="auto"/>
          </w:tcPr>
          <w:p w14:paraId="291D0929"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80.8 (49.1, 94.2)*</w:t>
            </w:r>
          </w:p>
        </w:tc>
        <w:tc>
          <w:tcPr>
            <w:tcW w:w="1054" w:type="pct"/>
            <w:gridSpan w:val="2"/>
            <w:tcBorders>
              <w:top w:val="nil"/>
              <w:left w:val="single" w:sz="4" w:space="0" w:color="auto"/>
              <w:bottom w:val="single" w:sz="4" w:space="0" w:color="auto"/>
              <w:right w:val="single" w:sz="4" w:space="0" w:color="auto"/>
            </w:tcBorders>
            <w:shd w:val="clear" w:color="auto" w:fill="auto"/>
          </w:tcPr>
          <w:p w14:paraId="59F53D5D"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80.6 (52.9, 93.4)*</w:t>
            </w:r>
          </w:p>
        </w:tc>
      </w:tr>
      <w:tr w:rsidR="00C7280F" w:rsidRPr="009A4DCA" w14:paraId="60EF82FC" w14:textId="77777777" w:rsidTr="00421004">
        <w:tc>
          <w:tcPr>
            <w:tcW w:w="777" w:type="pct"/>
            <w:tcBorders>
              <w:top w:val="single" w:sz="4" w:space="0" w:color="auto"/>
              <w:bottom w:val="nil"/>
              <w:right w:val="single" w:sz="4" w:space="0" w:color="auto"/>
            </w:tcBorders>
          </w:tcPr>
          <w:p w14:paraId="224B5EC7"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RSV-B, n (%)</w:t>
            </w:r>
          </w:p>
        </w:tc>
        <w:tc>
          <w:tcPr>
            <w:tcW w:w="528" w:type="pct"/>
            <w:tcBorders>
              <w:top w:val="single" w:sz="4" w:space="0" w:color="auto"/>
              <w:left w:val="single" w:sz="4" w:space="0" w:color="auto"/>
              <w:bottom w:val="nil"/>
              <w:right w:val="single" w:sz="4" w:space="0" w:color="auto"/>
            </w:tcBorders>
            <w:shd w:val="clear" w:color="auto" w:fill="auto"/>
          </w:tcPr>
          <w:p w14:paraId="407FCD0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29" w:type="pct"/>
            <w:tcBorders>
              <w:top w:val="single" w:sz="4" w:space="0" w:color="auto"/>
              <w:left w:val="single" w:sz="4" w:space="0" w:color="auto"/>
              <w:bottom w:val="nil"/>
              <w:right w:val="single" w:sz="4" w:space="0" w:color="auto"/>
            </w:tcBorders>
            <w:shd w:val="clear" w:color="auto" w:fill="auto"/>
          </w:tcPr>
          <w:p w14:paraId="01E9BCD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 (0.06)</w:t>
            </w:r>
          </w:p>
        </w:tc>
        <w:tc>
          <w:tcPr>
            <w:tcW w:w="528" w:type="pct"/>
            <w:tcBorders>
              <w:top w:val="single" w:sz="4" w:space="0" w:color="auto"/>
              <w:left w:val="single" w:sz="4" w:space="0" w:color="auto"/>
              <w:bottom w:val="nil"/>
              <w:right w:val="single" w:sz="4" w:space="0" w:color="auto"/>
            </w:tcBorders>
            <w:shd w:val="clear" w:color="auto" w:fill="auto"/>
          </w:tcPr>
          <w:p w14:paraId="7EFD830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28" w:type="pct"/>
            <w:tcBorders>
              <w:top w:val="single" w:sz="4" w:space="0" w:color="auto"/>
              <w:left w:val="single" w:sz="4" w:space="0" w:color="auto"/>
              <w:bottom w:val="nil"/>
              <w:right w:val="single" w:sz="4" w:space="0" w:color="auto"/>
            </w:tcBorders>
            <w:shd w:val="clear" w:color="auto" w:fill="auto"/>
          </w:tcPr>
          <w:p w14:paraId="5E97987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 (0.07)</w:t>
            </w:r>
          </w:p>
        </w:tc>
        <w:tc>
          <w:tcPr>
            <w:tcW w:w="528" w:type="pct"/>
            <w:tcBorders>
              <w:top w:val="single" w:sz="4" w:space="0" w:color="auto"/>
              <w:left w:val="single" w:sz="4" w:space="0" w:color="auto"/>
              <w:bottom w:val="nil"/>
              <w:right w:val="single" w:sz="4" w:space="0" w:color="auto"/>
            </w:tcBorders>
            <w:shd w:val="clear" w:color="auto" w:fill="auto"/>
            <w:vAlign w:val="center"/>
          </w:tcPr>
          <w:p w14:paraId="78C16C7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 (0.01)</w:t>
            </w:r>
          </w:p>
        </w:tc>
        <w:tc>
          <w:tcPr>
            <w:tcW w:w="528" w:type="pct"/>
            <w:tcBorders>
              <w:top w:val="single" w:sz="4" w:space="0" w:color="auto"/>
              <w:left w:val="single" w:sz="4" w:space="0" w:color="auto"/>
              <w:bottom w:val="nil"/>
              <w:right w:val="single" w:sz="4" w:space="0" w:color="auto"/>
            </w:tcBorders>
            <w:shd w:val="clear" w:color="auto" w:fill="auto"/>
            <w:vAlign w:val="center"/>
          </w:tcPr>
          <w:p w14:paraId="2F6A090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 (0.06)</w:t>
            </w:r>
          </w:p>
        </w:tc>
        <w:tc>
          <w:tcPr>
            <w:tcW w:w="528" w:type="pct"/>
            <w:tcBorders>
              <w:top w:val="single" w:sz="4" w:space="0" w:color="auto"/>
              <w:left w:val="single" w:sz="4" w:space="0" w:color="auto"/>
              <w:bottom w:val="nil"/>
              <w:right w:val="single" w:sz="4" w:space="0" w:color="auto"/>
            </w:tcBorders>
            <w:shd w:val="clear" w:color="auto" w:fill="auto"/>
            <w:vAlign w:val="center"/>
          </w:tcPr>
          <w:p w14:paraId="11E8898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 (0.02)</w:t>
            </w:r>
          </w:p>
        </w:tc>
        <w:tc>
          <w:tcPr>
            <w:tcW w:w="526" w:type="pct"/>
            <w:tcBorders>
              <w:top w:val="single" w:sz="4" w:space="0" w:color="auto"/>
              <w:left w:val="single" w:sz="4" w:space="0" w:color="auto"/>
              <w:bottom w:val="nil"/>
            </w:tcBorders>
            <w:shd w:val="clear" w:color="auto" w:fill="auto"/>
            <w:vAlign w:val="center"/>
          </w:tcPr>
          <w:p w14:paraId="20F1379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22 (0.12)</w:t>
            </w:r>
          </w:p>
        </w:tc>
      </w:tr>
      <w:tr w:rsidR="00C7280F" w:rsidRPr="009A4DCA" w14:paraId="5966C579" w14:textId="77777777" w:rsidTr="00421004">
        <w:tc>
          <w:tcPr>
            <w:tcW w:w="777" w:type="pct"/>
            <w:tcBorders>
              <w:top w:val="nil"/>
              <w:bottom w:val="nil"/>
              <w:right w:val="single" w:sz="4" w:space="0" w:color="auto"/>
            </w:tcBorders>
          </w:tcPr>
          <w:p w14:paraId="5F80EE8A"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28" w:type="pct"/>
            <w:tcBorders>
              <w:top w:val="nil"/>
              <w:left w:val="single" w:sz="4" w:space="0" w:color="auto"/>
              <w:bottom w:val="nil"/>
              <w:right w:val="single" w:sz="4" w:space="0" w:color="auto"/>
            </w:tcBorders>
            <w:shd w:val="clear" w:color="auto" w:fill="auto"/>
          </w:tcPr>
          <w:p w14:paraId="704BFAA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0.11</w:t>
            </w:r>
          </w:p>
        </w:tc>
        <w:tc>
          <w:tcPr>
            <w:tcW w:w="529" w:type="pct"/>
            <w:tcBorders>
              <w:top w:val="nil"/>
              <w:left w:val="single" w:sz="4" w:space="0" w:color="auto"/>
              <w:bottom w:val="nil"/>
              <w:right w:val="single" w:sz="4" w:space="0" w:color="auto"/>
            </w:tcBorders>
            <w:shd w:val="clear" w:color="auto" w:fill="auto"/>
          </w:tcPr>
          <w:p w14:paraId="2DDC90D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1.09</w:t>
            </w:r>
          </w:p>
        </w:tc>
        <w:tc>
          <w:tcPr>
            <w:tcW w:w="528" w:type="pct"/>
            <w:tcBorders>
              <w:top w:val="nil"/>
              <w:left w:val="single" w:sz="4" w:space="0" w:color="auto"/>
              <w:bottom w:val="nil"/>
              <w:right w:val="single" w:sz="4" w:space="0" w:color="auto"/>
            </w:tcBorders>
            <w:shd w:val="clear" w:color="auto" w:fill="auto"/>
          </w:tcPr>
          <w:p w14:paraId="01AC975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0.09</w:t>
            </w:r>
          </w:p>
        </w:tc>
        <w:tc>
          <w:tcPr>
            <w:tcW w:w="528" w:type="pct"/>
            <w:tcBorders>
              <w:top w:val="nil"/>
              <w:left w:val="single" w:sz="4" w:space="0" w:color="auto"/>
              <w:bottom w:val="nil"/>
              <w:right w:val="single" w:sz="4" w:space="0" w:color="auto"/>
            </w:tcBorders>
            <w:shd w:val="clear" w:color="auto" w:fill="auto"/>
          </w:tcPr>
          <w:p w14:paraId="5536B04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w:t>
            </w:r>
          </w:p>
        </w:tc>
        <w:tc>
          <w:tcPr>
            <w:tcW w:w="528" w:type="pct"/>
            <w:tcBorders>
              <w:top w:val="nil"/>
              <w:left w:val="single" w:sz="4" w:space="0" w:color="auto"/>
              <w:bottom w:val="nil"/>
              <w:right w:val="single" w:sz="4" w:space="0" w:color="auto"/>
            </w:tcBorders>
            <w:shd w:val="clear" w:color="auto" w:fill="auto"/>
            <w:vAlign w:val="center"/>
          </w:tcPr>
          <w:p w14:paraId="2E15A58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0.2</w:t>
            </w:r>
          </w:p>
        </w:tc>
        <w:tc>
          <w:tcPr>
            <w:tcW w:w="528" w:type="pct"/>
            <w:tcBorders>
              <w:top w:val="nil"/>
              <w:left w:val="single" w:sz="4" w:space="0" w:color="auto"/>
              <w:bottom w:val="nil"/>
              <w:right w:val="single" w:sz="4" w:space="0" w:color="auto"/>
            </w:tcBorders>
            <w:shd w:val="clear" w:color="auto" w:fill="auto"/>
            <w:vAlign w:val="center"/>
          </w:tcPr>
          <w:p w14:paraId="0F7C280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0.98</w:t>
            </w:r>
          </w:p>
        </w:tc>
        <w:tc>
          <w:tcPr>
            <w:tcW w:w="528" w:type="pct"/>
            <w:tcBorders>
              <w:top w:val="nil"/>
              <w:left w:val="single" w:sz="4" w:space="0" w:color="auto"/>
              <w:bottom w:val="nil"/>
              <w:right w:val="single" w:sz="4" w:space="0" w:color="auto"/>
            </w:tcBorders>
            <w:shd w:val="clear" w:color="auto" w:fill="auto"/>
            <w:vAlign w:val="center"/>
          </w:tcPr>
          <w:p w14:paraId="291945C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0.12</w:t>
            </w:r>
          </w:p>
        </w:tc>
        <w:tc>
          <w:tcPr>
            <w:tcW w:w="526" w:type="pct"/>
            <w:tcBorders>
              <w:top w:val="nil"/>
              <w:left w:val="single" w:sz="4" w:space="0" w:color="auto"/>
              <w:bottom w:val="nil"/>
            </w:tcBorders>
            <w:shd w:val="clear" w:color="auto" w:fill="auto"/>
            <w:vAlign w:val="center"/>
          </w:tcPr>
          <w:p w14:paraId="4997A376"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0.89</w:t>
            </w:r>
          </w:p>
        </w:tc>
      </w:tr>
      <w:tr w:rsidR="00C7280F" w:rsidRPr="009A4DCA" w14:paraId="3CE59CD1" w14:textId="77777777" w:rsidTr="00421004">
        <w:tc>
          <w:tcPr>
            <w:tcW w:w="777" w:type="pct"/>
            <w:tcBorders>
              <w:top w:val="nil"/>
              <w:bottom w:val="single" w:sz="4" w:space="0" w:color="auto"/>
              <w:right w:val="single" w:sz="4" w:space="0" w:color="auto"/>
            </w:tcBorders>
          </w:tcPr>
          <w:p w14:paraId="56B2AA77"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1057" w:type="pct"/>
            <w:gridSpan w:val="2"/>
            <w:tcBorders>
              <w:top w:val="nil"/>
              <w:left w:val="single" w:sz="4" w:space="0" w:color="auto"/>
              <w:bottom w:val="single" w:sz="4" w:space="0" w:color="auto"/>
              <w:right w:val="single" w:sz="4" w:space="0" w:color="auto"/>
            </w:tcBorders>
            <w:shd w:val="clear" w:color="auto" w:fill="auto"/>
          </w:tcPr>
          <w:p w14:paraId="1F428C92"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90.0 (21.9, 99.8)*</w:t>
            </w:r>
          </w:p>
        </w:tc>
        <w:tc>
          <w:tcPr>
            <w:tcW w:w="1056" w:type="pct"/>
            <w:gridSpan w:val="2"/>
            <w:tcBorders>
              <w:top w:val="nil"/>
              <w:left w:val="single" w:sz="4" w:space="0" w:color="auto"/>
              <w:bottom w:val="single" w:sz="4" w:space="0" w:color="auto"/>
              <w:right w:val="single" w:sz="4" w:space="0" w:color="auto"/>
            </w:tcBorders>
            <w:shd w:val="clear" w:color="auto" w:fill="auto"/>
          </w:tcPr>
          <w:p w14:paraId="571781BF"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91.7 (43.7, 99.8)*</w:t>
            </w:r>
          </w:p>
        </w:tc>
        <w:tc>
          <w:tcPr>
            <w:tcW w:w="1056" w:type="pct"/>
            <w:gridSpan w:val="2"/>
            <w:tcBorders>
              <w:top w:val="nil"/>
              <w:left w:val="single" w:sz="4" w:space="0" w:color="auto"/>
              <w:bottom w:val="single" w:sz="4" w:space="0" w:color="auto"/>
              <w:right w:val="single" w:sz="4" w:space="0" w:color="auto"/>
            </w:tcBorders>
            <w:shd w:val="clear" w:color="auto" w:fill="auto"/>
          </w:tcPr>
          <w:p w14:paraId="3BD96BE1"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80.0 (6.1, 97.9)</w:t>
            </w:r>
          </w:p>
        </w:tc>
        <w:tc>
          <w:tcPr>
            <w:tcW w:w="1054" w:type="pct"/>
            <w:gridSpan w:val="2"/>
            <w:tcBorders>
              <w:top w:val="nil"/>
              <w:left w:val="single" w:sz="4" w:space="0" w:color="auto"/>
              <w:bottom w:val="single" w:sz="4" w:space="0" w:color="auto"/>
            </w:tcBorders>
            <w:shd w:val="clear" w:color="auto" w:fill="auto"/>
          </w:tcPr>
          <w:p w14:paraId="1F0C7B5F"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86.4 (54.6, 97.4)*</w:t>
            </w:r>
          </w:p>
        </w:tc>
      </w:tr>
    </w:tbl>
    <w:p w14:paraId="4FBDC555" w14:textId="220526D5" w:rsidR="00C7280F" w:rsidRPr="009A4DCA" w:rsidRDefault="00C7280F" w:rsidP="00BE2884">
      <w:pPr>
        <w:pStyle w:val="FooterTableFigure"/>
        <w:keepNext/>
        <w:keepLines/>
        <w:rPr>
          <w:rFonts w:eastAsia="Calibri"/>
        </w:rPr>
      </w:pPr>
      <w:r w:rsidRPr="009A4DCA">
        <w:rPr>
          <w:rFonts w:eastAsia="Calibri"/>
        </w:rPr>
        <w:t>Source: RSV-LRTI with ≥ 2 symptoms, Table 2.5.1 p62 and Table 2.5.4 p64 of the submission; Table 4.2-1, p31 of ATAGI advice to the PBAC Dec 2023.; RSV-LRTI with ≥ 3 symptoms, Table 2.5.2 p62 and Table 2.5.5 p66 of the submission; Table 4.2-1, p31 of ATAGI advice to the PBAC Dec 2023.</w:t>
      </w:r>
    </w:p>
    <w:p w14:paraId="3E482BB1" w14:textId="53D93F7C" w:rsidR="00C7280F" w:rsidRPr="009A4DCA" w:rsidRDefault="00C7280F" w:rsidP="00BE2884">
      <w:pPr>
        <w:pStyle w:val="FooterTableFigure"/>
        <w:keepNext/>
        <w:keepLines/>
        <w:rPr>
          <w:rFonts w:eastAsia="Calibri"/>
        </w:rPr>
      </w:pPr>
      <w:r w:rsidRPr="009A4DCA">
        <w:rPr>
          <w:rFonts w:eastAsia="Calibri"/>
        </w:rPr>
        <w:t>CI = confidence interval; IR = incidence rate; LRTI = lower respiratory tract i</w:t>
      </w:r>
      <w:r w:rsidR="00623963" w:rsidRPr="009A4DCA">
        <w:rPr>
          <w:rFonts w:eastAsia="Calibri"/>
        </w:rPr>
        <w:t>llness</w:t>
      </w:r>
      <w:r w:rsidRPr="009A4DCA">
        <w:rPr>
          <w:rFonts w:eastAsia="Calibri"/>
        </w:rPr>
        <w:t xml:space="preserve">; n = number of participants with event; N = total participants in group; NP = Not performed due to insufficient numbers; NR = not reported; RSV = respiratory syncytial virus; </w:t>
      </w:r>
      <w:r w:rsidR="00623963" w:rsidRPr="009A4DCA">
        <w:rPr>
          <w:rFonts w:eastAsia="Calibri"/>
        </w:rPr>
        <w:t xml:space="preserve">RSV-A = RSV subtype A; RSV-B = RSV subtype B; </w:t>
      </w:r>
      <w:r w:rsidRPr="009A4DCA">
        <w:rPr>
          <w:rFonts w:eastAsia="Calibri"/>
        </w:rPr>
        <w:t>VE = vaccine efficacy</w:t>
      </w:r>
      <w:r w:rsidR="00623963" w:rsidRPr="009A4DCA">
        <w:rPr>
          <w:rFonts w:eastAsia="Calibri"/>
        </w:rPr>
        <w:t>.</w:t>
      </w:r>
      <w:r w:rsidRPr="009A4DCA">
        <w:rPr>
          <w:rFonts w:eastAsia="Calibri"/>
        </w:rPr>
        <w:t xml:space="preserve"> </w:t>
      </w:r>
    </w:p>
    <w:p w14:paraId="71C0E8A9" w14:textId="77777777" w:rsidR="00C7280F" w:rsidRPr="009A4DCA" w:rsidRDefault="00C7280F" w:rsidP="00BE2884">
      <w:pPr>
        <w:pStyle w:val="FooterTableFigure"/>
        <w:keepNext/>
        <w:keepLines/>
        <w:rPr>
          <w:rFonts w:eastAsia="Calibri"/>
        </w:rPr>
      </w:pPr>
      <w:r w:rsidRPr="009A4DCA">
        <w:rPr>
          <w:rFonts w:eastAsia="Calibri"/>
          <w:b/>
        </w:rPr>
        <w:t>Bold</w:t>
      </w:r>
      <w:r w:rsidRPr="009A4DCA">
        <w:rPr>
          <w:rFonts w:eastAsia="Calibri"/>
        </w:rPr>
        <w:t xml:space="preserve"> indicates statistically significant results.</w:t>
      </w:r>
    </w:p>
    <w:p w14:paraId="3FEDC084" w14:textId="77777777" w:rsidR="00F06959" w:rsidRPr="009A4DCA" w:rsidRDefault="00F06959" w:rsidP="00F06959">
      <w:pPr>
        <w:pStyle w:val="FooterTableFigure"/>
        <w:keepNext/>
        <w:keepLines/>
        <w:rPr>
          <w:rFonts w:eastAsia="Calibri"/>
        </w:rPr>
      </w:pPr>
      <w:r w:rsidRPr="009A4DCA">
        <w:rPr>
          <w:rFonts w:eastAsia="Calibri"/>
        </w:rPr>
        <w:t xml:space="preserve">* denotes lower limit for 95% CI &gt;20%. </w:t>
      </w:r>
    </w:p>
    <w:p w14:paraId="738A1A36" w14:textId="75FCD5C0" w:rsidR="00C7280F" w:rsidRPr="009A4DCA" w:rsidRDefault="00C7280F" w:rsidP="00901A08">
      <w:pPr>
        <w:pStyle w:val="FooterTableFigure"/>
        <w:keepLines/>
        <w:rPr>
          <w:rFonts w:eastAsia="Calibri"/>
        </w:rPr>
      </w:pPr>
      <w:r w:rsidRPr="009A4DCA">
        <w:rPr>
          <w:rFonts w:eastAsia="Calibri"/>
        </w:rPr>
        <w:t xml:space="preserve">a </w:t>
      </w:r>
      <w:r w:rsidRPr="009A4DCA">
        <w:t>The submission did not present the results of the mid-season analyses; however, these were presented in the ATAGI Pre-submission Advice and presented in th</w:t>
      </w:r>
      <w:r w:rsidR="005D68E0" w:rsidRPr="009A4DCA">
        <w:t>is document</w:t>
      </w:r>
      <w:r w:rsidRPr="009A4DCA">
        <w:t xml:space="preserve"> for completeness.</w:t>
      </w:r>
    </w:p>
    <w:p w14:paraId="25A691A0" w14:textId="54A7A8B0" w:rsidR="00C7280F" w:rsidRPr="009A4DCA" w:rsidRDefault="00C7280F" w:rsidP="00901A08">
      <w:pPr>
        <w:pStyle w:val="3-BodyText"/>
        <w:numPr>
          <w:ilvl w:val="1"/>
          <w:numId w:val="1"/>
        </w:numPr>
      </w:pPr>
      <w:r w:rsidRPr="009A4DCA">
        <w:t xml:space="preserve">A summary of the key secondary outcomes for RENOIR is presented </w:t>
      </w:r>
      <w:r w:rsidR="00652712" w:rsidRPr="009A4DCA">
        <w:t>in</w:t>
      </w:r>
      <w:r w:rsidRPr="009A4DCA">
        <w:t xml:space="preserve"> </w:t>
      </w:r>
      <w:r w:rsidRPr="009A4DCA">
        <w:fldChar w:fldCharType="begin"/>
      </w:r>
      <w:r w:rsidRPr="009A4DCA">
        <w:instrText xml:space="preserve"> REF _Ref175227352 \h  \* MERGEFORMAT </w:instrText>
      </w:r>
      <w:r w:rsidRPr="009A4DCA">
        <w:fldChar w:fldCharType="separate"/>
      </w:r>
      <w:r w:rsidR="007B2F50" w:rsidRPr="009A4DCA">
        <w:t xml:space="preserve">Table </w:t>
      </w:r>
      <w:r w:rsidR="007B2F50">
        <w:t>5</w:t>
      </w:r>
      <w:r w:rsidRPr="009A4DCA">
        <w:fldChar w:fldCharType="end"/>
      </w:r>
      <w:r w:rsidRPr="009A4DCA">
        <w:t xml:space="preserve">. </w:t>
      </w:r>
      <w:r w:rsidR="00A7375E" w:rsidRPr="009A4DCA">
        <w:t xml:space="preserve">The outcomes </w:t>
      </w:r>
      <w:r w:rsidR="00A7375E" w:rsidRPr="005306BA">
        <w:t xml:space="preserve">were </w:t>
      </w:r>
      <w:r w:rsidR="005306BA" w:rsidRPr="005306BA">
        <w:t>severe RSV-LRTI (sRSV-LRTI) and RSV-ARI</w:t>
      </w:r>
      <w:r w:rsidR="00A7375E" w:rsidRPr="005306BA">
        <w:t xml:space="preserve">. </w:t>
      </w:r>
    </w:p>
    <w:p w14:paraId="022D66D1" w14:textId="2E296296" w:rsidR="00C7280F" w:rsidRPr="009A4DCA" w:rsidRDefault="00C7280F" w:rsidP="00901A08">
      <w:pPr>
        <w:pStyle w:val="Caption"/>
      </w:pPr>
      <w:bookmarkStart w:id="36" w:name="_Ref175227352"/>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5</w:t>
      </w:r>
      <w:r w:rsidR="00491347">
        <w:fldChar w:fldCharType="end"/>
      </w:r>
      <w:bookmarkEnd w:id="36"/>
      <w:r w:rsidRPr="009A4DCA">
        <w:t>: Results of RSVpreF VE against the first episode of RSV in RENOIR, evaluable efficacy population - secondary efficacy outcomes</w:t>
      </w:r>
    </w:p>
    <w:tbl>
      <w:tblPr>
        <w:tblStyle w:val="TableGrid"/>
        <w:tblW w:w="5000" w:type="pct"/>
        <w:tblLook w:val="04A0" w:firstRow="1" w:lastRow="0" w:firstColumn="1" w:lastColumn="0" w:noHBand="0" w:noVBand="1"/>
      </w:tblPr>
      <w:tblGrid>
        <w:gridCol w:w="1803"/>
        <w:gridCol w:w="909"/>
        <w:gridCol w:w="846"/>
        <w:gridCol w:w="909"/>
        <w:gridCol w:w="939"/>
        <w:gridCol w:w="909"/>
        <w:gridCol w:w="846"/>
        <w:gridCol w:w="909"/>
        <w:gridCol w:w="947"/>
      </w:tblGrid>
      <w:tr w:rsidR="00C7280F" w:rsidRPr="009A4DCA" w14:paraId="589A88B6" w14:textId="77777777" w:rsidTr="00421004">
        <w:trPr>
          <w:tblHeader/>
        </w:trPr>
        <w:tc>
          <w:tcPr>
            <w:tcW w:w="1008" w:type="pct"/>
            <w:tcBorders>
              <w:bottom w:val="nil"/>
            </w:tcBorders>
          </w:tcPr>
          <w:p w14:paraId="22CE228A"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p>
        </w:tc>
        <w:tc>
          <w:tcPr>
            <w:tcW w:w="965" w:type="pct"/>
            <w:gridSpan w:val="2"/>
            <w:tcBorders>
              <w:bottom w:val="nil"/>
            </w:tcBorders>
          </w:tcPr>
          <w:p w14:paraId="590FCDF8"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Mid-season</w:t>
            </w:r>
            <w:r w:rsidRPr="009A4DCA">
              <w:rPr>
                <w:rFonts w:ascii="Arial Narrow" w:eastAsiaTheme="majorEastAsia" w:hAnsi="Arial Narrow" w:cs="Times New Roman"/>
                <w:b/>
                <w:sz w:val="20"/>
                <w:vertAlign w:val="superscript"/>
              </w:rPr>
              <w:t>a</w:t>
            </w:r>
          </w:p>
        </w:tc>
        <w:tc>
          <w:tcPr>
            <w:tcW w:w="1029" w:type="pct"/>
            <w:gridSpan w:val="2"/>
            <w:tcBorders>
              <w:bottom w:val="nil"/>
            </w:tcBorders>
          </w:tcPr>
          <w:p w14:paraId="4E5D78A9"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1</w:t>
            </w:r>
          </w:p>
        </w:tc>
        <w:tc>
          <w:tcPr>
            <w:tcW w:w="965" w:type="pct"/>
            <w:gridSpan w:val="2"/>
            <w:tcBorders>
              <w:bottom w:val="nil"/>
            </w:tcBorders>
          </w:tcPr>
          <w:p w14:paraId="72EAD5DD"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2</w:t>
            </w:r>
          </w:p>
        </w:tc>
        <w:tc>
          <w:tcPr>
            <w:tcW w:w="1032" w:type="pct"/>
            <w:gridSpan w:val="2"/>
            <w:tcBorders>
              <w:bottom w:val="nil"/>
            </w:tcBorders>
          </w:tcPr>
          <w:p w14:paraId="361B83C2"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Across 2 seasons</w:t>
            </w:r>
          </w:p>
        </w:tc>
      </w:tr>
      <w:tr w:rsidR="00C7280F" w:rsidRPr="009A4DCA" w14:paraId="4086B647" w14:textId="77777777" w:rsidTr="00421004">
        <w:trPr>
          <w:tblHeader/>
        </w:trPr>
        <w:tc>
          <w:tcPr>
            <w:tcW w:w="1008" w:type="pct"/>
            <w:tcBorders>
              <w:top w:val="nil"/>
              <w:bottom w:val="nil"/>
            </w:tcBorders>
          </w:tcPr>
          <w:p w14:paraId="3B7B82C9"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p>
        </w:tc>
        <w:tc>
          <w:tcPr>
            <w:tcW w:w="965" w:type="pct"/>
            <w:gridSpan w:val="2"/>
            <w:tcBorders>
              <w:top w:val="nil"/>
            </w:tcBorders>
          </w:tcPr>
          <w:p w14:paraId="0C553C9A"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6.78 months</w:t>
            </w:r>
          </w:p>
        </w:tc>
        <w:tc>
          <w:tcPr>
            <w:tcW w:w="1029" w:type="pct"/>
            <w:gridSpan w:val="2"/>
            <w:tcBorders>
              <w:top w:val="nil"/>
            </w:tcBorders>
          </w:tcPr>
          <w:p w14:paraId="3D02A2C8"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7.05 months</w:t>
            </w:r>
          </w:p>
        </w:tc>
        <w:tc>
          <w:tcPr>
            <w:tcW w:w="965" w:type="pct"/>
            <w:gridSpan w:val="2"/>
            <w:tcBorders>
              <w:top w:val="nil"/>
            </w:tcBorders>
          </w:tcPr>
          <w:p w14:paraId="292BAD65"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7.59 months</w:t>
            </w:r>
          </w:p>
        </w:tc>
        <w:tc>
          <w:tcPr>
            <w:tcW w:w="1032" w:type="pct"/>
            <w:gridSpan w:val="2"/>
            <w:tcBorders>
              <w:top w:val="nil"/>
            </w:tcBorders>
          </w:tcPr>
          <w:p w14:paraId="0BA7D443"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16.36 months</w:t>
            </w:r>
          </w:p>
        </w:tc>
      </w:tr>
      <w:tr w:rsidR="00C7280F" w:rsidRPr="009A4DCA" w14:paraId="6C7CE484" w14:textId="77777777" w:rsidTr="00421004">
        <w:trPr>
          <w:tblHeader/>
        </w:trPr>
        <w:tc>
          <w:tcPr>
            <w:tcW w:w="1008" w:type="pct"/>
            <w:tcBorders>
              <w:top w:val="nil"/>
              <w:bottom w:val="single" w:sz="4" w:space="0" w:color="auto"/>
            </w:tcBorders>
          </w:tcPr>
          <w:p w14:paraId="0B0B9484"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p>
        </w:tc>
        <w:tc>
          <w:tcPr>
            <w:tcW w:w="500" w:type="pct"/>
            <w:tcBorders>
              <w:bottom w:val="single" w:sz="4" w:space="0" w:color="auto"/>
            </w:tcBorders>
          </w:tcPr>
          <w:p w14:paraId="564D53CF"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465" w:type="pct"/>
            <w:tcBorders>
              <w:bottom w:val="single" w:sz="4" w:space="0" w:color="auto"/>
            </w:tcBorders>
          </w:tcPr>
          <w:p w14:paraId="6F950D74"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500" w:type="pct"/>
            <w:tcBorders>
              <w:bottom w:val="single" w:sz="4" w:space="0" w:color="auto"/>
            </w:tcBorders>
          </w:tcPr>
          <w:p w14:paraId="44321280"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529" w:type="pct"/>
            <w:tcBorders>
              <w:bottom w:val="single" w:sz="4" w:space="0" w:color="auto"/>
            </w:tcBorders>
          </w:tcPr>
          <w:p w14:paraId="4FFC9FFA"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500" w:type="pct"/>
            <w:tcBorders>
              <w:bottom w:val="single" w:sz="4" w:space="0" w:color="auto"/>
            </w:tcBorders>
          </w:tcPr>
          <w:p w14:paraId="29920DBE"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465" w:type="pct"/>
            <w:tcBorders>
              <w:bottom w:val="single" w:sz="4" w:space="0" w:color="auto"/>
            </w:tcBorders>
          </w:tcPr>
          <w:p w14:paraId="6325F648"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500" w:type="pct"/>
            <w:tcBorders>
              <w:bottom w:val="single" w:sz="4" w:space="0" w:color="auto"/>
            </w:tcBorders>
          </w:tcPr>
          <w:p w14:paraId="42661434"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532" w:type="pct"/>
            <w:tcBorders>
              <w:bottom w:val="single" w:sz="4" w:space="0" w:color="auto"/>
            </w:tcBorders>
          </w:tcPr>
          <w:p w14:paraId="6121E5E1"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r>
      <w:tr w:rsidR="00C7280F" w:rsidRPr="009A4DCA" w14:paraId="6F27CEE6" w14:textId="77777777" w:rsidTr="00421004">
        <w:trPr>
          <w:tblHeader/>
        </w:trPr>
        <w:tc>
          <w:tcPr>
            <w:tcW w:w="1008" w:type="pct"/>
            <w:tcBorders>
              <w:top w:val="single" w:sz="4" w:space="0" w:color="auto"/>
              <w:bottom w:val="single" w:sz="4" w:space="0" w:color="auto"/>
            </w:tcBorders>
          </w:tcPr>
          <w:p w14:paraId="0E579EDB" w14:textId="77777777" w:rsidR="00C7280F" w:rsidRPr="009A4DCA" w:rsidRDefault="00C7280F" w:rsidP="00901A08">
            <w:pPr>
              <w:keepNext/>
              <w:keepLines/>
              <w:ind w:right="-49"/>
              <w:jc w:val="righ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N</w:t>
            </w:r>
          </w:p>
        </w:tc>
        <w:tc>
          <w:tcPr>
            <w:tcW w:w="500" w:type="pct"/>
            <w:tcBorders>
              <w:top w:val="single" w:sz="4" w:space="0" w:color="auto"/>
              <w:bottom w:val="single" w:sz="4" w:space="0" w:color="auto"/>
            </w:tcBorders>
          </w:tcPr>
          <w:p w14:paraId="5275F79F"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16,306</w:t>
            </w:r>
          </w:p>
        </w:tc>
        <w:tc>
          <w:tcPr>
            <w:tcW w:w="465" w:type="pct"/>
            <w:tcBorders>
              <w:top w:val="single" w:sz="4" w:space="0" w:color="auto"/>
              <w:bottom w:val="single" w:sz="4" w:space="0" w:color="auto"/>
            </w:tcBorders>
          </w:tcPr>
          <w:p w14:paraId="12A97438"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16,308</w:t>
            </w:r>
          </w:p>
        </w:tc>
        <w:tc>
          <w:tcPr>
            <w:tcW w:w="500" w:type="pct"/>
            <w:tcBorders>
              <w:top w:val="single" w:sz="4" w:space="0" w:color="auto"/>
              <w:bottom w:val="single" w:sz="4" w:space="0" w:color="auto"/>
            </w:tcBorders>
          </w:tcPr>
          <w:p w14:paraId="09DC3993"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18,050</w:t>
            </w:r>
          </w:p>
        </w:tc>
        <w:tc>
          <w:tcPr>
            <w:tcW w:w="529" w:type="pct"/>
            <w:tcBorders>
              <w:top w:val="single" w:sz="4" w:space="0" w:color="auto"/>
              <w:bottom w:val="single" w:sz="4" w:space="0" w:color="auto"/>
            </w:tcBorders>
          </w:tcPr>
          <w:p w14:paraId="60997CD7"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18,074</w:t>
            </w:r>
          </w:p>
        </w:tc>
        <w:tc>
          <w:tcPr>
            <w:tcW w:w="500" w:type="pct"/>
            <w:tcBorders>
              <w:top w:val="single" w:sz="4" w:space="0" w:color="auto"/>
              <w:bottom w:val="single" w:sz="4" w:space="0" w:color="auto"/>
            </w:tcBorders>
          </w:tcPr>
          <w:p w14:paraId="7B572609"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16,164</w:t>
            </w:r>
          </w:p>
        </w:tc>
        <w:tc>
          <w:tcPr>
            <w:tcW w:w="465" w:type="pct"/>
            <w:tcBorders>
              <w:top w:val="single" w:sz="4" w:space="0" w:color="auto"/>
              <w:bottom w:val="single" w:sz="4" w:space="0" w:color="auto"/>
            </w:tcBorders>
          </w:tcPr>
          <w:p w14:paraId="595B109E"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16,059</w:t>
            </w:r>
          </w:p>
        </w:tc>
        <w:tc>
          <w:tcPr>
            <w:tcW w:w="500" w:type="pct"/>
            <w:tcBorders>
              <w:top w:val="single" w:sz="4" w:space="0" w:color="auto"/>
              <w:bottom w:val="single" w:sz="4" w:space="0" w:color="auto"/>
            </w:tcBorders>
          </w:tcPr>
          <w:p w14:paraId="1599663A"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18,050</w:t>
            </w:r>
          </w:p>
        </w:tc>
        <w:tc>
          <w:tcPr>
            <w:tcW w:w="532" w:type="pct"/>
            <w:tcBorders>
              <w:top w:val="single" w:sz="4" w:space="0" w:color="auto"/>
              <w:bottom w:val="single" w:sz="4" w:space="0" w:color="auto"/>
            </w:tcBorders>
          </w:tcPr>
          <w:p w14:paraId="38F376F8" w14:textId="77777777" w:rsidR="00C7280F" w:rsidRPr="009A4DCA" w:rsidRDefault="00C7280F" w:rsidP="00901A08">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18,074</w:t>
            </w:r>
          </w:p>
        </w:tc>
      </w:tr>
      <w:tr w:rsidR="00C7280F" w:rsidRPr="009A4DCA" w14:paraId="6066544C" w14:textId="77777777" w:rsidTr="00421004">
        <w:tc>
          <w:tcPr>
            <w:tcW w:w="5000" w:type="pct"/>
            <w:gridSpan w:val="9"/>
            <w:tcBorders>
              <w:bottom w:val="single" w:sz="4" w:space="0" w:color="auto"/>
            </w:tcBorders>
            <w:shd w:val="clear" w:color="auto" w:fill="D9D9D9" w:themeFill="background1" w:themeFillShade="D9"/>
          </w:tcPr>
          <w:p w14:paraId="65394058" w14:textId="77777777" w:rsidR="00C7280F" w:rsidRPr="009A4DCA" w:rsidRDefault="00C7280F" w:rsidP="00901A08">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
                <w:bCs/>
                <w:sz w:val="20"/>
                <w:lang w:eastAsia="en-US"/>
              </w:rPr>
              <w:t>First episode of severe RSV-LRTI</w:t>
            </w:r>
          </w:p>
        </w:tc>
      </w:tr>
      <w:tr w:rsidR="00C7280F" w:rsidRPr="009A4DCA" w14:paraId="0309FD96" w14:textId="77777777" w:rsidTr="00421004">
        <w:tc>
          <w:tcPr>
            <w:tcW w:w="1008" w:type="pct"/>
            <w:tcBorders>
              <w:bottom w:val="nil"/>
              <w:right w:val="single" w:sz="4" w:space="0" w:color="auto"/>
            </w:tcBorders>
          </w:tcPr>
          <w:p w14:paraId="50BCC9C4"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 (%)</w:t>
            </w:r>
          </w:p>
        </w:tc>
        <w:tc>
          <w:tcPr>
            <w:tcW w:w="500" w:type="pct"/>
            <w:tcBorders>
              <w:left w:val="single" w:sz="4" w:space="0" w:color="auto"/>
              <w:bottom w:val="nil"/>
              <w:right w:val="single" w:sz="4" w:space="0" w:color="auto"/>
            </w:tcBorders>
            <w:vAlign w:val="center"/>
          </w:tcPr>
          <w:p w14:paraId="75953C17"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left w:val="single" w:sz="4" w:space="0" w:color="auto"/>
              <w:bottom w:val="nil"/>
              <w:right w:val="single" w:sz="4" w:space="0" w:color="auto"/>
            </w:tcBorders>
            <w:vAlign w:val="center"/>
          </w:tcPr>
          <w:p w14:paraId="792F4107"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left w:val="single" w:sz="4" w:space="0" w:color="auto"/>
              <w:bottom w:val="nil"/>
              <w:right w:val="single" w:sz="4" w:space="0" w:color="auto"/>
            </w:tcBorders>
            <w:vAlign w:val="center"/>
          </w:tcPr>
          <w:p w14:paraId="24DEA15B"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29" w:type="pct"/>
            <w:tcBorders>
              <w:left w:val="single" w:sz="4" w:space="0" w:color="auto"/>
              <w:bottom w:val="nil"/>
              <w:right w:val="single" w:sz="4" w:space="0" w:color="auto"/>
            </w:tcBorders>
            <w:vAlign w:val="center"/>
          </w:tcPr>
          <w:p w14:paraId="0BE0E49F" w14:textId="77777777" w:rsidR="00C7280F" w:rsidRPr="009A4DCA" w:rsidRDefault="00C7280F" w:rsidP="00901A08">
            <w:pPr>
              <w:keepNext/>
              <w:keepLines/>
              <w:ind w:right="17"/>
              <w:jc w:val="center"/>
              <w:rPr>
                <w:rFonts w:ascii="Arial Narrow" w:eastAsiaTheme="majorEastAsia" w:hAnsi="Arial Narrow" w:cstheme="majorBidi"/>
                <w:bCs/>
                <w:sz w:val="20"/>
                <w:highlight w:val="green"/>
                <w:lang w:eastAsia="en-US"/>
              </w:rPr>
            </w:pPr>
            <w:r w:rsidRPr="009A4DCA">
              <w:rPr>
                <w:rFonts w:ascii="Arial Narrow" w:eastAsiaTheme="majorEastAsia" w:hAnsi="Arial Narrow" w:cstheme="majorBidi"/>
                <w:bCs/>
                <w:sz w:val="20"/>
                <w:lang w:eastAsia="en-US"/>
              </w:rPr>
              <w:t>2 (0.01)</w:t>
            </w:r>
            <w:r w:rsidRPr="009A4DCA">
              <w:rPr>
                <w:rFonts w:ascii="Arial Narrow" w:eastAsiaTheme="majorEastAsia" w:hAnsi="Arial Narrow" w:cstheme="majorBidi"/>
                <w:bCs/>
                <w:sz w:val="20"/>
                <w:vertAlign w:val="superscript"/>
                <w:lang w:eastAsia="en-US"/>
              </w:rPr>
              <w:t>a</w:t>
            </w:r>
          </w:p>
        </w:tc>
        <w:tc>
          <w:tcPr>
            <w:tcW w:w="500" w:type="pct"/>
            <w:tcBorders>
              <w:left w:val="single" w:sz="4" w:space="0" w:color="auto"/>
              <w:bottom w:val="nil"/>
              <w:right w:val="single" w:sz="4" w:space="0" w:color="auto"/>
            </w:tcBorders>
            <w:vAlign w:val="center"/>
          </w:tcPr>
          <w:p w14:paraId="4DAF62F4"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465" w:type="pct"/>
            <w:tcBorders>
              <w:left w:val="single" w:sz="4" w:space="0" w:color="auto"/>
              <w:bottom w:val="nil"/>
              <w:right w:val="single" w:sz="4" w:space="0" w:color="auto"/>
            </w:tcBorders>
            <w:vAlign w:val="center"/>
          </w:tcPr>
          <w:p w14:paraId="5C741783"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00" w:type="pct"/>
            <w:tcBorders>
              <w:left w:val="single" w:sz="4" w:space="0" w:color="auto"/>
              <w:bottom w:val="nil"/>
              <w:right w:val="single" w:sz="4" w:space="0" w:color="auto"/>
            </w:tcBorders>
            <w:vAlign w:val="center"/>
          </w:tcPr>
          <w:p w14:paraId="6CB6D38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32" w:type="pct"/>
            <w:tcBorders>
              <w:left w:val="single" w:sz="4" w:space="0" w:color="auto"/>
              <w:bottom w:val="nil"/>
            </w:tcBorders>
            <w:vAlign w:val="center"/>
          </w:tcPr>
          <w:p w14:paraId="3CDCF0AD"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 (0.02)</w:t>
            </w:r>
            <w:r w:rsidRPr="009A4DCA">
              <w:rPr>
                <w:rFonts w:ascii="Arial Narrow" w:eastAsiaTheme="majorEastAsia" w:hAnsi="Arial Narrow" w:cstheme="majorBidi"/>
                <w:bCs/>
                <w:sz w:val="20"/>
                <w:vertAlign w:val="superscript"/>
                <w:lang w:eastAsia="en-US"/>
              </w:rPr>
              <w:t xml:space="preserve"> a</w:t>
            </w:r>
          </w:p>
        </w:tc>
      </w:tr>
      <w:tr w:rsidR="00C7280F" w:rsidRPr="009A4DCA" w14:paraId="046F6AE0" w14:textId="77777777" w:rsidTr="00421004">
        <w:tc>
          <w:tcPr>
            <w:tcW w:w="1008" w:type="pct"/>
            <w:tcBorders>
              <w:top w:val="nil"/>
              <w:bottom w:val="nil"/>
              <w:right w:val="single" w:sz="4" w:space="0" w:color="auto"/>
            </w:tcBorders>
          </w:tcPr>
          <w:p w14:paraId="315203B6" w14:textId="77777777" w:rsidR="00C7280F" w:rsidRPr="009A4DCA" w:rsidRDefault="00C7280F" w:rsidP="00901A08">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00" w:type="pct"/>
            <w:tcBorders>
              <w:top w:val="nil"/>
              <w:left w:val="single" w:sz="4" w:space="0" w:color="auto"/>
              <w:bottom w:val="nil"/>
              <w:right w:val="single" w:sz="4" w:space="0" w:color="auto"/>
            </w:tcBorders>
            <w:vAlign w:val="center"/>
          </w:tcPr>
          <w:p w14:paraId="32653B0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nil"/>
              <w:left w:val="single" w:sz="4" w:space="0" w:color="auto"/>
              <w:bottom w:val="nil"/>
              <w:right w:val="single" w:sz="4" w:space="0" w:color="auto"/>
            </w:tcBorders>
            <w:vAlign w:val="center"/>
          </w:tcPr>
          <w:p w14:paraId="709576B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nil"/>
              <w:left w:val="single" w:sz="4" w:space="0" w:color="auto"/>
              <w:bottom w:val="nil"/>
              <w:right w:val="single" w:sz="4" w:space="0" w:color="auto"/>
            </w:tcBorders>
            <w:vAlign w:val="center"/>
          </w:tcPr>
          <w:p w14:paraId="30F762A2"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29" w:type="pct"/>
            <w:tcBorders>
              <w:top w:val="nil"/>
              <w:left w:val="single" w:sz="4" w:space="0" w:color="auto"/>
              <w:bottom w:val="nil"/>
              <w:right w:val="single" w:sz="4" w:space="0" w:color="auto"/>
            </w:tcBorders>
            <w:vAlign w:val="center"/>
          </w:tcPr>
          <w:p w14:paraId="1D8F9DEC"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0.19</w:t>
            </w:r>
          </w:p>
        </w:tc>
        <w:tc>
          <w:tcPr>
            <w:tcW w:w="500" w:type="pct"/>
            <w:tcBorders>
              <w:top w:val="nil"/>
              <w:left w:val="single" w:sz="4" w:space="0" w:color="auto"/>
              <w:bottom w:val="nil"/>
              <w:right w:val="single" w:sz="4" w:space="0" w:color="auto"/>
            </w:tcBorders>
            <w:vAlign w:val="center"/>
          </w:tcPr>
          <w:p w14:paraId="29AA1BA3"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w:t>
            </w:r>
          </w:p>
        </w:tc>
        <w:tc>
          <w:tcPr>
            <w:tcW w:w="465" w:type="pct"/>
            <w:tcBorders>
              <w:top w:val="nil"/>
              <w:left w:val="single" w:sz="4" w:space="0" w:color="auto"/>
              <w:bottom w:val="nil"/>
              <w:right w:val="single" w:sz="4" w:space="0" w:color="auto"/>
            </w:tcBorders>
            <w:vAlign w:val="center"/>
          </w:tcPr>
          <w:p w14:paraId="7DF2F8D4"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w:t>
            </w:r>
          </w:p>
        </w:tc>
        <w:tc>
          <w:tcPr>
            <w:tcW w:w="500" w:type="pct"/>
            <w:tcBorders>
              <w:top w:val="nil"/>
              <w:left w:val="single" w:sz="4" w:space="0" w:color="auto"/>
              <w:bottom w:val="nil"/>
              <w:right w:val="single" w:sz="4" w:space="0" w:color="auto"/>
            </w:tcBorders>
            <w:vAlign w:val="center"/>
          </w:tcPr>
          <w:p w14:paraId="6D40DB3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0.04</w:t>
            </w:r>
          </w:p>
        </w:tc>
        <w:tc>
          <w:tcPr>
            <w:tcW w:w="532" w:type="pct"/>
            <w:tcBorders>
              <w:top w:val="nil"/>
              <w:left w:val="single" w:sz="4" w:space="0" w:color="auto"/>
              <w:bottom w:val="nil"/>
            </w:tcBorders>
            <w:vAlign w:val="center"/>
          </w:tcPr>
          <w:p w14:paraId="6C25E28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0.12</w:t>
            </w:r>
          </w:p>
        </w:tc>
      </w:tr>
      <w:tr w:rsidR="00C7280F" w:rsidRPr="009A4DCA" w14:paraId="40A3EB2A" w14:textId="77777777" w:rsidTr="00421004">
        <w:tc>
          <w:tcPr>
            <w:tcW w:w="1008" w:type="pct"/>
            <w:tcBorders>
              <w:top w:val="nil"/>
              <w:bottom w:val="single" w:sz="4" w:space="0" w:color="auto"/>
              <w:right w:val="single" w:sz="4" w:space="0" w:color="auto"/>
            </w:tcBorders>
          </w:tcPr>
          <w:p w14:paraId="4163B82A"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965" w:type="pct"/>
            <w:gridSpan w:val="2"/>
            <w:tcBorders>
              <w:top w:val="nil"/>
              <w:left w:val="single" w:sz="4" w:space="0" w:color="auto"/>
              <w:bottom w:val="single" w:sz="4" w:space="0" w:color="auto"/>
              <w:right w:val="single" w:sz="4" w:space="0" w:color="auto"/>
            </w:tcBorders>
          </w:tcPr>
          <w:p w14:paraId="299D0437"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NP</w:t>
            </w:r>
          </w:p>
        </w:tc>
        <w:tc>
          <w:tcPr>
            <w:tcW w:w="1029" w:type="pct"/>
            <w:gridSpan w:val="2"/>
            <w:tcBorders>
              <w:top w:val="nil"/>
              <w:left w:val="single" w:sz="4" w:space="0" w:color="auto"/>
              <w:bottom w:val="single" w:sz="4" w:space="0" w:color="auto"/>
              <w:right w:val="single" w:sz="4" w:space="0" w:color="auto"/>
            </w:tcBorders>
            <w:vAlign w:val="center"/>
          </w:tcPr>
          <w:p w14:paraId="07B78D79"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100.0 (-432.5, 100.0)</w:t>
            </w:r>
          </w:p>
        </w:tc>
        <w:tc>
          <w:tcPr>
            <w:tcW w:w="965" w:type="pct"/>
            <w:gridSpan w:val="2"/>
            <w:tcBorders>
              <w:top w:val="nil"/>
              <w:left w:val="single" w:sz="4" w:space="0" w:color="auto"/>
              <w:bottom w:val="single" w:sz="4" w:space="0" w:color="auto"/>
              <w:right w:val="single" w:sz="4" w:space="0" w:color="auto"/>
            </w:tcBorders>
          </w:tcPr>
          <w:p w14:paraId="27BB061E"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 (-7749.7, 98.7)</w:t>
            </w:r>
          </w:p>
        </w:tc>
        <w:tc>
          <w:tcPr>
            <w:tcW w:w="1032" w:type="pct"/>
            <w:gridSpan w:val="2"/>
            <w:tcBorders>
              <w:top w:val="nil"/>
              <w:left w:val="single" w:sz="4" w:space="0" w:color="auto"/>
              <w:bottom w:val="single" w:sz="4" w:space="0" w:color="auto"/>
            </w:tcBorders>
          </w:tcPr>
          <w:p w14:paraId="4CE6785A"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66.7 (-315.1, 99.4)</w:t>
            </w:r>
          </w:p>
        </w:tc>
      </w:tr>
      <w:tr w:rsidR="00C7280F" w:rsidRPr="009A4DCA" w14:paraId="279D86C1" w14:textId="77777777" w:rsidTr="00421004">
        <w:tc>
          <w:tcPr>
            <w:tcW w:w="1008" w:type="pct"/>
            <w:tcBorders>
              <w:top w:val="single" w:sz="4" w:space="0" w:color="auto"/>
              <w:bottom w:val="nil"/>
              <w:right w:val="single" w:sz="4" w:space="0" w:color="auto"/>
            </w:tcBorders>
          </w:tcPr>
          <w:p w14:paraId="6B817542"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RSV-A, n (%)</w:t>
            </w:r>
          </w:p>
        </w:tc>
        <w:tc>
          <w:tcPr>
            <w:tcW w:w="500" w:type="pct"/>
            <w:tcBorders>
              <w:top w:val="single" w:sz="4" w:space="0" w:color="auto"/>
              <w:left w:val="single" w:sz="4" w:space="0" w:color="auto"/>
              <w:bottom w:val="nil"/>
              <w:right w:val="single" w:sz="4" w:space="0" w:color="auto"/>
            </w:tcBorders>
            <w:vAlign w:val="center"/>
          </w:tcPr>
          <w:p w14:paraId="607C5E5C"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single" w:sz="4" w:space="0" w:color="auto"/>
              <w:left w:val="single" w:sz="4" w:space="0" w:color="auto"/>
              <w:bottom w:val="nil"/>
              <w:right w:val="single" w:sz="4" w:space="0" w:color="auto"/>
            </w:tcBorders>
            <w:vAlign w:val="center"/>
          </w:tcPr>
          <w:p w14:paraId="1E3CD327"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single" w:sz="4" w:space="0" w:color="auto"/>
              <w:left w:val="single" w:sz="4" w:space="0" w:color="auto"/>
              <w:bottom w:val="nil"/>
              <w:right w:val="single" w:sz="4" w:space="0" w:color="auto"/>
            </w:tcBorders>
            <w:vAlign w:val="center"/>
          </w:tcPr>
          <w:p w14:paraId="1E7D4FF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29" w:type="pct"/>
            <w:tcBorders>
              <w:top w:val="single" w:sz="4" w:space="0" w:color="auto"/>
              <w:left w:val="single" w:sz="4" w:space="0" w:color="auto"/>
              <w:bottom w:val="nil"/>
              <w:right w:val="single" w:sz="4" w:space="0" w:color="auto"/>
            </w:tcBorders>
            <w:vAlign w:val="center"/>
          </w:tcPr>
          <w:p w14:paraId="4870A30C"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single" w:sz="4" w:space="0" w:color="auto"/>
              <w:left w:val="single" w:sz="4" w:space="0" w:color="auto"/>
              <w:bottom w:val="nil"/>
              <w:right w:val="single" w:sz="4" w:space="0" w:color="auto"/>
            </w:tcBorders>
            <w:vAlign w:val="center"/>
          </w:tcPr>
          <w:p w14:paraId="242BDCAD"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single" w:sz="4" w:space="0" w:color="auto"/>
              <w:left w:val="single" w:sz="4" w:space="0" w:color="auto"/>
              <w:bottom w:val="nil"/>
              <w:right w:val="single" w:sz="4" w:space="0" w:color="auto"/>
            </w:tcBorders>
            <w:vAlign w:val="center"/>
          </w:tcPr>
          <w:p w14:paraId="41BDA01B"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00" w:type="pct"/>
            <w:tcBorders>
              <w:top w:val="single" w:sz="4" w:space="0" w:color="auto"/>
              <w:left w:val="single" w:sz="4" w:space="0" w:color="auto"/>
              <w:bottom w:val="nil"/>
              <w:right w:val="single" w:sz="4" w:space="0" w:color="auto"/>
            </w:tcBorders>
            <w:vAlign w:val="center"/>
          </w:tcPr>
          <w:p w14:paraId="22B3FBAF"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32" w:type="pct"/>
            <w:tcBorders>
              <w:top w:val="single" w:sz="4" w:space="0" w:color="auto"/>
              <w:left w:val="single" w:sz="4" w:space="0" w:color="auto"/>
              <w:bottom w:val="nil"/>
            </w:tcBorders>
            <w:vAlign w:val="center"/>
          </w:tcPr>
          <w:p w14:paraId="6DCB342D"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r>
      <w:tr w:rsidR="00C7280F" w:rsidRPr="009A4DCA" w14:paraId="3CE4D064" w14:textId="77777777" w:rsidTr="00421004">
        <w:tc>
          <w:tcPr>
            <w:tcW w:w="1008" w:type="pct"/>
            <w:tcBorders>
              <w:top w:val="nil"/>
              <w:bottom w:val="nil"/>
              <w:right w:val="single" w:sz="4" w:space="0" w:color="auto"/>
            </w:tcBorders>
          </w:tcPr>
          <w:p w14:paraId="61475CDF" w14:textId="77777777" w:rsidR="00C7280F" w:rsidRPr="009A4DCA" w:rsidRDefault="00C7280F" w:rsidP="00901A08">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00" w:type="pct"/>
            <w:tcBorders>
              <w:top w:val="nil"/>
              <w:left w:val="single" w:sz="4" w:space="0" w:color="auto"/>
              <w:bottom w:val="nil"/>
              <w:right w:val="single" w:sz="4" w:space="0" w:color="auto"/>
            </w:tcBorders>
            <w:vAlign w:val="center"/>
          </w:tcPr>
          <w:p w14:paraId="09C2D126"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nil"/>
              <w:left w:val="single" w:sz="4" w:space="0" w:color="auto"/>
              <w:bottom w:val="nil"/>
              <w:right w:val="single" w:sz="4" w:space="0" w:color="auto"/>
            </w:tcBorders>
            <w:vAlign w:val="center"/>
          </w:tcPr>
          <w:p w14:paraId="11DE552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nil"/>
              <w:left w:val="single" w:sz="4" w:space="0" w:color="auto"/>
              <w:bottom w:val="nil"/>
              <w:right w:val="single" w:sz="4" w:space="0" w:color="auto"/>
            </w:tcBorders>
            <w:vAlign w:val="center"/>
          </w:tcPr>
          <w:p w14:paraId="1974A0EB"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29" w:type="pct"/>
            <w:tcBorders>
              <w:top w:val="nil"/>
              <w:left w:val="single" w:sz="4" w:space="0" w:color="auto"/>
              <w:bottom w:val="nil"/>
              <w:right w:val="single" w:sz="4" w:space="0" w:color="auto"/>
            </w:tcBorders>
            <w:vAlign w:val="center"/>
          </w:tcPr>
          <w:p w14:paraId="2A4E0740"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nil"/>
              <w:left w:val="single" w:sz="4" w:space="0" w:color="auto"/>
              <w:bottom w:val="nil"/>
              <w:right w:val="single" w:sz="4" w:space="0" w:color="auto"/>
            </w:tcBorders>
            <w:vAlign w:val="center"/>
          </w:tcPr>
          <w:p w14:paraId="0E78FEB7"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nil"/>
              <w:left w:val="single" w:sz="4" w:space="0" w:color="auto"/>
              <w:bottom w:val="nil"/>
              <w:right w:val="single" w:sz="4" w:space="0" w:color="auto"/>
            </w:tcBorders>
            <w:vAlign w:val="center"/>
          </w:tcPr>
          <w:p w14:paraId="52D06B80"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0.1</w:t>
            </w:r>
          </w:p>
        </w:tc>
        <w:tc>
          <w:tcPr>
            <w:tcW w:w="500" w:type="pct"/>
            <w:tcBorders>
              <w:top w:val="nil"/>
              <w:left w:val="single" w:sz="4" w:space="0" w:color="auto"/>
              <w:bottom w:val="nil"/>
              <w:right w:val="single" w:sz="4" w:space="0" w:color="auto"/>
            </w:tcBorders>
            <w:vAlign w:val="center"/>
          </w:tcPr>
          <w:p w14:paraId="20B8F01C"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32" w:type="pct"/>
            <w:tcBorders>
              <w:top w:val="nil"/>
              <w:left w:val="single" w:sz="4" w:space="0" w:color="auto"/>
              <w:bottom w:val="nil"/>
            </w:tcBorders>
            <w:vAlign w:val="center"/>
          </w:tcPr>
          <w:p w14:paraId="71E01725"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0.04</w:t>
            </w:r>
          </w:p>
        </w:tc>
      </w:tr>
      <w:tr w:rsidR="00C7280F" w:rsidRPr="009A4DCA" w14:paraId="3278AE99" w14:textId="77777777" w:rsidTr="00421004">
        <w:tc>
          <w:tcPr>
            <w:tcW w:w="1008" w:type="pct"/>
            <w:tcBorders>
              <w:top w:val="nil"/>
              <w:bottom w:val="single" w:sz="4" w:space="0" w:color="auto"/>
              <w:right w:val="single" w:sz="4" w:space="0" w:color="auto"/>
            </w:tcBorders>
          </w:tcPr>
          <w:p w14:paraId="311B602D"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965" w:type="pct"/>
            <w:gridSpan w:val="2"/>
            <w:tcBorders>
              <w:top w:val="nil"/>
              <w:left w:val="single" w:sz="4" w:space="0" w:color="auto"/>
              <w:bottom w:val="single" w:sz="4" w:space="0" w:color="auto"/>
              <w:right w:val="single" w:sz="4" w:space="0" w:color="auto"/>
            </w:tcBorders>
          </w:tcPr>
          <w:p w14:paraId="02455BA5"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NP</w:t>
            </w:r>
          </w:p>
        </w:tc>
        <w:tc>
          <w:tcPr>
            <w:tcW w:w="1029" w:type="pct"/>
            <w:gridSpan w:val="2"/>
            <w:tcBorders>
              <w:top w:val="nil"/>
              <w:left w:val="single" w:sz="4" w:space="0" w:color="auto"/>
              <w:bottom w:val="single" w:sz="4" w:space="0" w:color="auto"/>
              <w:right w:val="single" w:sz="4" w:space="0" w:color="auto"/>
            </w:tcBorders>
          </w:tcPr>
          <w:p w14:paraId="39D96C62"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100.0 </w:t>
            </w:r>
            <w:r w:rsidRPr="009A4DCA">
              <w:rPr>
                <w:rFonts w:ascii="Arial Narrow" w:eastAsiaTheme="majorEastAsia" w:hAnsi="Arial Narrow" w:cstheme="majorBidi"/>
                <w:bCs/>
                <w:sz w:val="20"/>
                <w:lang w:eastAsia="en-US"/>
              </w:rPr>
              <w:br/>
              <w:t>(-432.5, 100.0)</w:t>
            </w:r>
          </w:p>
        </w:tc>
        <w:tc>
          <w:tcPr>
            <w:tcW w:w="965" w:type="pct"/>
            <w:gridSpan w:val="2"/>
            <w:tcBorders>
              <w:top w:val="nil"/>
              <w:left w:val="single" w:sz="4" w:space="0" w:color="auto"/>
              <w:bottom w:val="single" w:sz="4" w:space="0" w:color="auto"/>
              <w:right w:val="single" w:sz="4" w:space="0" w:color="auto"/>
            </w:tcBorders>
          </w:tcPr>
          <w:p w14:paraId="651FC238"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100.0 </w:t>
            </w:r>
            <w:r w:rsidRPr="009A4DCA">
              <w:rPr>
                <w:rFonts w:ascii="Arial Narrow" w:eastAsiaTheme="majorEastAsia" w:hAnsi="Arial Narrow" w:cstheme="majorBidi"/>
                <w:bCs/>
                <w:sz w:val="20"/>
                <w:lang w:eastAsia="en-US"/>
              </w:rPr>
              <w:br/>
              <w:t>(-3800.0, 100.0)</w:t>
            </w:r>
          </w:p>
        </w:tc>
        <w:tc>
          <w:tcPr>
            <w:tcW w:w="1032" w:type="pct"/>
            <w:gridSpan w:val="2"/>
            <w:tcBorders>
              <w:top w:val="nil"/>
              <w:left w:val="single" w:sz="4" w:space="0" w:color="auto"/>
              <w:bottom w:val="single" w:sz="4" w:space="0" w:color="auto"/>
            </w:tcBorders>
          </w:tcPr>
          <w:p w14:paraId="0E6ACE4A"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100.0 </w:t>
            </w:r>
            <w:r w:rsidRPr="009A4DCA">
              <w:rPr>
                <w:rFonts w:ascii="Arial Narrow" w:eastAsiaTheme="majorEastAsia" w:hAnsi="Arial Narrow" w:cstheme="majorBidi"/>
                <w:bCs/>
                <w:sz w:val="20"/>
                <w:lang w:eastAsia="en-US"/>
              </w:rPr>
              <w:br/>
              <w:t>(-3800.0, 100.0)</w:t>
            </w:r>
          </w:p>
        </w:tc>
      </w:tr>
      <w:tr w:rsidR="00C7280F" w:rsidRPr="009A4DCA" w14:paraId="6B76B6B8" w14:textId="77777777" w:rsidTr="00421004">
        <w:tc>
          <w:tcPr>
            <w:tcW w:w="1008" w:type="pct"/>
            <w:tcBorders>
              <w:top w:val="single" w:sz="4" w:space="0" w:color="auto"/>
              <w:bottom w:val="nil"/>
              <w:right w:val="single" w:sz="4" w:space="0" w:color="auto"/>
            </w:tcBorders>
          </w:tcPr>
          <w:p w14:paraId="5ACEE285"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RSV-B, n (%)</w:t>
            </w:r>
          </w:p>
        </w:tc>
        <w:tc>
          <w:tcPr>
            <w:tcW w:w="500" w:type="pct"/>
            <w:tcBorders>
              <w:top w:val="single" w:sz="4" w:space="0" w:color="auto"/>
              <w:left w:val="single" w:sz="4" w:space="0" w:color="auto"/>
              <w:bottom w:val="nil"/>
              <w:right w:val="single" w:sz="4" w:space="0" w:color="auto"/>
            </w:tcBorders>
            <w:vAlign w:val="center"/>
          </w:tcPr>
          <w:p w14:paraId="4DD4F855"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single" w:sz="4" w:space="0" w:color="auto"/>
              <w:left w:val="single" w:sz="4" w:space="0" w:color="auto"/>
              <w:bottom w:val="nil"/>
              <w:right w:val="single" w:sz="4" w:space="0" w:color="auto"/>
            </w:tcBorders>
            <w:vAlign w:val="center"/>
          </w:tcPr>
          <w:p w14:paraId="7E47C3EB"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single" w:sz="4" w:space="0" w:color="auto"/>
              <w:left w:val="single" w:sz="4" w:space="0" w:color="auto"/>
              <w:bottom w:val="nil"/>
              <w:right w:val="single" w:sz="4" w:space="0" w:color="auto"/>
            </w:tcBorders>
            <w:vAlign w:val="center"/>
          </w:tcPr>
          <w:p w14:paraId="223415EB"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29" w:type="pct"/>
            <w:tcBorders>
              <w:top w:val="single" w:sz="4" w:space="0" w:color="auto"/>
              <w:left w:val="single" w:sz="4" w:space="0" w:color="auto"/>
              <w:bottom w:val="nil"/>
              <w:right w:val="single" w:sz="4" w:space="0" w:color="auto"/>
            </w:tcBorders>
            <w:vAlign w:val="center"/>
          </w:tcPr>
          <w:p w14:paraId="4339A27A"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c>
          <w:tcPr>
            <w:tcW w:w="500" w:type="pct"/>
            <w:tcBorders>
              <w:top w:val="single" w:sz="4" w:space="0" w:color="auto"/>
              <w:left w:val="single" w:sz="4" w:space="0" w:color="auto"/>
              <w:bottom w:val="nil"/>
              <w:right w:val="single" w:sz="4" w:space="0" w:color="auto"/>
            </w:tcBorders>
            <w:vAlign w:val="center"/>
          </w:tcPr>
          <w:p w14:paraId="151AEE73"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single" w:sz="4" w:space="0" w:color="auto"/>
              <w:left w:val="single" w:sz="4" w:space="0" w:color="auto"/>
              <w:bottom w:val="nil"/>
              <w:right w:val="single" w:sz="4" w:space="0" w:color="auto"/>
            </w:tcBorders>
            <w:vAlign w:val="center"/>
          </w:tcPr>
          <w:p w14:paraId="453A7A3C"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single" w:sz="4" w:space="0" w:color="auto"/>
              <w:left w:val="single" w:sz="4" w:space="0" w:color="auto"/>
              <w:bottom w:val="nil"/>
              <w:right w:val="single" w:sz="4" w:space="0" w:color="auto"/>
            </w:tcBorders>
            <w:vAlign w:val="center"/>
          </w:tcPr>
          <w:p w14:paraId="6F701C12"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32" w:type="pct"/>
            <w:tcBorders>
              <w:top w:val="single" w:sz="4" w:space="0" w:color="auto"/>
              <w:left w:val="single" w:sz="4" w:space="0" w:color="auto"/>
              <w:bottom w:val="nil"/>
            </w:tcBorders>
            <w:vAlign w:val="center"/>
          </w:tcPr>
          <w:p w14:paraId="3AF1DB4C"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(0.01)</w:t>
            </w:r>
          </w:p>
        </w:tc>
      </w:tr>
      <w:tr w:rsidR="00C7280F" w:rsidRPr="009A4DCA" w14:paraId="658E5B18" w14:textId="77777777" w:rsidTr="00421004">
        <w:tc>
          <w:tcPr>
            <w:tcW w:w="1008" w:type="pct"/>
            <w:tcBorders>
              <w:top w:val="nil"/>
              <w:bottom w:val="nil"/>
              <w:right w:val="single" w:sz="4" w:space="0" w:color="auto"/>
            </w:tcBorders>
          </w:tcPr>
          <w:p w14:paraId="444C8EF4" w14:textId="77777777" w:rsidR="00C7280F" w:rsidRPr="009A4DCA" w:rsidRDefault="00C7280F" w:rsidP="00901A08">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00" w:type="pct"/>
            <w:tcBorders>
              <w:top w:val="nil"/>
              <w:left w:val="single" w:sz="4" w:space="0" w:color="auto"/>
              <w:bottom w:val="nil"/>
              <w:right w:val="single" w:sz="4" w:space="0" w:color="auto"/>
            </w:tcBorders>
            <w:vAlign w:val="center"/>
          </w:tcPr>
          <w:p w14:paraId="481505E0"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nil"/>
              <w:left w:val="single" w:sz="4" w:space="0" w:color="auto"/>
              <w:bottom w:val="nil"/>
              <w:right w:val="single" w:sz="4" w:space="0" w:color="auto"/>
            </w:tcBorders>
            <w:vAlign w:val="center"/>
          </w:tcPr>
          <w:p w14:paraId="698F370B"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nil"/>
              <w:left w:val="single" w:sz="4" w:space="0" w:color="auto"/>
              <w:bottom w:val="nil"/>
              <w:right w:val="single" w:sz="4" w:space="0" w:color="auto"/>
            </w:tcBorders>
            <w:vAlign w:val="center"/>
          </w:tcPr>
          <w:p w14:paraId="363F8494"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29" w:type="pct"/>
            <w:tcBorders>
              <w:top w:val="nil"/>
              <w:left w:val="single" w:sz="4" w:space="0" w:color="auto"/>
              <w:bottom w:val="nil"/>
              <w:right w:val="single" w:sz="4" w:space="0" w:color="auto"/>
            </w:tcBorders>
            <w:vAlign w:val="center"/>
          </w:tcPr>
          <w:p w14:paraId="3DCDE49A"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0.09</w:t>
            </w:r>
          </w:p>
        </w:tc>
        <w:tc>
          <w:tcPr>
            <w:tcW w:w="500" w:type="pct"/>
            <w:tcBorders>
              <w:top w:val="nil"/>
              <w:left w:val="single" w:sz="4" w:space="0" w:color="auto"/>
              <w:bottom w:val="nil"/>
              <w:right w:val="single" w:sz="4" w:space="0" w:color="auto"/>
            </w:tcBorders>
            <w:vAlign w:val="center"/>
          </w:tcPr>
          <w:p w14:paraId="1EC7C2B0"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465" w:type="pct"/>
            <w:tcBorders>
              <w:top w:val="nil"/>
              <w:left w:val="single" w:sz="4" w:space="0" w:color="auto"/>
              <w:bottom w:val="nil"/>
              <w:right w:val="single" w:sz="4" w:space="0" w:color="auto"/>
            </w:tcBorders>
            <w:vAlign w:val="center"/>
          </w:tcPr>
          <w:p w14:paraId="70848C23"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00" w:type="pct"/>
            <w:tcBorders>
              <w:top w:val="nil"/>
              <w:left w:val="single" w:sz="4" w:space="0" w:color="auto"/>
              <w:bottom w:val="nil"/>
              <w:right w:val="single" w:sz="4" w:space="0" w:color="auto"/>
            </w:tcBorders>
            <w:vAlign w:val="center"/>
          </w:tcPr>
          <w:p w14:paraId="28010F61"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532" w:type="pct"/>
            <w:tcBorders>
              <w:top w:val="nil"/>
              <w:left w:val="single" w:sz="4" w:space="0" w:color="auto"/>
              <w:bottom w:val="nil"/>
            </w:tcBorders>
            <w:vAlign w:val="center"/>
          </w:tcPr>
          <w:p w14:paraId="4BB7CF09"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0.04</w:t>
            </w:r>
          </w:p>
        </w:tc>
      </w:tr>
      <w:tr w:rsidR="00C7280F" w:rsidRPr="009A4DCA" w14:paraId="79536A59" w14:textId="77777777" w:rsidTr="00421004">
        <w:tc>
          <w:tcPr>
            <w:tcW w:w="1008" w:type="pct"/>
            <w:tcBorders>
              <w:top w:val="nil"/>
              <w:bottom w:val="single" w:sz="4" w:space="0" w:color="auto"/>
              <w:right w:val="single" w:sz="4" w:space="0" w:color="auto"/>
            </w:tcBorders>
          </w:tcPr>
          <w:p w14:paraId="214984DB"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965" w:type="pct"/>
            <w:gridSpan w:val="2"/>
            <w:tcBorders>
              <w:top w:val="nil"/>
              <w:left w:val="single" w:sz="4" w:space="0" w:color="auto"/>
              <w:bottom w:val="single" w:sz="4" w:space="0" w:color="auto"/>
              <w:right w:val="single" w:sz="4" w:space="0" w:color="auto"/>
            </w:tcBorders>
          </w:tcPr>
          <w:p w14:paraId="1C7A96EF"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NP</w:t>
            </w:r>
          </w:p>
        </w:tc>
        <w:tc>
          <w:tcPr>
            <w:tcW w:w="1029" w:type="pct"/>
            <w:gridSpan w:val="2"/>
            <w:tcBorders>
              <w:top w:val="nil"/>
              <w:left w:val="single" w:sz="4" w:space="0" w:color="auto"/>
              <w:bottom w:val="single" w:sz="4" w:space="0" w:color="auto"/>
              <w:right w:val="single" w:sz="4" w:space="0" w:color="auto"/>
            </w:tcBorders>
          </w:tcPr>
          <w:p w14:paraId="25FD0C58"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100.0 </w:t>
            </w:r>
            <w:r w:rsidRPr="009A4DCA">
              <w:rPr>
                <w:rFonts w:ascii="Arial Narrow" w:eastAsiaTheme="majorEastAsia" w:hAnsi="Arial Narrow" w:cstheme="majorBidi"/>
                <w:bCs/>
                <w:sz w:val="20"/>
                <w:lang w:eastAsia="en-US"/>
              </w:rPr>
              <w:br/>
              <w:t>(-3800.0, 100.0)</w:t>
            </w:r>
          </w:p>
        </w:tc>
        <w:tc>
          <w:tcPr>
            <w:tcW w:w="965" w:type="pct"/>
            <w:gridSpan w:val="2"/>
            <w:tcBorders>
              <w:top w:val="nil"/>
              <w:left w:val="single" w:sz="4" w:space="0" w:color="auto"/>
              <w:bottom w:val="single" w:sz="4" w:space="0" w:color="auto"/>
              <w:right w:val="single" w:sz="4" w:space="0" w:color="auto"/>
            </w:tcBorders>
          </w:tcPr>
          <w:p w14:paraId="77CF4450"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NE</w:t>
            </w:r>
          </w:p>
        </w:tc>
        <w:tc>
          <w:tcPr>
            <w:tcW w:w="1032" w:type="pct"/>
            <w:gridSpan w:val="2"/>
            <w:tcBorders>
              <w:top w:val="nil"/>
              <w:left w:val="single" w:sz="4" w:space="0" w:color="auto"/>
              <w:bottom w:val="single" w:sz="4" w:space="0" w:color="auto"/>
            </w:tcBorders>
          </w:tcPr>
          <w:p w14:paraId="657CA1AE" w14:textId="77777777" w:rsidR="00C7280F" w:rsidRPr="009A4DCA" w:rsidRDefault="00C7280F" w:rsidP="00901A08">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100.0 </w:t>
            </w:r>
            <w:r w:rsidRPr="009A4DCA">
              <w:rPr>
                <w:rFonts w:ascii="Arial Narrow" w:eastAsiaTheme="majorEastAsia" w:hAnsi="Arial Narrow" w:cstheme="majorBidi"/>
                <w:bCs/>
                <w:sz w:val="20"/>
                <w:lang w:eastAsia="en-US"/>
              </w:rPr>
              <w:br/>
              <w:t>(-3800.0, 100.0)</w:t>
            </w:r>
          </w:p>
        </w:tc>
      </w:tr>
      <w:tr w:rsidR="00C7280F" w:rsidRPr="009A4DCA" w14:paraId="476B11CB" w14:textId="77777777" w:rsidTr="00421004">
        <w:tc>
          <w:tcPr>
            <w:tcW w:w="5000" w:type="pct"/>
            <w:gridSpan w:val="9"/>
            <w:tcBorders>
              <w:top w:val="single" w:sz="4" w:space="0" w:color="auto"/>
              <w:bottom w:val="single" w:sz="4" w:space="0" w:color="auto"/>
            </w:tcBorders>
            <w:shd w:val="clear" w:color="auto" w:fill="D9D9D9" w:themeFill="background1" w:themeFillShade="D9"/>
          </w:tcPr>
          <w:p w14:paraId="1023C5E1" w14:textId="506568E3" w:rsidR="00C7280F" w:rsidRPr="009A4DCA" w:rsidRDefault="00C7280F" w:rsidP="00901A08">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
                <w:bCs/>
                <w:sz w:val="20"/>
                <w:lang w:eastAsia="en-US"/>
              </w:rPr>
              <w:t>First-episode of RSV</w:t>
            </w:r>
            <w:r w:rsidR="000A0E68" w:rsidRPr="009A4DCA">
              <w:rPr>
                <w:rFonts w:ascii="Arial Narrow" w:eastAsiaTheme="majorEastAsia" w:hAnsi="Arial Narrow" w:cstheme="majorBidi"/>
                <w:b/>
                <w:bCs/>
                <w:sz w:val="20"/>
                <w:lang w:eastAsia="en-US"/>
              </w:rPr>
              <w:t>-ARI</w:t>
            </w:r>
          </w:p>
        </w:tc>
      </w:tr>
      <w:tr w:rsidR="00C7280F" w:rsidRPr="009A4DCA" w14:paraId="2B68C117" w14:textId="77777777" w:rsidTr="00421004">
        <w:tc>
          <w:tcPr>
            <w:tcW w:w="1008" w:type="pct"/>
            <w:tcBorders>
              <w:top w:val="single" w:sz="4" w:space="0" w:color="auto"/>
              <w:bottom w:val="nil"/>
              <w:right w:val="single" w:sz="4" w:space="0" w:color="auto"/>
            </w:tcBorders>
          </w:tcPr>
          <w:p w14:paraId="71967667"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 (%)</w:t>
            </w:r>
          </w:p>
        </w:tc>
        <w:tc>
          <w:tcPr>
            <w:tcW w:w="500" w:type="pct"/>
            <w:tcBorders>
              <w:top w:val="single" w:sz="4" w:space="0" w:color="auto"/>
              <w:left w:val="single" w:sz="4" w:space="0" w:color="auto"/>
              <w:bottom w:val="nil"/>
              <w:right w:val="single" w:sz="4" w:space="0" w:color="auto"/>
            </w:tcBorders>
            <w:shd w:val="clear" w:color="auto" w:fill="auto"/>
            <w:vAlign w:val="center"/>
          </w:tcPr>
          <w:p w14:paraId="34494F92"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22 (0.13)</w:t>
            </w:r>
          </w:p>
        </w:tc>
        <w:tc>
          <w:tcPr>
            <w:tcW w:w="465" w:type="pct"/>
            <w:tcBorders>
              <w:top w:val="single" w:sz="4" w:space="0" w:color="auto"/>
              <w:left w:val="single" w:sz="4" w:space="0" w:color="auto"/>
              <w:bottom w:val="nil"/>
              <w:right w:val="single" w:sz="4" w:space="0" w:color="auto"/>
            </w:tcBorders>
            <w:shd w:val="clear" w:color="auto" w:fill="auto"/>
            <w:vAlign w:val="center"/>
          </w:tcPr>
          <w:p w14:paraId="7B7E5B25"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58 (0.36)</w:t>
            </w:r>
          </w:p>
        </w:tc>
        <w:tc>
          <w:tcPr>
            <w:tcW w:w="500" w:type="pct"/>
            <w:tcBorders>
              <w:top w:val="single" w:sz="4" w:space="0" w:color="auto"/>
              <w:left w:val="single" w:sz="4" w:space="0" w:color="auto"/>
              <w:bottom w:val="nil"/>
              <w:right w:val="single" w:sz="4" w:space="0" w:color="auto"/>
            </w:tcBorders>
            <w:shd w:val="clear" w:color="auto" w:fill="auto"/>
            <w:vAlign w:val="center"/>
          </w:tcPr>
          <w:p w14:paraId="397B82BE"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37 (0.20)</w:t>
            </w:r>
          </w:p>
        </w:tc>
        <w:tc>
          <w:tcPr>
            <w:tcW w:w="529" w:type="pct"/>
            <w:tcBorders>
              <w:top w:val="single" w:sz="4" w:space="0" w:color="auto"/>
              <w:left w:val="single" w:sz="4" w:space="0" w:color="auto"/>
              <w:bottom w:val="nil"/>
              <w:right w:val="single" w:sz="4" w:space="0" w:color="auto"/>
            </w:tcBorders>
            <w:shd w:val="clear" w:color="auto" w:fill="auto"/>
            <w:vAlign w:val="center"/>
          </w:tcPr>
          <w:p w14:paraId="525386DE"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98 (0.54)</w:t>
            </w:r>
          </w:p>
        </w:tc>
        <w:tc>
          <w:tcPr>
            <w:tcW w:w="500" w:type="pct"/>
            <w:tcBorders>
              <w:top w:val="single" w:sz="4" w:space="0" w:color="auto"/>
              <w:left w:val="single" w:sz="4" w:space="0" w:color="auto"/>
              <w:bottom w:val="nil"/>
              <w:right w:val="single" w:sz="4" w:space="0" w:color="auto"/>
            </w:tcBorders>
            <w:shd w:val="clear" w:color="auto" w:fill="auto"/>
            <w:vAlign w:val="center"/>
          </w:tcPr>
          <w:p w14:paraId="6969D64D"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149 (0.92)</w:t>
            </w:r>
          </w:p>
        </w:tc>
        <w:tc>
          <w:tcPr>
            <w:tcW w:w="465" w:type="pct"/>
            <w:tcBorders>
              <w:top w:val="single" w:sz="4" w:space="0" w:color="auto"/>
              <w:left w:val="single" w:sz="4" w:space="0" w:color="auto"/>
              <w:bottom w:val="nil"/>
              <w:right w:val="single" w:sz="4" w:space="0" w:color="auto"/>
            </w:tcBorders>
            <w:shd w:val="clear" w:color="auto" w:fill="auto"/>
            <w:vAlign w:val="center"/>
          </w:tcPr>
          <w:p w14:paraId="1C4F3825" w14:textId="77777777" w:rsidR="00C7280F" w:rsidRPr="009A4DCA" w:rsidRDefault="00C7280F" w:rsidP="00901A08">
            <w:pPr>
              <w:keepNext/>
              <w:keepLines/>
              <w:ind w:left="-59" w:right="-10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236 (1.47)</w:t>
            </w:r>
          </w:p>
        </w:tc>
        <w:tc>
          <w:tcPr>
            <w:tcW w:w="500" w:type="pct"/>
            <w:tcBorders>
              <w:top w:val="single" w:sz="4" w:space="0" w:color="auto"/>
              <w:left w:val="single" w:sz="4" w:space="0" w:color="auto"/>
              <w:bottom w:val="nil"/>
              <w:right w:val="single" w:sz="4" w:space="0" w:color="auto"/>
            </w:tcBorders>
            <w:shd w:val="clear" w:color="auto" w:fill="auto"/>
            <w:vAlign w:val="center"/>
          </w:tcPr>
          <w:p w14:paraId="262993B2"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186 (1.03)</w:t>
            </w:r>
          </w:p>
        </w:tc>
        <w:tc>
          <w:tcPr>
            <w:tcW w:w="532" w:type="pct"/>
            <w:tcBorders>
              <w:top w:val="single" w:sz="4" w:space="0" w:color="auto"/>
              <w:left w:val="single" w:sz="4" w:space="0" w:color="auto"/>
              <w:bottom w:val="nil"/>
            </w:tcBorders>
            <w:shd w:val="clear" w:color="auto" w:fill="auto"/>
            <w:vAlign w:val="center"/>
          </w:tcPr>
          <w:p w14:paraId="2413EC9B"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334 (1.85)</w:t>
            </w:r>
          </w:p>
        </w:tc>
      </w:tr>
      <w:tr w:rsidR="00C7280F" w:rsidRPr="009A4DCA" w14:paraId="217999EF" w14:textId="77777777" w:rsidTr="00421004">
        <w:tc>
          <w:tcPr>
            <w:tcW w:w="1008" w:type="pct"/>
            <w:tcBorders>
              <w:top w:val="nil"/>
              <w:bottom w:val="nil"/>
              <w:right w:val="single" w:sz="4" w:space="0" w:color="auto"/>
            </w:tcBorders>
          </w:tcPr>
          <w:p w14:paraId="6CC44D78" w14:textId="77777777" w:rsidR="00C7280F" w:rsidRPr="009A4DCA" w:rsidRDefault="00C7280F" w:rsidP="00901A08">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00" w:type="pct"/>
            <w:tcBorders>
              <w:top w:val="nil"/>
              <w:left w:val="single" w:sz="4" w:space="0" w:color="auto"/>
              <w:bottom w:val="nil"/>
              <w:right w:val="single" w:sz="4" w:space="0" w:color="auto"/>
            </w:tcBorders>
            <w:shd w:val="clear" w:color="auto" w:fill="auto"/>
            <w:vAlign w:val="center"/>
          </w:tcPr>
          <w:p w14:paraId="41DCE4B0"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2.38</w:t>
            </w:r>
          </w:p>
        </w:tc>
        <w:tc>
          <w:tcPr>
            <w:tcW w:w="465" w:type="pct"/>
            <w:tcBorders>
              <w:top w:val="nil"/>
              <w:left w:val="single" w:sz="4" w:space="0" w:color="auto"/>
              <w:bottom w:val="nil"/>
              <w:right w:val="single" w:sz="4" w:space="0" w:color="auto"/>
            </w:tcBorders>
            <w:shd w:val="clear" w:color="auto" w:fill="auto"/>
            <w:vAlign w:val="center"/>
          </w:tcPr>
          <w:p w14:paraId="523E0396"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6.3</w:t>
            </w:r>
          </w:p>
        </w:tc>
        <w:tc>
          <w:tcPr>
            <w:tcW w:w="500" w:type="pct"/>
            <w:tcBorders>
              <w:top w:val="nil"/>
              <w:left w:val="single" w:sz="4" w:space="0" w:color="auto"/>
              <w:bottom w:val="nil"/>
              <w:right w:val="single" w:sz="4" w:space="0" w:color="auto"/>
            </w:tcBorders>
            <w:shd w:val="clear" w:color="auto" w:fill="auto"/>
            <w:vAlign w:val="center"/>
          </w:tcPr>
          <w:p w14:paraId="301C6E8E"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3.49</w:t>
            </w:r>
          </w:p>
        </w:tc>
        <w:tc>
          <w:tcPr>
            <w:tcW w:w="529" w:type="pct"/>
            <w:tcBorders>
              <w:top w:val="nil"/>
              <w:left w:val="single" w:sz="4" w:space="0" w:color="auto"/>
              <w:bottom w:val="nil"/>
              <w:right w:val="single" w:sz="4" w:space="0" w:color="auto"/>
            </w:tcBorders>
            <w:shd w:val="clear" w:color="auto" w:fill="auto"/>
            <w:vAlign w:val="center"/>
          </w:tcPr>
          <w:p w14:paraId="4DCA07FD"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9.25</w:t>
            </w:r>
          </w:p>
        </w:tc>
        <w:tc>
          <w:tcPr>
            <w:tcW w:w="500" w:type="pct"/>
            <w:tcBorders>
              <w:top w:val="nil"/>
              <w:left w:val="single" w:sz="4" w:space="0" w:color="auto"/>
              <w:bottom w:val="nil"/>
              <w:right w:val="single" w:sz="4" w:space="0" w:color="auto"/>
            </w:tcBorders>
            <w:shd w:val="clear" w:color="auto" w:fill="auto"/>
            <w:vAlign w:val="center"/>
          </w:tcPr>
          <w:p w14:paraId="5AA15CE9"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14.64</w:t>
            </w:r>
          </w:p>
        </w:tc>
        <w:tc>
          <w:tcPr>
            <w:tcW w:w="465" w:type="pct"/>
            <w:tcBorders>
              <w:top w:val="nil"/>
              <w:left w:val="single" w:sz="4" w:space="0" w:color="auto"/>
              <w:bottom w:val="nil"/>
              <w:right w:val="single" w:sz="4" w:space="0" w:color="auto"/>
            </w:tcBorders>
            <w:shd w:val="clear" w:color="auto" w:fill="auto"/>
            <w:vAlign w:val="center"/>
          </w:tcPr>
          <w:p w14:paraId="7B7634FA"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23.14</w:t>
            </w:r>
          </w:p>
        </w:tc>
        <w:tc>
          <w:tcPr>
            <w:tcW w:w="500" w:type="pct"/>
            <w:tcBorders>
              <w:top w:val="nil"/>
              <w:left w:val="single" w:sz="4" w:space="0" w:color="auto"/>
              <w:bottom w:val="nil"/>
              <w:right w:val="single" w:sz="4" w:space="0" w:color="auto"/>
            </w:tcBorders>
            <w:shd w:val="clear" w:color="auto" w:fill="auto"/>
            <w:vAlign w:val="center"/>
          </w:tcPr>
          <w:p w14:paraId="00DB4EF7"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7.55</w:t>
            </w:r>
          </w:p>
        </w:tc>
        <w:tc>
          <w:tcPr>
            <w:tcW w:w="532" w:type="pct"/>
            <w:tcBorders>
              <w:top w:val="nil"/>
              <w:left w:val="single" w:sz="4" w:space="0" w:color="auto"/>
              <w:bottom w:val="nil"/>
            </w:tcBorders>
            <w:shd w:val="clear" w:color="auto" w:fill="auto"/>
            <w:vAlign w:val="center"/>
          </w:tcPr>
          <w:p w14:paraId="7870FBD2"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13.57</w:t>
            </w:r>
          </w:p>
        </w:tc>
      </w:tr>
      <w:tr w:rsidR="00C7280F" w:rsidRPr="009A4DCA" w14:paraId="3D192730" w14:textId="77777777" w:rsidTr="00421004">
        <w:tc>
          <w:tcPr>
            <w:tcW w:w="1008" w:type="pct"/>
            <w:tcBorders>
              <w:top w:val="nil"/>
              <w:bottom w:val="single" w:sz="4" w:space="0" w:color="auto"/>
              <w:right w:val="single" w:sz="4" w:space="0" w:color="auto"/>
            </w:tcBorders>
          </w:tcPr>
          <w:p w14:paraId="51132164"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965" w:type="pct"/>
            <w:gridSpan w:val="2"/>
            <w:tcBorders>
              <w:top w:val="nil"/>
              <w:left w:val="single" w:sz="4" w:space="0" w:color="auto"/>
              <w:bottom w:val="single" w:sz="4" w:space="0" w:color="auto"/>
              <w:right w:val="single" w:sz="4" w:space="0" w:color="auto"/>
            </w:tcBorders>
            <w:shd w:val="clear" w:color="auto" w:fill="auto"/>
          </w:tcPr>
          <w:p w14:paraId="65F4E2AD"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62.1 (37.1, 77.9)*</w:t>
            </w:r>
          </w:p>
        </w:tc>
        <w:tc>
          <w:tcPr>
            <w:tcW w:w="1029" w:type="pct"/>
            <w:gridSpan w:val="2"/>
            <w:tcBorders>
              <w:top w:val="nil"/>
              <w:left w:val="single" w:sz="4" w:space="0" w:color="auto"/>
              <w:bottom w:val="single" w:sz="4" w:space="0" w:color="auto"/>
              <w:right w:val="single" w:sz="4" w:space="0" w:color="auto"/>
            </w:tcBorders>
            <w:shd w:val="clear" w:color="auto" w:fill="auto"/>
          </w:tcPr>
          <w:p w14:paraId="7EA8EF85"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62.2 (44.4, 74.9)*</w:t>
            </w:r>
          </w:p>
        </w:tc>
        <w:tc>
          <w:tcPr>
            <w:tcW w:w="965" w:type="pct"/>
            <w:gridSpan w:val="2"/>
            <w:tcBorders>
              <w:top w:val="nil"/>
              <w:left w:val="single" w:sz="4" w:space="0" w:color="auto"/>
              <w:bottom w:val="single" w:sz="4" w:space="0" w:color="auto"/>
              <w:right w:val="single" w:sz="4" w:space="0" w:color="auto"/>
            </w:tcBorders>
            <w:shd w:val="clear" w:color="auto" w:fill="auto"/>
          </w:tcPr>
          <w:p w14:paraId="31F9B801"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36.9 (22.2, 48.9)*</w:t>
            </w:r>
          </w:p>
        </w:tc>
        <w:tc>
          <w:tcPr>
            <w:tcW w:w="1032" w:type="pct"/>
            <w:gridSpan w:val="2"/>
            <w:tcBorders>
              <w:top w:val="nil"/>
              <w:left w:val="single" w:sz="4" w:space="0" w:color="auto"/>
              <w:bottom w:val="single" w:sz="4" w:space="0" w:color="auto"/>
            </w:tcBorders>
            <w:shd w:val="clear" w:color="auto" w:fill="auto"/>
          </w:tcPr>
          <w:p w14:paraId="5414CD69"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44.3 (33.2, 53.7)*</w:t>
            </w:r>
          </w:p>
        </w:tc>
      </w:tr>
      <w:tr w:rsidR="00C7280F" w:rsidRPr="009A4DCA" w14:paraId="4BFA4E5C" w14:textId="77777777" w:rsidTr="00421004">
        <w:tc>
          <w:tcPr>
            <w:tcW w:w="1008" w:type="pct"/>
            <w:tcBorders>
              <w:top w:val="single" w:sz="4" w:space="0" w:color="auto"/>
              <w:bottom w:val="nil"/>
              <w:right w:val="single" w:sz="4" w:space="0" w:color="auto"/>
            </w:tcBorders>
          </w:tcPr>
          <w:p w14:paraId="09012173"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RSV-A, n (%)</w:t>
            </w:r>
          </w:p>
        </w:tc>
        <w:tc>
          <w:tcPr>
            <w:tcW w:w="500" w:type="pct"/>
            <w:tcBorders>
              <w:top w:val="single" w:sz="4" w:space="0" w:color="auto"/>
              <w:left w:val="single" w:sz="4" w:space="0" w:color="auto"/>
              <w:bottom w:val="nil"/>
              <w:right w:val="single" w:sz="4" w:space="0" w:color="auto"/>
            </w:tcBorders>
            <w:shd w:val="clear" w:color="auto" w:fill="auto"/>
            <w:vAlign w:val="center"/>
          </w:tcPr>
          <w:p w14:paraId="0B6CF76C"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 (0.02)</w:t>
            </w:r>
          </w:p>
        </w:tc>
        <w:tc>
          <w:tcPr>
            <w:tcW w:w="465" w:type="pct"/>
            <w:tcBorders>
              <w:top w:val="single" w:sz="4" w:space="0" w:color="auto"/>
              <w:left w:val="single" w:sz="4" w:space="0" w:color="auto"/>
              <w:bottom w:val="nil"/>
              <w:right w:val="single" w:sz="4" w:space="0" w:color="auto"/>
            </w:tcBorders>
            <w:shd w:val="clear" w:color="auto" w:fill="auto"/>
            <w:vAlign w:val="center"/>
          </w:tcPr>
          <w:p w14:paraId="6E5C9803"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 (0.07)</w:t>
            </w:r>
          </w:p>
        </w:tc>
        <w:tc>
          <w:tcPr>
            <w:tcW w:w="500" w:type="pct"/>
            <w:tcBorders>
              <w:top w:val="single" w:sz="4" w:space="0" w:color="auto"/>
              <w:left w:val="single" w:sz="4" w:space="0" w:color="auto"/>
              <w:bottom w:val="nil"/>
              <w:right w:val="single" w:sz="4" w:space="0" w:color="auto"/>
            </w:tcBorders>
            <w:shd w:val="clear" w:color="auto" w:fill="auto"/>
            <w:vAlign w:val="center"/>
          </w:tcPr>
          <w:p w14:paraId="7140AA9D"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 (0.06)</w:t>
            </w:r>
          </w:p>
        </w:tc>
        <w:tc>
          <w:tcPr>
            <w:tcW w:w="529" w:type="pct"/>
            <w:tcBorders>
              <w:top w:val="single" w:sz="4" w:space="0" w:color="auto"/>
              <w:left w:val="single" w:sz="4" w:space="0" w:color="auto"/>
              <w:bottom w:val="nil"/>
              <w:right w:val="single" w:sz="4" w:space="0" w:color="auto"/>
            </w:tcBorders>
            <w:shd w:val="clear" w:color="auto" w:fill="auto"/>
            <w:vAlign w:val="center"/>
          </w:tcPr>
          <w:p w14:paraId="58DE4F3B"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35 (0.19)</w:t>
            </w:r>
          </w:p>
        </w:tc>
        <w:tc>
          <w:tcPr>
            <w:tcW w:w="500" w:type="pct"/>
            <w:tcBorders>
              <w:top w:val="single" w:sz="4" w:space="0" w:color="auto"/>
              <w:left w:val="single" w:sz="4" w:space="0" w:color="auto"/>
              <w:bottom w:val="nil"/>
              <w:right w:val="single" w:sz="4" w:space="0" w:color="auto"/>
            </w:tcBorders>
            <w:shd w:val="clear" w:color="auto" w:fill="auto"/>
            <w:vAlign w:val="center"/>
          </w:tcPr>
          <w:p w14:paraId="6392708F"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106 (0.66)</w:t>
            </w:r>
          </w:p>
        </w:tc>
        <w:tc>
          <w:tcPr>
            <w:tcW w:w="465" w:type="pct"/>
            <w:tcBorders>
              <w:top w:val="single" w:sz="4" w:space="0" w:color="auto"/>
              <w:left w:val="single" w:sz="4" w:space="0" w:color="auto"/>
              <w:bottom w:val="nil"/>
              <w:right w:val="single" w:sz="4" w:space="0" w:color="auto"/>
            </w:tcBorders>
            <w:shd w:val="clear" w:color="auto" w:fill="auto"/>
            <w:vAlign w:val="center"/>
          </w:tcPr>
          <w:p w14:paraId="03F50DE5" w14:textId="77777777" w:rsidR="00C7280F" w:rsidRPr="009A4DCA" w:rsidRDefault="00C7280F" w:rsidP="00901A08">
            <w:pPr>
              <w:keepNext/>
              <w:keepLines/>
              <w:ind w:left="-59" w:right="-10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175 (1.09)</w:t>
            </w:r>
          </w:p>
        </w:tc>
        <w:tc>
          <w:tcPr>
            <w:tcW w:w="500" w:type="pct"/>
            <w:tcBorders>
              <w:top w:val="single" w:sz="4" w:space="0" w:color="auto"/>
              <w:left w:val="single" w:sz="4" w:space="0" w:color="auto"/>
              <w:bottom w:val="nil"/>
              <w:right w:val="single" w:sz="4" w:space="0" w:color="auto"/>
            </w:tcBorders>
            <w:shd w:val="clear" w:color="auto" w:fill="auto"/>
            <w:vAlign w:val="center"/>
          </w:tcPr>
          <w:p w14:paraId="6B22CBE7"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117 (0.65)</w:t>
            </w:r>
          </w:p>
        </w:tc>
        <w:tc>
          <w:tcPr>
            <w:tcW w:w="532" w:type="pct"/>
            <w:tcBorders>
              <w:top w:val="single" w:sz="4" w:space="0" w:color="auto"/>
              <w:left w:val="single" w:sz="4" w:space="0" w:color="auto"/>
              <w:bottom w:val="nil"/>
            </w:tcBorders>
            <w:shd w:val="clear" w:color="auto" w:fill="auto"/>
            <w:vAlign w:val="center"/>
          </w:tcPr>
          <w:p w14:paraId="30F54239"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210 (1.16)</w:t>
            </w:r>
          </w:p>
        </w:tc>
      </w:tr>
      <w:tr w:rsidR="00C7280F" w:rsidRPr="009A4DCA" w14:paraId="51DFDCEE" w14:textId="77777777" w:rsidTr="00421004">
        <w:tc>
          <w:tcPr>
            <w:tcW w:w="1008" w:type="pct"/>
            <w:tcBorders>
              <w:top w:val="nil"/>
              <w:bottom w:val="nil"/>
              <w:right w:val="single" w:sz="4" w:space="0" w:color="auto"/>
            </w:tcBorders>
          </w:tcPr>
          <w:p w14:paraId="5C9D0E77" w14:textId="77777777" w:rsidR="00C7280F" w:rsidRPr="009A4DCA" w:rsidRDefault="00C7280F" w:rsidP="00901A08">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00" w:type="pct"/>
            <w:tcBorders>
              <w:top w:val="nil"/>
              <w:left w:val="single" w:sz="4" w:space="0" w:color="auto"/>
              <w:bottom w:val="nil"/>
              <w:right w:val="single" w:sz="4" w:space="0" w:color="auto"/>
            </w:tcBorders>
            <w:shd w:val="clear" w:color="auto" w:fill="auto"/>
            <w:vAlign w:val="center"/>
          </w:tcPr>
          <w:p w14:paraId="1040CC6A"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0.43</w:t>
            </w:r>
          </w:p>
        </w:tc>
        <w:tc>
          <w:tcPr>
            <w:tcW w:w="465" w:type="pct"/>
            <w:tcBorders>
              <w:top w:val="nil"/>
              <w:left w:val="single" w:sz="4" w:space="0" w:color="auto"/>
              <w:bottom w:val="nil"/>
              <w:right w:val="single" w:sz="4" w:space="0" w:color="auto"/>
            </w:tcBorders>
            <w:shd w:val="clear" w:color="auto" w:fill="auto"/>
            <w:vAlign w:val="center"/>
          </w:tcPr>
          <w:p w14:paraId="20EEC88A"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1.3</w:t>
            </w:r>
          </w:p>
        </w:tc>
        <w:tc>
          <w:tcPr>
            <w:tcW w:w="500" w:type="pct"/>
            <w:tcBorders>
              <w:top w:val="nil"/>
              <w:left w:val="single" w:sz="4" w:space="0" w:color="auto"/>
              <w:bottom w:val="nil"/>
              <w:right w:val="single" w:sz="4" w:space="0" w:color="auto"/>
            </w:tcBorders>
            <w:shd w:val="clear" w:color="auto" w:fill="auto"/>
            <w:vAlign w:val="center"/>
          </w:tcPr>
          <w:p w14:paraId="03901B4C"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1.04</w:t>
            </w:r>
          </w:p>
        </w:tc>
        <w:tc>
          <w:tcPr>
            <w:tcW w:w="529" w:type="pct"/>
            <w:tcBorders>
              <w:top w:val="nil"/>
              <w:left w:val="single" w:sz="4" w:space="0" w:color="auto"/>
              <w:bottom w:val="nil"/>
              <w:right w:val="single" w:sz="4" w:space="0" w:color="auto"/>
            </w:tcBorders>
            <w:shd w:val="clear" w:color="auto" w:fill="auto"/>
            <w:vAlign w:val="center"/>
          </w:tcPr>
          <w:p w14:paraId="4A73D8D3"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3.3</w:t>
            </w:r>
          </w:p>
        </w:tc>
        <w:tc>
          <w:tcPr>
            <w:tcW w:w="500" w:type="pct"/>
            <w:tcBorders>
              <w:top w:val="nil"/>
              <w:left w:val="single" w:sz="4" w:space="0" w:color="auto"/>
              <w:bottom w:val="nil"/>
              <w:right w:val="single" w:sz="4" w:space="0" w:color="auto"/>
            </w:tcBorders>
            <w:shd w:val="clear" w:color="auto" w:fill="auto"/>
            <w:vAlign w:val="center"/>
          </w:tcPr>
          <w:p w14:paraId="5951E28E"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10.42</w:t>
            </w:r>
          </w:p>
        </w:tc>
        <w:tc>
          <w:tcPr>
            <w:tcW w:w="465" w:type="pct"/>
            <w:tcBorders>
              <w:top w:val="nil"/>
              <w:left w:val="single" w:sz="4" w:space="0" w:color="auto"/>
              <w:bottom w:val="nil"/>
              <w:right w:val="single" w:sz="4" w:space="0" w:color="auto"/>
            </w:tcBorders>
            <w:shd w:val="clear" w:color="auto" w:fill="auto"/>
            <w:vAlign w:val="center"/>
          </w:tcPr>
          <w:p w14:paraId="356D3B80"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17.16</w:t>
            </w:r>
          </w:p>
        </w:tc>
        <w:tc>
          <w:tcPr>
            <w:tcW w:w="500" w:type="pct"/>
            <w:tcBorders>
              <w:top w:val="nil"/>
              <w:left w:val="single" w:sz="4" w:space="0" w:color="auto"/>
              <w:bottom w:val="nil"/>
              <w:right w:val="single" w:sz="4" w:space="0" w:color="auto"/>
            </w:tcBorders>
            <w:shd w:val="clear" w:color="auto" w:fill="auto"/>
            <w:vAlign w:val="center"/>
          </w:tcPr>
          <w:p w14:paraId="3A907624"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4.75</w:t>
            </w:r>
          </w:p>
        </w:tc>
        <w:tc>
          <w:tcPr>
            <w:tcW w:w="532" w:type="pct"/>
            <w:tcBorders>
              <w:top w:val="nil"/>
              <w:left w:val="single" w:sz="4" w:space="0" w:color="auto"/>
              <w:bottom w:val="nil"/>
            </w:tcBorders>
            <w:shd w:val="clear" w:color="auto" w:fill="auto"/>
            <w:vAlign w:val="center"/>
          </w:tcPr>
          <w:p w14:paraId="53111858"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8.53</w:t>
            </w:r>
          </w:p>
        </w:tc>
      </w:tr>
      <w:tr w:rsidR="00C7280F" w:rsidRPr="009A4DCA" w14:paraId="2807DD60" w14:textId="77777777" w:rsidTr="00421004">
        <w:tc>
          <w:tcPr>
            <w:tcW w:w="1008" w:type="pct"/>
            <w:tcBorders>
              <w:top w:val="nil"/>
              <w:bottom w:val="single" w:sz="4" w:space="0" w:color="auto"/>
              <w:right w:val="single" w:sz="4" w:space="0" w:color="auto"/>
            </w:tcBorders>
          </w:tcPr>
          <w:p w14:paraId="142B850F"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965" w:type="pct"/>
            <w:gridSpan w:val="2"/>
            <w:tcBorders>
              <w:top w:val="nil"/>
              <w:left w:val="single" w:sz="4" w:space="0" w:color="auto"/>
              <w:bottom w:val="single" w:sz="4" w:space="0" w:color="auto"/>
              <w:right w:val="single" w:sz="4" w:space="0" w:color="auto"/>
            </w:tcBorders>
            <w:shd w:val="clear" w:color="auto" w:fill="auto"/>
          </w:tcPr>
          <w:p w14:paraId="649C47D2"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66.7 (-10.0, 92.2)</w:t>
            </w:r>
          </w:p>
        </w:tc>
        <w:tc>
          <w:tcPr>
            <w:tcW w:w="1029" w:type="pct"/>
            <w:gridSpan w:val="2"/>
            <w:tcBorders>
              <w:top w:val="nil"/>
              <w:left w:val="single" w:sz="4" w:space="0" w:color="auto"/>
              <w:bottom w:val="single" w:sz="4" w:space="0" w:color="auto"/>
              <w:right w:val="single" w:sz="4" w:space="0" w:color="auto"/>
            </w:tcBorders>
            <w:shd w:val="clear" w:color="auto" w:fill="auto"/>
          </w:tcPr>
          <w:p w14:paraId="5A7C260B"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68.6 (36.7, 85.6)*</w:t>
            </w:r>
          </w:p>
        </w:tc>
        <w:tc>
          <w:tcPr>
            <w:tcW w:w="965" w:type="pct"/>
            <w:gridSpan w:val="2"/>
            <w:tcBorders>
              <w:top w:val="nil"/>
              <w:left w:val="single" w:sz="4" w:space="0" w:color="auto"/>
              <w:bottom w:val="single" w:sz="4" w:space="0" w:color="auto"/>
              <w:right w:val="single" w:sz="4" w:space="0" w:color="auto"/>
            </w:tcBorders>
            <w:shd w:val="clear" w:color="auto" w:fill="auto"/>
          </w:tcPr>
          <w:p w14:paraId="67CC5D45"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39.4 (22.5, 52.9)*</w:t>
            </w:r>
          </w:p>
        </w:tc>
        <w:tc>
          <w:tcPr>
            <w:tcW w:w="1032" w:type="pct"/>
            <w:gridSpan w:val="2"/>
            <w:tcBorders>
              <w:top w:val="nil"/>
              <w:left w:val="single" w:sz="4" w:space="0" w:color="auto"/>
              <w:bottom w:val="single" w:sz="4" w:space="0" w:color="auto"/>
            </w:tcBorders>
            <w:shd w:val="clear" w:color="auto" w:fill="auto"/>
          </w:tcPr>
          <w:p w14:paraId="262301C6"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44.3 (29.8, 55.9)*</w:t>
            </w:r>
          </w:p>
        </w:tc>
      </w:tr>
      <w:tr w:rsidR="00C7280F" w:rsidRPr="009A4DCA" w14:paraId="1D449563" w14:textId="77777777" w:rsidTr="00421004">
        <w:tc>
          <w:tcPr>
            <w:tcW w:w="1008" w:type="pct"/>
            <w:tcBorders>
              <w:top w:val="single" w:sz="4" w:space="0" w:color="auto"/>
              <w:bottom w:val="nil"/>
              <w:right w:val="single" w:sz="4" w:space="0" w:color="auto"/>
            </w:tcBorders>
          </w:tcPr>
          <w:p w14:paraId="50C47A8D"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RSV-B, n (%)</w:t>
            </w:r>
          </w:p>
        </w:tc>
        <w:tc>
          <w:tcPr>
            <w:tcW w:w="500" w:type="pct"/>
            <w:tcBorders>
              <w:top w:val="single" w:sz="4" w:space="0" w:color="auto"/>
              <w:left w:val="single" w:sz="4" w:space="0" w:color="auto"/>
              <w:bottom w:val="nil"/>
              <w:right w:val="single" w:sz="4" w:space="0" w:color="auto"/>
            </w:tcBorders>
            <w:shd w:val="clear" w:color="auto" w:fill="auto"/>
            <w:vAlign w:val="center"/>
          </w:tcPr>
          <w:p w14:paraId="1C9E426D"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 (0.11)</w:t>
            </w:r>
          </w:p>
        </w:tc>
        <w:tc>
          <w:tcPr>
            <w:tcW w:w="465" w:type="pct"/>
            <w:tcBorders>
              <w:top w:val="single" w:sz="4" w:space="0" w:color="auto"/>
              <w:left w:val="single" w:sz="4" w:space="0" w:color="auto"/>
              <w:bottom w:val="nil"/>
              <w:right w:val="single" w:sz="4" w:space="0" w:color="auto"/>
            </w:tcBorders>
            <w:shd w:val="clear" w:color="auto" w:fill="auto"/>
            <w:vAlign w:val="center"/>
          </w:tcPr>
          <w:p w14:paraId="7E6702D8"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45 (0.28)</w:t>
            </w:r>
          </w:p>
        </w:tc>
        <w:tc>
          <w:tcPr>
            <w:tcW w:w="500" w:type="pct"/>
            <w:tcBorders>
              <w:top w:val="single" w:sz="4" w:space="0" w:color="auto"/>
              <w:left w:val="single" w:sz="4" w:space="0" w:color="auto"/>
              <w:bottom w:val="nil"/>
              <w:right w:val="single" w:sz="4" w:space="0" w:color="auto"/>
            </w:tcBorders>
            <w:shd w:val="clear" w:color="auto" w:fill="auto"/>
            <w:vAlign w:val="center"/>
          </w:tcPr>
          <w:p w14:paraId="50E521F6"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26 (0.14)</w:t>
            </w:r>
          </w:p>
        </w:tc>
        <w:tc>
          <w:tcPr>
            <w:tcW w:w="529" w:type="pct"/>
            <w:tcBorders>
              <w:top w:val="single" w:sz="4" w:space="0" w:color="auto"/>
              <w:left w:val="single" w:sz="4" w:space="0" w:color="auto"/>
              <w:bottom w:val="nil"/>
              <w:right w:val="single" w:sz="4" w:space="0" w:color="auto"/>
            </w:tcBorders>
            <w:shd w:val="clear" w:color="auto" w:fill="auto"/>
            <w:vAlign w:val="center"/>
          </w:tcPr>
          <w:p w14:paraId="0154C033"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63 (0.35)</w:t>
            </w:r>
          </w:p>
        </w:tc>
        <w:tc>
          <w:tcPr>
            <w:tcW w:w="500" w:type="pct"/>
            <w:tcBorders>
              <w:top w:val="single" w:sz="4" w:space="0" w:color="auto"/>
              <w:left w:val="single" w:sz="4" w:space="0" w:color="auto"/>
              <w:bottom w:val="nil"/>
              <w:right w:val="single" w:sz="4" w:space="0" w:color="auto"/>
            </w:tcBorders>
            <w:shd w:val="clear" w:color="auto" w:fill="auto"/>
            <w:vAlign w:val="center"/>
          </w:tcPr>
          <w:p w14:paraId="2B5E123C"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43 (0.27)</w:t>
            </w:r>
          </w:p>
        </w:tc>
        <w:tc>
          <w:tcPr>
            <w:tcW w:w="465" w:type="pct"/>
            <w:tcBorders>
              <w:top w:val="single" w:sz="4" w:space="0" w:color="auto"/>
              <w:left w:val="single" w:sz="4" w:space="0" w:color="auto"/>
              <w:bottom w:val="nil"/>
              <w:right w:val="single" w:sz="4" w:space="0" w:color="auto"/>
            </w:tcBorders>
            <w:shd w:val="clear" w:color="auto" w:fill="auto"/>
            <w:vAlign w:val="center"/>
          </w:tcPr>
          <w:p w14:paraId="52EE59FE"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64 (0.40)</w:t>
            </w:r>
          </w:p>
        </w:tc>
        <w:tc>
          <w:tcPr>
            <w:tcW w:w="500" w:type="pct"/>
            <w:tcBorders>
              <w:top w:val="single" w:sz="4" w:space="0" w:color="auto"/>
              <w:left w:val="single" w:sz="4" w:space="0" w:color="auto"/>
              <w:bottom w:val="nil"/>
              <w:right w:val="single" w:sz="4" w:space="0" w:color="auto"/>
            </w:tcBorders>
            <w:shd w:val="clear" w:color="auto" w:fill="auto"/>
            <w:vAlign w:val="center"/>
          </w:tcPr>
          <w:p w14:paraId="1CFF5495"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69 (0.38)</w:t>
            </w:r>
          </w:p>
        </w:tc>
        <w:tc>
          <w:tcPr>
            <w:tcW w:w="532" w:type="pct"/>
            <w:tcBorders>
              <w:top w:val="single" w:sz="4" w:space="0" w:color="auto"/>
              <w:left w:val="single" w:sz="4" w:space="0" w:color="auto"/>
              <w:bottom w:val="nil"/>
            </w:tcBorders>
            <w:shd w:val="clear" w:color="auto" w:fill="auto"/>
            <w:vAlign w:val="center"/>
          </w:tcPr>
          <w:p w14:paraId="0A5C981F"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127 (0.70)</w:t>
            </w:r>
          </w:p>
        </w:tc>
      </w:tr>
      <w:tr w:rsidR="00C7280F" w:rsidRPr="009A4DCA" w14:paraId="58A9D079" w14:textId="77777777" w:rsidTr="00421004">
        <w:tc>
          <w:tcPr>
            <w:tcW w:w="1008" w:type="pct"/>
            <w:tcBorders>
              <w:top w:val="nil"/>
              <w:bottom w:val="nil"/>
              <w:right w:val="single" w:sz="4" w:space="0" w:color="auto"/>
            </w:tcBorders>
          </w:tcPr>
          <w:p w14:paraId="6B23AC50" w14:textId="77777777" w:rsidR="00C7280F" w:rsidRPr="009A4DCA" w:rsidRDefault="00C7280F" w:rsidP="00901A08">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IR per 1,000 person yrs</w:t>
            </w:r>
          </w:p>
        </w:tc>
        <w:tc>
          <w:tcPr>
            <w:tcW w:w="500" w:type="pct"/>
            <w:tcBorders>
              <w:top w:val="nil"/>
              <w:left w:val="single" w:sz="4" w:space="0" w:color="auto"/>
              <w:bottom w:val="nil"/>
              <w:right w:val="single" w:sz="4" w:space="0" w:color="auto"/>
            </w:tcBorders>
            <w:shd w:val="clear" w:color="auto" w:fill="auto"/>
            <w:vAlign w:val="center"/>
          </w:tcPr>
          <w:p w14:paraId="52965F7D"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1.95</w:t>
            </w:r>
          </w:p>
        </w:tc>
        <w:tc>
          <w:tcPr>
            <w:tcW w:w="465" w:type="pct"/>
            <w:tcBorders>
              <w:top w:val="nil"/>
              <w:left w:val="single" w:sz="4" w:space="0" w:color="auto"/>
              <w:bottom w:val="nil"/>
              <w:right w:val="single" w:sz="4" w:space="0" w:color="auto"/>
            </w:tcBorders>
            <w:shd w:val="clear" w:color="auto" w:fill="auto"/>
            <w:vAlign w:val="center"/>
          </w:tcPr>
          <w:p w14:paraId="6DDA23EF"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4.89</w:t>
            </w:r>
          </w:p>
        </w:tc>
        <w:tc>
          <w:tcPr>
            <w:tcW w:w="500" w:type="pct"/>
            <w:tcBorders>
              <w:top w:val="nil"/>
              <w:left w:val="single" w:sz="4" w:space="0" w:color="auto"/>
              <w:bottom w:val="nil"/>
              <w:right w:val="single" w:sz="4" w:space="0" w:color="auto"/>
            </w:tcBorders>
            <w:shd w:val="clear" w:color="auto" w:fill="auto"/>
            <w:vAlign w:val="center"/>
          </w:tcPr>
          <w:p w14:paraId="64A18CBF"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2.45</w:t>
            </w:r>
          </w:p>
        </w:tc>
        <w:tc>
          <w:tcPr>
            <w:tcW w:w="529" w:type="pct"/>
            <w:tcBorders>
              <w:top w:val="nil"/>
              <w:left w:val="single" w:sz="4" w:space="0" w:color="auto"/>
              <w:bottom w:val="nil"/>
              <w:right w:val="single" w:sz="4" w:space="0" w:color="auto"/>
            </w:tcBorders>
            <w:shd w:val="clear" w:color="auto" w:fill="auto"/>
            <w:vAlign w:val="center"/>
          </w:tcPr>
          <w:p w14:paraId="24A15E38"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5.94</w:t>
            </w:r>
          </w:p>
        </w:tc>
        <w:tc>
          <w:tcPr>
            <w:tcW w:w="500" w:type="pct"/>
            <w:tcBorders>
              <w:top w:val="nil"/>
              <w:left w:val="single" w:sz="4" w:space="0" w:color="auto"/>
              <w:bottom w:val="nil"/>
              <w:right w:val="single" w:sz="4" w:space="0" w:color="auto"/>
            </w:tcBorders>
            <w:shd w:val="clear" w:color="auto" w:fill="auto"/>
            <w:vAlign w:val="center"/>
          </w:tcPr>
          <w:p w14:paraId="5DA85439"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4.23</w:t>
            </w:r>
          </w:p>
        </w:tc>
        <w:tc>
          <w:tcPr>
            <w:tcW w:w="465" w:type="pct"/>
            <w:tcBorders>
              <w:top w:val="nil"/>
              <w:left w:val="single" w:sz="4" w:space="0" w:color="auto"/>
              <w:bottom w:val="nil"/>
              <w:right w:val="single" w:sz="4" w:space="0" w:color="auto"/>
            </w:tcBorders>
            <w:shd w:val="clear" w:color="auto" w:fill="auto"/>
            <w:vAlign w:val="center"/>
          </w:tcPr>
          <w:p w14:paraId="1DB3EC4B"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6.27</w:t>
            </w:r>
          </w:p>
        </w:tc>
        <w:tc>
          <w:tcPr>
            <w:tcW w:w="500" w:type="pct"/>
            <w:tcBorders>
              <w:top w:val="nil"/>
              <w:left w:val="single" w:sz="4" w:space="0" w:color="auto"/>
              <w:bottom w:val="nil"/>
              <w:right w:val="single" w:sz="4" w:space="0" w:color="auto"/>
            </w:tcBorders>
            <w:shd w:val="clear" w:color="auto" w:fill="auto"/>
            <w:vAlign w:val="center"/>
          </w:tcPr>
          <w:p w14:paraId="1A7CCE11"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w:t>
            </w:r>
          </w:p>
        </w:tc>
        <w:tc>
          <w:tcPr>
            <w:tcW w:w="532" w:type="pct"/>
            <w:tcBorders>
              <w:top w:val="nil"/>
              <w:left w:val="single" w:sz="4" w:space="0" w:color="auto"/>
              <w:bottom w:val="nil"/>
            </w:tcBorders>
            <w:shd w:val="clear" w:color="auto" w:fill="auto"/>
            <w:vAlign w:val="center"/>
          </w:tcPr>
          <w:p w14:paraId="40FA2D54" w14:textId="77777777" w:rsidR="00C7280F" w:rsidRPr="009A4DCA" w:rsidRDefault="00C7280F" w:rsidP="00901A08">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5.16</w:t>
            </w:r>
          </w:p>
        </w:tc>
      </w:tr>
      <w:tr w:rsidR="00C7280F" w:rsidRPr="009A4DCA" w14:paraId="14FBF0CF" w14:textId="77777777" w:rsidTr="00421004">
        <w:tc>
          <w:tcPr>
            <w:tcW w:w="1008" w:type="pct"/>
            <w:tcBorders>
              <w:top w:val="nil"/>
              <w:bottom w:val="single" w:sz="4" w:space="0" w:color="auto"/>
              <w:right w:val="single" w:sz="4" w:space="0" w:color="auto"/>
            </w:tcBorders>
          </w:tcPr>
          <w:p w14:paraId="05AF8D73" w14:textId="77777777" w:rsidR="00C7280F" w:rsidRPr="009A4DCA" w:rsidRDefault="00C7280F" w:rsidP="00901A08">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VE (95% CI)</w:t>
            </w:r>
          </w:p>
        </w:tc>
        <w:tc>
          <w:tcPr>
            <w:tcW w:w="965" w:type="pct"/>
            <w:gridSpan w:val="2"/>
            <w:tcBorders>
              <w:top w:val="nil"/>
              <w:left w:val="single" w:sz="4" w:space="0" w:color="auto"/>
              <w:bottom w:val="single" w:sz="4" w:space="0" w:color="auto"/>
              <w:right w:val="single" w:sz="4" w:space="0" w:color="auto"/>
            </w:tcBorders>
            <w:shd w:val="clear" w:color="auto" w:fill="auto"/>
          </w:tcPr>
          <w:p w14:paraId="3AD21FF0"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60.0 (29.5, 78.2)*</w:t>
            </w:r>
          </w:p>
        </w:tc>
        <w:tc>
          <w:tcPr>
            <w:tcW w:w="1029" w:type="pct"/>
            <w:gridSpan w:val="2"/>
            <w:tcBorders>
              <w:top w:val="nil"/>
              <w:left w:val="single" w:sz="4" w:space="0" w:color="auto"/>
              <w:bottom w:val="single" w:sz="4" w:space="0" w:color="auto"/>
              <w:right w:val="single" w:sz="4" w:space="0" w:color="auto"/>
            </w:tcBorders>
            <w:shd w:val="clear" w:color="auto" w:fill="auto"/>
          </w:tcPr>
          <w:p w14:paraId="2A2005A4"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58.7 (33.9, 74.9)*</w:t>
            </w:r>
          </w:p>
        </w:tc>
        <w:tc>
          <w:tcPr>
            <w:tcW w:w="965" w:type="pct"/>
            <w:gridSpan w:val="2"/>
            <w:tcBorders>
              <w:top w:val="nil"/>
              <w:left w:val="single" w:sz="4" w:space="0" w:color="auto"/>
              <w:bottom w:val="single" w:sz="4" w:space="0" w:color="auto"/>
              <w:right w:val="single" w:sz="4" w:space="0" w:color="auto"/>
            </w:tcBorders>
            <w:shd w:val="clear" w:color="auto" w:fill="auto"/>
          </w:tcPr>
          <w:p w14:paraId="29853B0C"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Cs/>
                <w:sz w:val="20"/>
                <w:lang w:eastAsia="en-US"/>
              </w:rPr>
              <w:t>32.8 (-0.4, 55.4)</w:t>
            </w:r>
          </w:p>
        </w:tc>
        <w:tc>
          <w:tcPr>
            <w:tcW w:w="1032" w:type="pct"/>
            <w:gridSpan w:val="2"/>
            <w:tcBorders>
              <w:top w:val="nil"/>
              <w:left w:val="single" w:sz="4" w:space="0" w:color="auto"/>
              <w:bottom w:val="single" w:sz="4" w:space="0" w:color="auto"/>
            </w:tcBorders>
            <w:shd w:val="clear" w:color="auto" w:fill="auto"/>
          </w:tcPr>
          <w:p w14:paraId="7737065C" w14:textId="77777777" w:rsidR="00C7280F" w:rsidRPr="009A4DCA" w:rsidRDefault="00C7280F" w:rsidP="00901A08">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45.7 (36.6, 60.1)*</w:t>
            </w:r>
          </w:p>
        </w:tc>
      </w:tr>
    </w:tbl>
    <w:p w14:paraId="2051F291" w14:textId="360D8E0D" w:rsidR="00C7280F" w:rsidRPr="009A4DCA" w:rsidRDefault="00C7280F" w:rsidP="00901A08">
      <w:pPr>
        <w:pStyle w:val="FooterTableFigure"/>
        <w:keepNext/>
        <w:keepLines/>
        <w:rPr>
          <w:rFonts w:eastAsia="Calibri"/>
        </w:rPr>
      </w:pPr>
      <w:r w:rsidRPr="009A4DCA">
        <w:rPr>
          <w:rFonts w:eastAsia="Calibri"/>
        </w:rPr>
        <w:t xml:space="preserve">Source: Severe </w:t>
      </w:r>
      <w:r w:rsidR="004742DB" w:rsidRPr="009A4DCA">
        <w:rPr>
          <w:rFonts w:eastAsia="Calibri"/>
        </w:rPr>
        <w:t>RSV-LRTI</w:t>
      </w:r>
      <w:r w:rsidRPr="009A4DCA">
        <w:rPr>
          <w:rFonts w:eastAsia="Calibri"/>
        </w:rPr>
        <w:t>, Table 2.5.3 p63 of the submission; Table 4.2-2, p33 of ATAGI advice to the PBAC Dec 2023; ARI-RSV, Table 2.5.6 p67 of the submission; Table 4.2-3, p33 of ATAGI advice to the PBAC Dec 2023.</w:t>
      </w:r>
    </w:p>
    <w:p w14:paraId="02D37574" w14:textId="77777777" w:rsidR="00C7280F" w:rsidRPr="009A4DCA" w:rsidRDefault="00C7280F" w:rsidP="00901A08">
      <w:pPr>
        <w:pStyle w:val="FooterTableFigure"/>
        <w:keepNext/>
        <w:keepLines/>
        <w:rPr>
          <w:rFonts w:eastAsia="Calibri"/>
        </w:rPr>
      </w:pPr>
      <w:r w:rsidRPr="009A4DCA">
        <w:rPr>
          <w:rFonts w:eastAsia="Calibri"/>
          <w:b/>
        </w:rPr>
        <w:t>Bold</w:t>
      </w:r>
      <w:r w:rsidRPr="009A4DCA">
        <w:rPr>
          <w:rFonts w:eastAsia="Calibri"/>
        </w:rPr>
        <w:t xml:space="preserve"> indicates statistically significant results.</w:t>
      </w:r>
    </w:p>
    <w:p w14:paraId="054D8F47" w14:textId="7B82B43C" w:rsidR="00C7280F" w:rsidRPr="009A4DCA" w:rsidRDefault="00727CCF" w:rsidP="00901A08">
      <w:pPr>
        <w:pStyle w:val="FooterTableFigure"/>
        <w:keepNext/>
        <w:keepLines/>
        <w:rPr>
          <w:rFonts w:eastAsia="Calibri"/>
        </w:rPr>
      </w:pPr>
      <w:r w:rsidRPr="009A4DCA">
        <w:rPr>
          <w:rFonts w:eastAsia="Calibri"/>
        </w:rPr>
        <w:t xml:space="preserve">ARI = </w:t>
      </w:r>
      <w:r w:rsidRPr="009A4DCA">
        <w:rPr>
          <w:iCs/>
        </w:rPr>
        <w:t>acute respiratory illness;</w:t>
      </w:r>
      <w:r w:rsidRPr="009A4DCA">
        <w:rPr>
          <w:rFonts w:eastAsia="Calibri"/>
        </w:rPr>
        <w:t xml:space="preserve"> </w:t>
      </w:r>
      <w:r w:rsidR="00C7280F" w:rsidRPr="009A4DCA">
        <w:rPr>
          <w:rFonts w:eastAsia="Calibri"/>
        </w:rPr>
        <w:t xml:space="preserve">CI = confidence interval; IR = incidence rate; LRTI = lower respiratory tract </w:t>
      </w:r>
      <w:r w:rsidR="00DD7AA9" w:rsidRPr="009A4DCA">
        <w:rPr>
          <w:rFonts w:eastAsia="Calibri"/>
        </w:rPr>
        <w:t>illness</w:t>
      </w:r>
      <w:r w:rsidR="00C7280F" w:rsidRPr="009A4DCA">
        <w:rPr>
          <w:rFonts w:eastAsia="Calibri"/>
        </w:rPr>
        <w:t xml:space="preserve">; n = number of participants with event; N = total participants in group; NP = Not performed due to insufficient numbers; NR = not reported; RSV = respiratory syncytial virus; VE = vaccine efficacy </w:t>
      </w:r>
    </w:p>
    <w:p w14:paraId="0B7E49C0" w14:textId="041423E5" w:rsidR="00C7280F" w:rsidRPr="009A4DCA" w:rsidRDefault="00C7280F" w:rsidP="00901A08">
      <w:pPr>
        <w:pStyle w:val="FooterTableFigure"/>
        <w:keepNext/>
        <w:keepLines/>
      </w:pPr>
      <w:r w:rsidRPr="009A4DCA">
        <w:rPr>
          <w:rFonts w:eastAsia="Calibri"/>
        </w:rPr>
        <w:t xml:space="preserve">a </w:t>
      </w:r>
      <w:r w:rsidRPr="009A4DCA">
        <w:t>The submission did not present the results of the mid-season analyses; however, these were presented in the ATAGI Pre-submission Advice and presented in</w:t>
      </w:r>
      <w:r w:rsidR="00A7375E" w:rsidRPr="009A4DCA">
        <w:t xml:space="preserve"> this document</w:t>
      </w:r>
      <w:r w:rsidRPr="009A4DCA">
        <w:t xml:space="preserve"> completeness.</w:t>
      </w:r>
    </w:p>
    <w:p w14:paraId="06E002A4" w14:textId="6378AAA5" w:rsidR="00C7280F" w:rsidRPr="009A4DCA" w:rsidRDefault="00C7280F" w:rsidP="00C7280F">
      <w:pPr>
        <w:pStyle w:val="FooterTableFigure"/>
        <w:rPr>
          <w:rFonts w:eastAsia="Calibri"/>
        </w:rPr>
      </w:pPr>
      <w:r w:rsidRPr="009A4DCA">
        <w:rPr>
          <w:rFonts w:eastAsia="Calibri"/>
        </w:rPr>
        <w:t xml:space="preserve">* denotes lower limit for 95% CI &gt;20%. </w:t>
      </w:r>
    </w:p>
    <w:p w14:paraId="461B94BA" w14:textId="40C1053A" w:rsidR="00C7280F" w:rsidRPr="009A4DCA" w:rsidRDefault="00C7280F" w:rsidP="003A0F9B">
      <w:pPr>
        <w:pStyle w:val="3-BodyText"/>
        <w:numPr>
          <w:ilvl w:val="1"/>
          <w:numId w:val="1"/>
        </w:numPr>
      </w:pPr>
      <w:r w:rsidRPr="009A4DCA">
        <w:t xml:space="preserve">Only two cases of sRSV-LRTI were reported in the placebo group </w:t>
      </w:r>
      <w:r w:rsidR="00A518AC" w:rsidRPr="009A4DCA">
        <w:t>at</w:t>
      </w:r>
      <w:r w:rsidR="0003597E" w:rsidRPr="009A4DCA">
        <w:t xml:space="preserve"> EOS1</w:t>
      </w:r>
      <w:r w:rsidRPr="009A4DCA">
        <w:t>. ATAGI noted that the small sample meant the efficacy objective was not achieved since the lower bound of the 95% CI was &lt;20%</w:t>
      </w:r>
      <w:r w:rsidR="00D017FD" w:rsidRPr="009A4DCA">
        <w:t>,</w:t>
      </w:r>
      <w:r w:rsidRPr="009A4DCA">
        <w:t xml:space="preserve"> and there was insufficient evidence to determine the impact of RSVpreF on sRSV-LRTI (ATAGI Pre-Submission Advice to the PBAC Dec 2023). </w:t>
      </w:r>
      <w:r w:rsidR="006B7733" w:rsidRPr="009A4DCA">
        <w:t>Across the 2 seasons, only 4 cases of sRSV-LRTI were reported (placebo, 3 cases; RSVpreF, 1 case).</w:t>
      </w:r>
      <w:r w:rsidR="005578F2" w:rsidRPr="009A4DCA">
        <w:t xml:space="preserve"> </w:t>
      </w:r>
      <w:r w:rsidR="00A7375E" w:rsidRPr="009A4DCA">
        <w:t>Similarly, t</w:t>
      </w:r>
      <w:r w:rsidR="005578F2" w:rsidRPr="009A4DCA">
        <w:t xml:space="preserve">he lower </w:t>
      </w:r>
      <w:r w:rsidR="005078B5" w:rsidRPr="009A4DCA">
        <w:t>limit</w:t>
      </w:r>
      <w:r w:rsidR="005578F2" w:rsidRPr="009A4DCA">
        <w:t xml:space="preserve"> of the 95% CI was &lt;20%</w:t>
      </w:r>
      <w:r w:rsidR="00A7375E" w:rsidRPr="009A4DCA">
        <w:t>, and</w:t>
      </w:r>
      <w:r w:rsidR="005578F2" w:rsidRPr="009A4DCA">
        <w:t xml:space="preserve"> </w:t>
      </w:r>
      <w:r w:rsidR="00A7375E" w:rsidRPr="009A4DCA">
        <w:t>d</w:t>
      </w:r>
      <w:r w:rsidR="005578F2" w:rsidRPr="009A4DCA">
        <w:t>ue to the low number of cases, there was insufficient evidence to determine the impact of RSVpreF on sRSV-LRTI.</w:t>
      </w:r>
    </w:p>
    <w:p w14:paraId="2B2574A5" w14:textId="47F25A69" w:rsidR="00C7280F" w:rsidRPr="009A4DCA" w:rsidRDefault="00C7280F" w:rsidP="003A0F9B">
      <w:pPr>
        <w:pStyle w:val="3-BodyText"/>
        <w:numPr>
          <w:ilvl w:val="1"/>
          <w:numId w:val="1"/>
        </w:numPr>
      </w:pPr>
      <w:r w:rsidRPr="009A4DCA">
        <w:t>VE to prevent the first episode of RSV-ARI in Season 1 was 62.2% (95% CI: 44.4, 74.9). ATAGI noted that although this outcome was not evaluated against the success criteria</w:t>
      </w:r>
      <w:r w:rsidR="009A30E3" w:rsidRPr="009A4DCA">
        <w:t xml:space="preserve"> (lower 95% CI &gt;20%)</w:t>
      </w:r>
      <w:r w:rsidRPr="009A4DCA">
        <w:t>, the lower limit of the 95% CI </w:t>
      </w:r>
      <w:r w:rsidR="00A13387" w:rsidRPr="009A4DCA">
        <w:t xml:space="preserve">was </w:t>
      </w:r>
      <w:r w:rsidRPr="009A4DCA">
        <w:t>&gt;20% (ATAGI Pre-Submission Advice to the PBAC Dec 2023). Across the 2-seasons, VE to prevent the first episode of RSV-ARI was 44.3% (95% CI: 33.2 to 53.7)</w:t>
      </w:r>
      <w:r w:rsidR="00901384" w:rsidRPr="009A4DCA">
        <w:t>;</w:t>
      </w:r>
      <w:r w:rsidRPr="009A4DCA">
        <w:t xml:space="preserve"> </w:t>
      </w:r>
      <w:r w:rsidR="008F6A78" w:rsidRPr="009A4DCA">
        <w:t xml:space="preserve">again, </w:t>
      </w:r>
      <w:r w:rsidR="00901384" w:rsidRPr="009A4DCA">
        <w:t>t</w:t>
      </w:r>
      <w:r w:rsidR="00D67DFB" w:rsidRPr="009A4DCA">
        <w:t xml:space="preserve">he </w:t>
      </w:r>
      <w:r w:rsidR="00901384" w:rsidRPr="009A4DCA">
        <w:t>lower limit of the 95% CI was &gt;20%</w:t>
      </w:r>
      <w:r w:rsidR="00623963" w:rsidRPr="009A4DCA">
        <w:t>.</w:t>
      </w:r>
    </w:p>
    <w:p w14:paraId="1C03241C" w14:textId="7D6A4A04" w:rsidR="00C7280F" w:rsidRPr="009A4DCA" w:rsidRDefault="00C7280F">
      <w:pPr>
        <w:pStyle w:val="3-BodyText"/>
        <w:numPr>
          <w:ilvl w:val="1"/>
          <w:numId w:val="1"/>
        </w:numPr>
      </w:pPr>
      <w:r w:rsidRPr="009A4DCA">
        <w:lastRenderedPageBreak/>
        <w:t>A summary of the results for VE against</w:t>
      </w:r>
      <w:r w:rsidR="00392616" w:rsidRPr="009A4DCA">
        <w:t xml:space="preserve"> the exploratory outcome of</w:t>
      </w:r>
      <w:r w:rsidRPr="009A4DCA">
        <w:t xml:space="preserve"> medically-attended RSV cases in RENOIR is presented in</w:t>
      </w:r>
      <w:r w:rsidR="001730D2" w:rsidRPr="009A4DCA">
        <w:t xml:space="preserve"> </w:t>
      </w:r>
      <w:r w:rsidR="001730D2" w:rsidRPr="009A4DCA">
        <w:fldChar w:fldCharType="begin"/>
      </w:r>
      <w:r w:rsidR="001730D2" w:rsidRPr="009A4DCA">
        <w:instrText xml:space="preserve"> REF _Ref177222440 \h </w:instrText>
      </w:r>
      <w:r w:rsidR="005A7BA4" w:rsidRPr="009A4DCA">
        <w:instrText xml:space="preserve"> \* MERGEFORMAT </w:instrText>
      </w:r>
      <w:r w:rsidR="001730D2" w:rsidRPr="009A4DCA">
        <w:fldChar w:fldCharType="separate"/>
      </w:r>
      <w:r w:rsidR="007B2F50" w:rsidRPr="009A4DCA">
        <w:t xml:space="preserve">Table </w:t>
      </w:r>
      <w:r w:rsidR="007B2F50">
        <w:t>6</w:t>
      </w:r>
      <w:r w:rsidR="001730D2" w:rsidRPr="009A4DCA">
        <w:fldChar w:fldCharType="end"/>
      </w:r>
      <w:r w:rsidRPr="009A4DCA">
        <w:t xml:space="preserve">. </w:t>
      </w:r>
      <w:r w:rsidR="001730D2" w:rsidRPr="009A4DCA">
        <w:t xml:space="preserve">To inform the economic evaluation, the submission </w:t>
      </w:r>
      <w:r w:rsidR="000E3CED" w:rsidRPr="009A4DCA">
        <w:t xml:space="preserve">categorised </w:t>
      </w:r>
      <w:r w:rsidR="001730D2" w:rsidRPr="009A4DCA">
        <w:t xml:space="preserve">the results for medically-attended VE </w:t>
      </w:r>
      <w:r w:rsidR="000E3CED" w:rsidRPr="009A4DCA">
        <w:t>by</w:t>
      </w:r>
      <w:r w:rsidR="001730D2" w:rsidRPr="009A4DCA">
        <w:t xml:space="preserve">: RSV-LRTI with </w:t>
      </w:r>
      <w:r w:rsidR="001730D2" w:rsidRPr="00901A08">
        <w:rPr>
          <w:rFonts w:cs="Calibri"/>
        </w:rPr>
        <w:t>≥</w:t>
      </w:r>
      <w:r w:rsidR="001730D2" w:rsidRPr="009A4DCA">
        <w:t xml:space="preserve">2 symptoms, RSV-LRTI with </w:t>
      </w:r>
      <w:r w:rsidR="001730D2" w:rsidRPr="00901A08">
        <w:rPr>
          <w:rFonts w:cs="Calibri"/>
        </w:rPr>
        <w:t>≥</w:t>
      </w:r>
      <w:r w:rsidR="001730D2" w:rsidRPr="009A4DCA">
        <w:t>3 symptoms, and RSV</w:t>
      </w:r>
      <w:r w:rsidR="00377FF6" w:rsidRPr="009A4DCA">
        <w:t>-ARI</w:t>
      </w:r>
      <w:r w:rsidR="000E3CED" w:rsidRPr="009A4DCA">
        <w:t>,</w:t>
      </w:r>
      <w:r w:rsidR="001730D2" w:rsidRPr="009A4DCA">
        <w:t xml:space="preserve"> for the evaluable efficacy population. </w:t>
      </w:r>
      <w:r w:rsidR="00BA0102" w:rsidRPr="009A4DCA">
        <w:t xml:space="preserve">The VE estimates against the first episode of medically-attended RSV from season 1 in the evaluable efficacy population of RENOIR were used in the economic model, including: First-episode of RSV-ARI (65.1%, applied to outpatient visits in the model); First episode of RSV-LRTI with ≥2 symptoms (70.4%, applied to emergency visits in the model); and First episode of RSV-LRTI with ≥3 symptoms (84.6%, applied to hospitalisations in the model) as presented in </w:t>
      </w:r>
      <w:r w:rsidR="00BA0102" w:rsidRPr="009A4DCA">
        <w:fldChar w:fldCharType="begin"/>
      </w:r>
      <w:r w:rsidR="00BA0102" w:rsidRPr="009A4DCA">
        <w:instrText xml:space="preserve"> REF _Ref175605199 \h </w:instrText>
      </w:r>
      <w:r w:rsidR="00BA0102" w:rsidRPr="009A4DCA">
        <w:fldChar w:fldCharType="separate"/>
      </w:r>
      <w:r w:rsidR="007B2F50" w:rsidRPr="009A4DCA">
        <w:t xml:space="preserve">Table </w:t>
      </w:r>
      <w:r w:rsidR="007B2F50">
        <w:rPr>
          <w:noProof/>
        </w:rPr>
        <w:t>11</w:t>
      </w:r>
      <w:r w:rsidR="00BA0102" w:rsidRPr="009A4DCA">
        <w:fldChar w:fldCharType="end"/>
      </w:r>
      <w:r w:rsidR="00BA0102" w:rsidRPr="009A4DCA">
        <w:t>).</w:t>
      </w:r>
    </w:p>
    <w:p w14:paraId="3F91174A" w14:textId="205D9CF8" w:rsidR="00832287" w:rsidRPr="009A4DCA" w:rsidRDefault="001730D2" w:rsidP="00832287">
      <w:pPr>
        <w:pStyle w:val="TableFigureHeading"/>
        <w:tabs>
          <w:tab w:val="left" w:pos="6237"/>
        </w:tabs>
      </w:pPr>
      <w:bookmarkStart w:id="37" w:name="_Ref177222440"/>
      <w:r w:rsidRPr="009A4DCA">
        <w:t xml:space="preserve">Table </w:t>
      </w:r>
      <w:r w:rsidR="00491347">
        <w:fldChar w:fldCharType="begin"/>
      </w:r>
      <w:r w:rsidR="00491347">
        <w:instrText xml:space="preserve"> SEQ Table \* ARABIC </w:instrText>
      </w:r>
      <w:r w:rsidR="00491347">
        <w:fldChar w:fldCharType="separate"/>
      </w:r>
      <w:r w:rsidR="007B2F50">
        <w:rPr>
          <w:noProof/>
        </w:rPr>
        <w:t>6</w:t>
      </w:r>
      <w:r w:rsidR="00491347">
        <w:fldChar w:fldCharType="end"/>
      </w:r>
      <w:bookmarkEnd w:id="37"/>
      <w:r w:rsidRPr="009A4DCA">
        <w:t xml:space="preserve">: </w:t>
      </w:r>
      <w:r w:rsidR="00832287" w:rsidRPr="009A4DCA">
        <w:t>Results of RSVpreF VE against the first episode of medically-attended RSV in RENOIR, evaluable efficacy population</w:t>
      </w:r>
      <w:r w:rsidR="00392616" w:rsidRPr="009A4DCA">
        <w:t xml:space="preserve"> - exploratory efficacy outcome</w:t>
      </w:r>
      <w:r w:rsidR="00D37700" w:rsidRPr="009A4DCA">
        <w:t>s</w:t>
      </w:r>
    </w:p>
    <w:tbl>
      <w:tblPr>
        <w:tblStyle w:val="TableGrid"/>
        <w:tblW w:w="5000" w:type="pct"/>
        <w:tblLayout w:type="fixed"/>
        <w:tblLook w:val="04A0" w:firstRow="1" w:lastRow="0" w:firstColumn="1" w:lastColumn="0" w:noHBand="0" w:noVBand="1"/>
      </w:tblPr>
      <w:tblGrid>
        <w:gridCol w:w="1696"/>
        <w:gridCol w:w="709"/>
        <w:gridCol w:w="709"/>
        <w:gridCol w:w="1024"/>
        <w:gridCol w:w="694"/>
        <w:gridCol w:w="694"/>
        <w:gridCol w:w="1051"/>
        <w:gridCol w:w="720"/>
        <w:gridCol w:w="721"/>
        <w:gridCol w:w="999"/>
      </w:tblGrid>
      <w:tr w:rsidR="00832287" w:rsidRPr="009A4DCA" w14:paraId="3E93CD4C" w14:textId="77777777" w:rsidTr="008C1CDB">
        <w:trPr>
          <w:tblHeader/>
        </w:trPr>
        <w:tc>
          <w:tcPr>
            <w:tcW w:w="940" w:type="pct"/>
            <w:tcBorders>
              <w:bottom w:val="nil"/>
            </w:tcBorders>
          </w:tcPr>
          <w:p w14:paraId="3C375769" w14:textId="77777777" w:rsidR="00832287" w:rsidRPr="009A4DCA" w:rsidRDefault="00832287" w:rsidP="008C1CDB">
            <w:pPr>
              <w:ind w:right="-49"/>
              <w:jc w:val="left"/>
              <w:rPr>
                <w:rFonts w:ascii="Arial Narrow" w:eastAsiaTheme="majorEastAsia" w:hAnsi="Arial Narrow" w:cstheme="majorBidi"/>
                <w:bCs/>
                <w:sz w:val="20"/>
                <w:lang w:eastAsia="en-US"/>
              </w:rPr>
            </w:pPr>
          </w:p>
        </w:tc>
        <w:tc>
          <w:tcPr>
            <w:tcW w:w="1354" w:type="pct"/>
            <w:gridSpan w:val="3"/>
            <w:tcBorders>
              <w:bottom w:val="nil"/>
            </w:tcBorders>
          </w:tcPr>
          <w:p w14:paraId="322135B5"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1</w:t>
            </w:r>
          </w:p>
        </w:tc>
        <w:tc>
          <w:tcPr>
            <w:tcW w:w="1352" w:type="pct"/>
            <w:gridSpan w:val="3"/>
            <w:tcBorders>
              <w:bottom w:val="nil"/>
            </w:tcBorders>
          </w:tcPr>
          <w:p w14:paraId="3F161D12"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2</w:t>
            </w:r>
          </w:p>
        </w:tc>
        <w:tc>
          <w:tcPr>
            <w:tcW w:w="1353" w:type="pct"/>
            <w:gridSpan w:val="3"/>
            <w:tcBorders>
              <w:bottom w:val="nil"/>
            </w:tcBorders>
          </w:tcPr>
          <w:p w14:paraId="4E661DD8"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Across 2 seasons</w:t>
            </w:r>
          </w:p>
        </w:tc>
      </w:tr>
      <w:tr w:rsidR="00832287" w:rsidRPr="009A4DCA" w14:paraId="00B7C02D" w14:textId="77777777" w:rsidTr="008C1CDB">
        <w:trPr>
          <w:tblHeader/>
        </w:trPr>
        <w:tc>
          <w:tcPr>
            <w:tcW w:w="940" w:type="pct"/>
            <w:tcBorders>
              <w:top w:val="nil"/>
              <w:bottom w:val="nil"/>
            </w:tcBorders>
          </w:tcPr>
          <w:p w14:paraId="4737B0AE" w14:textId="77777777" w:rsidR="00832287" w:rsidRPr="009A4DCA" w:rsidRDefault="00832287" w:rsidP="008C1CDB">
            <w:pPr>
              <w:ind w:right="-49"/>
              <w:jc w:val="left"/>
              <w:rPr>
                <w:rFonts w:ascii="Arial Narrow" w:eastAsiaTheme="majorEastAsia" w:hAnsi="Arial Narrow" w:cstheme="majorBidi"/>
                <w:bCs/>
                <w:sz w:val="20"/>
                <w:lang w:eastAsia="en-US"/>
              </w:rPr>
            </w:pPr>
          </w:p>
        </w:tc>
        <w:tc>
          <w:tcPr>
            <w:tcW w:w="1354" w:type="pct"/>
            <w:gridSpan w:val="3"/>
            <w:tcBorders>
              <w:top w:val="nil"/>
            </w:tcBorders>
          </w:tcPr>
          <w:p w14:paraId="3E81D568"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7.05 months</w:t>
            </w:r>
          </w:p>
        </w:tc>
        <w:tc>
          <w:tcPr>
            <w:tcW w:w="1352" w:type="pct"/>
            <w:gridSpan w:val="3"/>
            <w:tcBorders>
              <w:top w:val="nil"/>
            </w:tcBorders>
          </w:tcPr>
          <w:p w14:paraId="15E4DA97"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7.59 months</w:t>
            </w:r>
          </w:p>
        </w:tc>
        <w:tc>
          <w:tcPr>
            <w:tcW w:w="1353" w:type="pct"/>
            <w:gridSpan w:val="3"/>
            <w:tcBorders>
              <w:top w:val="nil"/>
            </w:tcBorders>
          </w:tcPr>
          <w:p w14:paraId="07A2843D"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16.36 months</w:t>
            </w:r>
          </w:p>
        </w:tc>
      </w:tr>
      <w:tr w:rsidR="00832287" w:rsidRPr="009A4DCA" w14:paraId="41BD7241" w14:textId="77777777" w:rsidTr="008C1CDB">
        <w:trPr>
          <w:tblHeader/>
        </w:trPr>
        <w:tc>
          <w:tcPr>
            <w:tcW w:w="940" w:type="pct"/>
            <w:tcBorders>
              <w:top w:val="nil"/>
              <w:bottom w:val="single" w:sz="4" w:space="0" w:color="auto"/>
            </w:tcBorders>
          </w:tcPr>
          <w:p w14:paraId="245431AD" w14:textId="77777777" w:rsidR="00832287" w:rsidRPr="009A4DCA" w:rsidRDefault="00832287" w:rsidP="008C1CDB">
            <w:pPr>
              <w:ind w:right="-49"/>
              <w:jc w:val="left"/>
              <w:rPr>
                <w:rFonts w:ascii="Arial Narrow" w:eastAsiaTheme="majorEastAsia" w:hAnsi="Arial Narrow" w:cstheme="majorBidi"/>
                <w:bCs/>
                <w:sz w:val="20"/>
                <w:lang w:eastAsia="en-US"/>
              </w:rPr>
            </w:pPr>
          </w:p>
        </w:tc>
        <w:tc>
          <w:tcPr>
            <w:tcW w:w="393" w:type="pct"/>
            <w:tcBorders>
              <w:bottom w:val="single" w:sz="4" w:space="0" w:color="auto"/>
            </w:tcBorders>
          </w:tcPr>
          <w:p w14:paraId="4D027D95"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RSV </w:t>
            </w:r>
            <w:r w:rsidRPr="009A4DCA">
              <w:rPr>
                <w:rFonts w:ascii="Arial Narrow" w:eastAsiaTheme="majorEastAsia" w:hAnsi="Arial Narrow" w:cs="Times New Roman"/>
                <w:b/>
                <w:sz w:val="20"/>
              </w:rPr>
              <w:br/>
              <w:t>preF</w:t>
            </w:r>
          </w:p>
        </w:tc>
        <w:tc>
          <w:tcPr>
            <w:tcW w:w="393" w:type="pct"/>
            <w:tcBorders>
              <w:bottom w:val="single" w:sz="4" w:space="0" w:color="auto"/>
            </w:tcBorders>
          </w:tcPr>
          <w:p w14:paraId="7398AA42"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PBO</w:t>
            </w:r>
          </w:p>
        </w:tc>
        <w:tc>
          <w:tcPr>
            <w:tcW w:w="568" w:type="pct"/>
            <w:tcBorders>
              <w:bottom w:val="single" w:sz="4" w:space="0" w:color="auto"/>
            </w:tcBorders>
          </w:tcPr>
          <w:p w14:paraId="42C8A880"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VE (95% CI)</w:t>
            </w:r>
          </w:p>
        </w:tc>
        <w:tc>
          <w:tcPr>
            <w:tcW w:w="385" w:type="pct"/>
            <w:tcBorders>
              <w:bottom w:val="single" w:sz="4" w:space="0" w:color="auto"/>
            </w:tcBorders>
          </w:tcPr>
          <w:p w14:paraId="26F52086"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RSV </w:t>
            </w:r>
            <w:r w:rsidRPr="009A4DCA">
              <w:rPr>
                <w:rFonts w:ascii="Arial Narrow" w:eastAsiaTheme="majorEastAsia" w:hAnsi="Arial Narrow" w:cs="Times New Roman"/>
                <w:b/>
                <w:sz w:val="20"/>
              </w:rPr>
              <w:br/>
              <w:t>preF</w:t>
            </w:r>
          </w:p>
        </w:tc>
        <w:tc>
          <w:tcPr>
            <w:tcW w:w="385" w:type="pct"/>
            <w:tcBorders>
              <w:bottom w:val="single" w:sz="4" w:space="0" w:color="auto"/>
            </w:tcBorders>
          </w:tcPr>
          <w:p w14:paraId="24ED8F58"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PBO</w:t>
            </w:r>
          </w:p>
        </w:tc>
        <w:tc>
          <w:tcPr>
            <w:tcW w:w="583" w:type="pct"/>
            <w:tcBorders>
              <w:bottom w:val="single" w:sz="4" w:space="0" w:color="auto"/>
            </w:tcBorders>
          </w:tcPr>
          <w:p w14:paraId="48A0F491"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VE (95% CI)</w:t>
            </w:r>
          </w:p>
        </w:tc>
        <w:tc>
          <w:tcPr>
            <w:tcW w:w="399" w:type="pct"/>
            <w:tcBorders>
              <w:bottom w:val="single" w:sz="4" w:space="0" w:color="auto"/>
            </w:tcBorders>
          </w:tcPr>
          <w:p w14:paraId="61D33118"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RSV </w:t>
            </w:r>
            <w:r w:rsidRPr="009A4DCA">
              <w:rPr>
                <w:rFonts w:ascii="Arial Narrow" w:eastAsiaTheme="majorEastAsia" w:hAnsi="Arial Narrow" w:cs="Times New Roman"/>
                <w:b/>
                <w:sz w:val="20"/>
              </w:rPr>
              <w:br/>
              <w:t>preF</w:t>
            </w:r>
          </w:p>
        </w:tc>
        <w:tc>
          <w:tcPr>
            <w:tcW w:w="400" w:type="pct"/>
            <w:tcBorders>
              <w:bottom w:val="single" w:sz="4" w:space="0" w:color="auto"/>
            </w:tcBorders>
          </w:tcPr>
          <w:p w14:paraId="7E0F5E6D"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PBO</w:t>
            </w:r>
          </w:p>
        </w:tc>
        <w:tc>
          <w:tcPr>
            <w:tcW w:w="554" w:type="pct"/>
            <w:tcBorders>
              <w:bottom w:val="single" w:sz="4" w:space="0" w:color="auto"/>
            </w:tcBorders>
          </w:tcPr>
          <w:p w14:paraId="2EA66D57"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VE (95% CI)</w:t>
            </w:r>
          </w:p>
        </w:tc>
      </w:tr>
      <w:tr w:rsidR="00832287" w:rsidRPr="009A4DCA" w14:paraId="6D4F4FDC" w14:textId="77777777" w:rsidTr="008C1CDB">
        <w:trPr>
          <w:tblHeader/>
        </w:trPr>
        <w:tc>
          <w:tcPr>
            <w:tcW w:w="940" w:type="pct"/>
            <w:tcBorders>
              <w:top w:val="single" w:sz="4" w:space="0" w:color="auto"/>
              <w:bottom w:val="single" w:sz="4" w:space="0" w:color="auto"/>
            </w:tcBorders>
          </w:tcPr>
          <w:p w14:paraId="1BD504AD" w14:textId="77777777" w:rsidR="00832287" w:rsidRPr="009A4DCA" w:rsidRDefault="00832287" w:rsidP="008C1CDB">
            <w:pPr>
              <w:ind w:right="-49"/>
              <w:jc w:val="righ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N</w:t>
            </w:r>
          </w:p>
        </w:tc>
        <w:tc>
          <w:tcPr>
            <w:tcW w:w="393" w:type="pct"/>
            <w:tcBorders>
              <w:top w:val="single" w:sz="4" w:space="0" w:color="auto"/>
              <w:bottom w:val="single" w:sz="4" w:space="0" w:color="auto"/>
            </w:tcBorders>
          </w:tcPr>
          <w:p w14:paraId="56212B40"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18,050</w:t>
            </w:r>
          </w:p>
        </w:tc>
        <w:tc>
          <w:tcPr>
            <w:tcW w:w="393" w:type="pct"/>
            <w:tcBorders>
              <w:top w:val="single" w:sz="4" w:space="0" w:color="auto"/>
              <w:bottom w:val="single" w:sz="4" w:space="0" w:color="auto"/>
            </w:tcBorders>
          </w:tcPr>
          <w:p w14:paraId="51851E40"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18,074</w:t>
            </w:r>
          </w:p>
        </w:tc>
        <w:tc>
          <w:tcPr>
            <w:tcW w:w="568" w:type="pct"/>
            <w:tcBorders>
              <w:top w:val="single" w:sz="4" w:space="0" w:color="auto"/>
              <w:bottom w:val="single" w:sz="4" w:space="0" w:color="auto"/>
            </w:tcBorders>
          </w:tcPr>
          <w:p w14:paraId="7AE65B95" w14:textId="77777777" w:rsidR="00832287" w:rsidRPr="009A4DCA" w:rsidRDefault="00832287" w:rsidP="008C1CDB">
            <w:pPr>
              <w:keepNext/>
              <w:keepLines/>
              <w:ind w:right="-162"/>
              <w:jc w:val="center"/>
              <w:rPr>
                <w:rFonts w:ascii="Arial Narrow" w:eastAsiaTheme="majorEastAsia" w:hAnsi="Arial Narrow" w:cs="Times New Roman"/>
                <w:b/>
                <w:sz w:val="20"/>
              </w:rPr>
            </w:pPr>
          </w:p>
        </w:tc>
        <w:tc>
          <w:tcPr>
            <w:tcW w:w="385" w:type="pct"/>
            <w:tcBorders>
              <w:top w:val="single" w:sz="4" w:space="0" w:color="auto"/>
              <w:bottom w:val="single" w:sz="4" w:space="0" w:color="auto"/>
            </w:tcBorders>
          </w:tcPr>
          <w:p w14:paraId="72545744"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16,164</w:t>
            </w:r>
          </w:p>
        </w:tc>
        <w:tc>
          <w:tcPr>
            <w:tcW w:w="385" w:type="pct"/>
            <w:tcBorders>
              <w:top w:val="single" w:sz="4" w:space="0" w:color="auto"/>
              <w:bottom w:val="single" w:sz="4" w:space="0" w:color="auto"/>
            </w:tcBorders>
          </w:tcPr>
          <w:p w14:paraId="28A4BA86"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16,059</w:t>
            </w:r>
          </w:p>
        </w:tc>
        <w:tc>
          <w:tcPr>
            <w:tcW w:w="583" w:type="pct"/>
            <w:tcBorders>
              <w:top w:val="single" w:sz="4" w:space="0" w:color="auto"/>
              <w:bottom w:val="single" w:sz="4" w:space="0" w:color="auto"/>
            </w:tcBorders>
          </w:tcPr>
          <w:p w14:paraId="52947308" w14:textId="77777777" w:rsidR="00832287" w:rsidRPr="009A4DCA" w:rsidRDefault="00832287" w:rsidP="008C1CDB">
            <w:pPr>
              <w:keepNext/>
              <w:keepLines/>
              <w:ind w:right="-162"/>
              <w:jc w:val="center"/>
              <w:rPr>
                <w:rFonts w:ascii="Arial Narrow" w:eastAsiaTheme="majorEastAsia" w:hAnsi="Arial Narrow" w:cs="Times New Roman"/>
                <w:b/>
                <w:sz w:val="20"/>
              </w:rPr>
            </w:pPr>
          </w:p>
        </w:tc>
        <w:tc>
          <w:tcPr>
            <w:tcW w:w="399" w:type="pct"/>
            <w:tcBorders>
              <w:top w:val="single" w:sz="4" w:space="0" w:color="auto"/>
              <w:bottom w:val="single" w:sz="4" w:space="0" w:color="auto"/>
            </w:tcBorders>
          </w:tcPr>
          <w:p w14:paraId="240DD745"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18,050</w:t>
            </w:r>
          </w:p>
        </w:tc>
        <w:tc>
          <w:tcPr>
            <w:tcW w:w="400" w:type="pct"/>
            <w:tcBorders>
              <w:top w:val="single" w:sz="4" w:space="0" w:color="auto"/>
              <w:bottom w:val="single" w:sz="4" w:space="0" w:color="auto"/>
            </w:tcBorders>
          </w:tcPr>
          <w:p w14:paraId="420831FB" w14:textId="77777777" w:rsidR="00832287" w:rsidRPr="009A4DCA" w:rsidRDefault="00832287" w:rsidP="008C1CDB">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18,074</w:t>
            </w:r>
          </w:p>
        </w:tc>
        <w:tc>
          <w:tcPr>
            <w:tcW w:w="554" w:type="pct"/>
            <w:tcBorders>
              <w:top w:val="single" w:sz="4" w:space="0" w:color="auto"/>
              <w:bottom w:val="single" w:sz="4" w:space="0" w:color="auto"/>
            </w:tcBorders>
          </w:tcPr>
          <w:p w14:paraId="4F7241B3" w14:textId="77777777" w:rsidR="00832287" w:rsidRPr="009A4DCA" w:rsidRDefault="00832287" w:rsidP="008C1CDB">
            <w:pPr>
              <w:keepNext/>
              <w:keepLines/>
              <w:ind w:right="-162"/>
              <w:jc w:val="center"/>
              <w:rPr>
                <w:rFonts w:ascii="Arial Narrow" w:eastAsiaTheme="majorEastAsia" w:hAnsi="Arial Narrow" w:cs="Times New Roman"/>
                <w:b/>
                <w:sz w:val="20"/>
              </w:rPr>
            </w:pPr>
          </w:p>
        </w:tc>
      </w:tr>
      <w:tr w:rsidR="00832287" w:rsidRPr="009A4DCA" w14:paraId="1B418996" w14:textId="77777777" w:rsidTr="00392616">
        <w:tc>
          <w:tcPr>
            <w:tcW w:w="5000" w:type="pct"/>
            <w:gridSpan w:val="10"/>
            <w:tcBorders>
              <w:bottom w:val="nil"/>
            </w:tcBorders>
            <w:shd w:val="clear" w:color="auto" w:fill="D9D9D9" w:themeFill="background1" w:themeFillShade="D9"/>
          </w:tcPr>
          <w:p w14:paraId="16B790FA" w14:textId="70000812" w:rsidR="00832287" w:rsidRPr="009A4DCA" w:rsidRDefault="00832287" w:rsidP="008C1CDB">
            <w:pPr>
              <w:ind w:left="-59"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 episode of RSV-LRTI with ≥2 symptoms</w:t>
            </w:r>
          </w:p>
        </w:tc>
      </w:tr>
      <w:tr w:rsidR="00832287" w:rsidRPr="009A4DCA" w14:paraId="74117AD1" w14:textId="77777777" w:rsidTr="007F70EF">
        <w:tc>
          <w:tcPr>
            <w:tcW w:w="940" w:type="pct"/>
            <w:tcBorders>
              <w:bottom w:val="nil"/>
              <w:right w:val="single" w:sz="4" w:space="0" w:color="auto"/>
            </w:tcBorders>
            <w:vAlign w:val="center"/>
          </w:tcPr>
          <w:p w14:paraId="3C47ECE6" w14:textId="77777777" w:rsidR="00832287" w:rsidRPr="009A4DCA" w:rsidRDefault="00832287" w:rsidP="008C1CDB">
            <w:pPr>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All cases</w:t>
            </w:r>
          </w:p>
        </w:tc>
        <w:tc>
          <w:tcPr>
            <w:tcW w:w="393" w:type="pct"/>
            <w:tcBorders>
              <w:left w:val="single" w:sz="4" w:space="0" w:color="auto"/>
              <w:bottom w:val="nil"/>
              <w:right w:val="single" w:sz="4" w:space="0" w:color="auto"/>
            </w:tcBorders>
            <w:shd w:val="clear" w:color="auto" w:fill="auto"/>
            <w:vAlign w:val="center"/>
          </w:tcPr>
          <w:p w14:paraId="2E58103E"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w:t>
            </w:r>
          </w:p>
        </w:tc>
        <w:tc>
          <w:tcPr>
            <w:tcW w:w="393" w:type="pct"/>
            <w:tcBorders>
              <w:left w:val="single" w:sz="4" w:space="0" w:color="auto"/>
              <w:bottom w:val="nil"/>
              <w:right w:val="single" w:sz="4" w:space="0" w:color="auto"/>
            </w:tcBorders>
            <w:shd w:val="clear" w:color="auto" w:fill="auto"/>
            <w:vAlign w:val="center"/>
          </w:tcPr>
          <w:p w14:paraId="0373E874"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43</w:t>
            </w:r>
          </w:p>
        </w:tc>
        <w:tc>
          <w:tcPr>
            <w:tcW w:w="568" w:type="pct"/>
            <w:tcBorders>
              <w:left w:val="single" w:sz="4" w:space="0" w:color="auto"/>
              <w:bottom w:val="nil"/>
              <w:right w:val="single" w:sz="4" w:space="0" w:color="auto"/>
            </w:tcBorders>
            <w:shd w:val="clear" w:color="auto" w:fill="auto"/>
          </w:tcPr>
          <w:p w14:paraId="10A95A06" w14:textId="02690AD0"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65.1 </w:t>
            </w:r>
            <w:r w:rsidRPr="009A4DCA">
              <w:rPr>
                <w:rFonts w:ascii="Arial Narrow" w:eastAsiaTheme="majorEastAsia" w:hAnsi="Arial Narrow" w:cstheme="majorBidi"/>
                <w:b/>
                <w:sz w:val="20"/>
                <w:lang w:eastAsia="en-US"/>
              </w:rPr>
              <w:br/>
              <w:t>(35.9, 82.0)*</w:t>
            </w:r>
          </w:p>
        </w:tc>
        <w:tc>
          <w:tcPr>
            <w:tcW w:w="385" w:type="pct"/>
            <w:tcBorders>
              <w:left w:val="single" w:sz="4" w:space="0" w:color="auto"/>
              <w:bottom w:val="nil"/>
              <w:right w:val="single" w:sz="4" w:space="0" w:color="auto"/>
            </w:tcBorders>
            <w:shd w:val="clear" w:color="auto" w:fill="auto"/>
            <w:vAlign w:val="center"/>
          </w:tcPr>
          <w:p w14:paraId="4BEF4E47"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39</w:t>
            </w:r>
          </w:p>
        </w:tc>
        <w:tc>
          <w:tcPr>
            <w:tcW w:w="385" w:type="pct"/>
            <w:tcBorders>
              <w:left w:val="single" w:sz="4" w:space="0" w:color="auto"/>
              <w:bottom w:val="nil"/>
              <w:right w:val="single" w:sz="4" w:space="0" w:color="auto"/>
            </w:tcBorders>
            <w:shd w:val="clear" w:color="auto" w:fill="auto"/>
            <w:vAlign w:val="center"/>
          </w:tcPr>
          <w:p w14:paraId="369AD92D"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88</w:t>
            </w:r>
          </w:p>
        </w:tc>
        <w:tc>
          <w:tcPr>
            <w:tcW w:w="583" w:type="pct"/>
            <w:tcBorders>
              <w:left w:val="single" w:sz="4" w:space="0" w:color="auto"/>
              <w:bottom w:val="nil"/>
              <w:right w:val="single" w:sz="4" w:space="0" w:color="auto"/>
            </w:tcBorders>
            <w:shd w:val="clear" w:color="auto" w:fill="auto"/>
          </w:tcPr>
          <w:p w14:paraId="6D8A75F3" w14:textId="210F4249"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55.7 </w:t>
            </w:r>
            <w:r w:rsidRPr="009A4DCA">
              <w:rPr>
                <w:rFonts w:ascii="Arial Narrow" w:eastAsiaTheme="majorEastAsia" w:hAnsi="Arial Narrow" w:cstheme="majorBidi"/>
                <w:b/>
                <w:sz w:val="20"/>
                <w:lang w:eastAsia="en-US"/>
              </w:rPr>
              <w:br/>
              <w:t>(34.7, 70.4)*</w:t>
            </w:r>
          </w:p>
        </w:tc>
        <w:tc>
          <w:tcPr>
            <w:tcW w:w="399" w:type="pct"/>
            <w:tcBorders>
              <w:left w:val="single" w:sz="4" w:space="0" w:color="auto"/>
              <w:bottom w:val="nil"/>
              <w:right w:val="single" w:sz="4" w:space="0" w:color="auto"/>
            </w:tcBorders>
            <w:shd w:val="clear" w:color="auto" w:fill="auto"/>
            <w:vAlign w:val="center"/>
          </w:tcPr>
          <w:p w14:paraId="73DBECFA"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54</w:t>
            </w:r>
          </w:p>
        </w:tc>
        <w:tc>
          <w:tcPr>
            <w:tcW w:w="400" w:type="pct"/>
            <w:tcBorders>
              <w:left w:val="single" w:sz="4" w:space="0" w:color="auto"/>
              <w:bottom w:val="nil"/>
            </w:tcBorders>
            <w:shd w:val="clear" w:color="auto" w:fill="auto"/>
            <w:vAlign w:val="center"/>
          </w:tcPr>
          <w:p w14:paraId="571F1CD8"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131</w:t>
            </w:r>
          </w:p>
        </w:tc>
        <w:tc>
          <w:tcPr>
            <w:tcW w:w="554" w:type="pct"/>
            <w:tcBorders>
              <w:left w:val="single" w:sz="4" w:space="0" w:color="auto"/>
              <w:bottom w:val="nil"/>
            </w:tcBorders>
            <w:shd w:val="clear" w:color="auto" w:fill="auto"/>
          </w:tcPr>
          <w:p w14:paraId="5FA26535" w14:textId="1683FE49"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58.8 </w:t>
            </w:r>
            <w:r w:rsidRPr="009A4DCA">
              <w:rPr>
                <w:rFonts w:ascii="Arial Narrow" w:eastAsiaTheme="majorEastAsia" w:hAnsi="Arial Narrow" w:cstheme="majorBidi"/>
                <w:b/>
                <w:sz w:val="20"/>
                <w:lang w:eastAsia="en-US"/>
              </w:rPr>
              <w:br/>
              <w:t>(43.0, 70.6)</w:t>
            </w:r>
            <w:r w:rsidR="001730D2" w:rsidRPr="009A4DCA">
              <w:rPr>
                <w:rFonts w:ascii="Arial Narrow" w:eastAsiaTheme="majorEastAsia" w:hAnsi="Arial Narrow" w:cstheme="majorBidi"/>
                <w:b/>
                <w:sz w:val="20"/>
                <w:lang w:eastAsia="en-US"/>
              </w:rPr>
              <w:t>*</w:t>
            </w:r>
          </w:p>
        </w:tc>
      </w:tr>
      <w:tr w:rsidR="00832287" w:rsidRPr="009A4DCA" w14:paraId="475FF135" w14:textId="77777777" w:rsidTr="007F70EF">
        <w:tc>
          <w:tcPr>
            <w:tcW w:w="940" w:type="pct"/>
            <w:tcBorders>
              <w:top w:val="single" w:sz="4" w:space="0" w:color="auto"/>
              <w:bottom w:val="single" w:sz="4" w:space="0" w:color="auto"/>
              <w:right w:val="single" w:sz="4" w:space="0" w:color="auto"/>
            </w:tcBorders>
            <w:vAlign w:val="center"/>
          </w:tcPr>
          <w:p w14:paraId="5DA19896" w14:textId="77777777" w:rsidR="00832287" w:rsidRPr="009A4DCA" w:rsidRDefault="00832287" w:rsidP="008C1CDB">
            <w:pPr>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Any healthcare visit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B67ABA7"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330F47D"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82062E9" w14:textId="44F652FE"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70.4 </w:t>
            </w:r>
            <w:r w:rsidRPr="009A4DCA">
              <w:rPr>
                <w:rFonts w:ascii="Arial Narrow" w:eastAsiaTheme="majorEastAsia" w:hAnsi="Arial Narrow" w:cstheme="majorBidi"/>
                <w:b/>
                <w:sz w:val="20"/>
                <w:lang w:eastAsia="en-US"/>
              </w:rPr>
              <w:br/>
              <w:t>(33.0, 88.4)*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D7F5617"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9169B34"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43</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634CF47A" w14:textId="77777777"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53.5 </w:t>
            </w:r>
            <w:r w:rsidRPr="009A4DCA">
              <w:rPr>
                <w:rFonts w:ascii="Arial Narrow" w:eastAsiaTheme="majorEastAsia" w:hAnsi="Arial Narrow" w:cstheme="majorBidi"/>
                <w:b/>
                <w:sz w:val="20"/>
                <w:lang w:eastAsia="en-US"/>
              </w:rPr>
              <w:br/>
              <w:t>(19.2, 74.1)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A4BDD51"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w:t>
            </w:r>
          </w:p>
        </w:tc>
        <w:tc>
          <w:tcPr>
            <w:tcW w:w="400" w:type="pct"/>
            <w:tcBorders>
              <w:top w:val="single" w:sz="4" w:space="0" w:color="auto"/>
              <w:left w:val="single" w:sz="4" w:space="0" w:color="auto"/>
              <w:bottom w:val="single" w:sz="4" w:space="0" w:color="auto"/>
            </w:tcBorders>
            <w:shd w:val="clear" w:color="auto" w:fill="auto"/>
            <w:vAlign w:val="center"/>
          </w:tcPr>
          <w:p w14:paraId="6B761C9A"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70</w:t>
            </w:r>
          </w:p>
        </w:tc>
        <w:tc>
          <w:tcPr>
            <w:tcW w:w="554" w:type="pct"/>
            <w:tcBorders>
              <w:top w:val="single" w:sz="4" w:space="0" w:color="auto"/>
              <w:left w:val="single" w:sz="4" w:space="0" w:color="auto"/>
              <w:bottom w:val="single" w:sz="4" w:space="0" w:color="auto"/>
            </w:tcBorders>
            <w:shd w:val="clear" w:color="auto" w:fill="auto"/>
          </w:tcPr>
          <w:p w14:paraId="2D343848" w14:textId="2E7D0E4E"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60.0 </w:t>
            </w:r>
            <w:r w:rsidRPr="009A4DCA">
              <w:rPr>
                <w:rFonts w:ascii="Arial Narrow" w:eastAsiaTheme="majorEastAsia" w:hAnsi="Arial Narrow" w:cstheme="majorBidi"/>
                <w:b/>
                <w:sz w:val="20"/>
                <w:lang w:eastAsia="en-US"/>
              </w:rPr>
              <w:br/>
              <w:t>(37.2, 75.2)</w:t>
            </w:r>
            <w:r w:rsidR="001730D2" w:rsidRPr="009A4DCA">
              <w:rPr>
                <w:rFonts w:ascii="Arial Narrow" w:eastAsiaTheme="majorEastAsia" w:hAnsi="Arial Narrow" w:cstheme="majorBidi"/>
                <w:b/>
                <w:sz w:val="20"/>
                <w:lang w:eastAsia="en-US"/>
              </w:rPr>
              <w:t>*</w:t>
            </w:r>
          </w:p>
        </w:tc>
      </w:tr>
      <w:tr w:rsidR="00832287" w:rsidRPr="009A4DCA" w14:paraId="7340E88F" w14:textId="77777777" w:rsidTr="007F70EF">
        <w:tc>
          <w:tcPr>
            <w:tcW w:w="940" w:type="pct"/>
            <w:tcBorders>
              <w:top w:val="single" w:sz="4" w:space="0" w:color="auto"/>
              <w:bottom w:val="single" w:sz="4" w:space="0" w:color="auto"/>
              <w:right w:val="single" w:sz="4" w:space="0" w:color="auto"/>
            </w:tcBorders>
            <w:vAlign w:val="center"/>
          </w:tcPr>
          <w:p w14:paraId="46B549EE" w14:textId="77777777" w:rsidR="00832287" w:rsidRPr="009A4DCA" w:rsidRDefault="00832287" w:rsidP="008C1CDB">
            <w:pPr>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No healthcare visit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3E21AD6"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42C4263"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0FB7DBF"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56.3 </w:t>
            </w:r>
            <w:r w:rsidRPr="009A4DCA">
              <w:rPr>
                <w:rFonts w:ascii="Arial Narrow" w:eastAsiaTheme="majorEastAsia" w:hAnsi="Arial Narrow" w:cstheme="majorBidi"/>
                <w:bCs/>
                <w:sz w:val="20"/>
                <w:lang w:eastAsia="en-US"/>
              </w:rPr>
              <w:br/>
              <w:t>(-12.4, 84.8)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B13E18D"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4C0BDE9"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45</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1424565" w14:textId="53E9E590"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57.8 </w:t>
            </w:r>
            <w:r w:rsidRPr="009A4DCA">
              <w:rPr>
                <w:rFonts w:ascii="Arial Narrow" w:eastAsiaTheme="majorEastAsia" w:hAnsi="Arial Narrow" w:cstheme="majorBidi"/>
                <w:b/>
                <w:sz w:val="20"/>
                <w:lang w:eastAsia="en-US"/>
              </w:rPr>
              <w:br/>
              <w:t>(26.3, 76.7)*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66D24E9"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26</w:t>
            </w:r>
          </w:p>
        </w:tc>
        <w:tc>
          <w:tcPr>
            <w:tcW w:w="400" w:type="pct"/>
            <w:tcBorders>
              <w:top w:val="single" w:sz="4" w:space="0" w:color="auto"/>
              <w:left w:val="single" w:sz="4" w:space="0" w:color="auto"/>
              <w:bottom w:val="single" w:sz="4" w:space="0" w:color="auto"/>
            </w:tcBorders>
            <w:shd w:val="clear" w:color="auto" w:fill="auto"/>
            <w:vAlign w:val="center"/>
          </w:tcPr>
          <w:p w14:paraId="742DC3CD"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61</w:t>
            </w:r>
          </w:p>
        </w:tc>
        <w:tc>
          <w:tcPr>
            <w:tcW w:w="554" w:type="pct"/>
            <w:tcBorders>
              <w:top w:val="single" w:sz="4" w:space="0" w:color="auto"/>
              <w:left w:val="single" w:sz="4" w:space="0" w:color="auto"/>
              <w:bottom w:val="single" w:sz="4" w:space="0" w:color="auto"/>
            </w:tcBorders>
            <w:shd w:val="clear" w:color="auto" w:fill="auto"/>
          </w:tcPr>
          <w:p w14:paraId="1ABD826A" w14:textId="7CA78F5A"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57.4 </w:t>
            </w:r>
            <w:r w:rsidRPr="009A4DCA">
              <w:rPr>
                <w:rFonts w:ascii="Arial Narrow" w:eastAsiaTheme="majorEastAsia" w:hAnsi="Arial Narrow" w:cstheme="majorBidi"/>
                <w:b/>
                <w:sz w:val="20"/>
                <w:lang w:eastAsia="en-US"/>
              </w:rPr>
              <w:br/>
              <w:t>(31.5, 74.2)</w:t>
            </w:r>
            <w:r w:rsidR="001730D2" w:rsidRPr="009A4DCA">
              <w:rPr>
                <w:rFonts w:ascii="Arial Narrow" w:eastAsiaTheme="majorEastAsia" w:hAnsi="Arial Narrow" w:cstheme="majorBidi"/>
                <w:b/>
                <w:sz w:val="20"/>
                <w:lang w:eastAsia="en-US"/>
              </w:rPr>
              <w:t>*</w:t>
            </w:r>
          </w:p>
        </w:tc>
      </w:tr>
      <w:tr w:rsidR="00832287" w:rsidRPr="009A4DCA" w14:paraId="10809206" w14:textId="77777777" w:rsidTr="00392616">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1C269DCD" w14:textId="19087762" w:rsidR="00832287" w:rsidRPr="009A4DCA" w:rsidRDefault="00832287" w:rsidP="008C1CDB">
            <w:pPr>
              <w:ind w:left="-59"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 episode of RSV-LRTI with ≥3 symptoms</w:t>
            </w:r>
          </w:p>
        </w:tc>
      </w:tr>
      <w:tr w:rsidR="00832287" w:rsidRPr="009A4DCA" w14:paraId="47EA0EB8" w14:textId="77777777" w:rsidTr="007F70EF">
        <w:tc>
          <w:tcPr>
            <w:tcW w:w="940" w:type="pct"/>
            <w:tcBorders>
              <w:top w:val="single" w:sz="4" w:space="0" w:color="auto"/>
              <w:bottom w:val="nil"/>
              <w:right w:val="single" w:sz="4" w:space="0" w:color="auto"/>
            </w:tcBorders>
            <w:vAlign w:val="center"/>
          </w:tcPr>
          <w:p w14:paraId="2F6EADC6" w14:textId="77777777" w:rsidR="00832287" w:rsidRPr="009A4DCA" w:rsidRDefault="00832287" w:rsidP="008C1CDB">
            <w:pPr>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All cases</w:t>
            </w:r>
          </w:p>
        </w:tc>
        <w:tc>
          <w:tcPr>
            <w:tcW w:w="393" w:type="pct"/>
            <w:tcBorders>
              <w:top w:val="single" w:sz="4" w:space="0" w:color="auto"/>
              <w:left w:val="single" w:sz="4" w:space="0" w:color="auto"/>
              <w:bottom w:val="nil"/>
              <w:right w:val="single" w:sz="4" w:space="0" w:color="auto"/>
            </w:tcBorders>
            <w:shd w:val="clear" w:color="auto" w:fill="auto"/>
            <w:vAlign w:val="center"/>
          </w:tcPr>
          <w:p w14:paraId="440D443F"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393" w:type="pct"/>
            <w:tcBorders>
              <w:top w:val="single" w:sz="4" w:space="0" w:color="auto"/>
              <w:left w:val="single" w:sz="4" w:space="0" w:color="auto"/>
              <w:bottom w:val="nil"/>
              <w:right w:val="single" w:sz="4" w:space="0" w:color="auto"/>
            </w:tcBorders>
            <w:shd w:val="clear" w:color="auto" w:fill="auto"/>
            <w:vAlign w:val="center"/>
          </w:tcPr>
          <w:p w14:paraId="4BFFEB05"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w:t>
            </w:r>
          </w:p>
        </w:tc>
        <w:tc>
          <w:tcPr>
            <w:tcW w:w="568" w:type="pct"/>
            <w:tcBorders>
              <w:top w:val="single" w:sz="4" w:space="0" w:color="auto"/>
              <w:left w:val="single" w:sz="4" w:space="0" w:color="auto"/>
              <w:bottom w:val="nil"/>
              <w:right w:val="single" w:sz="4" w:space="0" w:color="auto"/>
            </w:tcBorders>
            <w:shd w:val="clear" w:color="auto" w:fill="auto"/>
          </w:tcPr>
          <w:p w14:paraId="33E7F942" w14:textId="3C752DBB"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88.9 </w:t>
            </w:r>
            <w:r w:rsidRPr="009A4DCA">
              <w:rPr>
                <w:rFonts w:ascii="Arial Narrow" w:eastAsiaTheme="majorEastAsia" w:hAnsi="Arial Narrow" w:cstheme="majorBidi"/>
                <w:b/>
                <w:sz w:val="20"/>
                <w:lang w:eastAsia="en-US"/>
              </w:rPr>
              <w:br/>
              <w:t>(53.6, 98.7)*</w:t>
            </w:r>
          </w:p>
        </w:tc>
        <w:tc>
          <w:tcPr>
            <w:tcW w:w="385" w:type="pct"/>
            <w:tcBorders>
              <w:top w:val="single" w:sz="4" w:space="0" w:color="auto"/>
              <w:left w:val="single" w:sz="4" w:space="0" w:color="auto"/>
              <w:bottom w:val="nil"/>
              <w:right w:val="single" w:sz="4" w:space="0" w:color="auto"/>
            </w:tcBorders>
            <w:shd w:val="clear" w:color="auto" w:fill="auto"/>
            <w:vAlign w:val="center"/>
          </w:tcPr>
          <w:p w14:paraId="655215AB"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w:t>
            </w:r>
          </w:p>
        </w:tc>
        <w:tc>
          <w:tcPr>
            <w:tcW w:w="385" w:type="pct"/>
            <w:tcBorders>
              <w:top w:val="single" w:sz="4" w:space="0" w:color="auto"/>
              <w:left w:val="single" w:sz="4" w:space="0" w:color="auto"/>
              <w:bottom w:val="nil"/>
              <w:right w:val="single" w:sz="4" w:space="0" w:color="auto"/>
            </w:tcBorders>
            <w:shd w:val="clear" w:color="auto" w:fill="auto"/>
            <w:vAlign w:val="center"/>
          </w:tcPr>
          <w:p w14:paraId="19161FE8"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36</w:t>
            </w:r>
          </w:p>
        </w:tc>
        <w:tc>
          <w:tcPr>
            <w:tcW w:w="583" w:type="pct"/>
            <w:tcBorders>
              <w:top w:val="single" w:sz="4" w:space="0" w:color="auto"/>
              <w:left w:val="single" w:sz="4" w:space="0" w:color="auto"/>
              <w:bottom w:val="nil"/>
              <w:right w:val="single" w:sz="4" w:space="0" w:color="auto"/>
            </w:tcBorders>
            <w:shd w:val="clear" w:color="auto" w:fill="auto"/>
          </w:tcPr>
          <w:p w14:paraId="00D2D882" w14:textId="12A8398D"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77.8 </w:t>
            </w:r>
            <w:r w:rsidRPr="009A4DCA">
              <w:rPr>
                <w:rFonts w:ascii="Arial Narrow" w:eastAsiaTheme="majorEastAsia" w:hAnsi="Arial Narrow" w:cstheme="majorBidi"/>
                <w:b/>
                <w:sz w:val="20"/>
                <w:lang w:eastAsia="en-US"/>
              </w:rPr>
              <w:br/>
              <w:t>(51.4, 91.1)*</w:t>
            </w:r>
          </w:p>
        </w:tc>
        <w:tc>
          <w:tcPr>
            <w:tcW w:w="399" w:type="pct"/>
            <w:tcBorders>
              <w:top w:val="single" w:sz="4" w:space="0" w:color="auto"/>
              <w:left w:val="single" w:sz="4" w:space="0" w:color="auto"/>
              <w:bottom w:val="nil"/>
              <w:right w:val="single" w:sz="4" w:space="0" w:color="auto"/>
            </w:tcBorders>
            <w:shd w:val="clear" w:color="auto" w:fill="auto"/>
            <w:vAlign w:val="center"/>
          </w:tcPr>
          <w:p w14:paraId="33C8A2CF"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w:t>
            </w:r>
          </w:p>
        </w:tc>
        <w:tc>
          <w:tcPr>
            <w:tcW w:w="400" w:type="pct"/>
            <w:tcBorders>
              <w:top w:val="single" w:sz="4" w:space="0" w:color="auto"/>
              <w:left w:val="single" w:sz="4" w:space="0" w:color="auto"/>
              <w:bottom w:val="nil"/>
            </w:tcBorders>
            <w:shd w:val="clear" w:color="auto" w:fill="auto"/>
            <w:vAlign w:val="center"/>
          </w:tcPr>
          <w:p w14:paraId="331A9FCA"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54</w:t>
            </w:r>
          </w:p>
        </w:tc>
        <w:tc>
          <w:tcPr>
            <w:tcW w:w="554" w:type="pct"/>
            <w:tcBorders>
              <w:top w:val="single" w:sz="4" w:space="0" w:color="auto"/>
              <w:left w:val="single" w:sz="4" w:space="0" w:color="auto"/>
              <w:bottom w:val="nil"/>
            </w:tcBorders>
            <w:shd w:val="clear" w:color="auto" w:fill="auto"/>
          </w:tcPr>
          <w:p w14:paraId="1F70DD64" w14:textId="1FED80B8"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81.5 </w:t>
            </w:r>
            <w:r w:rsidRPr="009A4DCA">
              <w:rPr>
                <w:rFonts w:ascii="Arial Narrow" w:eastAsiaTheme="majorEastAsia" w:hAnsi="Arial Narrow" w:cstheme="majorBidi"/>
                <w:b/>
                <w:sz w:val="20"/>
                <w:lang w:eastAsia="en-US"/>
              </w:rPr>
              <w:br/>
              <w:t>(63.3, 91.6)</w:t>
            </w:r>
            <w:r w:rsidR="001730D2" w:rsidRPr="009A4DCA">
              <w:rPr>
                <w:rFonts w:ascii="Arial Narrow" w:eastAsiaTheme="majorEastAsia" w:hAnsi="Arial Narrow" w:cstheme="majorBidi"/>
                <w:b/>
                <w:sz w:val="20"/>
                <w:lang w:eastAsia="en-US"/>
              </w:rPr>
              <w:t>*</w:t>
            </w:r>
          </w:p>
        </w:tc>
      </w:tr>
      <w:tr w:rsidR="00832287" w:rsidRPr="009A4DCA" w14:paraId="13426E43" w14:textId="77777777" w:rsidTr="007F70EF">
        <w:tc>
          <w:tcPr>
            <w:tcW w:w="940" w:type="pct"/>
            <w:tcBorders>
              <w:top w:val="single" w:sz="4" w:space="0" w:color="auto"/>
              <w:bottom w:val="nil"/>
              <w:right w:val="single" w:sz="4" w:space="0" w:color="auto"/>
            </w:tcBorders>
            <w:vAlign w:val="center"/>
          </w:tcPr>
          <w:p w14:paraId="794392AD" w14:textId="77777777" w:rsidR="00832287" w:rsidRPr="009A4DCA" w:rsidRDefault="00832287" w:rsidP="008C1CDB">
            <w:pPr>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Any healthcare visit</w:t>
            </w:r>
          </w:p>
        </w:tc>
        <w:tc>
          <w:tcPr>
            <w:tcW w:w="393" w:type="pct"/>
            <w:tcBorders>
              <w:top w:val="single" w:sz="4" w:space="0" w:color="auto"/>
              <w:left w:val="single" w:sz="4" w:space="0" w:color="auto"/>
              <w:bottom w:val="nil"/>
              <w:right w:val="single" w:sz="4" w:space="0" w:color="auto"/>
            </w:tcBorders>
            <w:shd w:val="clear" w:color="auto" w:fill="auto"/>
            <w:vAlign w:val="center"/>
          </w:tcPr>
          <w:p w14:paraId="305EF9AC"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393" w:type="pct"/>
            <w:tcBorders>
              <w:top w:val="single" w:sz="4" w:space="0" w:color="auto"/>
              <w:left w:val="single" w:sz="4" w:space="0" w:color="auto"/>
              <w:bottom w:val="nil"/>
              <w:right w:val="single" w:sz="4" w:space="0" w:color="auto"/>
            </w:tcBorders>
            <w:shd w:val="clear" w:color="auto" w:fill="auto"/>
            <w:vAlign w:val="center"/>
          </w:tcPr>
          <w:p w14:paraId="469D1B05"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13</w:t>
            </w:r>
          </w:p>
        </w:tc>
        <w:tc>
          <w:tcPr>
            <w:tcW w:w="568" w:type="pct"/>
            <w:tcBorders>
              <w:top w:val="single" w:sz="4" w:space="0" w:color="auto"/>
              <w:left w:val="single" w:sz="4" w:space="0" w:color="auto"/>
              <w:bottom w:val="nil"/>
              <w:right w:val="single" w:sz="4" w:space="0" w:color="auto"/>
            </w:tcBorders>
            <w:shd w:val="clear" w:color="auto" w:fill="auto"/>
          </w:tcPr>
          <w:p w14:paraId="14225900" w14:textId="48C55389"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84.6 </w:t>
            </w:r>
            <w:r w:rsidRPr="009A4DCA">
              <w:rPr>
                <w:rFonts w:ascii="Arial Narrow" w:eastAsiaTheme="majorEastAsia" w:hAnsi="Arial Narrow" w:cstheme="majorBidi"/>
                <w:b/>
                <w:sz w:val="20"/>
                <w:lang w:eastAsia="en-US"/>
              </w:rPr>
              <w:br/>
              <w:t>(32.0, 98.3)*</w:t>
            </w:r>
          </w:p>
        </w:tc>
        <w:tc>
          <w:tcPr>
            <w:tcW w:w="385" w:type="pct"/>
            <w:tcBorders>
              <w:top w:val="single" w:sz="4" w:space="0" w:color="auto"/>
              <w:left w:val="single" w:sz="4" w:space="0" w:color="auto"/>
              <w:bottom w:val="nil"/>
              <w:right w:val="single" w:sz="4" w:space="0" w:color="auto"/>
            </w:tcBorders>
            <w:shd w:val="clear" w:color="auto" w:fill="auto"/>
            <w:vAlign w:val="center"/>
          </w:tcPr>
          <w:p w14:paraId="04BD01BC"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w:t>
            </w:r>
          </w:p>
        </w:tc>
        <w:tc>
          <w:tcPr>
            <w:tcW w:w="385" w:type="pct"/>
            <w:tcBorders>
              <w:top w:val="single" w:sz="4" w:space="0" w:color="auto"/>
              <w:left w:val="single" w:sz="4" w:space="0" w:color="auto"/>
              <w:bottom w:val="nil"/>
              <w:right w:val="single" w:sz="4" w:space="0" w:color="auto"/>
            </w:tcBorders>
            <w:shd w:val="clear" w:color="auto" w:fill="auto"/>
            <w:vAlign w:val="center"/>
          </w:tcPr>
          <w:p w14:paraId="61F84DA1"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25</w:t>
            </w:r>
          </w:p>
        </w:tc>
        <w:tc>
          <w:tcPr>
            <w:tcW w:w="583" w:type="pct"/>
            <w:tcBorders>
              <w:top w:val="single" w:sz="4" w:space="0" w:color="auto"/>
              <w:left w:val="single" w:sz="4" w:space="0" w:color="auto"/>
              <w:bottom w:val="nil"/>
              <w:right w:val="single" w:sz="4" w:space="0" w:color="auto"/>
            </w:tcBorders>
            <w:shd w:val="clear" w:color="auto" w:fill="auto"/>
          </w:tcPr>
          <w:p w14:paraId="0DC70C82" w14:textId="2852FF99"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72.0 </w:t>
            </w:r>
            <w:r w:rsidRPr="009A4DCA">
              <w:rPr>
                <w:rFonts w:ascii="Arial Narrow" w:eastAsiaTheme="majorEastAsia" w:hAnsi="Arial Narrow" w:cstheme="majorBidi"/>
                <w:b/>
                <w:sz w:val="20"/>
                <w:lang w:eastAsia="en-US"/>
              </w:rPr>
              <w:br/>
              <w:t>(33.4, 89.8)</w:t>
            </w:r>
            <w:r w:rsidR="001730D2" w:rsidRPr="009A4DCA">
              <w:rPr>
                <w:rFonts w:ascii="Arial Narrow" w:eastAsiaTheme="majorEastAsia" w:hAnsi="Arial Narrow" w:cstheme="majorBidi"/>
                <w:b/>
                <w:sz w:val="20"/>
                <w:lang w:eastAsia="en-US"/>
              </w:rPr>
              <w:t>*</w:t>
            </w:r>
          </w:p>
        </w:tc>
        <w:tc>
          <w:tcPr>
            <w:tcW w:w="399" w:type="pct"/>
            <w:tcBorders>
              <w:top w:val="single" w:sz="4" w:space="0" w:color="auto"/>
              <w:left w:val="single" w:sz="4" w:space="0" w:color="auto"/>
              <w:bottom w:val="nil"/>
              <w:right w:val="single" w:sz="4" w:space="0" w:color="auto"/>
            </w:tcBorders>
            <w:shd w:val="clear" w:color="auto" w:fill="auto"/>
            <w:vAlign w:val="center"/>
          </w:tcPr>
          <w:p w14:paraId="283783BC"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w:t>
            </w:r>
          </w:p>
        </w:tc>
        <w:tc>
          <w:tcPr>
            <w:tcW w:w="400" w:type="pct"/>
            <w:tcBorders>
              <w:top w:val="single" w:sz="4" w:space="0" w:color="auto"/>
              <w:left w:val="single" w:sz="4" w:space="0" w:color="auto"/>
              <w:bottom w:val="nil"/>
            </w:tcBorders>
            <w:shd w:val="clear" w:color="auto" w:fill="auto"/>
            <w:vAlign w:val="center"/>
          </w:tcPr>
          <w:p w14:paraId="74C59916"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38</w:t>
            </w:r>
          </w:p>
        </w:tc>
        <w:tc>
          <w:tcPr>
            <w:tcW w:w="554" w:type="pct"/>
            <w:tcBorders>
              <w:top w:val="single" w:sz="4" w:space="0" w:color="auto"/>
              <w:left w:val="single" w:sz="4" w:space="0" w:color="auto"/>
              <w:bottom w:val="nil"/>
            </w:tcBorders>
            <w:shd w:val="clear" w:color="auto" w:fill="auto"/>
          </w:tcPr>
          <w:p w14:paraId="5B8EE05E" w14:textId="3D9AEF67"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76.3 </w:t>
            </w:r>
            <w:r w:rsidRPr="009A4DCA">
              <w:rPr>
                <w:rFonts w:ascii="Arial Narrow" w:eastAsiaTheme="majorEastAsia" w:hAnsi="Arial Narrow" w:cstheme="majorBidi"/>
                <w:b/>
                <w:sz w:val="20"/>
                <w:lang w:eastAsia="en-US"/>
              </w:rPr>
              <w:br/>
              <w:t>(50.2, 89.9)</w:t>
            </w:r>
            <w:r w:rsidR="001730D2" w:rsidRPr="009A4DCA">
              <w:rPr>
                <w:rFonts w:ascii="Arial Narrow" w:eastAsiaTheme="majorEastAsia" w:hAnsi="Arial Narrow" w:cstheme="majorBidi"/>
                <w:b/>
                <w:sz w:val="20"/>
                <w:lang w:eastAsia="en-US"/>
              </w:rPr>
              <w:t>*</w:t>
            </w:r>
          </w:p>
        </w:tc>
      </w:tr>
      <w:tr w:rsidR="00832287" w:rsidRPr="009A4DCA" w14:paraId="7392D02A" w14:textId="77777777" w:rsidTr="007F70EF">
        <w:tc>
          <w:tcPr>
            <w:tcW w:w="940" w:type="pct"/>
            <w:tcBorders>
              <w:top w:val="single" w:sz="4" w:space="0" w:color="auto"/>
              <w:bottom w:val="single" w:sz="4" w:space="0" w:color="auto"/>
              <w:right w:val="single" w:sz="4" w:space="0" w:color="auto"/>
            </w:tcBorders>
            <w:vAlign w:val="center"/>
          </w:tcPr>
          <w:p w14:paraId="768CBA55" w14:textId="77777777" w:rsidR="00832287" w:rsidRPr="009A4DCA" w:rsidRDefault="00832287" w:rsidP="008C1CDB">
            <w:pPr>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No healthcare visit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FD53F59"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2EC058A"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39D2832"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100.0 </w:t>
            </w:r>
            <w:r w:rsidRPr="009A4DCA">
              <w:rPr>
                <w:rFonts w:ascii="Arial Narrow" w:eastAsiaTheme="majorEastAsia" w:hAnsi="Arial Narrow" w:cstheme="majorBidi"/>
                <w:bCs/>
                <w:sz w:val="20"/>
                <w:lang w:eastAsia="en-US"/>
              </w:rPr>
              <w:br/>
              <w:t>(-9.1, 100.0)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F1BCE53"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8C70D8F"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676004C2" w14:textId="7F8E3BE3"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90.9 </w:t>
            </w:r>
            <w:r w:rsidRPr="009A4DCA">
              <w:rPr>
                <w:rFonts w:ascii="Arial Narrow" w:eastAsiaTheme="majorEastAsia" w:hAnsi="Arial Narrow" w:cstheme="majorBidi"/>
                <w:b/>
                <w:sz w:val="20"/>
                <w:lang w:eastAsia="en-US"/>
              </w:rPr>
              <w:br/>
              <w:t>(37.5, 99.8)</w:t>
            </w:r>
            <w:r w:rsidR="001730D2" w:rsidRPr="009A4DCA">
              <w:rPr>
                <w:rFonts w:ascii="Arial Narrow" w:eastAsiaTheme="majorEastAsia" w:hAnsi="Arial Narrow" w:cstheme="majorBidi"/>
                <w:b/>
                <w:sz w:val="20"/>
                <w:lang w:eastAsia="en-US"/>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9A37033"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w:t>
            </w:r>
          </w:p>
        </w:tc>
        <w:tc>
          <w:tcPr>
            <w:tcW w:w="400" w:type="pct"/>
            <w:tcBorders>
              <w:top w:val="single" w:sz="4" w:space="0" w:color="auto"/>
              <w:left w:val="single" w:sz="4" w:space="0" w:color="auto"/>
              <w:bottom w:val="single" w:sz="4" w:space="0" w:color="auto"/>
            </w:tcBorders>
            <w:shd w:val="clear" w:color="auto" w:fill="auto"/>
            <w:vAlign w:val="center"/>
          </w:tcPr>
          <w:p w14:paraId="3E1439AE"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w:t>
            </w:r>
          </w:p>
        </w:tc>
        <w:tc>
          <w:tcPr>
            <w:tcW w:w="554" w:type="pct"/>
            <w:tcBorders>
              <w:top w:val="single" w:sz="4" w:space="0" w:color="auto"/>
              <w:left w:val="single" w:sz="4" w:space="0" w:color="auto"/>
              <w:bottom w:val="single" w:sz="4" w:space="0" w:color="auto"/>
            </w:tcBorders>
            <w:shd w:val="clear" w:color="auto" w:fill="auto"/>
          </w:tcPr>
          <w:p w14:paraId="28F5AA4B" w14:textId="1EC178FD"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93.8 </w:t>
            </w:r>
            <w:r w:rsidRPr="009A4DCA">
              <w:rPr>
                <w:rFonts w:ascii="Arial Narrow" w:eastAsiaTheme="majorEastAsia" w:hAnsi="Arial Narrow" w:cstheme="majorBidi"/>
                <w:b/>
                <w:sz w:val="20"/>
                <w:lang w:eastAsia="en-US"/>
              </w:rPr>
              <w:br/>
              <w:t>(59.8, 99.9)</w:t>
            </w:r>
            <w:r w:rsidR="001730D2" w:rsidRPr="009A4DCA">
              <w:rPr>
                <w:rFonts w:ascii="Arial Narrow" w:eastAsiaTheme="majorEastAsia" w:hAnsi="Arial Narrow" w:cstheme="majorBidi"/>
                <w:b/>
                <w:sz w:val="20"/>
                <w:lang w:eastAsia="en-US"/>
              </w:rPr>
              <w:t>*</w:t>
            </w:r>
          </w:p>
        </w:tc>
      </w:tr>
      <w:tr w:rsidR="00832287" w:rsidRPr="009A4DCA" w14:paraId="2115043C" w14:textId="77777777" w:rsidTr="00392616">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6248E20D" w14:textId="13B1AB56" w:rsidR="00832287" w:rsidRPr="009A4DCA" w:rsidRDefault="00832287" w:rsidP="008C1CDB">
            <w:pPr>
              <w:ind w:left="-59"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First-episode of RSV</w:t>
            </w:r>
            <w:r w:rsidR="00377FF6" w:rsidRPr="009A4DCA">
              <w:rPr>
                <w:rFonts w:ascii="Arial Narrow" w:eastAsiaTheme="majorEastAsia" w:hAnsi="Arial Narrow" w:cstheme="majorBidi"/>
                <w:b/>
                <w:bCs/>
                <w:sz w:val="20"/>
                <w:lang w:eastAsia="en-US"/>
              </w:rPr>
              <w:t>-ARI</w:t>
            </w:r>
          </w:p>
        </w:tc>
      </w:tr>
      <w:tr w:rsidR="00832287" w:rsidRPr="009A4DCA" w14:paraId="4B5709B1" w14:textId="77777777" w:rsidTr="007F70EF">
        <w:tc>
          <w:tcPr>
            <w:tcW w:w="940" w:type="pct"/>
            <w:tcBorders>
              <w:top w:val="single" w:sz="4" w:space="0" w:color="auto"/>
              <w:bottom w:val="nil"/>
              <w:right w:val="single" w:sz="4" w:space="0" w:color="auto"/>
            </w:tcBorders>
            <w:vAlign w:val="center"/>
          </w:tcPr>
          <w:p w14:paraId="3E5040C6" w14:textId="77777777" w:rsidR="00832287" w:rsidRPr="009A4DCA" w:rsidRDefault="00832287" w:rsidP="008C1CDB">
            <w:pPr>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All cases</w:t>
            </w:r>
          </w:p>
        </w:tc>
        <w:tc>
          <w:tcPr>
            <w:tcW w:w="393" w:type="pct"/>
            <w:tcBorders>
              <w:top w:val="single" w:sz="4" w:space="0" w:color="auto"/>
              <w:left w:val="single" w:sz="4" w:space="0" w:color="auto"/>
              <w:bottom w:val="nil"/>
              <w:right w:val="single" w:sz="4" w:space="0" w:color="auto"/>
            </w:tcBorders>
            <w:shd w:val="clear" w:color="auto" w:fill="auto"/>
            <w:vAlign w:val="center"/>
          </w:tcPr>
          <w:p w14:paraId="27D1B0A4"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37</w:t>
            </w:r>
          </w:p>
        </w:tc>
        <w:tc>
          <w:tcPr>
            <w:tcW w:w="393" w:type="pct"/>
            <w:tcBorders>
              <w:top w:val="single" w:sz="4" w:space="0" w:color="auto"/>
              <w:left w:val="single" w:sz="4" w:space="0" w:color="auto"/>
              <w:bottom w:val="nil"/>
              <w:right w:val="single" w:sz="4" w:space="0" w:color="auto"/>
            </w:tcBorders>
            <w:shd w:val="clear" w:color="auto" w:fill="auto"/>
            <w:vAlign w:val="center"/>
          </w:tcPr>
          <w:p w14:paraId="32724CB6"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98</w:t>
            </w:r>
          </w:p>
        </w:tc>
        <w:tc>
          <w:tcPr>
            <w:tcW w:w="568" w:type="pct"/>
            <w:tcBorders>
              <w:top w:val="single" w:sz="4" w:space="0" w:color="auto"/>
              <w:left w:val="single" w:sz="4" w:space="0" w:color="auto"/>
              <w:bottom w:val="nil"/>
              <w:right w:val="single" w:sz="4" w:space="0" w:color="auto"/>
            </w:tcBorders>
            <w:shd w:val="clear" w:color="auto" w:fill="auto"/>
          </w:tcPr>
          <w:p w14:paraId="65F5A061" w14:textId="399B0F9B"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62.2 </w:t>
            </w:r>
            <w:r w:rsidRPr="009A4DCA">
              <w:rPr>
                <w:rFonts w:ascii="Arial Narrow" w:eastAsiaTheme="majorEastAsia" w:hAnsi="Arial Narrow" w:cstheme="majorBidi"/>
                <w:b/>
                <w:sz w:val="20"/>
                <w:lang w:eastAsia="en-US"/>
              </w:rPr>
              <w:br/>
              <w:t>(44.4, 74.9)*</w:t>
            </w:r>
          </w:p>
        </w:tc>
        <w:tc>
          <w:tcPr>
            <w:tcW w:w="385" w:type="pct"/>
            <w:tcBorders>
              <w:top w:val="single" w:sz="4" w:space="0" w:color="auto"/>
              <w:left w:val="single" w:sz="4" w:space="0" w:color="auto"/>
              <w:bottom w:val="nil"/>
              <w:right w:val="single" w:sz="4" w:space="0" w:color="auto"/>
            </w:tcBorders>
            <w:shd w:val="clear" w:color="auto" w:fill="auto"/>
            <w:vAlign w:val="center"/>
          </w:tcPr>
          <w:p w14:paraId="1B16A745"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149</w:t>
            </w:r>
          </w:p>
        </w:tc>
        <w:tc>
          <w:tcPr>
            <w:tcW w:w="385" w:type="pct"/>
            <w:tcBorders>
              <w:top w:val="single" w:sz="4" w:space="0" w:color="auto"/>
              <w:left w:val="single" w:sz="4" w:space="0" w:color="auto"/>
              <w:bottom w:val="nil"/>
              <w:right w:val="single" w:sz="4" w:space="0" w:color="auto"/>
            </w:tcBorders>
            <w:shd w:val="clear" w:color="auto" w:fill="auto"/>
            <w:vAlign w:val="center"/>
          </w:tcPr>
          <w:p w14:paraId="4F1BC979"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236</w:t>
            </w:r>
          </w:p>
        </w:tc>
        <w:tc>
          <w:tcPr>
            <w:tcW w:w="583" w:type="pct"/>
            <w:tcBorders>
              <w:top w:val="single" w:sz="4" w:space="0" w:color="auto"/>
              <w:left w:val="single" w:sz="4" w:space="0" w:color="auto"/>
              <w:bottom w:val="nil"/>
              <w:right w:val="single" w:sz="4" w:space="0" w:color="auto"/>
            </w:tcBorders>
            <w:shd w:val="clear" w:color="auto" w:fill="auto"/>
            <w:vAlign w:val="center"/>
          </w:tcPr>
          <w:p w14:paraId="780D04C4" w14:textId="1DE6EC2F"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36.9 </w:t>
            </w:r>
            <w:r w:rsidRPr="009A4DCA">
              <w:rPr>
                <w:rFonts w:ascii="Arial Narrow" w:eastAsiaTheme="majorEastAsia" w:hAnsi="Arial Narrow" w:cstheme="majorBidi"/>
                <w:b/>
                <w:sz w:val="20"/>
                <w:lang w:eastAsia="en-US"/>
              </w:rPr>
              <w:br/>
              <w:t>(22.2, 48.9)</w:t>
            </w:r>
            <w:r w:rsidR="001730D2" w:rsidRPr="009A4DCA">
              <w:rPr>
                <w:rFonts w:ascii="Arial Narrow" w:eastAsiaTheme="majorEastAsia" w:hAnsi="Arial Narrow" w:cstheme="majorBidi"/>
                <w:b/>
                <w:sz w:val="20"/>
                <w:lang w:eastAsia="en-US"/>
              </w:rPr>
              <w:t>*</w:t>
            </w:r>
          </w:p>
        </w:tc>
        <w:tc>
          <w:tcPr>
            <w:tcW w:w="399" w:type="pct"/>
            <w:tcBorders>
              <w:top w:val="single" w:sz="4" w:space="0" w:color="auto"/>
              <w:left w:val="single" w:sz="4" w:space="0" w:color="auto"/>
              <w:bottom w:val="nil"/>
              <w:right w:val="single" w:sz="4" w:space="0" w:color="auto"/>
            </w:tcBorders>
            <w:shd w:val="clear" w:color="auto" w:fill="auto"/>
            <w:vAlign w:val="center"/>
          </w:tcPr>
          <w:p w14:paraId="267CBCEE"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186</w:t>
            </w:r>
          </w:p>
        </w:tc>
        <w:tc>
          <w:tcPr>
            <w:tcW w:w="400" w:type="pct"/>
            <w:tcBorders>
              <w:top w:val="single" w:sz="4" w:space="0" w:color="auto"/>
              <w:left w:val="single" w:sz="4" w:space="0" w:color="auto"/>
              <w:bottom w:val="nil"/>
            </w:tcBorders>
            <w:shd w:val="clear" w:color="auto" w:fill="auto"/>
            <w:vAlign w:val="center"/>
          </w:tcPr>
          <w:p w14:paraId="1A68B554"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334</w:t>
            </w:r>
          </w:p>
        </w:tc>
        <w:tc>
          <w:tcPr>
            <w:tcW w:w="554" w:type="pct"/>
            <w:tcBorders>
              <w:top w:val="single" w:sz="4" w:space="0" w:color="auto"/>
              <w:left w:val="single" w:sz="4" w:space="0" w:color="auto"/>
              <w:bottom w:val="nil"/>
            </w:tcBorders>
            <w:shd w:val="clear" w:color="auto" w:fill="auto"/>
          </w:tcPr>
          <w:p w14:paraId="3E011A34" w14:textId="61F48785"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44.3 </w:t>
            </w:r>
            <w:r w:rsidRPr="009A4DCA">
              <w:rPr>
                <w:rFonts w:ascii="Arial Narrow" w:eastAsiaTheme="majorEastAsia" w:hAnsi="Arial Narrow" w:cstheme="majorBidi"/>
                <w:b/>
                <w:sz w:val="20"/>
                <w:lang w:eastAsia="en-US"/>
              </w:rPr>
              <w:br/>
              <w:t>(33.2, 53.7)</w:t>
            </w:r>
            <w:r w:rsidR="001730D2" w:rsidRPr="009A4DCA">
              <w:rPr>
                <w:rFonts w:ascii="Arial Narrow" w:eastAsiaTheme="majorEastAsia" w:hAnsi="Arial Narrow" w:cstheme="majorBidi"/>
                <w:b/>
                <w:sz w:val="20"/>
                <w:lang w:eastAsia="en-US"/>
              </w:rPr>
              <w:t>*</w:t>
            </w:r>
          </w:p>
        </w:tc>
      </w:tr>
      <w:tr w:rsidR="00832287" w:rsidRPr="009A4DCA" w14:paraId="2FE1E205" w14:textId="77777777" w:rsidTr="007F70EF">
        <w:tc>
          <w:tcPr>
            <w:tcW w:w="940" w:type="pct"/>
            <w:tcBorders>
              <w:top w:val="single" w:sz="4" w:space="0" w:color="auto"/>
              <w:bottom w:val="single" w:sz="4" w:space="0" w:color="auto"/>
              <w:right w:val="single" w:sz="4" w:space="0" w:color="auto"/>
            </w:tcBorders>
            <w:vAlign w:val="center"/>
          </w:tcPr>
          <w:p w14:paraId="651BAC1B" w14:textId="77777777" w:rsidR="00832287" w:rsidRPr="009A4DCA" w:rsidRDefault="00832287" w:rsidP="008C1CDB">
            <w:pPr>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Any healthcare visit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1A67BB8"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AE541F9"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820B84F" w14:textId="57A860F1"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65.1 </w:t>
            </w:r>
            <w:r w:rsidRPr="009A4DCA">
              <w:rPr>
                <w:rFonts w:ascii="Arial Narrow" w:eastAsiaTheme="majorEastAsia" w:hAnsi="Arial Narrow" w:cstheme="majorBidi"/>
                <w:b/>
                <w:sz w:val="20"/>
                <w:lang w:eastAsia="en-US"/>
              </w:rPr>
              <w:br/>
              <w:t>(35.9, 82.0)*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A4B9A25"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165696A"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83</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A89D788" w14:textId="2830A6B0"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47.0 </w:t>
            </w:r>
            <w:r w:rsidRPr="009A4DCA">
              <w:rPr>
                <w:rFonts w:ascii="Arial Narrow" w:eastAsiaTheme="majorEastAsia" w:hAnsi="Arial Narrow" w:cstheme="majorBidi"/>
                <w:b/>
                <w:sz w:val="20"/>
                <w:lang w:eastAsia="en-US"/>
              </w:rPr>
              <w:br/>
              <w:t>(22.7, 64.1)</w:t>
            </w:r>
            <w:r w:rsidR="001730D2" w:rsidRPr="009A4DCA">
              <w:rPr>
                <w:rFonts w:ascii="Arial Narrow" w:eastAsiaTheme="majorEastAsia" w:hAnsi="Arial Narrow" w:cstheme="majorBidi"/>
                <w:b/>
                <w:sz w:val="20"/>
                <w:lang w:eastAsia="en-US"/>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51E55F2"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59</w:t>
            </w:r>
          </w:p>
        </w:tc>
        <w:tc>
          <w:tcPr>
            <w:tcW w:w="400" w:type="pct"/>
            <w:tcBorders>
              <w:top w:val="single" w:sz="4" w:space="0" w:color="auto"/>
              <w:left w:val="single" w:sz="4" w:space="0" w:color="auto"/>
              <w:bottom w:val="single" w:sz="4" w:space="0" w:color="auto"/>
            </w:tcBorders>
            <w:shd w:val="clear" w:color="auto" w:fill="auto"/>
            <w:vAlign w:val="center"/>
          </w:tcPr>
          <w:p w14:paraId="07D40114"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126</w:t>
            </w:r>
          </w:p>
        </w:tc>
        <w:tc>
          <w:tcPr>
            <w:tcW w:w="554" w:type="pct"/>
            <w:tcBorders>
              <w:top w:val="single" w:sz="4" w:space="0" w:color="auto"/>
              <w:left w:val="single" w:sz="4" w:space="0" w:color="auto"/>
              <w:bottom w:val="single" w:sz="4" w:space="0" w:color="auto"/>
            </w:tcBorders>
            <w:shd w:val="clear" w:color="auto" w:fill="auto"/>
          </w:tcPr>
          <w:p w14:paraId="6B3A1FC6" w14:textId="36F90CFF"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53.2 </w:t>
            </w:r>
            <w:r w:rsidRPr="009A4DCA">
              <w:rPr>
                <w:rFonts w:ascii="Arial Narrow" w:eastAsiaTheme="majorEastAsia" w:hAnsi="Arial Narrow" w:cstheme="majorBidi"/>
                <w:b/>
                <w:sz w:val="20"/>
                <w:lang w:eastAsia="en-US"/>
              </w:rPr>
              <w:br/>
              <w:t>(35.7, 66.2)</w:t>
            </w:r>
            <w:r w:rsidR="001730D2" w:rsidRPr="009A4DCA">
              <w:rPr>
                <w:rFonts w:ascii="Arial Narrow" w:eastAsiaTheme="majorEastAsia" w:hAnsi="Arial Narrow" w:cstheme="majorBidi"/>
                <w:b/>
                <w:sz w:val="20"/>
                <w:lang w:eastAsia="en-US"/>
              </w:rPr>
              <w:t>*</w:t>
            </w:r>
          </w:p>
        </w:tc>
      </w:tr>
      <w:tr w:rsidR="00832287" w:rsidRPr="009A4DCA" w14:paraId="322D1FAB" w14:textId="77777777" w:rsidTr="007F70EF">
        <w:tc>
          <w:tcPr>
            <w:tcW w:w="940" w:type="pct"/>
            <w:tcBorders>
              <w:top w:val="single" w:sz="4" w:space="0" w:color="auto"/>
              <w:bottom w:val="single" w:sz="4" w:space="0" w:color="auto"/>
              <w:right w:val="single" w:sz="4" w:space="0" w:color="auto"/>
            </w:tcBorders>
            <w:vAlign w:val="center"/>
          </w:tcPr>
          <w:p w14:paraId="07A8B3A9" w14:textId="77777777" w:rsidR="00832287" w:rsidRPr="009A4DCA" w:rsidRDefault="00832287" w:rsidP="008C1CDB">
            <w:pPr>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No healthcare visit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E0105B3"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844A3C8"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55</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C4BFDF5" w14:textId="6796698E"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60.0 </w:t>
            </w:r>
            <w:r w:rsidRPr="009A4DCA">
              <w:rPr>
                <w:rFonts w:ascii="Arial Narrow" w:eastAsiaTheme="majorEastAsia" w:hAnsi="Arial Narrow" w:cstheme="majorBidi"/>
                <w:b/>
                <w:sz w:val="20"/>
                <w:lang w:eastAsia="en-US"/>
              </w:rPr>
              <w:br/>
              <w:t>(33.3, 76.8)*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A5A72B9"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AF0116E"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153</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6D963DB" w14:textId="77777777" w:rsidR="00832287" w:rsidRPr="009A4DCA" w:rsidRDefault="00832287" w:rsidP="008C1CDB">
            <w:pPr>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31.4 </w:t>
            </w:r>
            <w:r w:rsidRPr="009A4DCA">
              <w:rPr>
                <w:rFonts w:ascii="Arial Narrow" w:eastAsiaTheme="majorEastAsia" w:hAnsi="Arial Narrow" w:cstheme="majorBidi"/>
                <w:b/>
                <w:sz w:val="20"/>
                <w:lang w:eastAsia="en-US"/>
              </w:rPr>
              <w:br/>
              <w:t>(11.4, 47.0)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CD8998E"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127</w:t>
            </w:r>
          </w:p>
        </w:tc>
        <w:tc>
          <w:tcPr>
            <w:tcW w:w="400" w:type="pct"/>
            <w:tcBorders>
              <w:top w:val="single" w:sz="4" w:space="0" w:color="auto"/>
              <w:left w:val="single" w:sz="4" w:space="0" w:color="auto"/>
              <w:bottom w:val="single" w:sz="4" w:space="0" w:color="auto"/>
            </w:tcBorders>
            <w:shd w:val="clear" w:color="auto" w:fill="auto"/>
            <w:vAlign w:val="center"/>
          </w:tcPr>
          <w:p w14:paraId="2C87C3FD" w14:textId="77777777" w:rsidR="00832287" w:rsidRPr="009A4DCA" w:rsidRDefault="00832287" w:rsidP="008C1CDB">
            <w:pPr>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208</w:t>
            </w:r>
          </w:p>
        </w:tc>
        <w:tc>
          <w:tcPr>
            <w:tcW w:w="554" w:type="pct"/>
            <w:tcBorders>
              <w:top w:val="single" w:sz="4" w:space="0" w:color="auto"/>
              <w:left w:val="single" w:sz="4" w:space="0" w:color="auto"/>
              <w:bottom w:val="single" w:sz="4" w:space="0" w:color="auto"/>
            </w:tcBorders>
            <w:shd w:val="clear" w:color="auto" w:fill="auto"/>
          </w:tcPr>
          <w:p w14:paraId="6F768DDC" w14:textId="1498EECC" w:rsidR="00832287" w:rsidRPr="009A4DCA" w:rsidRDefault="00832287" w:rsidP="001730D2">
            <w:pPr>
              <w:ind w:left="-59" w:right="-81"/>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38.9 </w:t>
            </w:r>
            <w:r w:rsidRPr="009A4DCA">
              <w:rPr>
                <w:rFonts w:ascii="Arial Narrow" w:eastAsiaTheme="majorEastAsia" w:hAnsi="Arial Narrow" w:cstheme="majorBidi"/>
                <w:b/>
                <w:sz w:val="20"/>
                <w:lang w:eastAsia="en-US"/>
              </w:rPr>
              <w:br/>
              <w:t>(23.5, 51.4)</w:t>
            </w:r>
            <w:r w:rsidR="001730D2" w:rsidRPr="009A4DCA">
              <w:rPr>
                <w:rFonts w:ascii="Arial Narrow" w:eastAsiaTheme="majorEastAsia" w:hAnsi="Arial Narrow" w:cstheme="majorBidi"/>
                <w:b/>
                <w:sz w:val="20"/>
                <w:lang w:eastAsia="en-US"/>
              </w:rPr>
              <w:t>*</w:t>
            </w:r>
          </w:p>
        </w:tc>
      </w:tr>
    </w:tbl>
    <w:p w14:paraId="0824A895" w14:textId="123C6FAC" w:rsidR="00832287" w:rsidRPr="009A4DCA" w:rsidRDefault="00832287" w:rsidP="00832287">
      <w:pPr>
        <w:pStyle w:val="FooterTableFigure"/>
        <w:rPr>
          <w:rFonts w:eastAsia="Calibri"/>
        </w:rPr>
      </w:pPr>
      <w:r w:rsidRPr="009A4DCA">
        <w:rPr>
          <w:rFonts w:eastAsia="Calibri"/>
        </w:rPr>
        <w:t>Source: Table 2.5.7 p70 of the submission</w:t>
      </w:r>
      <w:r w:rsidR="00C57FA0" w:rsidRPr="009A4DCA">
        <w:rPr>
          <w:rFonts w:eastAsia="Calibri"/>
        </w:rPr>
        <w:t>.</w:t>
      </w:r>
      <w:r w:rsidRPr="009A4DCA">
        <w:rPr>
          <w:rFonts w:eastAsia="Calibri"/>
        </w:rPr>
        <w:t xml:space="preserve"> </w:t>
      </w:r>
    </w:p>
    <w:p w14:paraId="01641E38" w14:textId="3394CF82" w:rsidR="00832287" w:rsidRPr="009A4DCA" w:rsidRDefault="00623963" w:rsidP="00832287">
      <w:pPr>
        <w:pStyle w:val="FooterTableFigure"/>
        <w:rPr>
          <w:rFonts w:eastAsia="Calibri"/>
        </w:rPr>
      </w:pPr>
      <w:r w:rsidRPr="009A4DCA">
        <w:rPr>
          <w:rFonts w:eastAsia="Calibri"/>
        </w:rPr>
        <w:t xml:space="preserve">ARI = acute respiratory illness; </w:t>
      </w:r>
      <w:r w:rsidR="00832287" w:rsidRPr="009A4DCA">
        <w:rPr>
          <w:rFonts w:eastAsia="Calibri"/>
        </w:rPr>
        <w:t>CI = confidence interval; IR = incidence rate; LRTI = lower respiratory tract i</w:t>
      </w:r>
      <w:r w:rsidRPr="009A4DCA">
        <w:rPr>
          <w:rFonts w:eastAsia="Calibri"/>
        </w:rPr>
        <w:t>llness</w:t>
      </w:r>
      <w:r w:rsidR="00832287" w:rsidRPr="009A4DCA">
        <w:rPr>
          <w:rFonts w:eastAsia="Calibri"/>
        </w:rPr>
        <w:t>; n = number of participants with event; N = total participants in group; NP = Not performed due to insufficient numbers; NR = not reported; PBO = placebo; RSV = respiratory syncytial virus; RSVpreF = recombinant RSV prefusion F protein vaccine; VE = vaccine efficacy.</w:t>
      </w:r>
    </w:p>
    <w:p w14:paraId="3BFD16DD" w14:textId="000FC16D" w:rsidR="00832287" w:rsidRPr="009A4DCA" w:rsidRDefault="00832287" w:rsidP="00832287">
      <w:pPr>
        <w:pStyle w:val="FooterTableFigure"/>
        <w:rPr>
          <w:rFonts w:eastAsia="Calibri"/>
        </w:rPr>
      </w:pPr>
      <w:r w:rsidRPr="009A4DCA">
        <w:rPr>
          <w:rFonts w:eastAsia="Calibri"/>
          <w:b/>
        </w:rPr>
        <w:t>Bold</w:t>
      </w:r>
      <w:r w:rsidRPr="009A4DCA">
        <w:rPr>
          <w:rFonts w:eastAsia="Calibri"/>
        </w:rPr>
        <w:t xml:space="preserve"> indicates statistically significant results.</w:t>
      </w:r>
    </w:p>
    <w:p w14:paraId="521FE8B8" w14:textId="42376DB6" w:rsidR="00832287" w:rsidRPr="009A4DCA" w:rsidRDefault="00832287" w:rsidP="00832287">
      <w:pPr>
        <w:pStyle w:val="FooterTableFigure"/>
        <w:rPr>
          <w:rFonts w:eastAsia="Calibri"/>
          <w:iCs/>
        </w:rPr>
      </w:pPr>
      <w:r w:rsidRPr="009A4DCA">
        <w:rPr>
          <w:rFonts w:eastAsia="Calibri"/>
          <w:iCs/>
        </w:rPr>
        <w:t xml:space="preserve">* denotes lower limit for 95% CI &gt;20%. </w:t>
      </w:r>
    </w:p>
    <w:p w14:paraId="2E352214" w14:textId="408B38E4" w:rsidR="00C7280F" w:rsidRPr="009A4DCA" w:rsidRDefault="00C7280F">
      <w:pPr>
        <w:pStyle w:val="3-BodyText"/>
        <w:numPr>
          <w:ilvl w:val="1"/>
          <w:numId w:val="1"/>
        </w:numPr>
      </w:pPr>
      <w:r w:rsidRPr="009A4DCA">
        <w:t>Overall, for the primary and secondary efficacy outcomes, VE decreased over time; VE estimates reported for the season 2 period were consistently lower than those measured at</w:t>
      </w:r>
      <w:r w:rsidR="00806B8A" w:rsidRPr="009A4DCA">
        <w:t xml:space="preserve"> EOS1</w:t>
      </w:r>
      <w:r w:rsidRPr="009A4DCA">
        <w:t>.</w:t>
      </w:r>
    </w:p>
    <w:p w14:paraId="476914AF" w14:textId="77777777" w:rsidR="00C7280F" w:rsidRPr="009A4DCA" w:rsidRDefault="00C7280F" w:rsidP="00B82D7A">
      <w:pPr>
        <w:keepNext/>
        <w:rPr>
          <w:rFonts w:eastAsia="Calibri"/>
          <w:u w:val="single"/>
        </w:rPr>
      </w:pPr>
      <w:r w:rsidRPr="009A4DCA">
        <w:rPr>
          <w:rFonts w:eastAsia="Calibri"/>
          <w:u w:val="single"/>
        </w:rPr>
        <w:lastRenderedPageBreak/>
        <w:t>Immunogenicity results</w:t>
      </w:r>
    </w:p>
    <w:p w14:paraId="254B58FD" w14:textId="2206BCFD" w:rsidR="00C7280F" w:rsidRPr="009A4DCA" w:rsidRDefault="00C7280F" w:rsidP="003A0F9B">
      <w:pPr>
        <w:pStyle w:val="3-BodyText"/>
        <w:numPr>
          <w:ilvl w:val="1"/>
          <w:numId w:val="1"/>
        </w:numPr>
      </w:pPr>
      <w:r w:rsidRPr="009A4DCA">
        <w:t>In RENOIR, immunogenicity was evaluated from approximately 600 participants from a subset of sites in the US and approximately 450 participants from a subset of sites in Japan</w:t>
      </w:r>
      <w:r w:rsidR="001B74D7" w:rsidRPr="009A4DCA">
        <w:t>,</w:t>
      </w:r>
      <w:r w:rsidRPr="009A4DCA">
        <w:t xml:space="preserve"> with blood samples collected before vaccination, 1 month after vaccination, and prior to the start of the second RSV season. </w:t>
      </w:r>
      <w:r w:rsidRPr="009A4DCA">
        <w:rPr>
          <w:bCs/>
        </w:rPr>
        <w:t xml:space="preserve">The sample size of participants informing results for neutralising titres in RENOIR was small and reduced over time. </w:t>
      </w:r>
    </w:p>
    <w:p w14:paraId="56A1AC76" w14:textId="4063A21C" w:rsidR="00C7280F" w:rsidRPr="009A4DCA" w:rsidRDefault="00C7280F" w:rsidP="003A0F9B">
      <w:pPr>
        <w:pStyle w:val="3-BodyText"/>
        <w:numPr>
          <w:ilvl w:val="1"/>
          <w:numId w:val="1"/>
        </w:numPr>
      </w:pPr>
      <w:r w:rsidRPr="009A4DCA">
        <w:t>In Study 1006, non-inferiority of co-administration (RSVpreF + SIIV) compared with sequential dosing was based on a 1.5-fold equivalence margin where the geometric mean ratio (GMR) lower limit of the 2-sided 95% CI &gt;0.667. The GMRs ranged from 0.85 to 0.86 for RSVpreF, and 0.77 to 0.90 for SIIV. Non-inferiority was met based on the pre-specified non-inferiority margin for each of the 6 assay strains.</w:t>
      </w:r>
    </w:p>
    <w:p w14:paraId="62AE7DB7" w14:textId="37834DE7" w:rsidR="00227B62" w:rsidRPr="009A4DCA" w:rsidRDefault="00C7280F" w:rsidP="00227B62">
      <w:pPr>
        <w:pStyle w:val="3-BodyText"/>
        <w:numPr>
          <w:ilvl w:val="1"/>
          <w:numId w:val="1"/>
        </w:numPr>
      </w:pPr>
      <w:r w:rsidRPr="009A4DCA">
        <w:t>ATAGI considered that the immunogenicity evidence from RENOIR and Study 1006 were only supportive, as success criteria</w:t>
      </w:r>
      <w:r w:rsidR="00DA4F1F" w:rsidRPr="009A4DCA">
        <w:t xml:space="preserve"> (lower 95% CI &gt;20%)</w:t>
      </w:r>
      <w:r w:rsidRPr="009A4DCA">
        <w:t xml:space="preserve"> were not applied to these data in RENOIR, and there are no established correlates of protection for RSV (ATAGI Advice to the PBAC Dec 2023).</w:t>
      </w:r>
    </w:p>
    <w:p w14:paraId="369154EE" w14:textId="77777777" w:rsidR="00C7280F" w:rsidRPr="009A4DCA" w:rsidRDefault="00C7280F" w:rsidP="00C7280F">
      <w:pPr>
        <w:pStyle w:val="3-BodyText"/>
        <w:numPr>
          <w:ilvl w:val="0"/>
          <w:numId w:val="0"/>
        </w:numPr>
        <w:rPr>
          <w:u w:val="single"/>
        </w:rPr>
      </w:pPr>
      <w:r w:rsidRPr="009A4DCA">
        <w:rPr>
          <w:u w:val="single"/>
        </w:rPr>
        <w:t>Subgroup analyses</w:t>
      </w:r>
    </w:p>
    <w:p w14:paraId="0073FCFD" w14:textId="72553F1D" w:rsidR="00C7280F" w:rsidRPr="009A4DCA" w:rsidRDefault="00C7280F" w:rsidP="00C7280F">
      <w:pPr>
        <w:pStyle w:val="3-BodyText"/>
        <w:numPr>
          <w:ilvl w:val="0"/>
          <w:numId w:val="0"/>
        </w:numPr>
        <w:rPr>
          <w:b/>
          <w:bCs/>
        </w:rPr>
      </w:pPr>
      <w:r w:rsidRPr="009A4DCA">
        <w:rPr>
          <w:b/>
          <w:bCs/>
        </w:rPr>
        <w:t>RENOIR</w:t>
      </w:r>
      <w:r w:rsidR="00F75BDD" w:rsidRPr="009A4DCA">
        <w:rPr>
          <w:b/>
          <w:bCs/>
        </w:rPr>
        <w:t>: RSVpreF versus placebo</w:t>
      </w:r>
    </w:p>
    <w:p w14:paraId="7CBD372B" w14:textId="77777777" w:rsidR="00C7280F" w:rsidRPr="009A4DCA" w:rsidRDefault="00C7280F" w:rsidP="00C7280F">
      <w:pPr>
        <w:pStyle w:val="3-BodyText"/>
        <w:numPr>
          <w:ilvl w:val="1"/>
          <w:numId w:val="1"/>
        </w:numPr>
      </w:pPr>
      <w:r w:rsidRPr="009A4DCA">
        <w:t>The submission presented subgroup analyses from RENOIR for participants by:</w:t>
      </w:r>
    </w:p>
    <w:p w14:paraId="01FA74D9" w14:textId="61FCDAA5" w:rsidR="00C7280F" w:rsidRPr="009A4DCA" w:rsidRDefault="00C7280F" w:rsidP="00C6762E">
      <w:pPr>
        <w:pStyle w:val="3-BodyText"/>
        <w:numPr>
          <w:ilvl w:val="0"/>
          <w:numId w:val="10"/>
        </w:numPr>
        <w:ind w:left="1134"/>
      </w:pPr>
      <w:r w:rsidRPr="009A4DCA">
        <w:t>Age group (60-69 years; 70-79 years; ≥80 years)</w:t>
      </w:r>
      <w:r w:rsidR="0023375B" w:rsidRPr="009A4DCA">
        <w:t>;</w:t>
      </w:r>
      <w:r w:rsidRPr="009A4DCA">
        <w:t xml:space="preserve"> RENOIR stratified participants by these age groups.</w:t>
      </w:r>
    </w:p>
    <w:p w14:paraId="00614A08" w14:textId="1FAECD2C" w:rsidR="00C7280F" w:rsidRPr="009A4DCA" w:rsidRDefault="00C7280F" w:rsidP="00C6762E">
      <w:pPr>
        <w:pStyle w:val="3-BodyText"/>
        <w:numPr>
          <w:ilvl w:val="0"/>
          <w:numId w:val="10"/>
        </w:numPr>
        <w:ind w:left="1134"/>
      </w:pPr>
      <w:r w:rsidRPr="009A4DCA">
        <w:t>Presence of a pre-specified significant condition (≥</w:t>
      </w:r>
      <w:r w:rsidR="00E86C51" w:rsidRPr="009A4DCA">
        <w:t>1</w:t>
      </w:r>
      <w:r w:rsidRPr="009A4DCA">
        <w:t> pre-specified conditions vs. no pre-specified condition), including heart disease, lung disease, asthma, diabetes, liver disease and renal disease. Although RENOIR did not stratify participants based on these conditions, these were pre-specified at baseline, and were balanced across the groups.</w:t>
      </w:r>
    </w:p>
    <w:p w14:paraId="198C04D7" w14:textId="253B438B" w:rsidR="006B451C" w:rsidRPr="009A4DCA" w:rsidRDefault="00AD34DE" w:rsidP="006B451C">
      <w:pPr>
        <w:pStyle w:val="3-BodyText"/>
        <w:numPr>
          <w:ilvl w:val="1"/>
          <w:numId w:val="1"/>
        </w:numPr>
        <w:spacing w:after="0"/>
      </w:pPr>
      <w:r w:rsidRPr="009A4DCA">
        <w:rPr>
          <w:iCs/>
        </w:rPr>
        <w:t>A summary of the results from the subgroup analyses by age group is provided in</w:t>
      </w:r>
      <w:r w:rsidR="005D2F71" w:rsidRPr="009A4DCA">
        <w:rPr>
          <w:iCs/>
        </w:rPr>
        <w:t xml:space="preserve"> </w:t>
      </w:r>
      <w:r w:rsidR="00CB04B1">
        <w:rPr>
          <w:iCs/>
        </w:rPr>
        <w:t xml:space="preserve">Table 7 </w:t>
      </w:r>
      <w:r w:rsidR="00493155" w:rsidRPr="009A4DCA">
        <w:rPr>
          <w:iCs/>
        </w:rPr>
        <w:t xml:space="preserve">for </w:t>
      </w:r>
      <w:r w:rsidR="0030471B" w:rsidRPr="009A4DCA">
        <w:rPr>
          <w:iCs/>
        </w:rPr>
        <w:t>EOS1</w:t>
      </w:r>
      <w:r w:rsidR="005D2F71" w:rsidRPr="009A4DCA">
        <w:rPr>
          <w:iCs/>
        </w:rPr>
        <w:t xml:space="preserve">. </w:t>
      </w:r>
    </w:p>
    <w:p w14:paraId="3DFAFA1D" w14:textId="2EB58D94" w:rsidR="006B451C" w:rsidRPr="009A4DCA" w:rsidRDefault="006B451C" w:rsidP="00BE2884">
      <w:pPr>
        <w:pStyle w:val="TableFigureHeading"/>
        <w:keepLines/>
      </w:pPr>
      <w:bookmarkStart w:id="38" w:name="_Ref177223293"/>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7</w:t>
      </w:r>
      <w:r w:rsidR="00491347">
        <w:fldChar w:fldCharType="end"/>
      </w:r>
      <w:bookmarkEnd w:id="38"/>
      <w:r w:rsidRPr="009A4DCA">
        <w:t>: Results for subgroup analyses of efficacy endpoints in RENOIR through the EOS1, by age group, evaluable efficacy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089"/>
        <w:gridCol w:w="1090"/>
        <w:gridCol w:w="1090"/>
        <w:gridCol w:w="1090"/>
        <w:gridCol w:w="2069"/>
      </w:tblGrid>
      <w:tr w:rsidR="006B451C" w:rsidRPr="009A4DCA" w14:paraId="67B94787" w14:textId="77777777" w:rsidTr="008C1CDB">
        <w:trPr>
          <w:tblHeader/>
        </w:trPr>
        <w:tc>
          <w:tcPr>
            <w:tcW w:w="2582" w:type="dxa"/>
            <w:vMerge w:val="restart"/>
            <w:shd w:val="clear" w:color="auto" w:fill="auto"/>
            <w:vAlign w:val="bottom"/>
          </w:tcPr>
          <w:p w14:paraId="6059F097"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Population</w:t>
            </w:r>
          </w:p>
        </w:tc>
        <w:tc>
          <w:tcPr>
            <w:tcW w:w="2179" w:type="dxa"/>
            <w:gridSpan w:val="2"/>
            <w:shd w:val="clear" w:color="auto" w:fill="auto"/>
            <w:vAlign w:val="bottom"/>
          </w:tcPr>
          <w:p w14:paraId="756FCAB0"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2180" w:type="dxa"/>
            <w:gridSpan w:val="2"/>
            <w:shd w:val="clear" w:color="auto" w:fill="auto"/>
          </w:tcPr>
          <w:p w14:paraId="5CBFA91D"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2069" w:type="dxa"/>
            <w:tcBorders>
              <w:bottom w:val="nil"/>
            </w:tcBorders>
            <w:shd w:val="clear" w:color="auto" w:fill="auto"/>
            <w:vAlign w:val="bottom"/>
          </w:tcPr>
          <w:p w14:paraId="3FC79C05" w14:textId="77777777" w:rsidR="006B451C" w:rsidRPr="009A4DCA" w:rsidRDefault="006B451C" w:rsidP="00BE2884">
            <w:pPr>
              <w:keepNext/>
              <w:keepLines/>
              <w:ind w:right="-162"/>
              <w:jc w:val="center"/>
              <w:rPr>
                <w:rFonts w:ascii="Arial Narrow" w:eastAsiaTheme="majorEastAsia" w:hAnsi="Arial Narrow" w:cs="Times New Roman"/>
                <w:b/>
                <w:sz w:val="20"/>
              </w:rPr>
            </w:pPr>
          </w:p>
        </w:tc>
      </w:tr>
      <w:tr w:rsidR="006B451C" w:rsidRPr="009A4DCA" w14:paraId="19299F44" w14:textId="77777777" w:rsidTr="008C1CDB">
        <w:trPr>
          <w:tblHeader/>
        </w:trPr>
        <w:tc>
          <w:tcPr>
            <w:tcW w:w="2582" w:type="dxa"/>
            <w:vMerge/>
            <w:shd w:val="clear" w:color="auto" w:fill="auto"/>
            <w:vAlign w:val="bottom"/>
          </w:tcPr>
          <w:p w14:paraId="49F9EC78" w14:textId="77777777" w:rsidR="006B451C" w:rsidRPr="009A4DCA" w:rsidRDefault="006B451C" w:rsidP="00BE2884">
            <w:pPr>
              <w:keepNext/>
              <w:keepLines/>
              <w:ind w:right="-162"/>
              <w:jc w:val="center"/>
              <w:rPr>
                <w:rFonts w:ascii="Arial Narrow" w:eastAsiaTheme="majorEastAsia" w:hAnsi="Arial Narrow" w:cs="Times New Roman"/>
                <w:b/>
                <w:sz w:val="20"/>
              </w:rPr>
            </w:pPr>
          </w:p>
        </w:tc>
        <w:tc>
          <w:tcPr>
            <w:tcW w:w="1089" w:type="dxa"/>
            <w:shd w:val="clear" w:color="auto" w:fill="auto"/>
            <w:vAlign w:val="bottom"/>
          </w:tcPr>
          <w:p w14:paraId="13F19D0D"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N</w:t>
            </w:r>
          </w:p>
        </w:tc>
        <w:tc>
          <w:tcPr>
            <w:tcW w:w="1090" w:type="dxa"/>
            <w:shd w:val="clear" w:color="auto" w:fill="auto"/>
            <w:vAlign w:val="bottom"/>
          </w:tcPr>
          <w:p w14:paraId="3722ACF4"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Cases, n</w:t>
            </w:r>
          </w:p>
        </w:tc>
        <w:tc>
          <w:tcPr>
            <w:tcW w:w="1090" w:type="dxa"/>
            <w:shd w:val="clear" w:color="auto" w:fill="auto"/>
          </w:tcPr>
          <w:p w14:paraId="4851CD14"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N</w:t>
            </w:r>
          </w:p>
        </w:tc>
        <w:tc>
          <w:tcPr>
            <w:tcW w:w="1090" w:type="dxa"/>
            <w:shd w:val="clear" w:color="auto" w:fill="auto"/>
            <w:vAlign w:val="bottom"/>
          </w:tcPr>
          <w:p w14:paraId="05355A33"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Cases, n</w:t>
            </w:r>
          </w:p>
        </w:tc>
        <w:tc>
          <w:tcPr>
            <w:tcW w:w="2069" w:type="dxa"/>
            <w:tcBorders>
              <w:top w:val="nil"/>
            </w:tcBorders>
            <w:shd w:val="clear" w:color="auto" w:fill="auto"/>
            <w:vAlign w:val="bottom"/>
          </w:tcPr>
          <w:p w14:paraId="6AD21983" w14:textId="77777777" w:rsidR="006B451C" w:rsidRPr="009A4DCA" w:rsidRDefault="006B451C"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VE (95% CI)</w:t>
            </w:r>
          </w:p>
        </w:tc>
      </w:tr>
      <w:tr w:rsidR="006B451C" w:rsidRPr="009A4DCA" w14:paraId="79A2EF76" w14:textId="77777777" w:rsidTr="00493155">
        <w:tc>
          <w:tcPr>
            <w:tcW w:w="9010" w:type="dxa"/>
            <w:gridSpan w:val="6"/>
            <w:shd w:val="clear" w:color="auto" w:fill="D9D9D9" w:themeFill="background1" w:themeFillShade="D9"/>
          </w:tcPr>
          <w:p w14:paraId="6CCFC419" w14:textId="7FFD25F3" w:rsidR="006B451C" w:rsidRPr="009A4DCA" w:rsidRDefault="006B451C" w:rsidP="00BE2884">
            <w:pPr>
              <w:keepNext/>
              <w:keepLines/>
              <w:ind w:right="17"/>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 episode of RSV-LRTI with ≥2 symptoms</w:t>
            </w:r>
          </w:p>
        </w:tc>
      </w:tr>
      <w:tr w:rsidR="006B451C" w:rsidRPr="009A4DCA" w14:paraId="4DC95EF5" w14:textId="77777777" w:rsidTr="006B451C">
        <w:tc>
          <w:tcPr>
            <w:tcW w:w="2582" w:type="dxa"/>
            <w:shd w:val="clear" w:color="auto" w:fill="auto"/>
          </w:tcPr>
          <w:p w14:paraId="7AC96FC9"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Whole trial population</w:t>
            </w:r>
          </w:p>
        </w:tc>
        <w:tc>
          <w:tcPr>
            <w:tcW w:w="1089" w:type="dxa"/>
            <w:shd w:val="clear" w:color="auto" w:fill="auto"/>
          </w:tcPr>
          <w:p w14:paraId="1CD25DD8"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18,058</w:t>
            </w:r>
          </w:p>
        </w:tc>
        <w:tc>
          <w:tcPr>
            <w:tcW w:w="1090" w:type="dxa"/>
            <w:shd w:val="clear" w:color="auto" w:fill="auto"/>
          </w:tcPr>
          <w:p w14:paraId="4D66E9A1"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w:t>
            </w:r>
          </w:p>
        </w:tc>
        <w:tc>
          <w:tcPr>
            <w:tcW w:w="1090" w:type="dxa"/>
            <w:shd w:val="clear" w:color="auto" w:fill="auto"/>
          </w:tcPr>
          <w:p w14:paraId="001DAE3E"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18,076</w:t>
            </w:r>
          </w:p>
        </w:tc>
        <w:tc>
          <w:tcPr>
            <w:tcW w:w="1090" w:type="dxa"/>
            <w:shd w:val="clear" w:color="auto" w:fill="auto"/>
          </w:tcPr>
          <w:p w14:paraId="0DB23174"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43</w:t>
            </w:r>
          </w:p>
        </w:tc>
        <w:tc>
          <w:tcPr>
            <w:tcW w:w="2069" w:type="dxa"/>
            <w:shd w:val="clear" w:color="auto" w:fill="auto"/>
          </w:tcPr>
          <w:p w14:paraId="081FFA13" w14:textId="53FD153E" w:rsidR="006B451C" w:rsidRPr="009A4DCA" w:rsidRDefault="006B451C"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65.1 (35.9, 82.0)*</w:t>
            </w:r>
          </w:p>
        </w:tc>
      </w:tr>
      <w:tr w:rsidR="006B451C" w:rsidRPr="009A4DCA" w14:paraId="3F2E5122" w14:textId="77777777" w:rsidTr="006B451C">
        <w:tc>
          <w:tcPr>
            <w:tcW w:w="2582" w:type="dxa"/>
            <w:shd w:val="clear" w:color="auto" w:fill="auto"/>
          </w:tcPr>
          <w:p w14:paraId="414CC7E8"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60-69 years</w:t>
            </w:r>
          </w:p>
        </w:tc>
        <w:tc>
          <w:tcPr>
            <w:tcW w:w="1089" w:type="dxa"/>
            <w:shd w:val="clear" w:color="auto" w:fill="auto"/>
          </w:tcPr>
          <w:p w14:paraId="399DF8B5"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11,311</w:t>
            </w:r>
          </w:p>
        </w:tc>
        <w:tc>
          <w:tcPr>
            <w:tcW w:w="1090" w:type="dxa"/>
            <w:shd w:val="clear" w:color="auto" w:fill="auto"/>
          </w:tcPr>
          <w:p w14:paraId="7C5B0108"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w:t>
            </w:r>
          </w:p>
        </w:tc>
        <w:tc>
          <w:tcPr>
            <w:tcW w:w="1090" w:type="dxa"/>
            <w:shd w:val="clear" w:color="auto" w:fill="auto"/>
          </w:tcPr>
          <w:p w14:paraId="4A438279"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11,352</w:t>
            </w:r>
          </w:p>
        </w:tc>
        <w:tc>
          <w:tcPr>
            <w:tcW w:w="1090" w:type="dxa"/>
            <w:shd w:val="clear" w:color="auto" w:fill="auto"/>
          </w:tcPr>
          <w:p w14:paraId="1AF12B75"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25</w:t>
            </w:r>
          </w:p>
        </w:tc>
        <w:tc>
          <w:tcPr>
            <w:tcW w:w="2069" w:type="dxa"/>
            <w:shd w:val="clear" w:color="auto" w:fill="auto"/>
          </w:tcPr>
          <w:p w14:paraId="311CF6A1" w14:textId="77777777" w:rsidR="006B451C" w:rsidRPr="009A4DCA" w:rsidRDefault="006B451C"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60.0 (13.8, 82.9)</w:t>
            </w:r>
          </w:p>
        </w:tc>
      </w:tr>
      <w:tr w:rsidR="006B451C" w:rsidRPr="009A4DCA" w14:paraId="54C236EB" w14:textId="77777777" w:rsidTr="006B451C">
        <w:tc>
          <w:tcPr>
            <w:tcW w:w="2582" w:type="dxa"/>
            <w:shd w:val="clear" w:color="auto" w:fill="auto"/>
          </w:tcPr>
          <w:p w14:paraId="6EEB6C9A"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70-79 years</w:t>
            </w:r>
          </w:p>
        </w:tc>
        <w:tc>
          <w:tcPr>
            <w:tcW w:w="1089" w:type="dxa"/>
            <w:shd w:val="clear" w:color="auto" w:fill="auto"/>
          </w:tcPr>
          <w:p w14:paraId="58B23552"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5,751</w:t>
            </w:r>
          </w:p>
        </w:tc>
        <w:tc>
          <w:tcPr>
            <w:tcW w:w="1090" w:type="dxa"/>
            <w:shd w:val="clear" w:color="auto" w:fill="auto"/>
          </w:tcPr>
          <w:p w14:paraId="47B481DA"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w:t>
            </w:r>
          </w:p>
        </w:tc>
        <w:tc>
          <w:tcPr>
            <w:tcW w:w="1090" w:type="dxa"/>
            <w:shd w:val="clear" w:color="auto" w:fill="auto"/>
          </w:tcPr>
          <w:p w14:paraId="72E653B8"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5,744</w:t>
            </w:r>
          </w:p>
        </w:tc>
        <w:tc>
          <w:tcPr>
            <w:tcW w:w="1090" w:type="dxa"/>
            <w:shd w:val="clear" w:color="auto" w:fill="auto"/>
          </w:tcPr>
          <w:p w14:paraId="0926BDA5"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w:t>
            </w:r>
          </w:p>
        </w:tc>
        <w:tc>
          <w:tcPr>
            <w:tcW w:w="2069" w:type="dxa"/>
            <w:shd w:val="clear" w:color="auto" w:fill="auto"/>
          </w:tcPr>
          <w:p w14:paraId="2E4629E6"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66.7 (-10.0, 92.2)</w:t>
            </w:r>
          </w:p>
        </w:tc>
      </w:tr>
      <w:tr w:rsidR="006B451C" w:rsidRPr="009A4DCA" w14:paraId="29958928" w14:textId="77777777" w:rsidTr="006B451C">
        <w:tc>
          <w:tcPr>
            <w:tcW w:w="2582" w:type="dxa"/>
            <w:shd w:val="clear" w:color="auto" w:fill="auto"/>
          </w:tcPr>
          <w:p w14:paraId="39C1B175" w14:textId="0D08922D"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≥80 years</w:t>
            </w:r>
          </w:p>
        </w:tc>
        <w:tc>
          <w:tcPr>
            <w:tcW w:w="1089" w:type="dxa"/>
            <w:shd w:val="clear" w:color="auto" w:fill="auto"/>
          </w:tcPr>
          <w:p w14:paraId="56C1B868"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996</w:t>
            </w:r>
          </w:p>
        </w:tc>
        <w:tc>
          <w:tcPr>
            <w:tcW w:w="1090" w:type="dxa"/>
            <w:shd w:val="clear" w:color="auto" w:fill="auto"/>
          </w:tcPr>
          <w:p w14:paraId="60CC64FE"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w:t>
            </w:r>
          </w:p>
        </w:tc>
        <w:tc>
          <w:tcPr>
            <w:tcW w:w="1090" w:type="dxa"/>
            <w:shd w:val="clear" w:color="auto" w:fill="auto"/>
          </w:tcPr>
          <w:p w14:paraId="1C4B3DBE"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980</w:t>
            </w:r>
          </w:p>
        </w:tc>
        <w:tc>
          <w:tcPr>
            <w:tcW w:w="1090" w:type="dxa"/>
            <w:shd w:val="clear" w:color="auto" w:fill="auto"/>
          </w:tcPr>
          <w:p w14:paraId="0D8C50DB"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w:t>
            </w:r>
          </w:p>
        </w:tc>
        <w:tc>
          <w:tcPr>
            <w:tcW w:w="2069" w:type="dxa"/>
            <w:shd w:val="clear" w:color="auto" w:fill="auto"/>
          </w:tcPr>
          <w:p w14:paraId="5B06A930"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83.3 (-37.4, 99.6)</w:t>
            </w:r>
          </w:p>
        </w:tc>
      </w:tr>
      <w:tr w:rsidR="006B451C" w:rsidRPr="009A4DCA" w14:paraId="0B4CE84F" w14:textId="77777777" w:rsidTr="006B451C">
        <w:trPr>
          <w:cantSplit/>
        </w:trPr>
        <w:tc>
          <w:tcPr>
            <w:tcW w:w="6941" w:type="dxa"/>
            <w:gridSpan w:val="5"/>
            <w:tcBorders>
              <w:bottom w:val="single" w:sz="4" w:space="0" w:color="auto"/>
            </w:tcBorders>
            <w:shd w:val="clear" w:color="auto" w:fill="auto"/>
          </w:tcPr>
          <w:p w14:paraId="68BB7A87"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Test for treatment effect variation</w:t>
            </w:r>
            <w:r w:rsidRPr="009A4DCA">
              <w:rPr>
                <w:rFonts w:ascii="Arial Narrow" w:eastAsiaTheme="majorEastAsia" w:hAnsi="Arial Narrow" w:cstheme="majorBidi"/>
                <w:bCs/>
                <w:sz w:val="20"/>
                <w:vertAlign w:val="superscript"/>
                <w:lang w:eastAsia="en-US"/>
              </w:rPr>
              <w:t>a</w:t>
            </w:r>
          </w:p>
        </w:tc>
        <w:tc>
          <w:tcPr>
            <w:tcW w:w="2069" w:type="dxa"/>
            <w:tcBorders>
              <w:bottom w:val="single" w:sz="4" w:space="0" w:color="auto"/>
            </w:tcBorders>
            <w:shd w:val="clear" w:color="auto" w:fill="auto"/>
          </w:tcPr>
          <w:p w14:paraId="7B587351"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P = 0.7642</w:t>
            </w:r>
          </w:p>
        </w:tc>
      </w:tr>
      <w:tr w:rsidR="006B451C" w:rsidRPr="009A4DCA" w14:paraId="5709CFAC" w14:textId="77777777" w:rsidTr="00493155">
        <w:trPr>
          <w:cantSplit/>
        </w:trPr>
        <w:tc>
          <w:tcPr>
            <w:tcW w:w="9010" w:type="dxa"/>
            <w:gridSpan w:val="6"/>
            <w:tcBorders>
              <w:bottom w:val="single" w:sz="4" w:space="0" w:color="auto"/>
            </w:tcBorders>
            <w:shd w:val="clear" w:color="auto" w:fill="D9D9D9" w:themeFill="background1" w:themeFillShade="D9"/>
          </w:tcPr>
          <w:p w14:paraId="2078D82C" w14:textId="2DA5C800"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
                <w:bCs/>
                <w:sz w:val="20"/>
                <w:lang w:eastAsia="en-US"/>
              </w:rPr>
              <w:t>First episode of RSV-LRTI with ≥3 symptoms</w:t>
            </w:r>
          </w:p>
        </w:tc>
      </w:tr>
      <w:tr w:rsidR="006B451C" w:rsidRPr="009A4DCA" w14:paraId="6D09BA8D" w14:textId="77777777" w:rsidTr="006B451C">
        <w:trPr>
          <w:cantSplit/>
        </w:trPr>
        <w:tc>
          <w:tcPr>
            <w:tcW w:w="2582" w:type="dxa"/>
            <w:tcBorders>
              <w:top w:val="single" w:sz="4" w:space="0" w:color="auto"/>
              <w:bottom w:val="single" w:sz="4" w:space="0" w:color="auto"/>
            </w:tcBorders>
            <w:shd w:val="clear" w:color="auto" w:fill="auto"/>
          </w:tcPr>
          <w:p w14:paraId="2E70E276"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Whole trial population</w:t>
            </w:r>
          </w:p>
        </w:tc>
        <w:tc>
          <w:tcPr>
            <w:tcW w:w="1089" w:type="dxa"/>
            <w:tcBorders>
              <w:top w:val="single" w:sz="4" w:space="0" w:color="auto"/>
              <w:bottom w:val="single" w:sz="4" w:space="0" w:color="auto"/>
            </w:tcBorders>
            <w:shd w:val="clear" w:color="auto" w:fill="auto"/>
          </w:tcPr>
          <w:p w14:paraId="3BAC8EB3"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18,058</w:t>
            </w:r>
          </w:p>
        </w:tc>
        <w:tc>
          <w:tcPr>
            <w:tcW w:w="1090" w:type="dxa"/>
            <w:tcBorders>
              <w:top w:val="single" w:sz="4" w:space="0" w:color="auto"/>
              <w:bottom w:val="single" w:sz="4" w:space="0" w:color="auto"/>
            </w:tcBorders>
            <w:shd w:val="clear" w:color="auto" w:fill="auto"/>
          </w:tcPr>
          <w:p w14:paraId="65EB4DF4"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1090" w:type="dxa"/>
            <w:tcBorders>
              <w:top w:val="single" w:sz="4" w:space="0" w:color="auto"/>
              <w:bottom w:val="single" w:sz="4" w:space="0" w:color="auto"/>
            </w:tcBorders>
            <w:shd w:val="clear" w:color="auto" w:fill="auto"/>
          </w:tcPr>
          <w:p w14:paraId="0F1A7D2F"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18,076</w:t>
            </w:r>
          </w:p>
        </w:tc>
        <w:tc>
          <w:tcPr>
            <w:tcW w:w="1090" w:type="dxa"/>
            <w:tcBorders>
              <w:top w:val="single" w:sz="4" w:space="0" w:color="auto"/>
              <w:bottom w:val="single" w:sz="4" w:space="0" w:color="auto"/>
            </w:tcBorders>
            <w:shd w:val="clear" w:color="auto" w:fill="auto"/>
          </w:tcPr>
          <w:p w14:paraId="06412B00"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w:t>
            </w:r>
          </w:p>
        </w:tc>
        <w:tc>
          <w:tcPr>
            <w:tcW w:w="2069" w:type="dxa"/>
            <w:tcBorders>
              <w:top w:val="single" w:sz="4" w:space="0" w:color="auto"/>
              <w:bottom w:val="single" w:sz="4" w:space="0" w:color="auto"/>
            </w:tcBorders>
            <w:shd w:val="clear" w:color="auto" w:fill="auto"/>
          </w:tcPr>
          <w:p w14:paraId="0D1B57F3" w14:textId="03F6E81D" w:rsidR="006B451C" w:rsidRPr="009A4DCA" w:rsidRDefault="006B451C"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88.9 (53.6, 98.7)*</w:t>
            </w:r>
          </w:p>
        </w:tc>
      </w:tr>
      <w:tr w:rsidR="006B451C" w:rsidRPr="009A4DCA" w14:paraId="2F84A035" w14:textId="77777777" w:rsidTr="006B451C">
        <w:trPr>
          <w:cantSplit/>
        </w:trPr>
        <w:tc>
          <w:tcPr>
            <w:tcW w:w="2582" w:type="dxa"/>
            <w:tcBorders>
              <w:top w:val="single" w:sz="4" w:space="0" w:color="auto"/>
            </w:tcBorders>
            <w:shd w:val="clear" w:color="auto" w:fill="auto"/>
          </w:tcPr>
          <w:p w14:paraId="294692AF"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60-69 years</w:t>
            </w:r>
          </w:p>
        </w:tc>
        <w:tc>
          <w:tcPr>
            <w:tcW w:w="1089" w:type="dxa"/>
            <w:tcBorders>
              <w:top w:val="single" w:sz="4" w:space="0" w:color="auto"/>
            </w:tcBorders>
            <w:shd w:val="clear" w:color="auto" w:fill="auto"/>
          </w:tcPr>
          <w:p w14:paraId="137606F0"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11,311</w:t>
            </w:r>
          </w:p>
        </w:tc>
        <w:tc>
          <w:tcPr>
            <w:tcW w:w="1090" w:type="dxa"/>
            <w:tcBorders>
              <w:top w:val="single" w:sz="4" w:space="0" w:color="auto"/>
            </w:tcBorders>
            <w:shd w:val="clear" w:color="auto" w:fill="auto"/>
          </w:tcPr>
          <w:p w14:paraId="31F4E3FB"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1090" w:type="dxa"/>
            <w:tcBorders>
              <w:top w:val="single" w:sz="4" w:space="0" w:color="auto"/>
            </w:tcBorders>
            <w:shd w:val="clear" w:color="auto" w:fill="auto"/>
          </w:tcPr>
          <w:p w14:paraId="1ADACFE7"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11,352</w:t>
            </w:r>
          </w:p>
        </w:tc>
        <w:tc>
          <w:tcPr>
            <w:tcW w:w="1090" w:type="dxa"/>
            <w:tcBorders>
              <w:top w:val="single" w:sz="4" w:space="0" w:color="auto"/>
            </w:tcBorders>
            <w:shd w:val="clear" w:color="auto" w:fill="auto"/>
          </w:tcPr>
          <w:p w14:paraId="5766A1D7"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w:t>
            </w:r>
          </w:p>
        </w:tc>
        <w:tc>
          <w:tcPr>
            <w:tcW w:w="2069" w:type="dxa"/>
            <w:tcBorders>
              <w:top w:val="single" w:sz="4" w:space="0" w:color="auto"/>
            </w:tcBorders>
            <w:shd w:val="clear" w:color="auto" w:fill="auto"/>
          </w:tcPr>
          <w:p w14:paraId="175B958A" w14:textId="77777777" w:rsidR="006B451C" w:rsidRPr="009A4DCA" w:rsidRDefault="006B451C"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81.8 (16.7, 98.0)</w:t>
            </w:r>
          </w:p>
        </w:tc>
      </w:tr>
      <w:tr w:rsidR="006B451C" w:rsidRPr="009A4DCA" w14:paraId="3F4CD8D4" w14:textId="77777777" w:rsidTr="006B451C">
        <w:trPr>
          <w:cantSplit/>
        </w:trPr>
        <w:tc>
          <w:tcPr>
            <w:tcW w:w="2582" w:type="dxa"/>
            <w:shd w:val="clear" w:color="auto" w:fill="auto"/>
          </w:tcPr>
          <w:p w14:paraId="0E02D943"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70-79 years</w:t>
            </w:r>
          </w:p>
        </w:tc>
        <w:tc>
          <w:tcPr>
            <w:tcW w:w="1089" w:type="dxa"/>
            <w:shd w:val="clear" w:color="auto" w:fill="auto"/>
          </w:tcPr>
          <w:p w14:paraId="1E55A82C"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5,751</w:t>
            </w:r>
          </w:p>
        </w:tc>
        <w:tc>
          <w:tcPr>
            <w:tcW w:w="1090" w:type="dxa"/>
            <w:shd w:val="clear" w:color="auto" w:fill="auto"/>
          </w:tcPr>
          <w:p w14:paraId="572168BD"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1090" w:type="dxa"/>
            <w:shd w:val="clear" w:color="auto" w:fill="auto"/>
          </w:tcPr>
          <w:p w14:paraId="37BC02D0"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5,744</w:t>
            </w:r>
          </w:p>
        </w:tc>
        <w:tc>
          <w:tcPr>
            <w:tcW w:w="1090" w:type="dxa"/>
            <w:shd w:val="clear" w:color="auto" w:fill="auto"/>
          </w:tcPr>
          <w:p w14:paraId="42C4AB79"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w:t>
            </w:r>
          </w:p>
        </w:tc>
        <w:tc>
          <w:tcPr>
            <w:tcW w:w="2069" w:type="dxa"/>
            <w:shd w:val="clear" w:color="auto" w:fill="auto"/>
          </w:tcPr>
          <w:p w14:paraId="0DF3067E"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100.0 (-51.5, 100.0)</w:t>
            </w:r>
          </w:p>
        </w:tc>
      </w:tr>
      <w:tr w:rsidR="006B451C" w:rsidRPr="009A4DCA" w14:paraId="01A3A9C3" w14:textId="77777777" w:rsidTr="006B451C">
        <w:trPr>
          <w:cantSplit/>
        </w:trPr>
        <w:tc>
          <w:tcPr>
            <w:tcW w:w="2582" w:type="dxa"/>
            <w:shd w:val="clear" w:color="auto" w:fill="auto"/>
          </w:tcPr>
          <w:p w14:paraId="02271AAE" w14:textId="4BF6710E"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≥80 years</w:t>
            </w:r>
          </w:p>
        </w:tc>
        <w:tc>
          <w:tcPr>
            <w:tcW w:w="1089" w:type="dxa"/>
            <w:shd w:val="clear" w:color="auto" w:fill="auto"/>
          </w:tcPr>
          <w:p w14:paraId="31373AA3"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996</w:t>
            </w:r>
          </w:p>
        </w:tc>
        <w:tc>
          <w:tcPr>
            <w:tcW w:w="1090" w:type="dxa"/>
            <w:shd w:val="clear" w:color="auto" w:fill="auto"/>
          </w:tcPr>
          <w:p w14:paraId="2ED14640"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1090" w:type="dxa"/>
            <w:shd w:val="clear" w:color="auto" w:fill="auto"/>
          </w:tcPr>
          <w:p w14:paraId="2D80D739"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980</w:t>
            </w:r>
          </w:p>
        </w:tc>
        <w:tc>
          <w:tcPr>
            <w:tcW w:w="1090" w:type="dxa"/>
            <w:shd w:val="clear" w:color="auto" w:fill="auto"/>
          </w:tcPr>
          <w:p w14:paraId="42CD749B"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w:t>
            </w:r>
          </w:p>
        </w:tc>
        <w:tc>
          <w:tcPr>
            <w:tcW w:w="2069" w:type="dxa"/>
            <w:shd w:val="clear" w:color="auto" w:fill="auto"/>
          </w:tcPr>
          <w:p w14:paraId="5EFF4269"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100.0 (-142.0, 100.0)</w:t>
            </w:r>
          </w:p>
        </w:tc>
      </w:tr>
      <w:tr w:rsidR="006B451C" w:rsidRPr="009A4DCA" w14:paraId="121BBCE4" w14:textId="77777777" w:rsidTr="006B451C">
        <w:trPr>
          <w:cantSplit/>
        </w:trPr>
        <w:tc>
          <w:tcPr>
            <w:tcW w:w="6941" w:type="dxa"/>
            <w:gridSpan w:val="5"/>
            <w:shd w:val="clear" w:color="auto" w:fill="auto"/>
          </w:tcPr>
          <w:p w14:paraId="7EB45BBA" w14:textId="77777777" w:rsidR="006B451C" w:rsidRPr="009A4DCA" w:rsidRDefault="006B451C" w:rsidP="00BE2884">
            <w:pPr>
              <w:keepNext/>
              <w:keepLines/>
              <w:ind w:left="-59" w:right="-49"/>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Test for treatment effect variation</w:t>
            </w:r>
            <w:r w:rsidRPr="009A4DCA">
              <w:rPr>
                <w:rFonts w:ascii="Arial Narrow" w:eastAsiaTheme="majorEastAsia" w:hAnsi="Arial Narrow" w:cstheme="majorBidi"/>
                <w:bCs/>
                <w:sz w:val="20"/>
                <w:vertAlign w:val="superscript"/>
                <w:lang w:eastAsia="en-US"/>
              </w:rPr>
              <w:t>a</w:t>
            </w:r>
          </w:p>
        </w:tc>
        <w:tc>
          <w:tcPr>
            <w:tcW w:w="2069" w:type="dxa"/>
            <w:shd w:val="clear" w:color="auto" w:fill="auto"/>
          </w:tcPr>
          <w:p w14:paraId="682FF01F"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P = 0.7263</w:t>
            </w:r>
          </w:p>
        </w:tc>
      </w:tr>
      <w:tr w:rsidR="006B451C" w:rsidRPr="009A4DCA" w14:paraId="66D9562B" w14:textId="77777777" w:rsidTr="00493155">
        <w:trPr>
          <w:cantSplit/>
        </w:trPr>
        <w:tc>
          <w:tcPr>
            <w:tcW w:w="9010" w:type="dxa"/>
            <w:gridSpan w:val="6"/>
            <w:shd w:val="clear" w:color="auto" w:fill="D9D9D9" w:themeFill="background1" w:themeFillShade="D9"/>
          </w:tcPr>
          <w:p w14:paraId="4D2A3252" w14:textId="687913E8"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
                <w:bCs/>
                <w:sz w:val="20"/>
                <w:lang w:eastAsia="en-US"/>
              </w:rPr>
              <w:t>First episode of RSV</w:t>
            </w:r>
            <w:r w:rsidR="00377FF6" w:rsidRPr="009A4DCA">
              <w:rPr>
                <w:rFonts w:ascii="Arial Narrow" w:eastAsiaTheme="majorEastAsia" w:hAnsi="Arial Narrow" w:cstheme="majorBidi"/>
                <w:b/>
                <w:bCs/>
                <w:sz w:val="20"/>
                <w:lang w:eastAsia="en-US"/>
              </w:rPr>
              <w:t>-ARI</w:t>
            </w:r>
          </w:p>
        </w:tc>
      </w:tr>
      <w:tr w:rsidR="006B451C" w:rsidRPr="009A4DCA" w14:paraId="5F333BD8" w14:textId="77777777" w:rsidTr="006B451C">
        <w:trPr>
          <w:cantSplit/>
        </w:trPr>
        <w:tc>
          <w:tcPr>
            <w:tcW w:w="2582" w:type="dxa"/>
            <w:shd w:val="clear" w:color="auto" w:fill="auto"/>
          </w:tcPr>
          <w:p w14:paraId="3ACB9C6B"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Whole trial population</w:t>
            </w:r>
          </w:p>
        </w:tc>
        <w:tc>
          <w:tcPr>
            <w:tcW w:w="1089" w:type="dxa"/>
            <w:shd w:val="clear" w:color="auto" w:fill="auto"/>
          </w:tcPr>
          <w:p w14:paraId="303C84D2"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18,058</w:t>
            </w:r>
          </w:p>
        </w:tc>
        <w:tc>
          <w:tcPr>
            <w:tcW w:w="1090" w:type="dxa"/>
            <w:shd w:val="clear" w:color="auto" w:fill="auto"/>
          </w:tcPr>
          <w:p w14:paraId="1CC03EDD"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37</w:t>
            </w:r>
          </w:p>
        </w:tc>
        <w:tc>
          <w:tcPr>
            <w:tcW w:w="1090" w:type="dxa"/>
            <w:shd w:val="clear" w:color="auto" w:fill="auto"/>
          </w:tcPr>
          <w:p w14:paraId="16385E35"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18,076</w:t>
            </w:r>
          </w:p>
        </w:tc>
        <w:tc>
          <w:tcPr>
            <w:tcW w:w="1090" w:type="dxa"/>
            <w:shd w:val="clear" w:color="auto" w:fill="auto"/>
          </w:tcPr>
          <w:p w14:paraId="0B82DA65"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98</w:t>
            </w:r>
          </w:p>
        </w:tc>
        <w:tc>
          <w:tcPr>
            <w:tcW w:w="2069" w:type="dxa"/>
            <w:shd w:val="clear" w:color="auto" w:fill="auto"/>
          </w:tcPr>
          <w:p w14:paraId="3600FE94" w14:textId="4F87D2ED" w:rsidR="006B451C" w:rsidRPr="009A4DCA" w:rsidRDefault="006B451C"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62.2 (44.4, 74.9)*</w:t>
            </w:r>
          </w:p>
        </w:tc>
      </w:tr>
      <w:tr w:rsidR="006B451C" w:rsidRPr="009A4DCA" w14:paraId="7DA21D20" w14:textId="77777777" w:rsidTr="006B451C">
        <w:trPr>
          <w:cantSplit/>
        </w:trPr>
        <w:tc>
          <w:tcPr>
            <w:tcW w:w="2582" w:type="dxa"/>
            <w:shd w:val="clear" w:color="auto" w:fill="auto"/>
          </w:tcPr>
          <w:p w14:paraId="4B8BC3A1"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60-69 years</w:t>
            </w:r>
          </w:p>
        </w:tc>
        <w:tc>
          <w:tcPr>
            <w:tcW w:w="1089" w:type="dxa"/>
            <w:shd w:val="clear" w:color="auto" w:fill="auto"/>
          </w:tcPr>
          <w:p w14:paraId="4BDCE27C"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11,311</w:t>
            </w:r>
          </w:p>
        </w:tc>
        <w:tc>
          <w:tcPr>
            <w:tcW w:w="1090" w:type="dxa"/>
            <w:shd w:val="clear" w:color="auto" w:fill="auto"/>
          </w:tcPr>
          <w:p w14:paraId="73E99792"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25</w:t>
            </w:r>
          </w:p>
        </w:tc>
        <w:tc>
          <w:tcPr>
            <w:tcW w:w="1090" w:type="dxa"/>
            <w:shd w:val="clear" w:color="auto" w:fill="auto"/>
          </w:tcPr>
          <w:p w14:paraId="6368A4C9"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11,352</w:t>
            </w:r>
          </w:p>
        </w:tc>
        <w:tc>
          <w:tcPr>
            <w:tcW w:w="1090" w:type="dxa"/>
            <w:shd w:val="clear" w:color="auto" w:fill="auto"/>
          </w:tcPr>
          <w:p w14:paraId="4086B0D3"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68</w:t>
            </w:r>
          </w:p>
        </w:tc>
        <w:tc>
          <w:tcPr>
            <w:tcW w:w="2069" w:type="dxa"/>
            <w:shd w:val="clear" w:color="auto" w:fill="auto"/>
          </w:tcPr>
          <w:p w14:paraId="0A3A6785" w14:textId="0B868233" w:rsidR="006B451C" w:rsidRPr="009A4DCA" w:rsidRDefault="006B451C"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63.2 (41.1, 77.7)*</w:t>
            </w:r>
          </w:p>
        </w:tc>
      </w:tr>
      <w:tr w:rsidR="006B451C" w:rsidRPr="009A4DCA" w14:paraId="7E07204B" w14:textId="77777777" w:rsidTr="006B451C">
        <w:trPr>
          <w:cantSplit/>
        </w:trPr>
        <w:tc>
          <w:tcPr>
            <w:tcW w:w="2582" w:type="dxa"/>
            <w:shd w:val="clear" w:color="auto" w:fill="auto"/>
          </w:tcPr>
          <w:p w14:paraId="4F443D39"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70-79 years</w:t>
            </w:r>
          </w:p>
        </w:tc>
        <w:tc>
          <w:tcPr>
            <w:tcW w:w="1089" w:type="dxa"/>
            <w:shd w:val="clear" w:color="auto" w:fill="auto"/>
          </w:tcPr>
          <w:p w14:paraId="07EDA36E"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5,751</w:t>
            </w:r>
          </w:p>
        </w:tc>
        <w:tc>
          <w:tcPr>
            <w:tcW w:w="1090" w:type="dxa"/>
            <w:shd w:val="clear" w:color="auto" w:fill="auto"/>
          </w:tcPr>
          <w:p w14:paraId="42A35FC5"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w:t>
            </w:r>
          </w:p>
        </w:tc>
        <w:tc>
          <w:tcPr>
            <w:tcW w:w="1090" w:type="dxa"/>
            <w:shd w:val="clear" w:color="auto" w:fill="auto"/>
          </w:tcPr>
          <w:p w14:paraId="109DD3DF"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5,744</w:t>
            </w:r>
          </w:p>
        </w:tc>
        <w:tc>
          <w:tcPr>
            <w:tcW w:w="1090" w:type="dxa"/>
            <w:shd w:val="clear" w:color="auto" w:fill="auto"/>
          </w:tcPr>
          <w:p w14:paraId="11D5DA8C"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22</w:t>
            </w:r>
          </w:p>
        </w:tc>
        <w:tc>
          <w:tcPr>
            <w:tcW w:w="2069" w:type="dxa"/>
            <w:shd w:val="clear" w:color="auto" w:fill="auto"/>
          </w:tcPr>
          <w:p w14:paraId="542DD9BE" w14:textId="77777777" w:rsidR="006B451C" w:rsidRPr="009A4DCA" w:rsidRDefault="006B451C"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59.1 (7.6, 83.4)</w:t>
            </w:r>
          </w:p>
        </w:tc>
      </w:tr>
      <w:tr w:rsidR="006B451C" w:rsidRPr="009A4DCA" w14:paraId="6B2B8693" w14:textId="77777777" w:rsidTr="006B451C">
        <w:trPr>
          <w:cantSplit/>
        </w:trPr>
        <w:tc>
          <w:tcPr>
            <w:tcW w:w="2582" w:type="dxa"/>
            <w:shd w:val="clear" w:color="auto" w:fill="auto"/>
          </w:tcPr>
          <w:p w14:paraId="726EC804" w14:textId="485C03BF"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≥80 years</w:t>
            </w:r>
          </w:p>
        </w:tc>
        <w:tc>
          <w:tcPr>
            <w:tcW w:w="1089" w:type="dxa"/>
            <w:shd w:val="clear" w:color="auto" w:fill="auto"/>
          </w:tcPr>
          <w:p w14:paraId="1EFC3B83"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996</w:t>
            </w:r>
          </w:p>
        </w:tc>
        <w:tc>
          <w:tcPr>
            <w:tcW w:w="1090" w:type="dxa"/>
            <w:shd w:val="clear" w:color="auto" w:fill="auto"/>
          </w:tcPr>
          <w:p w14:paraId="4D83E662"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w:t>
            </w:r>
          </w:p>
        </w:tc>
        <w:tc>
          <w:tcPr>
            <w:tcW w:w="1090" w:type="dxa"/>
            <w:shd w:val="clear" w:color="auto" w:fill="auto"/>
          </w:tcPr>
          <w:p w14:paraId="582A169D"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980</w:t>
            </w:r>
          </w:p>
        </w:tc>
        <w:tc>
          <w:tcPr>
            <w:tcW w:w="1090" w:type="dxa"/>
            <w:shd w:val="clear" w:color="auto" w:fill="auto"/>
          </w:tcPr>
          <w:p w14:paraId="61B27D25" w14:textId="77777777" w:rsidR="006B451C" w:rsidRPr="009A4DCA" w:rsidRDefault="006B451C"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w:t>
            </w:r>
          </w:p>
        </w:tc>
        <w:tc>
          <w:tcPr>
            <w:tcW w:w="2069" w:type="dxa"/>
            <w:shd w:val="clear" w:color="auto" w:fill="auto"/>
          </w:tcPr>
          <w:p w14:paraId="1777D4CD"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62.5 (-56.2, 93.6)</w:t>
            </w:r>
          </w:p>
        </w:tc>
      </w:tr>
      <w:tr w:rsidR="006B451C" w:rsidRPr="009A4DCA" w14:paraId="6ACBE0A8" w14:textId="77777777" w:rsidTr="006B451C">
        <w:trPr>
          <w:cantSplit/>
        </w:trPr>
        <w:tc>
          <w:tcPr>
            <w:tcW w:w="6941" w:type="dxa"/>
            <w:gridSpan w:val="5"/>
            <w:shd w:val="clear" w:color="auto" w:fill="auto"/>
          </w:tcPr>
          <w:p w14:paraId="7FD6A7E4" w14:textId="77777777" w:rsidR="006B451C" w:rsidRPr="009A4DCA" w:rsidRDefault="006B451C"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Test for treatment effect variation</w:t>
            </w:r>
            <w:r w:rsidRPr="009A4DCA">
              <w:rPr>
                <w:rFonts w:ascii="Arial Narrow" w:eastAsiaTheme="majorEastAsia" w:hAnsi="Arial Narrow" w:cstheme="majorBidi"/>
                <w:bCs/>
                <w:sz w:val="20"/>
                <w:vertAlign w:val="superscript"/>
                <w:lang w:eastAsia="en-US"/>
              </w:rPr>
              <w:t>a</w:t>
            </w:r>
          </w:p>
        </w:tc>
        <w:tc>
          <w:tcPr>
            <w:tcW w:w="2069" w:type="dxa"/>
            <w:shd w:val="clear" w:color="auto" w:fill="auto"/>
          </w:tcPr>
          <w:p w14:paraId="68F3C4A5" w14:textId="77777777" w:rsidR="006B451C" w:rsidRPr="009A4DCA" w:rsidRDefault="006B451C"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P = 1</w:t>
            </w:r>
          </w:p>
        </w:tc>
      </w:tr>
    </w:tbl>
    <w:p w14:paraId="2A766A65" w14:textId="544B1F40" w:rsidR="006B451C" w:rsidRPr="009A4DCA" w:rsidRDefault="006B451C" w:rsidP="00BE2884">
      <w:pPr>
        <w:pStyle w:val="FooterTableFigure"/>
        <w:keepNext/>
        <w:keepLines/>
      </w:pPr>
      <w:r w:rsidRPr="009A4DCA">
        <w:t>Source: Table 2.6.1 p81 of the submission; RENOIR EOS1 Report Table 9; Table 10 &amp; Table 14.22; Table 11 &amp; Table 14.24; Table 13 &amp; Table 14.27</w:t>
      </w:r>
      <w:r w:rsidR="00C57FA0" w:rsidRPr="009A4DCA">
        <w:t>.</w:t>
      </w:r>
    </w:p>
    <w:p w14:paraId="1BDC64C2" w14:textId="7BC48176" w:rsidR="006B451C" w:rsidRPr="009A4DCA" w:rsidRDefault="006B451C" w:rsidP="00BE2884">
      <w:pPr>
        <w:pStyle w:val="FooterTableFigure"/>
        <w:keepNext/>
        <w:keepLines/>
      </w:pPr>
      <w:r w:rsidRPr="009A4DCA">
        <w:t>ARI = acute respiratory illness; CI = confidence interval; EOS1 = End of Season 1; LRTI = lower respiratory tract illness; N = total number of participants; P = P-value; RSV = respiratory syncytial virus; RSVpreF = recombinant RSV prefusion F protein vaccine; VE = vaccine efficacy</w:t>
      </w:r>
      <w:r w:rsidR="00C57FA0" w:rsidRPr="009A4DCA">
        <w:t>.</w:t>
      </w:r>
    </w:p>
    <w:p w14:paraId="71122590" w14:textId="3851C1C8" w:rsidR="006B451C" w:rsidRPr="009A4DCA" w:rsidRDefault="006B451C" w:rsidP="00BE2884">
      <w:pPr>
        <w:pStyle w:val="FooterTableFigure"/>
        <w:keepNext/>
        <w:keepLines/>
      </w:pPr>
      <w:r w:rsidRPr="009A4DCA">
        <w:t>a P-value for test for treatment effect variation among subgroups calculated post-hoc, based on exact likelihood ratio chi-square test (statistical model assumed for each subgroup, the number of cases in the RSVpreF group CV, given the total number of cases (CV+CP) follows a binomial distribution [RENOIR SAP 5.2.3. Analyses for Efficacy Endpoints])</w:t>
      </w:r>
      <w:r w:rsidR="002E36AC" w:rsidRPr="009A4DCA">
        <w:t xml:space="preserve">. </w:t>
      </w:r>
      <w:r w:rsidR="002E36AC" w:rsidRPr="009A4DCA">
        <w:rPr>
          <w:iCs/>
        </w:rPr>
        <w:t xml:space="preserve">The submission applied this test to efficacy outcomes only. The post-hoc analysis testing for treatment effect variation conducted could not be verified during the evaluation. The test conducted by the submission appeared to compare differences </w:t>
      </w:r>
      <w:r w:rsidR="008C48D3" w:rsidRPr="009A4DCA">
        <w:rPr>
          <w:iCs/>
        </w:rPr>
        <w:t>between</w:t>
      </w:r>
      <w:r w:rsidR="002E36AC" w:rsidRPr="009A4DCA">
        <w:rPr>
          <w:iCs/>
        </w:rPr>
        <w:t xml:space="preserve"> the subgroups, and it was unclear from the submission’s description whether comparisons were made between the subgroup and the total sample, which would be a more informative test.</w:t>
      </w:r>
      <w:r w:rsidRPr="009A4DCA">
        <w:rPr>
          <w:iCs/>
        </w:rPr>
        <w:t xml:space="preserve"> </w:t>
      </w:r>
      <w:r w:rsidR="008C48D3" w:rsidRPr="009A4DCA">
        <w:rPr>
          <w:iCs/>
        </w:rPr>
        <w:t>The PSCR clarified (p4) that comparisons in the submission were made between mutually exclusive subgroups, not between subgroups and the full trial population, which would have been inappropriate due to patients appearing on both sides of the comparison.</w:t>
      </w:r>
    </w:p>
    <w:p w14:paraId="5D1240A2" w14:textId="67CF30AC" w:rsidR="006B451C" w:rsidRPr="009A4DCA" w:rsidRDefault="006B451C" w:rsidP="00BE2884">
      <w:pPr>
        <w:pStyle w:val="FooterTableFigure"/>
        <w:keepNext/>
        <w:keepLines/>
        <w:rPr>
          <w:rFonts w:eastAsia="Calibri"/>
          <w:iCs/>
        </w:rPr>
      </w:pPr>
      <w:r w:rsidRPr="009A4DCA">
        <w:rPr>
          <w:rFonts w:eastAsia="Calibri"/>
          <w:iCs/>
        </w:rPr>
        <w:t xml:space="preserve">* denotes lower limit for 95% CI &gt;20%. </w:t>
      </w:r>
    </w:p>
    <w:p w14:paraId="32B10B99" w14:textId="7B1C1691" w:rsidR="006B451C" w:rsidRPr="009A4DCA" w:rsidRDefault="006B451C" w:rsidP="00BE2884">
      <w:pPr>
        <w:pStyle w:val="FooterTableFigure"/>
        <w:keepNext/>
        <w:keepLines/>
        <w:rPr>
          <w:rFonts w:eastAsia="Calibri"/>
        </w:rPr>
      </w:pPr>
      <w:r w:rsidRPr="009A4DCA">
        <w:rPr>
          <w:rFonts w:eastAsia="Calibri"/>
          <w:b/>
        </w:rPr>
        <w:t>Bold</w:t>
      </w:r>
      <w:r w:rsidRPr="009A4DCA">
        <w:rPr>
          <w:rFonts w:eastAsia="Calibri"/>
        </w:rPr>
        <w:t xml:space="preserve"> indicates statistically significant results.</w:t>
      </w:r>
    </w:p>
    <w:p w14:paraId="52408393" w14:textId="661055E6" w:rsidR="00C7280F" w:rsidRPr="009A4DCA" w:rsidRDefault="00C7280F" w:rsidP="00604888">
      <w:pPr>
        <w:pStyle w:val="3-BodyText"/>
        <w:numPr>
          <w:ilvl w:val="1"/>
          <w:numId w:val="1"/>
        </w:numPr>
      </w:pPr>
      <w:r w:rsidRPr="009A4DCA">
        <w:t>A summary of the results from the subgroup analys</w:t>
      </w:r>
      <w:r w:rsidR="00CA58B3" w:rsidRPr="009A4DCA">
        <w:t>e</w:t>
      </w:r>
      <w:r w:rsidRPr="009A4DCA">
        <w:t xml:space="preserve">s for participants with a pre-specified risk condition is provided in </w:t>
      </w:r>
      <w:r w:rsidRPr="009A4DCA">
        <w:fldChar w:fldCharType="begin"/>
      </w:r>
      <w:r w:rsidRPr="009A4DCA">
        <w:instrText xml:space="preserve"> REF _Ref175594182 \h </w:instrText>
      </w:r>
      <w:r w:rsidRPr="009A4DCA">
        <w:fldChar w:fldCharType="separate"/>
      </w:r>
      <w:r w:rsidR="007B2F50" w:rsidRPr="009A4DCA">
        <w:t xml:space="preserve">Table </w:t>
      </w:r>
      <w:r w:rsidR="007B2F50">
        <w:rPr>
          <w:noProof/>
        </w:rPr>
        <w:t>8</w:t>
      </w:r>
      <w:r w:rsidRPr="009A4DCA">
        <w:fldChar w:fldCharType="end"/>
      </w:r>
      <w:r w:rsidR="00EE1CEE" w:rsidRPr="009A4DCA">
        <w:t xml:space="preserve"> for </w:t>
      </w:r>
      <w:r w:rsidR="00ED4EC1" w:rsidRPr="009A4DCA">
        <w:t>EOS1</w:t>
      </w:r>
      <w:r w:rsidRPr="009A4DCA">
        <w:t xml:space="preserve">. </w:t>
      </w:r>
    </w:p>
    <w:p w14:paraId="1A48A8E0" w14:textId="49F2B22B" w:rsidR="00C7280F" w:rsidRPr="009A4DCA" w:rsidRDefault="00C7280F" w:rsidP="00BE2884">
      <w:pPr>
        <w:pStyle w:val="TableFigureHeading"/>
        <w:keepLines/>
      </w:pPr>
      <w:bookmarkStart w:id="39" w:name="_Ref175594182"/>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8</w:t>
      </w:r>
      <w:r w:rsidR="00491347">
        <w:fldChar w:fldCharType="end"/>
      </w:r>
      <w:bookmarkEnd w:id="39"/>
      <w:r w:rsidRPr="009A4DCA">
        <w:t>: Results for subgroup analyses of efficacy endpoints in RENOIR through the EOS1, by prespecified significant condition, evaluable efficacy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089"/>
        <w:gridCol w:w="1090"/>
        <w:gridCol w:w="1090"/>
        <w:gridCol w:w="1090"/>
        <w:gridCol w:w="2069"/>
      </w:tblGrid>
      <w:tr w:rsidR="00C7280F" w:rsidRPr="009A4DCA" w14:paraId="3C9BE3CE" w14:textId="77777777" w:rsidTr="00973287">
        <w:trPr>
          <w:tblHeader/>
        </w:trPr>
        <w:tc>
          <w:tcPr>
            <w:tcW w:w="2582" w:type="dxa"/>
            <w:vMerge w:val="restart"/>
            <w:shd w:val="clear" w:color="auto" w:fill="auto"/>
            <w:vAlign w:val="bottom"/>
          </w:tcPr>
          <w:p w14:paraId="70834CEC"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Population</w:t>
            </w:r>
          </w:p>
        </w:tc>
        <w:tc>
          <w:tcPr>
            <w:tcW w:w="2179" w:type="dxa"/>
            <w:gridSpan w:val="2"/>
            <w:shd w:val="clear" w:color="auto" w:fill="auto"/>
            <w:vAlign w:val="bottom"/>
          </w:tcPr>
          <w:p w14:paraId="782AF8BC"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RSVpreF</w:t>
            </w:r>
          </w:p>
        </w:tc>
        <w:tc>
          <w:tcPr>
            <w:tcW w:w="2180" w:type="dxa"/>
            <w:gridSpan w:val="2"/>
            <w:shd w:val="clear" w:color="auto" w:fill="auto"/>
          </w:tcPr>
          <w:p w14:paraId="23954001"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Placebo</w:t>
            </w:r>
          </w:p>
        </w:tc>
        <w:tc>
          <w:tcPr>
            <w:tcW w:w="2069" w:type="dxa"/>
            <w:shd w:val="clear" w:color="auto" w:fill="auto"/>
            <w:vAlign w:val="bottom"/>
          </w:tcPr>
          <w:p w14:paraId="2FC53C02" w14:textId="77777777" w:rsidR="00C7280F" w:rsidRPr="009A4DCA" w:rsidRDefault="00C7280F" w:rsidP="00BE2884">
            <w:pPr>
              <w:keepNext/>
              <w:keepLines/>
              <w:ind w:right="-162"/>
              <w:jc w:val="center"/>
              <w:rPr>
                <w:rFonts w:ascii="Arial Narrow" w:eastAsiaTheme="majorEastAsia" w:hAnsi="Arial Narrow" w:cs="Times New Roman"/>
                <w:b/>
                <w:sz w:val="20"/>
              </w:rPr>
            </w:pPr>
          </w:p>
        </w:tc>
      </w:tr>
      <w:tr w:rsidR="00C7280F" w:rsidRPr="009A4DCA" w14:paraId="50428E8C" w14:textId="77777777" w:rsidTr="00973287">
        <w:trPr>
          <w:tblHeader/>
        </w:trPr>
        <w:tc>
          <w:tcPr>
            <w:tcW w:w="2582" w:type="dxa"/>
            <w:vMerge/>
            <w:shd w:val="clear" w:color="auto" w:fill="auto"/>
            <w:vAlign w:val="bottom"/>
          </w:tcPr>
          <w:p w14:paraId="437F2FD3" w14:textId="77777777" w:rsidR="00C7280F" w:rsidRPr="009A4DCA" w:rsidRDefault="00C7280F" w:rsidP="00BE2884">
            <w:pPr>
              <w:keepNext/>
              <w:keepLines/>
              <w:ind w:right="-162"/>
              <w:jc w:val="center"/>
              <w:rPr>
                <w:rFonts w:ascii="Arial Narrow" w:eastAsiaTheme="majorEastAsia" w:hAnsi="Arial Narrow" w:cs="Times New Roman"/>
                <w:b/>
                <w:sz w:val="20"/>
              </w:rPr>
            </w:pPr>
          </w:p>
        </w:tc>
        <w:tc>
          <w:tcPr>
            <w:tcW w:w="1089" w:type="dxa"/>
            <w:shd w:val="clear" w:color="auto" w:fill="auto"/>
            <w:vAlign w:val="bottom"/>
          </w:tcPr>
          <w:p w14:paraId="015A9144"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N</w:t>
            </w:r>
          </w:p>
        </w:tc>
        <w:tc>
          <w:tcPr>
            <w:tcW w:w="1090" w:type="dxa"/>
            <w:shd w:val="clear" w:color="auto" w:fill="auto"/>
            <w:vAlign w:val="bottom"/>
          </w:tcPr>
          <w:p w14:paraId="0A83887E"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Cases, n</w:t>
            </w:r>
          </w:p>
        </w:tc>
        <w:tc>
          <w:tcPr>
            <w:tcW w:w="1090" w:type="dxa"/>
            <w:shd w:val="clear" w:color="auto" w:fill="auto"/>
          </w:tcPr>
          <w:p w14:paraId="7317F262"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N</w:t>
            </w:r>
          </w:p>
        </w:tc>
        <w:tc>
          <w:tcPr>
            <w:tcW w:w="1090" w:type="dxa"/>
            <w:shd w:val="clear" w:color="auto" w:fill="auto"/>
            <w:vAlign w:val="bottom"/>
          </w:tcPr>
          <w:p w14:paraId="78BA902C"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Cases, n</w:t>
            </w:r>
          </w:p>
        </w:tc>
        <w:tc>
          <w:tcPr>
            <w:tcW w:w="2069" w:type="dxa"/>
            <w:shd w:val="clear" w:color="auto" w:fill="auto"/>
            <w:vAlign w:val="bottom"/>
          </w:tcPr>
          <w:p w14:paraId="2839E63E"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VE (95% CI)</w:t>
            </w:r>
          </w:p>
        </w:tc>
      </w:tr>
      <w:tr w:rsidR="00C7280F" w:rsidRPr="009A4DCA" w14:paraId="14CA8929" w14:textId="77777777" w:rsidTr="00AC627B">
        <w:tc>
          <w:tcPr>
            <w:tcW w:w="9010" w:type="dxa"/>
            <w:gridSpan w:val="6"/>
            <w:shd w:val="clear" w:color="auto" w:fill="D9D9D9" w:themeFill="background1" w:themeFillShade="D9"/>
          </w:tcPr>
          <w:p w14:paraId="24636947" w14:textId="15623C45" w:rsidR="00C7280F" w:rsidRPr="009A4DCA" w:rsidRDefault="00C7280F" w:rsidP="00BE2884">
            <w:pPr>
              <w:keepNext/>
              <w:keepLines/>
              <w:ind w:right="17"/>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 xml:space="preserve">First episode of </w:t>
            </w:r>
            <w:r w:rsidR="004742DB" w:rsidRPr="009A4DCA">
              <w:rPr>
                <w:rFonts w:ascii="Arial Narrow" w:eastAsiaTheme="majorEastAsia" w:hAnsi="Arial Narrow" w:cstheme="majorBidi"/>
                <w:b/>
                <w:bCs/>
                <w:sz w:val="20"/>
                <w:lang w:eastAsia="en-US"/>
              </w:rPr>
              <w:t>RSV-LRTI</w:t>
            </w:r>
            <w:r w:rsidRPr="009A4DCA">
              <w:rPr>
                <w:rFonts w:ascii="Arial Narrow" w:eastAsiaTheme="majorEastAsia" w:hAnsi="Arial Narrow" w:cstheme="majorBidi"/>
                <w:b/>
                <w:bCs/>
                <w:sz w:val="20"/>
                <w:lang w:eastAsia="en-US"/>
              </w:rPr>
              <w:t xml:space="preserve"> with ≥2 symptoms</w:t>
            </w:r>
          </w:p>
        </w:tc>
      </w:tr>
      <w:tr w:rsidR="00C7280F" w:rsidRPr="009A4DCA" w14:paraId="28EDD8EB" w14:textId="77777777" w:rsidTr="00973287">
        <w:tc>
          <w:tcPr>
            <w:tcW w:w="2582" w:type="dxa"/>
          </w:tcPr>
          <w:p w14:paraId="38FC9E7F"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Whole trial population</w:t>
            </w:r>
          </w:p>
        </w:tc>
        <w:tc>
          <w:tcPr>
            <w:tcW w:w="1089" w:type="dxa"/>
          </w:tcPr>
          <w:p w14:paraId="4E59353E"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18,058</w:t>
            </w:r>
          </w:p>
        </w:tc>
        <w:tc>
          <w:tcPr>
            <w:tcW w:w="1090" w:type="dxa"/>
          </w:tcPr>
          <w:p w14:paraId="4F5C73D3"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15</w:t>
            </w:r>
          </w:p>
        </w:tc>
        <w:tc>
          <w:tcPr>
            <w:tcW w:w="1090" w:type="dxa"/>
          </w:tcPr>
          <w:p w14:paraId="28D43980"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18,076</w:t>
            </w:r>
          </w:p>
        </w:tc>
        <w:tc>
          <w:tcPr>
            <w:tcW w:w="1090" w:type="dxa"/>
          </w:tcPr>
          <w:p w14:paraId="70AEA0CA"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43</w:t>
            </w:r>
          </w:p>
        </w:tc>
        <w:tc>
          <w:tcPr>
            <w:tcW w:w="2069" w:type="dxa"/>
            <w:shd w:val="clear" w:color="auto" w:fill="auto"/>
          </w:tcPr>
          <w:p w14:paraId="765B558C"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65.1 (35.9, 82.0)*</w:t>
            </w:r>
          </w:p>
        </w:tc>
      </w:tr>
      <w:tr w:rsidR="00C7280F" w:rsidRPr="009A4DCA" w14:paraId="50714632" w14:textId="77777777" w:rsidTr="00973287">
        <w:tc>
          <w:tcPr>
            <w:tcW w:w="2582" w:type="dxa"/>
          </w:tcPr>
          <w:p w14:paraId="47A768FE" w14:textId="735239B1"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prespecified sig. condition</w:t>
            </w:r>
          </w:p>
        </w:tc>
        <w:tc>
          <w:tcPr>
            <w:tcW w:w="1089" w:type="dxa"/>
          </w:tcPr>
          <w:p w14:paraId="7C73A5E5"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9,377</w:t>
            </w:r>
          </w:p>
        </w:tc>
        <w:tc>
          <w:tcPr>
            <w:tcW w:w="1090" w:type="dxa"/>
          </w:tcPr>
          <w:p w14:paraId="7BB04949"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w:t>
            </w:r>
          </w:p>
        </w:tc>
        <w:tc>
          <w:tcPr>
            <w:tcW w:w="1090" w:type="dxa"/>
          </w:tcPr>
          <w:p w14:paraId="34F8628B"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9,432</w:t>
            </w:r>
          </w:p>
        </w:tc>
        <w:tc>
          <w:tcPr>
            <w:tcW w:w="1090" w:type="dxa"/>
          </w:tcPr>
          <w:p w14:paraId="37E92D10"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22</w:t>
            </w:r>
          </w:p>
        </w:tc>
        <w:tc>
          <w:tcPr>
            <w:tcW w:w="2069" w:type="dxa"/>
            <w:shd w:val="clear" w:color="auto" w:fill="auto"/>
          </w:tcPr>
          <w:p w14:paraId="07728BFE"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63.6 (15.2, 86.0)</w:t>
            </w:r>
          </w:p>
        </w:tc>
      </w:tr>
      <w:tr w:rsidR="00C7280F" w:rsidRPr="009A4DCA" w14:paraId="0BF5663E" w14:textId="77777777" w:rsidTr="00973287">
        <w:tc>
          <w:tcPr>
            <w:tcW w:w="2582" w:type="dxa"/>
          </w:tcPr>
          <w:p w14:paraId="249ECB7A"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No prespecified sig. conditions</w:t>
            </w:r>
          </w:p>
        </w:tc>
        <w:tc>
          <w:tcPr>
            <w:tcW w:w="1089" w:type="dxa"/>
          </w:tcPr>
          <w:p w14:paraId="7AF0BC97"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8,681</w:t>
            </w:r>
          </w:p>
        </w:tc>
        <w:tc>
          <w:tcPr>
            <w:tcW w:w="1090" w:type="dxa"/>
          </w:tcPr>
          <w:p w14:paraId="007FF2AE"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w:t>
            </w:r>
          </w:p>
        </w:tc>
        <w:tc>
          <w:tcPr>
            <w:tcW w:w="1090" w:type="dxa"/>
          </w:tcPr>
          <w:p w14:paraId="478DC092"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8,644</w:t>
            </w:r>
          </w:p>
        </w:tc>
        <w:tc>
          <w:tcPr>
            <w:tcW w:w="1090" w:type="dxa"/>
          </w:tcPr>
          <w:p w14:paraId="24218632"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21</w:t>
            </w:r>
          </w:p>
        </w:tc>
        <w:tc>
          <w:tcPr>
            <w:tcW w:w="2069" w:type="dxa"/>
            <w:shd w:val="clear" w:color="auto" w:fill="auto"/>
          </w:tcPr>
          <w:p w14:paraId="3525F359"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66.7 (18.6, 88.0)</w:t>
            </w:r>
          </w:p>
        </w:tc>
      </w:tr>
      <w:tr w:rsidR="00C7280F" w:rsidRPr="009A4DCA" w14:paraId="36F821A3" w14:textId="77777777" w:rsidTr="00973287">
        <w:trPr>
          <w:cantSplit/>
        </w:trPr>
        <w:tc>
          <w:tcPr>
            <w:tcW w:w="6941" w:type="dxa"/>
            <w:gridSpan w:val="5"/>
          </w:tcPr>
          <w:p w14:paraId="606001E2"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Test for treatment effect variation</w:t>
            </w:r>
            <w:r w:rsidRPr="009A4DCA">
              <w:rPr>
                <w:rFonts w:ascii="Arial Narrow" w:eastAsiaTheme="majorEastAsia" w:hAnsi="Arial Narrow" w:cstheme="majorBidi"/>
                <w:bCs/>
                <w:sz w:val="20"/>
                <w:vertAlign w:val="superscript"/>
                <w:lang w:eastAsia="en-US"/>
              </w:rPr>
              <w:t>a</w:t>
            </w:r>
          </w:p>
        </w:tc>
        <w:tc>
          <w:tcPr>
            <w:tcW w:w="2069" w:type="dxa"/>
            <w:shd w:val="clear" w:color="auto" w:fill="auto"/>
          </w:tcPr>
          <w:p w14:paraId="5E351F2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P = 1</w:t>
            </w:r>
          </w:p>
        </w:tc>
      </w:tr>
      <w:tr w:rsidR="00C7280F" w:rsidRPr="009A4DCA" w14:paraId="74C087E1" w14:textId="77777777" w:rsidTr="00AC627B">
        <w:trPr>
          <w:cantSplit/>
        </w:trPr>
        <w:tc>
          <w:tcPr>
            <w:tcW w:w="9010" w:type="dxa"/>
            <w:gridSpan w:val="6"/>
            <w:shd w:val="clear" w:color="auto" w:fill="D9D9D9" w:themeFill="background1" w:themeFillShade="D9"/>
          </w:tcPr>
          <w:p w14:paraId="682F2C39" w14:textId="74AEDC9C"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
                <w:bCs/>
                <w:sz w:val="20"/>
                <w:lang w:eastAsia="en-US"/>
              </w:rPr>
              <w:t xml:space="preserve">First episode of </w:t>
            </w:r>
            <w:r w:rsidR="004742DB" w:rsidRPr="009A4DCA">
              <w:rPr>
                <w:rFonts w:ascii="Arial Narrow" w:eastAsiaTheme="majorEastAsia" w:hAnsi="Arial Narrow" w:cstheme="majorBidi"/>
                <w:b/>
                <w:bCs/>
                <w:sz w:val="20"/>
                <w:lang w:eastAsia="en-US"/>
              </w:rPr>
              <w:t>RSV-LRTI</w:t>
            </w:r>
            <w:r w:rsidRPr="009A4DCA">
              <w:rPr>
                <w:rFonts w:ascii="Arial Narrow" w:eastAsiaTheme="majorEastAsia" w:hAnsi="Arial Narrow" w:cstheme="majorBidi"/>
                <w:b/>
                <w:bCs/>
                <w:sz w:val="20"/>
                <w:lang w:eastAsia="en-US"/>
              </w:rPr>
              <w:t xml:space="preserve"> with ≥3 symptoms</w:t>
            </w:r>
          </w:p>
        </w:tc>
      </w:tr>
      <w:tr w:rsidR="00C7280F" w:rsidRPr="009A4DCA" w14:paraId="3BA7D0D5" w14:textId="77777777" w:rsidTr="00973287">
        <w:trPr>
          <w:cantSplit/>
        </w:trPr>
        <w:tc>
          <w:tcPr>
            <w:tcW w:w="2582" w:type="dxa"/>
          </w:tcPr>
          <w:p w14:paraId="1929C8A3"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Whole trial population</w:t>
            </w:r>
          </w:p>
        </w:tc>
        <w:tc>
          <w:tcPr>
            <w:tcW w:w="1089" w:type="dxa"/>
          </w:tcPr>
          <w:p w14:paraId="7302DF77"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18,058</w:t>
            </w:r>
          </w:p>
        </w:tc>
        <w:tc>
          <w:tcPr>
            <w:tcW w:w="1090" w:type="dxa"/>
          </w:tcPr>
          <w:p w14:paraId="5043D8A8"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1090" w:type="dxa"/>
          </w:tcPr>
          <w:p w14:paraId="55DB8BC2"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18,076</w:t>
            </w:r>
          </w:p>
        </w:tc>
        <w:tc>
          <w:tcPr>
            <w:tcW w:w="1090" w:type="dxa"/>
          </w:tcPr>
          <w:p w14:paraId="628D6C70"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w:t>
            </w:r>
          </w:p>
        </w:tc>
        <w:tc>
          <w:tcPr>
            <w:tcW w:w="2069" w:type="dxa"/>
            <w:shd w:val="clear" w:color="auto" w:fill="auto"/>
          </w:tcPr>
          <w:p w14:paraId="6685F228"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88.9 (53.6, 98.7)*</w:t>
            </w:r>
          </w:p>
        </w:tc>
      </w:tr>
      <w:tr w:rsidR="00C7280F" w:rsidRPr="009A4DCA" w14:paraId="00FFCE5D" w14:textId="77777777" w:rsidTr="00973287">
        <w:trPr>
          <w:cantSplit/>
        </w:trPr>
        <w:tc>
          <w:tcPr>
            <w:tcW w:w="2582" w:type="dxa"/>
          </w:tcPr>
          <w:p w14:paraId="30034F3A" w14:textId="347C203B"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prespecified sig. condition</w:t>
            </w:r>
          </w:p>
        </w:tc>
        <w:tc>
          <w:tcPr>
            <w:tcW w:w="1089" w:type="dxa"/>
          </w:tcPr>
          <w:p w14:paraId="0A03215E"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9,377</w:t>
            </w:r>
          </w:p>
        </w:tc>
        <w:tc>
          <w:tcPr>
            <w:tcW w:w="1090" w:type="dxa"/>
          </w:tcPr>
          <w:p w14:paraId="3523B697"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1090" w:type="dxa"/>
          </w:tcPr>
          <w:p w14:paraId="36209579"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9,432</w:t>
            </w:r>
          </w:p>
        </w:tc>
        <w:tc>
          <w:tcPr>
            <w:tcW w:w="1090" w:type="dxa"/>
          </w:tcPr>
          <w:p w14:paraId="1B131BE6"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11</w:t>
            </w:r>
          </w:p>
        </w:tc>
        <w:tc>
          <w:tcPr>
            <w:tcW w:w="2069" w:type="dxa"/>
            <w:shd w:val="clear" w:color="auto" w:fill="auto"/>
          </w:tcPr>
          <w:p w14:paraId="47221155"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81.8 (16.7, 98.0)</w:t>
            </w:r>
          </w:p>
        </w:tc>
      </w:tr>
      <w:tr w:rsidR="00C7280F" w:rsidRPr="009A4DCA" w14:paraId="566554C6" w14:textId="77777777" w:rsidTr="00973287">
        <w:trPr>
          <w:cantSplit/>
        </w:trPr>
        <w:tc>
          <w:tcPr>
            <w:tcW w:w="2582" w:type="dxa"/>
          </w:tcPr>
          <w:p w14:paraId="709C6926"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No prespecified sig. conditions</w:t>
            </w:r>
          </w:p>
        </w:tc>
        <w:tc>
          <w:tcPr>
            <w:tcW w:w="1089" w:type="dxa"/>
          </w:tcPr>
          <w:p w14:paraId="3B7ACCD2"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8,681</w:t>
            </w:r>
          </w:p>
        </w:tc>
        <w:tc>
          <w:tcPr>
            <w:tcW w:w="1090" w:type="dxa"/>
          </w:tcPr>
          <w:p w14:paraId="71105699"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1090" w:type="dxa"/>
          </w:tcPr>
          <w:p w14:paraId="1AD72245"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8,644</w:t>
            </w:r>
          </w:p>
        </w:tc>
        <w:tc>
          <w:tcPr>
            <w:tcW w:w="1090" w:type="dxa"/>
          </w:tcPr>
          <w:p w14:paraId="4A4A801E"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w:t>
            </w:r>
          </w:p>
        </w:tc>
        <w:tc>
          <w:tcPr>
            <w:tcW w:w="2069" w:type="dxa"/>
            <w:shd w:val="clear" w:color="auto" w:fill="auto"/>
          </w:tcPr>
          <w:p w14:paraId="2721CA94"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100.0 (30.6, 100.0)*</w:t>
            </w:r>
          </w:p>
        </w:tc>
      </w:tr>
      <w:tr w:rsidR="00C7280F" w:rsidRPr="009A4DCA" w14:paraId="7A8B4B41" w14:textId="77777777" w:rsidTr="00973287">
        <w:trPr>
          <w:cantSplit/>
        </w:trPr>
        <w:tc>
          <w:tcPr>
            <w:tcW w:w="6941" w:type="dxa"/>
            <w:gridSpan w:val="5"/>
          </w:tcPr>
          <w:p w14:paraId="087214F0"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Test for treatment effect variation</w:t>
            </w:r>
            <w:r w:rsidRPr="009A4DCA">
              <w:rPr>
                <w:rFonts w:ascii="Arial Narrow" w:eastAsiaTheme="majorEastAsia" w:hAnsi="Arial Narrow" w:cstheme="majorBidi"/>
                <w:bCs/>
                <w:sz w:val="20"/>
                <w:vertAlign w:val="superscript"/>
                <w:lang w:eastAsia="en-US"/>
              </w:rPr>
              <w:t>a</w:t>
            </w:r>
          </w:p>
        </w:tc>
        <w:tc>
          <w:tcPr>
            <w:tcW w:w="2069" w:type="dxa"/>
            <w:shd w:val="clear" w:color="auto" w:fill="auto"/>
          </w:tcPr>
          <w:p w14:paraId="1B99E8F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P = 0.5211</w:t>
            </w:r>
          </w:p>
        </w:tc>
      </w:tr>
      <w:tr w:rsidR="00C7280F" w:rsidRPr="009A4DCA" w14:paraId="5619E596" w14:textId="77777777" w:rsidTr="00AC627B">
        <w:trPr>
          <w:cantSplit/>
        </w:trPr>
        <w:tc>
          <w:tcPr>
            <w:tcW w:w="9010" w:type="dxa"/>
            <w:gridSpan w:val="6"/>
            <w:shd w:val="clear" w:color="auto" w:fill="D9D9D9" w:themeFill="background1" w:themeFillShade="D9"/>
          </w:tcPr>
          <w:p w14:paraId="4CD302A9" w14:textId="6809A5DD"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
                <w:bCs/>
                <w:sz w:val="20"/>
                <w:lang w:eastAsia="en-US"/>
              </w:rPr>
              <w:t>First episode of RSV</w:t>
            </w:r>
            <w:r w:rsidR="00377FF6" w:rsidRPr="009A4DCA">
              <w:rPr>
                <w:rFonts w:ascii="Arial Narrow" w:eastAsiaTheme="majorEastAsia" w:hAnsi="Arial Narrow" w:cstheme="majorBidi"/>
                <w:b/>
                <w:bCs/>
                <w:sz w:val="20"/>
                <w:lang w:eastAsia="en-US"/>
              </w:rPr>
              <w:t>-ARI</w:t>
            </w:r>
          </w:p>
        </w:tc>
      </w:tr>
      <w:tr w:rsidR="00C7280F" w:rsidRPr="009A4DCA" w14:paraId="2F12CD05" w14:textId="77777777" w:rsidTr="00973287">
        <w:trPr>
          <w:cantSplit/>
        </w:trPr>
        <w:tc>
          <w:tcPr>
            <w:tcW w:w="2582" w:type="dxa"/>
          </w:tcPr>
          <w:p w14:paraId="3A897D51"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Whole trial population</w:t>
            </w:r>
          </w:p>
        </w:tc>
        <w:tc>
          <w:tcPr>
            <w:tcW w:w="1089" w:type="dxa"/>
          </w:tcPr>
          <w:p w14:paraId="47994D63"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18,058</w:t>
            </w:r>
          </w:p>
        </w:tc>
        <w:tc>
          <w:tcPr>
            <w:tcW w:w="1090" w:type="dxa"/>
          </w:tcPr>
          <w:p w14:paraId="5F3ABB4F"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37</w:t>
            </w:r>
          </w:p>
        </w:tc>
        <w:tc>
          <w:tcPr>
            <w:tcW w:w="1090" w:type="dxa"/>
          </w:tcPr>
          <w:p w14:paraId="6B30B890"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18,076</w:t>
            </w:r>
          </w:p>
        </w:tc>
        <w:tc>
          <w:tcPr>
            <w:tcW w:w="1090" w:type="dxa"/>
          </w:tcPr>
          <w:p w14:paraId="4725579C"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98</w:t>
            </w:r>
          </w:p>
        </w:tc>
        <w:tc>
          <w:tcPr>
            <w:tcW w:w="2069" w:type="dxa"/>
            <w:shd w:val="clear" w:color="auto" w:fill="auto"/>
          </w:tcPr>
          <w:p w14:paraId="7E9ED9B4"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62.2 (44.4, 74.9)*</w:t>
            </w:r>
          </w:p>
        </w:tc>
      </w:tr>
      <w:tr w:rsidR="00C7280F" w:rsidRPr="009A4DCA" w14:paraId="5FEDBB30" w14:textId="77777777" w:rsidTr="00973287">
        <w:trPr>
          <w:cantSplit/>
        </w:trPr>
        <w:tc>
          <w:tcPr>
            <w:tcW w:w="2582" w:type="dxa"/>
          </w:tcPr>
          <w:p w14:paraId="7F5011C1" w14:textId="18ED44B0"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 prespecified sig. condition</w:t>
            </w:r>
          </w:p>
        </w:tc>
        <w:tc>
          <w:tcPr>
            <w:tcW w:w="1089" w:type="dxa"/>
          </w:tcPr>
          <w:p w14:paraId="3DC60A41"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9,377</w:t>
            </w:r>
          </w:p>
        </w:tc>
        <w:tc>
          <w:tcPr>
            <w:tcW w:w="1090" w:type="dxa"/>
          </w:tcPr>
          <w:p w14:paraId="7184443D"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w:t>
            </w:r>
          </w:p>
        </w:tc>
        <w:tc>
          <w:tcPr>
            <w:tcW w:w="1090" w:type="dxa"/>
          </w:tcPr>
          <w:p w14:paraId="7A3AD630"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9,432</w:t>
            </w:r>
          </w:p>
        </w:tc>
        <w:tc>
          <w:tcPr>
            <w:tcW w:w="1090" w:type="dxa"/>
          </w:tcPr>
          <w:p w14:paraId="3E37DD5C"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47</w:t>
            </w:r>
          </w:p>
        </w:tc>
        <w:tc>
          <w:tcPr>
            <w:tcW w:w="2069" w:type="dxa"/>
            <w:shd w:val="clear" w:color="auto" w:fill="auto"/>
          </w:tcPr>
          <w:p w14:paraId="0033D7E2"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66.0 (38.9, 82.0)*</w:t>
            </w:r>
          </w:p>
        </w:tc>
      </w:tr>
      <w:tr w:rsidR="00C7280F" w:rsidRPr="009A4DCA" w14:paraId="0853E798" w14:textId="77777777" w:rsidTr="00973287">
        <w:trPr>
          <w:cantSplit/>
        </w:trPr>
        <w:tc>
          <w:tcPr>
            <w:tcW w:w="2582" w:type="dxa"/>
          </w:tcPr>
          <w:p w14:paraId="3E330239"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No prespecified sig. conditions</w:t>
            </w:r>
          </w:p>
        </w:tc>
        <w:tc>
          <w:tcPr>
            <w:tcW w:w="1089" w:type="dxa"/>
          </w:tcPr>
          <w:p w14:paraId="45E90824"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8,681</w:t>
            </w:r>
          </w:p>
        </w:tc>
        <w:tc>
          <w:tcPr>
            <w:tcW w:w="1090" w:type="dxa"/>
          </w:tcPr>
          <w:p w14:paraId="17EA3934"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21</w:t>
            </w:r>
          </w:p>
        </w:tc>
        <w:tc>
          <w:tcPr>
            <w:tcW w:w="1090" w:type="dxa"/>
          </w:tcPr>
          <w:p w14:paraId="0FA1377E"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8,644</w:t>
            </w:r>
          </w:p>
        </w:tc>
        <w:tc>
          <w:tcPr>
            <w:tcW w:w="1090" w:type="dxa"/>
          </w:tcPr>
          <w:p w14:paraId="36DA87B5" w14:textId="77777777" w:rsidR="00C7280F" w:rsidRPr="009A4DCA" w:rsidRDefault="00C7280F" w:rsidP="00BE2884">
            <w:pPr>
              <w:keepNext/>
              <w:keepLines/>
              <w:ind w:right="17"/>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51</w:t>
            </w:r>
          </w:p>
        </w:tc>
        <w:tc>
          <w:tcPr>
            <w:tcW w:w="2069" w:type="dxa"/>
            <w:shd w:val="clear" w:color="auto" w:fill="auto"/>
          </w:tcPr>
          <w:p w14:paraId="789507A9"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58.8 (30.3, 76.5)*</w:t>
            </w:r>
          </w:p>
        </w:tc>
      </w:tr>
      <w:tr w:rsidR="00C7280F" w:rsidRPr="009A4DCA" w14:paraId="23DF1ED0" w14:textId="77777777" w:rsidTr="00973287">
        <w:trPr>
          <w:cantSplit/>
        </w:trPr>
        <w:tc>
          <w:tcPr>
            <w:tcW w:w="6941" w:type="dxa"/>
            <w:gridSpan w:val="5"/>
          </w:tcPr>
          <w:p w14:paraId="15E855D0" w14:textId="77777777" w:rsidR="00C7280F" w:rsidRPr="009A4DCA" w:rsidRDefault="00C7280F" w:rsidP="00BE2884">
            <w:pPr>
              <w:keepNext/>
              <w:keepLines/>
              <w:ind w:right="17"/>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Test for treatment effect variation</w:t>
            </w:r>
            <w:r w:rsidRPr="009A4DCA">
              <w:rPr>
                <w:rFonts w:ascii="Arial Narrow" w:eastAsiaTheme="majorEastAsia" w:hAnsi="Arial Narrow" w:cstheme="majorBidi"/>
                <w:bCs/>
                <w:sz w:val="20"/>
                <w:vertAlign w:val="superscript"/>
                <w:lang w:eastAsia="en-US"/>
              </w:rPr>
              <w:t>a</w:t>
            </w:r>
          </w:p>
        </w:tc>
        <w:tc>
          <w:tcPr>
            <w:tcW w:w="2069" w:type="dxa"/>
            <w:shd w:val="clear" w:color="auto" w:fill="auto"/>
          </w:tcPr>
          <w:p w14:paraId="0D30CAC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P = 0.7006</w:t>
            </w:r>
          </w:p>
        </w:tc>
      </w:tr>
    </w:tbl>
    <w:p w14:paraId="41ADDD17" w14:textId="77777777" w:rsidR="00C7280F" w:rsidRPr="009A4DCA" w:rsidRDefault="00C7280F" w:rsidP="00BE2884">
      <w:pPr>
        <w:pStyle w:val="FooterTableFigure"/>
        <w:keepNext/>
        <w:keepLines/>
      </w:pPr>
      <w:r w:rsidRPr="009A4DCA">
        <w:t>Source: Table 2.6.2 p82 of the submission; RENOIR EOS1 Report Table 9; Table 10 &amp; Table 14.22; Table 11 &amp; Table 14.24; Table 13 &amp; Table 14.27</w:t>
      </w:r>
    </w:p>
    <w:p w14:paraId="460798CA" w14:textId="19667215" w:rsidR="00C7280F" w:rsidRPr="009A4DCA" w:rsidRDefault="00C7280F" w:rsidP="00BE2884">
      <w:pPr>
        <w:pStyle w:val="FooterTableFigure"/>
        <w:keepNext/>
        <w:keepLines/>
      </w:pPr>
      <w:r w:rsidRPr="009A4DCA">
        <w:t xml:space="preserve">ARI = acute respiratory illness; CI = confidence interval; EOS1 = end of season 1; </w:t>
      </w:r>
      <w:r w:rsidR="004742DB" w:rsidRPr="009A4DCA">
        <w:t>LRTI</w:t>
      </w:r>
      <w:r w:rsidRPr="009A4DCA">
        <w:t xml:space="preserve"> = lower respiratory tract illness; </w:t>
      </w:r>
      <w:r w:rsidR="003F2A73" w:rsidRPr="009A4DCA">
        <w:rPr>
          <w:rFonts w:eastAsia="Calibri"/>
        </w:rPr>
        <w:t>n = number of participants with event; N = total participants in group</w:t>
      </w:r>
      <w:r w:rsidR="003F2A73" w:rsidRPr="009A4DCA">
        <w:t xml:space="preserve">; </w:t>
      </w:r>
      <w:r w:rsidR="00C57FA0" w:rsidRPr="009A4DCA">
        <w:t xml:space="preserve">RSV = respiratory syncytial virus; </w:t>
      </w:r>
      <w:r w:rsidRPr="009A4DCA">
        <w:t xml:space="preserve">RSVpreF = recombinant </w:t>
      </w:r>
      <w:r w:rsidR="00C57FA0" w:rsidRPr="009A4DCA">
        <w:t>RSV</w:t>
      </w:r>
      <w:r w:rsidRPr="009A4DCA">
        <w:t>prefusion F protein vaccine; VE = vaccine efficacy</w:t>
      </w:r>
    </w:p>
    <w:p w14:paraId="2C7D6AA1" w14:textId="40ECB753" w:rsidR="00C7280F" w:rsidRPr="009A4DCA" w:rsidRDefault="00C7280F" w:rsidP="00BE2884">
      <w:pPr>
        <w:pStyle w:val="FooterTableFigure"/>
        <w:keepNext/>
        <w:keepLines/>
        <w:rPr>
          <w:iCs/>
        </w:rPr>
      </w:pPr>
      <w:r w:rsidRPr="009A4DCA">
        <w:t>a P-value for test for treatment effect variation among subgroups calculated post-hoc, based on exact likelihood ratio chi-square test (statistical model assumed for each subgroup, the number of cases in the RSVpreF group CV, given the total number of cases (CV+CP) follows a binomial distribution [RENOIR SAP 5.2.3. Analyses for Efficacy Endpoints])</w:t>
      </w:r>
      <w:r w:rsidR="00EA146E" w:rsidRPr="009A4DCA">
        <w:t xml:space="preserve">. </w:t>
      </w:r>
      <w:r w:rsidR="00EA146E" w:rsidRPr="009A4DCA">
        <w:rPr>
          <w:iCs/>
        </w:rPr>
        <w:t xml:space="preserve">The post-hoc analysis testing for treatment effect variation conducted could not be verified during the evaluation. </w:t>
      </w:r>
      <w:r w:rsidRPr="009A4DCA">
        <w:rPr>
          <w:iCs/>
        </w:rPr>
        <w:t xml:space="preserve">  </w:t>
      </w:r>
    </w:p>
    <w:p w14:paraId="627075E2" w14:textId="7A47361B" w:rsidR="00C7280F" w:rsidRPr="009A4DCA" w:rsidRDefault="00C7280F" w:rsidP="00BE2884">
      <w:pPr>
        <w:pStyle w:val="FooterTableFigure"/>
        <w:keepNext/>
        <w:keepLines/>
        <w:rPr>
          <w:rFonts w:eastAsia="Calibri"/>
          <w:iCs/>
        </w:rPr>
      </w:pPr>
      <w:r w:rsidRPr="009A4DCA">
        <w:rPr>
          <w:rFonts w:eastAsia="Calibri"/>
          <w:iCs/>
        </w:rPr>
        <w:t xml:space="preserve">* denotes lower limit for 95% CI &gt;20%. </w:t>
      </w:r>
    </w:p>
    <w:p w14:paraId="0F673F50" w14:textId="77777777" w:rsidR="00C7280F" w:rsidRPr="009A4DCA" w:rsidRDefault="00C7280F" w:rsidP="00B82D7A">
      <w:pPr>
        <w:pStyle w:val="FooterTableFigure"/>
        <w:keepLines/>
        <w:rPr>
          <w:rFonts w:eastAsia="Calibri"/>
        </w:rPr>
      </w:pPr>
      <w:r w:rsidRPr="009A4DCA">
        <w:rPr>
          <w:rFonts w:eastAsia="Calibri"/>
          <w:b/>
        </w:rPr>
        <w:t>Bold</w:t>
      </w:r>
      <w:r w:rsidRPr="009A4DCA">
        <w:rPr>
          <w:rFonts w:eastAsia="Calibri"/>
        </w:rPr>
        <w:t xml:space="preserve"> indicates statistically significant results.</w:t>
      </w:r>
    </w:p>
    <w:p w14:paraId="38E83707" w14:textId="4050575E" w:rsidR="00646D6F" w:rsidRPr="009A4DCA" w:rsidRDefault="00C7280F" w:rsidP="00B82D7A">
      <w:pPr>
        <w:pStyle w:val="3-BodyText"/>
        <w:numPr>
          <w:ilvl w:val="1"/>
          <w:numId w:val="1"/>
        </w:numPr>
        <w:rPr>
          <w:iCs/>
        </w:rPr>
      </w:pPr>
      <w:r w:rsidRPr="009A4DCA">
        <w:rPr>
          <w:iCs/>
        </w:rPr>
        <w:t xml:space="preserve">Results reported for VE against RSV for the subgroup of adults aged ≥75 years are provided in </w:t>
      </w:r>
      <w:r w:rsidRPr="009A4DCA">
        <w:rPr>
          <w:iCs/>
        </w:rPr>
        <w:fldChar w:fldCharType="begin"/>
      </w:r>
      <w:r w:rsidRPr="009A4DCA">
        <w:rPr>
          <w:iCs/>
        </w:rPr>
        <w:instrText xml:space="preserve"> REF _Ref175592888 \h  \* MERGEFORMAT </w:instrText>
      </w:r>
      <w:r w:rsidRPr="009A4DCA">
        <w:rPr>
          <w:iCs/>
        </w:rPr>
      </w:r>
      <w:r w:rsidRPr="009A4DCA">
        <w:rPr>
          <w:iCs/>
        </w:rPr>
        <w:fldChar w:fldCharType="separate"/>
      </w:r>
      <w:r w:rsidR="007B2F50" w:rsidRPr="007B2F50">
        <w:rPr>
          <w:iCs/>
        </w:rPr>
        <w:t>Table 9</w:t>
      </w:r>
      <w:r w:rsidRPr="009A4DCA">
        <w:rPr>
          <w:iCs/>
        </w:rPr>
        <w:fldChar w:fldCharType="end"/>
      </w:r>
      <w:r w:rsidRPr="009A4DCA">
        <w:rPr>
          <w:iCs/>
        </w:rPr>
        <w:t>. Results were not significant for all data cut-off periods reported (season 1; season 2, and across 2-seasons) for RSV-LRTI with ≥2 symptoms or ≥3</w:t>
      </w:r>
      <w:r w:rsidR="00B82D7A">
        <w:rPr>
          <w:iCs/>
        </w:rPr>
        <w:t> </w:t>
      </w:r>
      <w:r w:rsidRPr="009A4DCA">
        <w:rPr>
          <w:iCs/>
        </w:rPr>
        <w:t xml:space="preserve">symptoms. </w:t>
      </w:r>
      <w:r w:rsidR="00646D6F" w:rsidRPr="009A4DCA">
        <w:rPr>
          <w:iCs/>
        </w:rPr>
        <w:t>VE r</w:t>
      </w:r>
      <w:r w:rsidRPr="009A4DCA">
        <w:rPr>
          <w:iCs/>
        </w:rPr>
        <w:t>esults</w:t>
      </w:r>
      <w:r w:rsidR="0027214F" w:rsidRPr="009A4DCA">
        <w:rPr>
          <w:iCs/>
        </w:rPr>
        <w:t xml:space="preserve"> in adults aged ≥75 years</w:t>
      </w:r>
      <w:r w:rsidR="00646D6F" w:rsidRPr="009A4DCA">
        <w:rPr>
          <w:iCs/>
        </w:rPr>
        <w:t xml:space="preserve"> for RSV-ARI</w:t>
      </w:r>
      <w:r w:rsidRPr="009A4DCA">
        <w:rPr>
          <w:iCs/>
        </w:rPr>
        <w:t xml:space="preserve"> were</w:t>
      </w:r>
      <w:r w:rsidR="00646D6F" w:rsidRPr="009A4DCA">
        <w:rPr>
          <w:iCs/>
        </w:rPr>
        <w:t xml:space="preserve"> as follows: </w:t>
      </w:r>
    </w:p>
    <w:p w14:paraId="060BE352" w14:textId="6CE2DEDD" w:rsidR="00646D6F" w:rsidRPr="009A4DCA" w:rsidRDefault="00646D6F" w:rsidP="00B82D7A">
      <w:pPr>
        <w:pStyle w:val="3-BodyText"/>
        <w:numPr>
          <w:ilvl w:val="0"/>
          <w:numId w:val="30"/>
        </w:numPr>
        <w:ind w:left="1134" w:hanging="357"/>
        <w:rPr>
          <w:iCs/>
        </w:rPr>
      </w:pPr>
      <w:r w:rsidRPr="009A4DCA">
        <w:rPr>
          <w:iCs/>
        </w:rPr>
        <w:t>S</w:t>
      </w:r>
      <w:r w:rsidR="00C7280F" w:rsidRPr="009A4DCA">
        <w:rPr>
          <w:iCs/>
        </w:rPr>
        <w:t>eason 1</w:t>
      </w:r>
      <w:r w:rsidRPr="009A4DCA">
        <w:rPr>
          <w:iCs/>
        </w:rPr>
        <w:t>:</w:t>
      </w:r>
      <w:r w:rsidR="00C7280F" w:rsidRPr="009A4DCA">
        <w:rPr>
          <w:iCs/>
        </w:rPr>
        <w:t xml:space="preserve"> 87.5%, 95% CI 6.8 to 99.7</w:t>
      </w:r>
      <w:r w:rsidRPr="009A4DCA">
        <w:rPr>
          <w:iCs/>
        </w:rPr>
        <w:t>;</w:t>
      </w:r>
      <w:r w:rsidR="00C7280F" w:rsidRPr="009A4DCA">
        <w:rPr>
          <w:iCs/>
        </w:rPr>
        <w:t xml:space="preserve"> </w:t>
      </w:r>
    </w:p>
    <w:p w14:paraId="5A86812A" w14:textId="392A0B8A" w:rsidR="00646D6F" w:rsidRPr="009A4DCA" w:rsidRDefault="00646D6F" w:rsidP="00B82D7A">
      <w:pPr>
        <w:pStyle w:val="3-BodyText"/>
        <w:numPr>
          <w:ilvl w:val="0"/>
          <w:numId w:val="30"/>
        </w:numPr>
        <w:ind w:left="1134" w:hanging="357"/>
        <w:rPr>
          <w:iCs/>
        </w:rPr>
      </w:pPr>
      <w:r w:rsidRPr="009A4DCA">
        <w:rPr>
          <w:iCs/>
        </w:rPr>
        <w:t>A</w:t>
      </w:r>
      <w:r w:rsidR="00C7280F" w:rsidRPr="009A4DCA">
        <w:rPr>
          <w:iCs/>
        </w:rPr>
        <w:t>cross 2-seasons</w:t>
      </w:r>
      <w:r w:rsidRPr="009A4DCA">
        <w:rPr>
          <w:iCs/>
        </w:rPr>
        <w:t>:</w:t>
      </w:r>
      <w:r w:rsidR="00C7280F" w:rsidRPr="009A4DCA">
        <w:rPr>
          <w:iCs/>
        </w:rPr>
        <w:t xml:space="preserve"> 65.0%, 95% CI 13.8 to 87.5</w:t>
      </w:r>
      <w:r w:rsidRPr="009A4DCA">
        <w:rPr>
          <w:iCs/>
        </w:rPr>
        <w:t>;</w:t>
      </w:r>
      <w:r w:rsidR="00C7280F" w:rsidRPr="009A4DCA">
        <w:rPr>
          <w:iCs/>
        </w:rPr>
        <w:t xml:space="preserve"> </w:t>
      </w:r>
    </w:p>
    <w:p w14:paraId="69D0048C" w14:textId="185EE342" w:rsidR="00A8066A" w:rsidRPr="009A4DCA" w:rsidRDefault="00646D6F" w:rsidP="00B82D7A">
      <w:pPr>
        <w:pStyle w:val="3-BodyText"/>
        <w:numPr>
          <w:ilvl w:val="0"/>
          <w:numId w:val="30"/>
        </w:numPr>
        <w:ind w:left="1134" w:hanging="357"/>
        <w:rPr>
          <w:iCs/>
        </w:rPr>
      </w:pPr>
      <w:r w:rsidRPr="009A4DCA">
        <w:rPr>
          <w:iCs/>
        </w:rPr>
        <w:t>S</w:t>
      </w:r>
      <w:r w:rsidR="00C7280F" w:rsidRPr="009A4DCA">
        <w:rPr>
          <w:iCs/>
        </w:rPr>
        <w:t>eason 2</w:t>
      </w:r>
      <w:r w:rsidR="0027214F" w:rsidRPr="009A4DCA">
        <w:rPr>
          <w:iCs/>
        </w:rPr>
        <w:t>:</w:t>
      </w:r>
      <w:r w:rsidR="00C7280F" w:rsidRPr="009A4DCA">
        <w:rPr>
          <w:iCs/>
        </w:rPr>
        <w:t xml:space="preserve"> 50%, 95% CI -43.9 to 84.6.</w:t>
      </w:r>
    </w:p>
    <w:p w14:paraId="34D7DD1B" w14:textId="773F4B43" w:rsidR="0027214F" w:rsidRPr="009A4DCA" w:rsidRDefault="0027214F" w:rsidP="00B82D7A">
      <w:pPr>
        <w:pStyle w:val="3-BodyText"/>
        <w:numPr>
          <w:ilvl w:val="0"/>
          <w:numId w:val="0"/>
        </w:numPr>
        <w:ind w:left="720" w:hanging="11"/>
        <w:rPr>
          <w:iCs/>
        </w:rPr>
      </w:pPr>
      <w:r w:rsidRPr="009A4DCA">
        <w:rPr>
          <w:iCs/>
        </w:rPr>
        <w:t>VE efficacy results were statistically significant for season 1 and across 2 seasons, but not for season 2. None of the results satisfied the clinical significance threshold of lower limit for 95% CI &gt;20%.</w:t>
      </w:r>
    </w:p>
    <w:p w14:paraId="1D8A44E5" w14:textId="6C9712AB" w:rsidR="00C7280F" w:rsidRPr="009A4DCA" w:rsidRDefault="00C7280F" w:rsidP="00BE2884">
      <w:pPr>
        <w:pStyle w:val="TableFigureHeading"/>
        <w:keepLines/>
        <w:tabs>
          <w:tab w:val="left" w:pos="6237"/>
        </w:tabs>
      </w:pPr>
      <w:bookmarkStart w:id="40" w:name="_Ref175592888"/>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9</w:t>
      </w:r>
      <w:r w:rsidR="00491347">
        <w:fldChar w:fldCharType="end"/>
      </w:r>
      <w:bookmarkEnd w:id="40"/>
      <w:r w:rsidRPr="009A4DCA">
        <w:t xml:space="preserve">: Results of RSVpreF VE against the first episode of medically-attended RSV requiring any healthcare visit(s) in RENOIR - subgroups adults ≥75 years </w:t>
      </w:r>
    </w:p>
    <w:tbl>
      <w:tblPr>
        <w:tblStyle w:val="TableGrid"/>
        <w:tblW w:w="5000" w:type="pct"/>
        <w:tblLayout w:type="fixed"/>
        <w:tblLook w:val="04A0" w:firstRow="1" w:lastRow="0" w:firstColumn="1" w:lastColumn="0" w:noHBand="0" w:noVBand="1"/>
      </w:tblPr>
      <w:tblGrid>
        <w:gridCol w:w="1696"/>
        <w:gridCol w:w="709"/>
        <w:gridCol w:w="709"/>
        <w:gridCol w:w="1024"/>
        <w:gridCol w:w="694"/>
        <w:gridCol w:w="694"/>
        <w:gridCol w:w="1051"/>
        <w:gridCol w:w="720"/>
        <w:gridCol w:w="721"/>
        <w:gridCol w:w="999"/>
      </w:tblGrid>
      <w:tr w:rsidR="00C7280F" w:rsidRPr="009A4DCA" w14:paraId="7DD6217B" w14:textId="77777777" w:rsidTr="00973287">
        <w:trPr>
          <w:tblHeader/>
        </w:trPr>
        <w:tc>
          <w:tcPr>
            <w:tcW w:w="940" w:type="pct"/>
            <w:tcBorders>
              <w:bottom w:val="nil"/>
            </w:tcBorders>
          </w:tcPr>
          <w:p w14:paraId="5C81BF09"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p>
        </w:tc>
        <w:tc>
          <w:tcPr>
            <w:tcW w:w="1354" w:type="pct"/>
            <w:gridSpan w:val="3"/>
            <w:tcBorders>
              <w:bottom w:val="nil"/>
            </w:tcBorders>
          </w:tcPr>
          <w:p w14:paraId="788A9ECC"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1</w:t>
            </w:r>
          </w:p>
        </w:tc>
        <w:tc>
          <w:tcPr>
            <w:tcW w:w="1352" w:type="pct"/>
            <w:gridSpan w:val="3"/>
            <w:tcBorders>
              <w:bottom w:val="nil"/>
            </w:tcBorders>
          </w:tcPr>
          <w:p w14:paraId="78FAF2D7"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Season 2</w:t>
            </w:r>
          </w:p>
        </w:tc>
        <w:tc>
          <w:tcPr>
            <w:tcW w:w="1353" w:type="pct"/>
            <w:gridSpan w:val="3"/>
            <w:tcBorders>
              <w:bottom w:val="nil"/>
            </w:tcBorders>
          </w:tcPr>
          <w:p w14:paraId="4E431053"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Across 2 seasons</w:t>
            </w:r>
          </w:p>
        </w:tc>
      </w:tr>
      <w:tr w:rsidR="00C7280F" w:rsidRPr="009A4DCA" w14:paraId="0ED75035" w14:textId="77777777" w:rsidTr="00973287">
        <w:trPr>
          <w:tblHeader/>
        </w:trPr>
        <w:tc>
          <w:tcPr>
            <w:tcW w:w="940" w:type="pct"/>
            <w:tcBorders>
              <w:top w:val="nil"/>
              <w:bottom w:val="nil"/>
            </w:tcBorders>
          </w:tcPr>
          <w:p w14:paraId="1ACF6A04"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p>
        </w:tc>
        <w:tc>
          <w:tcPr>
            <w:tcW w:w="1354" w:type="pct"/>
            <w:gridSpan w:val="3"/>
            <w:tcBorders>
              <w:top w:val="nil"/>
            </w:tcBorders>
          </w:tcPr>
          <w:p w14:paraId="2222D886"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7.05 months</w:t>
            </w:r>
          </w:p>
        </w:tc>
        <w:tc>
          <w:tcPr>
            <w:tcW w:w="1352" w:type="pct"/>
            <w:gridSpan w:val="3"/>
            <w:tcBorders>
              <w:top w:val="nil"/>
            </w:tcBorders>
          </w:tcPr>
          <w:p w14:paraId="2DD94195"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7.59 months</w:t>
            </w:r>
          </w:p>
        </w:tc>
        <w:tc>
          <w:tcPr>
            <w:tcW w:w="1353" w:type="pct"/>
            <w:gridSpan w:val="3"/>
            <w:tcBorders>
              <w:top w:val="nil"/>
            </w:tcBorders>
          </w:tcPr>
          <w:p w14:paraId="02B5ADC0"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16.36 months</w:t>
            </w:r>
          </w:p>
        </w:tc>
      </w:tr>
      <w:tr w:rsidR="00C7280F" w:rsidRPr="009A4DCA" w14:paraId="0C2FC903" w14:textId="77777777" w:rsidTr="00973287">
        <w:trPr>
          <w:tblHeader/>
        </w:trPr>
        <w:tc>
          <w:tcPr>
            <w:tcW w:w="940" w:type="pct"/>
            <w:tcBorders>
              <w:top w:val="nil"/>
              <w:bottom w:val="single" w:sz="4" w:space="0" w:color="auto"/>
            </w:tcBorders>
          </w:tcPr>
          <w:p w14:paraId="752CB03C"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p>
        </w:tc>
        <w:tc>
          <w:tcPr>
            <w:tcW w:w="393" w:type="pct"/>
            <w:tcBorders>
              <w:bottom w:val="single" w:sz="4" w:space="0" w:color="auto"/>
            </w:tcBorders>
          </w:tcPr>
          <w:p w14:paraId="4E71DA5E"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RSV </w:t>
            </w:r>
            <w:r w:rsidRPr="009A4DCA">
              <w:rPr>
                <w:rFonts w:ascii="Arial Narrow" w:eastAsiaTheme="majorEastAsia" w:hAnsi="Arial Narrow" w:cs="Times New Roman"/>
                <w:b/>
                <w:sz w:val="20"/>
              </w:rPr>
              <w:br/>
              <w:t>preF</w:t>
            </w:r>
          </w:p>
        </w:tc>
        <w:tc>
          <w:tcPr>
            <w:tcW w:w="393" w:type="pct"/>
            <w:tcBorders>
              <w:bottom w:val="single" w:sz="4" w:space="0" w:color="auto"/>
            </w:tcBorders>
          </w:tcPr>
          <w:p w14:paraId="00D329A2"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PBO</w:t>
            </w:r>
          </w:p>
        </w:tc>
        <w:tc>
          <w:tcPr>
            <w:tcW w:w="568" w:type="pct"/>
            <w:tcBorders>
              <w:bottom w:val="single" w:sz="4" w:space="0" w:color="auto"/>
            </w:tcBorders>
          </w:tcPr>
          <w:p w14:paraId="33F0ECDA" w14:textId="77777777" w:rsidR="00CF0951"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VE </w:t>
            </w:r>
          </w:p>
          <w:p w14:paraId="3FF0EB64" w14:textId="47C38C7A"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(95% CI)</w:t>
            </w:r>
          </w:p>
        </w:tc>
        <w:tc>
          <w:tcPr>
            <w:tcW w:w="385" w:type="pct"/>
            <w:tcBorders>
              <w:bottom w:val="single" w:sz="4" w:space="0" w:color="auto"/>
            </w:tcBorders>
          </w:tcPr>
          <w:p w14:paraId="1883365F"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RSV </w:t>
            </w:r>
            <w:r w:rsidRPr="009A4DCA">
              <w:rPr>
                <w:rFonts w:ascii="Arial Narrow" w:eastAsiaTheme="majorEastAsia" w:hAnsi="Arial Narrow" w:cs="Times New Roman"/>
                <w:b/>
                <w:sz w:val="20"/>
              </w:rPr>
              <w:br/>
              <w:t>preF</w:t>
            </w:r>
          </w:p>
        </w:tc>
        <w:tc>
          <w:tcPr>
            <w:tcW w:w="385" w:type="pct"/>
            <w:tcBorders>
              <w:bottom w:val="single" w:sz="4" w:space="0" w:color="auto"/>
            </w:tcBorders>
          </w:tcPr>
          <w:p w14:paraId="7CC98DAF"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PBO</w:t>
            </w:r>
          </w:p>
        </w:tc>
        <w:tc>
          <w:tcPr>
            <w:tcW w:w="583" w:type="pct"/>
            <w:tcBorders>
              <w:bottom w:val="single" w:sz="4" w:space="0" w:color="auto"/>
            </w:tcBorders>
          </w:tcPr>
          <w:p w14:paraId="68CAF4BC" w14:textId="77777777" w:rsidR="00CF0951"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VE </w:t>
            </w:r>
          </w:p>
          <w:p w14:paraId="5B4D7519" w14:textId="22B73076"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(95% CI)</w:t>
            </w:r>
          </w:p>
        </w:tc>
        <w:tc>
          <w:tcPr>
            <w:tcW w:w="399" w:type="pct"/>
            <w:tcBorders>
              <w:bottom w:val="single" w:sz="4" w:space="0" w:color="auto"/>
            </w:tcBorders>
          </w:tcPr>
          <w:p w14:paraId="45922A1B"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RSV </w:t>
            </w:r>
            <w:r w:rsidRPr="009A4DCA">
              <w:rPr>
                <w:rFonts w:ascii="Arial Narrow" w:eastAsiaTheme="majorEastAsia" w:hAnsi="Arial Narrow" w:cs="Times New Roman"/>
                <w:b/>
                <w:sz w:val="20"/>
              </w:rPr>
              <w:br/>
              <w:t>preF</w:t>
            </w:r>
          </w:p>
        </w:tc>
        <w:tc>
          <w:tcPr>
            <w:tcW w:w="400" w:type="pct"/>
            <w:tcBorders>
              <w:bottom w:val="single" w:sz="4" w:space="0" w:color="auto"/>
            </w:tcBorders>
          </w:tcPr>
          <w:p w14:paraId="1366287A" w14:textId="77777777"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PBO</w:t>
            </w:r>
          </w:p>
        </w:tc>
        <w:tc>
          <w:tcPr>
            <w:tcW w:w="554" w:type="pct"/>
            <w:tcBorders>
              <w:bottom w:val="single" w:sz="4" w:space="0" w:color="auto"/>
            </w:tcBorders>
          </w:tcPr>
          <w:p w14:paraId="7E426D07" w14:textId="77777777" w:rsidR="00CF0951"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 xml:space="preserve">VE </w:t>
            </w:r>
          </w:p>
          <w:p w14:paraId="512B7B8E" w14:textId="1269C1F4" w:rsidR="00C7280F" w:rsidRPr="009A4DCA" w:rsidRDefault="00C7280F" w:rsidP="00BE2884">
            <w:pPr>
              <w:keepNext/>
              <w:keepLines/>
              <w:ind w:right="-162"/>
              <w:jc w:val="center"/>
              <w:rPr>
                <w:rFonts w:ascii="Arial Narrow" w:eastAsiaTheme="majorEastAsia" w:hAnsi="Arial Narrow" w:cs="Times New Roman"/>
                <w:b/>
                <w:sz w:val="20"/>
              </w:rPr>
            </w:pPr>
            <w:r w:rsidRPr="009A4DCA">
              <w:rPr>
                <w:rFonts w:ascii="Arial Narrow" w:eastAsiaTheme="majorEastAsia" w:hAnsi="Arial Narrow" w:cs="Times New Roman"/>
                <w:b/>
                <w:sz w:val="20"/>
              </w:rPr>
              <w:t>(95% CI)</w:t>
            </w:r>
          </w:p>
        </w:tc>
      </w:tr>
      <w:tr w:rsidR="00C7280F" w:rsidRPr="009A4DCA" w14:paraId="3157B848" w14:textId="77777777" w:rsidTr="00AC627B">
        <w:tc>
          <w:tcPr>
            <w:tcW w:w="5000" w:type="pct"/>
            <w:gridSpan w:val="10"/>
            <w:tcBorders>
              <w:bottom w:val="nil"/>
            </w:tcBorders>
            <w:shd w:val="clear" w:color="auto" w:fill="D9D9D9" w:themeFill="background1" w:themeFillShade="D9"/>
          </w:tcPr>
          <w:p w14:paraId="203F2413" w14:textId="402E8D34" w:rsidR="00C7280F" w:rsidRPr="009A4DCA" w:rsidRDefault="00C7280F" w:rsidP="00BE2884">
            <w:pPr>
              <w:keepNext/>
              <w:keepLines/>
              <w:ind w:left="-59"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 episode of RSV-LRTI with ≥2 symptoms</w:t>
            </w:r>
          </w:p>
        </w:tc>
      </w:tr>
      <w:tr w:rsidR="00C7280F" w:rsidRPr="009A4DCA" w14:paraId="3C260928" w14:textId="77777777" w:rsidTr="00973287">
        <w:tc>
          <w:tcPr>
            <w:tcW w:w="5000" w:type="pct"/>
            <w:gridSpan w:val="10"/>
            <w:tcBorders>
              <w:top w:val="single" w:sz="4" w:space="0" w:color="auto"/>
              <w:bottom w:val="single" w:sz="4" w:space="0" w:color="auto"/>
            </w:tcBorders>
            <w:vAlign w:val="center"/>
          </w:tcPr>
          <w:p w14:paraId="0D4571A9" w14:textId="77777777" w:rsidR="00C7280F" w:rsidRPr="009A4DCA" w:rsidRDefault="00C7280F" w:rsidP="00BE2884">
            <w:pPr>
              <w:keepNext/>
              <w:keepLines/>
              <w:ind w:left="-59" w:right="-49"/>
              <w:jc w:val="left"/>
              <w:rPr>
                <w:rFonts w:ascii="Arial Narrow" w:eastAsiaTheme="majorEastAsia" w:hAnsi="Arial Narrow" w:cstheme="majorBidi"/>
                <w:sz w:val="20"/>
                <w:lang w:eastAsia="en-US"/>
              </w:rPr>
            </w:pPr>
            <w:r w:rsidRPr="009A4DCA">
              <w:rPr>
                <w:rFonts w:ascii="Arial Narrow" w:eastAsiaTheme="majorEastAsia" w:hAnsi="Arial Narrow" w:cstheme="majorBidi"/>
                <w:bCs/>
                <w:sz w:val="20"/>
                <w:lang w:eastAsia="en-US"/>
              </w:rPr>
              <w:t>Subgroups (cases that prompted a healthcare visit(s))</w:t>
            </w:r>
          </w:p>
        </w:tc>
      </w:tr>
      <w:tr w:rsidR="00BA3E40" w:rsidRPr="009A4DCA" w14:paraId="6E812336" w14:textId="77777777" w:rsidTr="00973287">
        <w:tc>
          <w:tcPr>
            <w:tcW w:w="940" w:type="pct"/>
            <w:tcBorders>
              <w:top w:val="single" w:sz="4" w:space="0" w:color="auto"/>
              <w:bottom w:val="single" w:sz="4" w:space="0" w:color="auto"/>
              <w:right w:val="single" w:sz="4" w:space="0" w:color="auto"/>
            </w:tcBorders>
            <w:vAlign w:val="center"/>
          </w:tcPr>
          <w:p w14:paraId="1A3A162E" w14:textId="77777777" w:rsidR="00BA3E40" w:rsidRPr="009A4DCA" w:rsidRDefault="00BA3E40"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Adults aged ≥ 75y, N</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4171A399"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2892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3F9E09F6"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2904</w:t>
            </w:r>
          </w:p>
        </w:tc>
        <w:tc>
          <w:tcPr>
            <w:tcW w:w="568" w:type="pct"/>
            <w:vMerge w:val="restart"/>
            <w:tcBorders>
              <w:top w:val="single" w:sz="4" w:space="0" w:color="auto"/>
              <w:left w:val="single" w:sz="4" w:space="0" w:color="auto"/>
              <w:right w:val="single" w:sz="4" w:space="0" w:color="auto"/>
            </w:tcBorders>
            <w:shd w:val="clear" w:color="auto" w:fill="auto"/>
            <w:vAlign w:val="bottom"/>
          </w:tcPr>
          <w:p w14:paraId="2CF0F2FE"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85.7 </w:t>
            </w:r>
            <w:r w:rsidRPr="009A4DCA">
              <w:rPr>
                <w:rFonts w:ascii="Arial Narrow" w:eastAsiaTheme="majorEastAsia" w:hAnsi="Arial Narrow" w:cstheme="majorBidi"/>
                <w:bCs/>
                <w:sz w:val="20"/>
                <w:lang w:eastAsia="en-US"/>
              </w:rPr>
              <w:br/>
              <w:t>(-11.2, 99.7)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32A6BED5"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2486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41F3D2F0"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2477</w:t>
            </w:r>
          </w:p>
        </w:tc>
        <w:tc>
          <w:tcPr>
            <w:tcW w:w="583" w:type="pct"/>
            <w:vMerge w:val="restart"/>
            <w:tcBorders>
              <w:top w:val="single" w:sz="4" w:space="0" w:color="auto"/>
              <w:left w:val="single" w:sz="4" w:space="0" w:color="auto"/>
              <w:right w:val="single" w:sz="4" w:space="0" w:color="auto"/>
            </w:tcBorders>
            <w:shd w:val="clear" w:color="auto" w:fill="auto"/>
            <w:vAlign w:val="bottom"/>
          </w:tcPr>
          <w:p w14:paraId="41F007B2" w14:textId="77777777" w:rsidR="00BA3E40" w:rsidRPr="009A4DCA" w:rsidRDefault="00BA3E40" w:rsidP="00BE2884">
            <w:pPr>
              <w:keepNext/>
              <w:keepLines/>
              <w:ind w:left="-59" w:right="-113"/>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40 </w:t>
            </w:r>
            <w:r w:rsidRPr="009A4DCA">
              <w:rPr>
                <w:rFonts w:ascii="Arial Narrow" w:eastAsiaTheme="majorEastAsia" w:hAnsi="Arial Narrow" w:cstheme="majorBidi"/>
                <w:bCs/>
                <w:sz w:val="20"/>
                <w:lang w:eastAsia="en-US"/>
              </w:rPr>
              <w:br/>
              <w:t>(-208.4, 90.7)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14:paraId="30640E95"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2892</w:t>
            </w:r>
          </w:p>
        </w:tc>
        <w:tc>
          <w:tcPr>
            <w:tcW w:w="400" w:type="pct"/>
            <w:tcBorders>
              <w:top w:val="single" w:sz="4" w:space="0" w:color="auto"/>
              <w:left w:val="single" w:sz="4" w:space="0" w:color="auto"/>
              <w:bottom w:val="single" w:sz="4" w:space="0" w:color="auto"/>
            </w:tcBorders>
            <w:shd w:val="clear" w:color="auto" w:fill="auto"/>
            <w:vAlign w:val="bottom"/>
          </w:tcPr>
          <w:p w14:paraId="09903895"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2904</w:t>
            </w:r>
          </w:p>
        </w:tc>
        <w:tc>
          <w:tcPr>
            <w:tcW w:w="554" w:type="pct"/>
            <w:vMerge w:val="restart"/>
            <w:tcBorders>
              <w:top w:val="single" w:sz="4" w:space="0" w:color="auto"/>
              <w:left w:val="single" w:sz="4" w:space="0" w:color="auto"/>
            </w:tcBorders>
            <w:shd w:val="clear" w:color="auto" w:fill="auto"/>
            <w:vAlign w:val="bottom"/>
          </w:tcPr>
          <w:p w14:paraId="7CD7666B" w14:textId="77777777" w:rsidR="00BA3E40" w:rsidRPr="009A4DCA" w:rsidRDefault="00BA3E40" w:rsidP="00BE2884">
            <w:pPr>
              <w:keepNext/>
              <w:keepLines/>
              <w:ind w:left="-59" w:right="-113"/>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66.7 </w:t>
            </w:r>
            <w:r w:rsidRPr="009A4DCA">
              <w:rPr>
                <w:rFonts w:ascii="Arial Narrow" w:eastAsiaTheme="majorEastAsia" w:hAnsi="Arial Narrow" w:cstheme="majorBidi"/>
                <w:bCs/>
                <w:sz w:val="20"/>
                <w:lang w:eastAsia="en-US"/>
              </w:rPr>
              <w:br/>
              <w:t>(-10.0, 92.2)</w:t>
            </w:r>
          </w:p>
        </w:tc>
      </w:tr>
      <w:tr w:rsidR="00BA3E40" w:rsidRPr="009A4DCA" w14:paraId="404062C6" w14:textId="77777777" w:rsidTr="00973287">
        <w:tc>
          <w:tcPr>
            <w:tcW w:w="940" w:type="pct"/>
            <w:tcBorders>
              <w:top w:val="single" w:sz="4" w:space="0" w:color="auto"/>
              <w:bottom w:val="single" w:sz="4" w:space="0" w:color="auto"/>
              <w:right w:val="single" w:sz="4" w:space="0" w:color="auto"/>
            </w:tcBorders>
            <w:vAlign w:val="center"/>
          </w:tcPr>
          <w:p w14:paraId="6B30B0B2" w14:textId="77777777" w:rsidR="00BA3E40" w:rsidRPr="009A4DCA" w:rsidRDefault="00BA3E40"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Cases, n</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45F79406"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45F691A8"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w:t>
            </w:r>
          </w:p>
        </w:tc>
        <w:tc>
          <w:tcPr>
            <w:tcW w:w="568" w:type="pct"/>
            <w:vMerge/>
            <w:tcBorders>
              <w:left w:val="single" w:sz="4" w:space="0" w:color="auto"/>
              <w:bottom w:val="single" w:sz="4" w:space="0" w:color="auto"/>
              <w:right w:val="single" w:sz="4" w:space="0" w:color="auto"/>
            </w:tcBorders>
            <w:shd w:val="clear" w:color="auto" w:fill="auto"/>
          </w:tcPr>
          <w:p w14:paraId="1F3EADF4"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42A42DE7"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2F81BC9A"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5</w:t>
            </w:r>
          </w:p>
        </w:tc>
        <w:tc>
          <w:tcPr>
            <w:tcW w:w="583" w:type="pct"/>
            <w:vMerge/>
            <w:tcBorders>
              <w:left w:val="single" w:sz="4" w:space="0" w:color="auto"/>
              <w:bottom w:val="single" w:sz="4" w:space="0" w:color="auto"/>
              <w:right w:val="single" w:sz="4" w:space="0" w:color="auto"/>
            </w:tcBorders>
            <w:shd w:val="clear" w:color="auto" w:fill="auto"/>
          </w:tcPr>
          <w:p w14:paraId="1F2D36F0" w14:textId="77777777" w:rsidR="00BA3E40" w:rsidRPr="009A4DCA" w:rsidRDefault="00BA3E40" w:rsidP="00BE2884">
            <w:pPr>
              <w:keepNext/>
              <w:keepLines/>
              <w:ind w:left="-59" w:right="-49"/>
              <w:jc w:val="center"/>
              <w:rPr>
                <w:rFonts w:ascii="Arial Narrow" w:eastAsiaTheme="majorEastAsia" w:hAnsi="Arial Narrow" w:cstheme="majorBidi"/>
                <w:sz w:val="20"/>
                <w:lang w:eastAsia="en-US"/>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14:paraId="24A16A9C"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4</w:t>
            </w:r>
          </w:p>
        </w:tc>
        <w:tc>
          <w:tcPr>
            <w:tcW w:w="400" w:type="pct"/>
            <w:tcBorders>
              <w:top w:val="single" w:sz="4" w:space="0" w:color="auto"/>
              <w:left w:val="single" w:sz="4" w:space="0" w:color="auto"/>
              <w:bottom w:val="single" w:sz="4" w:space="0" w:color="auto"/>
            </w:tcBorders>
            <w:shd w:val="clear" w:color="auto" w:fill="auto"/>
            <w:vAlign w:val="bottom"/>
          </w:tcPr>
          <w:p w14:paraId="5F8398D8" w14:textId="77777777" w:rsidR="00BA3E40" w:rsidRPr="009A4DCA" w:rsidRDefault="00BA3E40"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w:t>
            </w:r>
          </w:p>
        </w:tc>
        <w:tc>
          <w:tcPr>
            <w:tcW w:w="554" w:type="pct"/>
            <w:vMerge/>
            <w:tcBorders>
              <w:left w:val="single" w:sz="4" w:space="0" w:color="auto"/>
              <w:bottom w:val="single" w:sz="4" w:space="0" w:color="auto"/>
            </w:tcBorders>
            <w:shd w:val="clear" w:color="auto" w:fill="auto"/>
          </w:tcPr>
          <w:p w14:paraId="568B7CD2" w14:textId="77777777" w:rsidR="00BA3E40" w:rsidRPr="009A4DCA" w:rsidRDefault="00BA3E40" w:rsidP="00BE2884">
            <w:pPr>
              <w:keepNext/>
              <w:keepLines/>
              <w:ind w:left="-59" w:right="-49"/>
              <w:jc w:val="center"/>
              <w:rPr>
                <w:rFonts w:ascii="Arial Narrow" w:eastAsiaTheme="majorEastAsia" w:hAnsi="Arial Narrow" w:cstheme="majorBidi"/>
                <w:sz w:val="20"/>
                <w:lang w:eastAsia="en-US"/>
              </w:rPr>
            </w:pPr>
          </w:p>
        </w:tc>
      </w:tr>
      <w:tr w:rsidR="00C7280F" w:rsidRPr="009A4DCA" w14:paraId="509E134D" w14:textId="77777777" w:rsidTr="00AC627B">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78D2F8C2" w14:textId="54EBDFE7" w:rsidR="00C7280F" w:rsidRPr="009A4DCA" w:rsidRDefault="00C7280F" w:rsidP="00BE2884">
            <w:pPr>
              <w:keepNext/>
              <w:keepLines/>
              <w:ind w:left="-59"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 episode of RSV-LRTI with ≥3 symptoms</w:t>
            </w:r>
          </w:p>
        </w:tc>
      </w:tr>
      <w:tr w:rsidR="00C7280F" w:rsidRPr="009A4DCA" w14:paraId="2B919E9B" w14:textId="77777777" w:rsidTr="00973287">
        <w:tc>
          <w:tcPr>
            <w:tcW w:w="940" w:type="pct"/>
            <w:tcBorders>
              <w:top w:val="single" w:sz="4" w:space="0" w:color="auto"/>
              <w:bottom w:val="nil"/>
              <w:right w:val="single" w:sz="4" w:space="0" w:color="auto"/>
            </w:tcBorders>
            <w:vAlign w:val="center"/>
          </w:tcPr>
          <w:p w14:paraId="5B574F4E"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w:t>
            </w:r>
          </w:p>
        </w:tc>
        <w:tc>
          <w:tcPr>
            <w:tcW w:w="393" w:type="pct"/>
            <w:tcBorders>
              <w:top w:val="single" w:sz="4" w:space="0" w:color="auto"/>
              <w:left w:val="single" w:sz="4" w:space="0" w:color="auto"/>
              <w:bottom w:val="nil"/>
              <w:right w:val="single" w:sz="4" w:space="0" w:color="auto"/>
            </w:tcBorders>
            <w:shd w:val="clear" w:color="auto" w:fill="auto"/>
          </w:tcPr>
          <w:p w14:paraId="3F8A577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18,050</w:t>
            </w:r>
          </w:p>
        </w:tc>
        <w:tc>
          <w:tcPr>
            <w:tcW w:w="393" w:type="pct"/>
            <w:tcBorders>
              <w:top w:val="single" w:sz="4" w:space="0" w:color="auto"/>
              <w:left w:val="single" w:sz="4" w:space="0" w:color="auto"/>
              <w:bottom w:val="nil"/>
              <w:right w:val="single" w:sz="4" w:space="0" w:color="auto"/>
            </w:tcBorders>
            <w:shd w:val="clear" w:color="auto" w:fill="auto"/>
          </w:tcPr>
          <w:p w14:paraId="394AABA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18,074</w:t>
            </w:r>
          </w:p>
        </w:tc>
        <w:tc>
          <w:tcPr>
            <w:tcW w:w="568" w:type="pct"/>
            <w:tcBorders>
              <w:top w:val="single" w:sz="4" w:space="0" w:color="auto"/>
              <w:left w:val="single" w:sz="4" w:space="0" w:color="auto"/>
              <w:bottom w:val="nil"/>
              <w:right w:val="single" w:sz="4" w:space="0" w:color="auto"/>
            </w:tcBorders>
            <w:shd w:val="clear" w:color="auto" w:fill="auto"/>
          </w:tcPr>
          <w:p w14:paraId="00A6FDD5"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c>
          <w:tcPr>
            <w:tcW w:w="385" w:type="pct"/>
            <w:tcBorders>
              <w:top w:val="single" w:sz="4" w:space="0" w:color="auto"/>
              <w:left w:val="single" w:sz="4" w:space="0" w:color="auto"/>
              <w:bottom w:val="nil"/>
              <w:right w:val="single" w:sz="4" w:space="0" w:color="auto"/>
            </w:tcBorders>
            <w:shd w:val="clear" w:color="auto" w:fill="auto"/>
          </w:tcPr>
          <w:p w14:paraId="21648CA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16,164</w:t>
            </w:r>
          </w:p>
        </w:tc>
        <w:tc>
          <w:tcPr>
            <w:tcW w:w="385" w:type="pct"/>
            <w:tcBorders>
              <w:top w:val="single" w:sz="4" w:space="0" w:color="auto"/>
              <w:left w:val="single" w:sz="4" w:space="0" w:color="auto"/>
              <w:bottom w:val="nil"/>
              <w:right w:val="single" w:sz="4" w:space="0" w:color="auto"/>
            </w:tcBorders>
            <w:shd w:val="clear" w:color="auto" w:fill="auto"/>
          </w:tcPr>
          <w:p w14:paraId="2974A5F5"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16,059</w:t>
            </w:r>
          </w:p>
        </w:tc>
        <w:tc>
          <w:tcPr>
            <w:tcW w:w="583" w:type="pct"/>
            <w:tcBorders>
              <w:top w:val="single" w:sz="4" w:space="0" w:color="auto"/>
              <w:left w:val="single" w:sz="4" w:space="0" w:color="auto"/>
              <w:bottom w:val="nil"/>
              <w:right w:val="single" w:sz="4" w:space="0" w:color="auto"/>
            </w:tcBorders>
            <w:shd w:val="clear" w:color="auto" w:fill="auto"/>
          </w:tcPr>
          <w:p w14:paraId="7B0F6B53"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c>
          <w:tcPr>
            <w:tcW w:w="399" w:type="pct"/>
            <w:tcBorders>
              <w:top w:val="single" w:sz="4" w:space="0" w:color="auto"/>
              <w:left w:val="single" w:sz="4" w:space="0" w:color="auto"/>
              <w:bottom w:val="nil"/>
              <w:right w:val="single" w:sz="4" w:space="0" w:color="auto"/>
            </w:tcBorders>
            <w:shd w:val="clear" w:color="auto" w:fill="auto"/>
          </w:tcPr>
          <w:p w14:paraId="1995440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18,050</w:t>
            </w:r>
          </w:p>
        </w:tc>
        <w:tc>
          <w:tcPr>
            <w:tcW w:w="400" w:type="pct"/>
            <w:tcBorders>
              <w:top w:val="single" w:sz="4" w:space="0" w:color="auto"/>
              <w:left w:val="single" w:sz="4" w:space="0" w:color="auto"/>
              <w:bottom w:val="nil"/>
            </w:tcBorders>
            <w:shd w:val="clear" w:color="auto" w:fill="auto"/>
          </w:tcPr>
          <w:p w14:paraId="0E5EAB5D"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18,074</w:t>
            </w:r>
          </w:p>
        </w:tc>
        <w:tc>
          <w:tcPr>
            <w:tcW w:w="554" w:type="pct"/>
            <w:tcBorders>
              <w:top w:val="single" w:sz="4" w:space="0" w:color="auto"/>
              <w:left w:val="single" w:sz="4" w:space="0" w:color="auto"/>
              <w:bottom w:val="nil"/>
            </w:tcBorders>
            <w:shd w:val="clear" w:color="auto" w:fill="auto"/>
          </w:tcPr>
          <w:p w14:paraId="60E0CFD2"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r>
      <w:tr w:rsidR="00C7280F" w:rsidRPr="009A4DCA" w14:paraId="6883139B" w14:textId="77777777" w:rsidTr="00973287">
        <w:tc>
          <w:tcPr>
            <w:tcW w:w="5000" w:type="pct"/>
            <w:gridSpan w:val="10"/>
            <w:tcBorders>
              <w:top w:val="single" w:sz="4" w:space="0" w:color="auto"/>
              <w:bottom w:val="single" w:sz="4" w:space="0" w:color="auto"/>
            </w:tcBorders>
            <w:shd w:val="clear" w:color="auto" w:fill="auto"/>
            <w:vAlign w:val="center"/>
          </w:tcPr>
          <w:p w14:paraId="0C7E68B1" w14:textId="77777777" w:rsidR="00C7280F" w:rsidRPr="009A4DCA" w:rsidRDefault="00C7280F" w:rsidP="00BE2884">
            <w:pPr>
              <w:keepNext/>
              <w:keepLines/>
              <w:ind w:left="-59"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Subgroups (cases that prompted a healthcare visit(s))</w:t>
            </w:r>
          </w:p>
        </w:tc>
      </w:tr>
      <w:tr w:rsidR="00C7280F" w:rsidRPr="009A4DCA" w14:paraId="7FCA839E" w14:textId="77777777" w:rsidTr="00973287">
        <w:tc>
          <w:tcPr>
            <w:tcW w:w="940" w:type="pct"/>
            <w:tcBorders>
              <w:top w:val="single" w:sz="4" w:space="0" w:color="auto"/>
              <w:bottom w:val="single" w:sz="4" w:space="0" w:color="auto"/>
              <w:right w:val="single" w:sz="4" w:space="0" w:color="auto"/>
            </w:tcBorders>
            <w:shd w:val="clear" w:color="auto" w:fill="auto"/>
            <w:vAlign w:val="center"/>
          </w:tcPr>
          <w:p w14:paraId="07942230"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Adults aged ≥ 75 y, N</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58F04F1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2892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16174CC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2904</w:t>
            </w:r>
          </w:p>
        </w:tc>
        <w:tc>
          <w:tcPr>
            <w:tcW w:w="568" w:type="pct"/>
            <w:vMerge w:val="restart"/>
            <w:tcBorders>
              <w:top w:val="single" w:sz="4" w:space="0" w:color="auto"/>
              <w:left w:val="single" w:sz="4" w:space="0" w:color="auto"/>
              <w:right w:val="single" w:sz="4" w:space="0" w:color="auto"/>
            </w:tcBorders>
            <w:shd w:val="clear" w:color="auto" w:fill="auto"/>
            <w:vAlign w:val="bottom"/>
          </w:tcPr>
          <w:p w14:paraId="16E80CFD" w14:textId="77777777" w:rsidR="00C7280F" w:rsidRPr="009A4DCA" w:rsidRDefault="00C7280F" w:rsidP="00BE2884">
            <w:pPr>
              <w:keepNext/>
              <w:keepLines/>
              <w:ind w:left="-115" w:right="-113"/>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100 </w:t>
            </w:r>
            <w:r w:rsidRPr="009A4DCA">
              <w:rPr>
                <w:rFonts w:ascii="Arial Narrow" w:eastAsiaTheme="majorEastAsia" w:hAnsi="Arial Narrow" w:cstheme="majorBidi"/>
                <w:bCs/>
                <w:sz w:val="20"/>
                <w:lang w:eastAsia="en-US"/>
              </w:rPr>
              <w:br/>
              <w:t>(-142.0, 100.0)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5F46F1F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2486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3FBD8971"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2477</w:t>
            </w:r>
          </w:p>
        </w:tc>
        <w:tc>
          <w:tcPr>
            <w:tcW w:w="583" w:type="pct"/>
            <w:vMerge w:val="restart"/>
            <w:tcBorders>
              <w:top w:val="single" w:sz="4" w:space="0" w:color="auto"/>
              <w:left w:val="single" w:sz="4" w:space="0" w:color="auto"/>
              <w:right w:val="single" w:sz="4" w:space="0" w:color="auto"/>
            </w:tcBorders>
            <w:shd w:val="clear" w:color="auto" w:fill="auto"/>
            <w:vAlign w:val="bottom"/>
          </w:tcPr>
          <w:p w14:paraId="654E7F6D" w14:textId="77777777" w:rsidR="00C7280F" w:rsidRPr="009A4DCA" w:rsidRDefault="00C7280F" w:rsidP="00BE2884">
            <w:pPr>
              <w:keepNext/>
              <w:keepLines/>
              <w:ind w:left="-59" w:right="-113"/>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33.3 </w:t>
            </w:r>
            <w:r w:rsidRPr="009A4DCA">
              <w:rPr>
                <w:rFonts w:ascii="Arial Narrow" w:eastAsiaTheme="majorEastAsia" w:hAnsi="Arial Narrow" w:cstheme="majorBidi"/>
                <w:bCs/>
                <w:sz w:val="20"/>
                <w:lang w:eastAsia="en-US"/>
              </w:rPr>
              <w:br/>
              <w:t>(-482.0, 94.4)</w:t>
            </w:r>
          </w:p>
        </w:tc>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14:paraId="0F7B6E7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2892</w:t>
            </w:r>
          </w:p>
        </w:tc>
        <w:tc>
          <w:tcPr>
            <w:tcW w:w="400" w:type="pct"/>
            <w:tcBorders>
              <w:top w:val="single" w:sz="4" w:space="0" w:color="auto"/>
              <w:left w:val="single" w:sz="4" w:space="0" w:color="auto"/>
              <w:bottom w:val="single" w:sz="4" w:space="0" w:color="auto"/>
            </w:tcBorders>
            <w:shd w:val="clear" w:color="auto" w:fill="auto"/>
            <w:vAlign w:val="bottom"/>
          </w:tcPr>
          <w:p w14:paraId="0D4973F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2904</w:t>
            </w:r>
          </w:p>
        </w:tc>
        <w:tc>
          <w:tcPr>
            <w:tcW w:w="554" w:type="pct"/>
            <w:vMerge w:val="restart"/>
            <w:tcBorders>
              <w:top w:val="single" w:sz="4" w:space="0" w:color="auto"/>
              <w:left w:val="single" w:sz="4" w:space="0" w:color="auto"/>
            </w:tcBorders>
            <w:shd w:val="clear" w:color="auto" w:fill="auto"/>
            <w:vAlign w:val="bottom"/>
          </w:tcPr>
          <w:p w14:paraId="55F3A9EB" w14:textId="77777777" w:rsidR="00C7280F" w:rsidRPr="009A4DCA" w:rsidRDefault="00C7280F" w:rsidP="00BE2884">
            <w:pPr>
              <w:keepNext/>
              <w:keepLines/>
              <w:ind w:left="-59" w:right="-113"/>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66.7 </w:t>
            </w:r>
            <w:r w:rsidRPr="009A4DCA">
              <w:rPr>
                <w:rFonts w:ascii="Arial Narrow" w:eastAsiaTheme="majorEastAsia" w:hAnsi="Arial Narrow" w:cstheme="majorBidi"/>
                <w:bCs/>
                <w:sz w:val="20"/>
                <w:lang w:eastAsia="en-US"/>
              </w:rPr>
              <w:br/>
              <w:t>(-86.4, 96.7)</w:t>
            </w:r>
          </w:p>
        </w:tc>
      </w:tr>
      <w:tr w:rsidR="00C7280F" w:rsidRPr="009A4DCA" w14:paraId="77420DF5" w14:textId="77777777" w:rsidTr="00973287">
        <w:tc>
          <w:tcPr>
            <w:tcW w:w="940" w:type="pct"/>
            <w:tcBorders>
              <w:top w:val="single" w:sz="4" w:space="0" w:color="auto"/>
              <w:bottom w:val="single" w:sz="4" w:space="0" w:color="auto"/>
              <w:right w:val="single" w:sz="4" w:space="0" w:color="auto"/>
            </w:tcBorders>
            <w:shd w:val="clear" w:color="auto" w:fill="auto"/>
            <w:vAlign w:val="center"/>
          </w:tcPr>
          <w:p w14:paraId="17285024"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Cases, n</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09745C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465CAED2"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w:t>
            </w:r>
          </w:p>
        </w:tc>
        <w:tc>
          <w:tcPr>
            <w:tcW w:w="568" w:type="pct"/>
            <w:vMerge/>
            <w:tcBorders>
              <w:left w:val="single" w:sz="4" w:space="0" w:color="auto"/>
              <w:bottom w:val="single" w:sz="4" w:space="0" w:color="auto"/>
              <w:right w:val="single" w:sz="4" w:space="0" w:color="auto"/>
            </w:tcBorders>
            <w:shd w:val="clear" w:color="auto" w:fill="auto"/>
          </w:tcPr>
          <w:p w14:paraId="6CAB8BB9" w14:textId="77777777" w:rsidR="00C7280F" w:rsidRPr="009A4DCA" w:rsidRDefault="00C7280F" w:rsidP="00BE2884">
            <w:pPr>
              <w:keepNext/>
              <w:keepLines/>
              <w:ind w:left="-59" w:right="-113"/>
              <w:jc w:val="center"/>
              <w:rPr>
                <w:rFonts w:ascii="Arial Narrow" w:eastAsiaTheme="majorEastAsia" w:hAnsi="Arial Narrow" w:cstheme="majorBidi"/>
                <w:bCs/>
                <w:sz w:val="20"/>
                <w:lang w:eastAsia="en-US"/>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C1C30E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08D72D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3</w:t>
            </w:r>
          </w:p>
        </w:tc>
        <w:tc>
          <w:tcPr>
            <w:tcW w:w="583" w:type="pct"/>
            <w:vMerge/>
            <w:tcBorders>
              <w:left w:val="single" w:sz="4" w:space="0" w:color="auto"/>
              <w:bottom w:val="single" w:sz="4" w:space="0" w:color="auto"/>
              <w:right w:val="single" w:sz="4" w:space="0" w:color="auto"/>
            </w:tcBorders>
            <w:shd w:val="clear" w:color="auto" w:fill="auto"/>
          </w:tcPr>
          <w:p w14:paraId="3D7ADF1F" w14:textId="77777777" w:rsidR="00C7280F" w:rsidRPr="009A4DCA" w:rsidRDefault="00C7280F" w:rsidP="00BE2884">
            <w:pPr>
              <w:keepNext/>
              <w:keepLines/>
              <w:ind w:left="-59" w:right="-113"/>
              <w:jc w:val="center"/>
              <w:rPr>
                <w:rFonts w:ascii="Arial Narrow" w:eastAsiaTheme="majorEastAsia" w:hAnsi="Arial Narrow" w:cstheme="majorBidi"/>
                <w:bCs/>
                <w:sz w:val="20"/>
                <w:lang w:eastAsia="en-US"/>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DCE734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w:t>
            </w:r>
          </w:p>
        </w:tc>
        <w:tc>
          <w:tcPr>
            <w:tcW w:w="400" w:type="pct"/>
            <w:tcBorders>
              <w:top w:val="single" w:sz="4" w:space="0" w:color="auto"/>
              <w:left w:val="single" w:sz="4" w:space="0" w:color="auto"/>
              <w:bottom w:val="single" w:sz="4" w:space="0" w:color="auto"/>
            </w:tcBorders>
            <w:shd w:val="clear" w:color="auto" w:fill="auto"/>
            <w:vAlign w:val="center"/>
          </w:tcPr>
          <w:p w14:paraId="6428CAB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w:t>
            </w:r>
          </w:p>
        </w:tc>
        <w:tc>
          <w:tcPr>
            <w:tcW w:w="554" w:type="pct"/>
            <w:vMerge/>
            <w:tcBorders>
              <w:left w:val="single" w:sz="4" w:space="0" w:color="auto"/>
              <w:bottom w:val="single" w:sz="4" w:space="0" w:color="auto"/>
            </w:tcBorders>
            <w:shd w:val="clear" w:color="auto" w:fill="auto"/>
          </w:tcPr>
          <w:p w14:paraId="0BF5FEF1" w14:textId="77777777" w:rsidR="00C7280F" w:rsidRPr="009A4DCA" w:rsidRDefault="00C7280F" w:rsidP="00BE2884">
            <w:pPr>
              <w:keepNext/>
              <w:keepLines/>
              <w:ind w:left="-59" w:right="-113"/>
              <w:jc w:val="center"/>
              <w:rPr>
                <w:rFonts w:ascii="Arial Narrow" w:eastAsiaTheme="majorEastAsia" w:hAnsi="Arial Narrow" w:cstheme="majorBidi"/>
                <w:bCs/>
                <w:sz w:val="20"/>
                <w:lang w:eastAsia="en-US"/>
              </w:rPr>
            </w:pPr>
          </w:p>
        </w:tc>
      </w:tr>
      <w:tr w:rsidR="00C7280F" w:rsidRPr="009A4DCA" w14:paraId="75A9BFAC" w14:textId="77777777" w:rsidTr="00AC627B">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3C1E68DD" w14:textId="552CFE67" w:rsidR="00C7280F" w:rsidRPr="009A4DCA" w:rsidRDefault="00C7280F" w:rsidP="00BE2884">
            <w:pPr>
              <w:keepNext/>
              <w:keepLines/>
              <w:ind w:left="-59" w:right="-49"/>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First-episode of RSV</w:t>
            </w:r>
            <w:r w:rsidR="00377FF6" w:rsidRPr="009A4DCA">
              <w:rPr>
                <w:rFonts w:ascii="Arial Narrow" w:eastAsiaTheme="majorEastAsia" w:hAnsi="Arial Narrow" w:cstheme="majorBidi"/>
                <w:b/>
                <w:bCs/>
                <w:sz w:val="20"/>
                <w:lang w:eastAsia="en-US"/>
              </w:rPr>
              <w:t>-ARI</w:t>
            </w:r>
          </w:p>
        </w:tc>
      </w:tr>
      <w:tr w:rsidR="00C7280F" w:rsidRPr="009A4DCA" w14:paraId="4412C14A" w14:textId="77777777" w:rsidTr="00973287">
        <w:tc>
          <w:tcPr>
            <w:tcW w:w="940" w:type="pct"/>
            <w:tcBorders>
              <w:top w:val="single" w:sz="4" w:space="0" w:color="auto"/>
              <w:bottom w:val="nil"/>
              <w:right w:val="single" w:sz="4" w:space="0" w:color="auto"/>
            </w:tcBorders>
            <w:vAlign w:val="center"/>
          </w:tcPr>
          <w:p w14:paraId="0C2B1E14"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N</w:t>
            </w:r>
          </w:p>
        </w:tc>
        <w:tc>
          <w:tcPr>
            <w:tcW w:w="393" w:type="pct"/>
            <w:tcBorders>
              <w:top w:val="single" w:sz="4" w:space="0" w:color="auto"/>
              <w:left w:val="single" w:sz="4" w:space="0" w:color="auto"/>
              <w:bottom w:val="nil"/>
              <w:right w:val="single" w:sz="4" w:space="0" w:color="auto"/>
            </w:tcBorders>
            <w:shd w:val="clear" w:color="auto" w:fill="auto"/>
          </w:tcPr>
          <w:p w14:paraId="6D2D8AA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18,050</w:t>
            </w:r>
          </w:p>
        </w:tc>
        <w:tc>
          <w:tcPr>
            <w:tcW w:w="393" w:type="pct"/>
            <w:tcBorders>
              <w:top w:val="single" w:sz="4" w:space="0" w:color="auto"/>
              <w:left w:val="single" w:sz="4" w:space="0" w:color="auto"/>
              <w:bottom w:val="nil"/>
              <w:right w:val="single" w:sz="4" w:space="0" w:color="auto"/>
            </w:tcBorders>
            <w:shd w:val="clear" w:color="auto" w:fill="auto"/>
          </w:tcPr>
          <w:p w14:paraId="072D1B03"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18,074</w:t>
            </w:r>
          </w:p>
        </w:tc>
        <w:tc>
          <w:tcPr>
            <w:tcW w:w="568" w:type="pct"/>
            <w:tcBorders>
              <w:top w:val="single" w:sz="4" w:space="0" w:color="auto"/>
              <w:left w:val="single" w:sz="4" w:space="0" w:color="auto"/>
              <w:bottom w:val="nil"/>
              <w:right w:val="single" w:sz="4" w:space="0" w:color="auto"/>
            </w:tcBorders>
            <w:shd w:val="clear" w:color="auto" w:fill="auto"/>
          </w:tcPr>
          <w:p w14:paraId="6871FCC2"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c>
          <w:tcPr>
            <w:tcW w:w="385" w:type="pct"/>
            <w:tcBorders>
              <w:top w:val="single" w:sz="4" w:space="0" w:color="auto"/>
              <w:left w:val="single" w:sz="4" w:space="0" w:color="auto"/>
              <w:bottom w:val="nil"/>
              <w:right w:val="single" w:sz="4" w:space="0" w:color="auto"/>
            </w:tcBorders>
            <w:shd w:val="clear" w:color="auto" w:fill="auto"/>
          </w:tcPr>
          <w:p w14:paraId="77FA80EE"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16,164</w:t>
            </w:r>
          </w:p>
        </w:tc>
        <w:tc>
          <w:tcPr>
            <w:tcW w:w="385" w:type="pct"/>
            <w:tcBorders>
              <w:top w:val="single" w:sz="4" w:space="0" w:color="auto"/>
              <w:left w:val="single" w:sz="4" w:space="0" w:color="auto"/>
              <w:bottom w:val="nil"/>
              <w:right w:val="single" w:sz="4" w:space="0" w:color="auto"/>
            </w:tcBorders>
            <w:shd w:val="clear" w:color="auto" w:fill="auto"/>
          </w:tcPr>
          <w:p w14:paraId="60311E39"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16,059</w:t>
            </w:r>
          </w:p>
        </w:tc>
        <w:tc>
          <w:tcPr>
            <w:tcW w:w="583" w:type="pct"/>
            <w:tcBorders>
              <w:top w:val="single" w:sz="4" w:space="0" w:color="auto"/>
              <w:left w:val="single" w:sz="4" w:space="0" w:color="auto"/>
              <w:bottom w:val="nil"/>
              <w:right w:val="single" w:sz="4" w:space="0" w:color="auto"/>
            </w:tcBorders>
            <w:shd w:val="clear" w:color="auto" w:fill="auto"/>
          </w:tcPr>
          <w:p w14:paraId="576162F9"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c>
          <w:tcPr>
            <w:tcW w:w="399" w:type="pct"/>
            <w:tcBorders>
              <w:top w:val="single" w:sz="4" w:space="0" w:color="auto"/>
              <w:left w:val="single" w:sz="4" w:space="0" w:color="auto"/>
              <w:bottom w:val="nil"/>
              <w:right w:val="single" w:sz="4" w:space="0" w:color="auto"/>
            </w:tcBorders>
            <w:shd w:val="clear" w:color="auto" w:fill="auto"/>
          </w:tcPr>
          <w:p w14:paraId="4E1EC45F"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18,050</w:t>
            </w:r>
          </w:p>
        </w:tc>
        <w:tc>
          <w:tcPr>
            <w:tcW w:w="400" w:type="pct"/>
            <w:tcBorders>
              <w:top w:val="single" w:sz="4" w:space="0" w:color="auto"/>
              <w:left w:val="single" w:sz="4" w:space="0" w:color="auto"/>
              <w:bottom w:val="nil"/>
            </w:tcBorders>
            <w:shd w:val="clear" w:color="auto" w:fill="auto"/>
          </w:tcPr>
          <w:p w14:paraId="0D604928"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18,074</w:t>
            </w:r>
          </w:p>
        </w:tc>
        <w:tc>
          <w:tcPr>
            <w:tcW w:w="554" w:type="pct"/>
            <w:tcBorders>
              <w:top w:val="single" w:sz="4" w:space="0" w:color="auto"/>
              <w:left w:val="single" w:sz="4" w:space="0" w:color="auto"/>
              <w:bottom w:val="nil"/>
            </w:tcBorders>
            <w:shd w:val="clear" w:color="auto" w:fill="auto"/>
          </w:tcPr>
          <w:p w14:paraId="41E33270"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r>
      <w:tr w:rsidR="00C7280F" w:rsidRPr="009A4DCA" w14:paraId="480DC245" w14:textId="77777777" w:rsidTr="00973287">
        <w:trPr>
          <w:trHeight w:val="114"/>
        </w:trPr>
        <w:tc>
          <w:tcPr>
            <w:tcW w:w="5000" w:type="pct"/>
            <w:gridSpan w:val="10"/>
            <w:tcBorders>
              <w:top w:val="single" w:sz="4" w:space="0" w:color="auto"/>
              <w:bottom w:val="single" w:sz="4" w:space="0" w:color="auto"/>
            </w:tcBorders>
            <w:shd w:val="clear" w:color="auto" w:fill="auto"/>
            <w:vAlign w:val="center"/>
          </w:tcPr>
          <w:p w14:paraId="1E8DFC1E" w14:textId="77777777" w:rsidR="00C7280F" w:rsidRPr="009A4DCA" w:rsidRDefault="00C7280F" w:rsidP="00BE2884">
            <w:pPr>
              <w:keepNext/>
              <w:keepLines/>
              <w:ind w:left="-59"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Subgroups (cases that prompted a healthcare visit(s))</w:t>
            </w:r>
          </w:p>
        </w:tc>
      </w:tr>
      <w:tr w:rsidR="00C7280F" w:rsidRPr="009A4DCA" w14:paraId="0E73FBBA" w14:textId="77777777" w:rsidTr="00973287">
        <w:tc>
          <w:tcPr>
            <w:tcW w:w="940" w:type="pct"/>
            <w:tcBorders>
              <w:top w:val="single" w:sz="4" w:space="0" w:color="auto"/>
              <w:bottom w:val="single" w:sz="4" w:space="0" w:color="auto"/>
              <w:right w:val="single" w:sz="4" w:space="0" w:color="auto"/>
            </w:tcBorders>
            <w:shd w:val="clear" w:color="auto" w:fill="auto"/>
            <w:vAlign w:val="center"/>
          </w:tcPr>
          <w:p w14:paraId="52E2B3D2" w14:textId="77777777" w:rsidR="00C7280F" w:rsidRPr="009A4DCA" w:rsidRDefault="00C7280F" w:rsidP="00BE2884">
            <w:pPr>
              <w:keepNext/>
              <w:keepLines/>
              <w:ind w:right="-183"/>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Adults aged ≥ 75 y, N</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5E196890"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2892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14:paraId="0FCD3E06"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2904</w:t>
            </w:r>
          </w:p>
        </w:tc>
        <w:tc>
          <w:tcPr>
            <w:tcW w:w="568" w:type="pct"/>
            <w:vMerge w:val="restart"/>
            <w:tcBorders>
              <w:top w:val="single" w:sz="4" w:space="0" w:color="auto"/>
              <w:left w:val="single" w:sz="4" w:space="0" w:color="auto"/>
              <w:right w:val="single" w:sz="4" w:space="0" w:color="auto"/>
            </w:tcBorders>
            <w:shd w:val="clear" w:color="auto" w:fill="auto"/>
            <w:vAlign w:val="bottom"/>
          </w:tcPr>
          <w:p w14:paraId="4FD11A43"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87.5 </w:t>
            </w:r>
            <w:r w:rsidRPr="009A4DCA">
              <w:rPr>
                <w:rFonts w:ascii="Arial Narrow" w:eastAsiaTheme="majorEastAsia" w:hAnsi="Arial Narrow" w:cstheme="majorBidi"/>
                <w:b/>
                <w:sz w:val="20"/>
                <w:lang w:eastAsia="en-US"/>
              </w:rPr>
              <w:br/>
              <w:t>(6.8, 99.7)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23E94B0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2486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14:paraId="47EFA7A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2477</w:t>
            </w:r>
          </w:p>
        </w:tc>
        <w:tc>
          <w:tcPr>
            <w:tcW w:w="583" w:type="pct"/>
            <w:vMerge w:val="restart"/>
            <w:tcBorders>
              <w:top w:val="single" w:sz="4" w:space="0" w:color="auto"/>
              <w:left w:val="single" w:sz="4" w:space="0" w:color="auto"/>
              <w:right w:val="single" w:sz="4" w:space="0" w:color="auto"/>
            </w:tcBorders>
            <w:shd w:val="clear" w:color="auto" w:fill="auto"/>
            <w:vAlign w:val="bottom"/>
          </w:tcPr>
          <w:p w14:paraId="4FFF8B48" w14:textId="77777777" w:rsidR="00C7280F" w:rsidRPr="009A4DCA" w:rsidRDefault="00C7280F" w:rsidP="00BE2884">
            <w:pPr>
              <w:keepNext/>
              <w:keepLines/>
              <w:ind w:left="-59" w:right="-113"/>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 xml:space="preserve">50 </w:t>
            </w:r>
            <w:r w:rsidRPr="009A4DCA">
              <w:rPr>
                <w:rFonts w:ascii="Arial Narrow" w:eastAsiaTheme="majorEastAsia" w:hAnsi="Arial Narrow" w:cstheme="majorBidi"/>
                <w:bCs/>
                <w:sz w:val="20"/>
                <w:lang w:eastAsia="en-US"/>
              </w:rPr>
              <w:br/>
              <w:t>(-43.9, 84.6)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14:paraId="198F2C4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2892</w:t>
            </w:r>
          </w:p>
        </w:tc>
        <w:tc>
          <w:tcPr>
            <w:tcW w:w="400" w:type="pct"/>
            <w:tcBorders>
              <w:top w:val="single" w:sz="4" w:space="0" w:color="auto"/>
              <w:left w:val="single" w:sz="4" w:space="0" w:color="auto"/>
              <w:bottom w:val="single" w:sz="4" w:space="0" w:color="auto"/>
            </w:tcBorders>
            <w:shd w:val="clear" w:color="auto" w:fill="auto"/>
            <w:vAlign w:val="bottom"/>
          </w:tcPr>
          <w:p w14:paraId="24A2D246"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2904</w:t>
            </w:r>
          </w:p>
        </w:tc>
        <w:tc>
          <w:tcPr>
            <w:tcW w:w="554" w:type="pct"/>
            <w:vMerge w:val="restart"/>
            <w:tcBorders>
              <w:top w:val="single" w:sz="4" w:space="0" w:color="auto"/>
              <w:left w:val="single" w:sz="4" w:space="0" w:color="auto"/>
            </w:tcBorders>
            <w:shd w:val="clear" w:color="auto" w:fill="auto"/>
            <w:vAlign w:val="bottom"/>
          </w:tcPr>
          <w:p w14:paraId="15699489"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r w:rsidRPr="009A4DCA">
              <w:rPr>
                <w:rFonts w:ascii="Arial Narrow" w:eastAsiaTheme="majorEastAsia" w:hAnsi="Arial Narrow" w:cstheme="majorBidi"/>
                <w:b/>
                <w:sz w:val="20"/>
                <w:lang w:eastAsia="en-US"/>
              </w:rPr>
              <w:t xml:space="preserve">65.0 </w:t>
            </w:r>
            <w:r w:rsidRPr="009A4DCA">
              <w:rPr>
                <w:rFonts w:ascii="Arial Narrow" w:eastAsiaTheme="majorEastAsia" w:hAnsi="Arial Narrow" w:cstheme="majorBidi"/>
                <w:b/>
                <w:sz w:val="20"/>
                <w:lang w:eastAsia="en-US"/>
              </w:rPr>
              <w:br/>
              <w:t>(13.8, 87.5)</w:t>
            </w:r>
          </w:p>
        </w:tc>
      </w:tr>
      <w:tr w:rsidR="00C7280F" w:rsidRPr="009A4DCA" w14:paraId="795CC6B1" w14:textId="77777777" w:rsidTr="00973287">
        <w:tc>
          <w:tcPr>
            <w:tcW w:w="940" w:type="pct"/>
            <w:tcBorders>
              <w:top w:val="single" w:sz="4" w:space="0" w:color="auto"/>
              <w:bottom w:val="single" w:sz="4" w:space="0" w:color="auto"/>
              <w:right w:val="single" w:sz="4" w:space="0" w:color="auto"/>
            </w:tcBorders>
            <w:shd w:val="clear" w:color="auto" w:fill="auto"/>
            <w:vAlign w:val="center"/>
          </w:tcPr>
          <w:p w14:paraId="128CCBA4" w14:textId="77777777" w:rsidR="00C7280F" w:rsidRPr="009A4DCA" w:rsidRDefault="00C7280F" w:rsidP="00BE2884">
            <w:pPr>
              <w:keepNext/>
              <w:keepLines/>
              <w:ind w:right="-49"/>
              <w:jc w:val="left"/>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Cases, n</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E6D077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7C4B64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8</w:t>
            </w:r>
          </w:p>
        </w:tc>
        <w:tc>
          <w:tcPr>
            <w:tcW w:w="568" w:type="pct"/>
            <w:vMerge/>
            <w:tcBorders>
              <w:left w:val="single" w:sz="4" w:space="0" w:color="auto"/>
              <w:bottom w:val="single" w:sz="4" w:space="0" w:color="auto"/>
              <w:right w:val="single" w:sz="4" w:space="0" w:color="auto"/>
            </w:tcBorders>
            <w:shd w:val="clear" w:color="auto" w:fill="auto"/>
          </w:tcPr>
          <w:p w14:paraId="50927FCA"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F3D3DBA"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B75DE24"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12</w:t>
            </w:r>
          </w:p>
        </w:tc>
        <w:tc>
          <w:tcPr>
            <w:tcW w:w="583" w:type="pct"/>
            <w:vMerge/>
            <w:tcBorders>
              <w:left w:val="single" w:sz="4" w:space="0" w:color="auto"/>
              <w:bottom w:val="single" w:sz="4" w:space="0" w:color="auto"/>
              <w:right w:val="single" w:sz="4" w:space="0" w:color="auto"/>
            </w:tcBorders>
            <w:shd w:val="clear" w:color="auto" w:fill="auto"/>
          </w:tcPr>
          <w:p w14:paraId="43D7CF30" w14:textId="77777777" w:rsidR="00C7280F" w:rsidRPr="009A4DCA" w:rsidRDefault="00C7280F" w:rsidP="00BE2884">
            <w:pPr>
              <w:keepNext/>
              <w:keepLines/>
              <w:ind w:left="-59" w:right="-113"/>
              <w:jc w:val="center"/>
              <w:rPr>
                <w:rFonts w:ascii="Arial Narrow" w:eastAsiaTheme="majorEastAsia" w:hAnsi="Arial Narrow" w:cstheme="majorBidi"/>
                <w:bCs/>
                <w:sz w:val="20"/>
                <w:lang w:eastAsia="en-US"/>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934428C"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7</w:t>
            </w:r>
          </w:p>
        </w:tc>
        <w:tc>
          <w:tcPr>
            <w:tcW w:w="400" w:type="pct"/>
            <w:tcBorders>
              <w:top w:val="single" w:sz="4" w:space="0" w:color="auto"/>
              <w:left w:val="single" w:sz="4" w:space="0" w:color="auto"/>
              <w:bottom w:val="single" w:sz="4" w:space="0" w:color="auto"/>
            </w:tcBorders>
            <w:shd w:val="clear" w:color="auto" w:fill="auto"/>
            <w:vAlign w:val="center"/>
          </w:tcPr>
          <w:p w14:paraId="74E9D417" w14:textId="77777777" w:rsidR="00C7280F" w:rsidRPr="009A4DCA" w:rsidRDefault="00C7280F" w:rsidP="00BE2884">
            <w:pPr>
              <w:keepNext/>
              <w:keepLines/>
              <w:ind w:left="-59" w:right="-49"/>
              <w:jc w:val="center"/>
              <w:rPr>
                <w:rFonts w:ascii="Arial Narrow" w:eastAsiaTheme="majorEastAsia" w:hAnsi="Arial Narrow" w:cstheme="majorBidi"/>
                <w:bCs/>
                <w:sz w:val="20"/>
                <w:lang w:eastAsia="en-US"/>
              </w:rPr>
            </w:pPr>
            <w:r w:rsidRPr="009A4DCA">
              <w:rPr>
                <w:rFonts w:ascii="Arial Narrow" w:eastAsiaTheme="majorEastAsia" w:hAnsi="Arial Narrow" w:cstheme="majorBidi"/>
                <w:bCs/>
                <w:sz w:val="20"/>
                <w:lang w:eastAsia="en-US"/>
              </w:rPr>
              <w:t>20</w:t>
            </w:r>
          </w:p>
        </w:tc>
        <w:tc>
          <w:tcPr>
            <w:tcW w:w="554" w:type="pct"/>
            <w:vMerge/>
            <w:tcBorders>
              <w:left w:val="single" w:sz="4" w:space="0" w:color="auto"/>
              <w:bottom w:val="single" w:sz="4" w:space="0" w:color="auto"/>
            </w:tcBorders>
            <w:shd w:val="clear" w:color="auto" w:fill="auto"/>
          </w:tcPr>
          <w:p w14:paraId="497A7163" w14:textId="77777777" w:rsidR="00C7280F" w:rsidRPr="009A4DCA" w:rsidRDefault="00C7280F" w:rsidP="00BE2884">
            <w:pPr>
              <w:keepNext/>
              <w:keepLines/>
              <w:ind w:left="-59" w:right="-49"/>
              <w:jc w:val="center"/>
              <w:rPr>
                <w:rFonts w:ascii="Arial Narrow" w:eastAsiaTheme="majorEastAsia" w:hAnsi="Arial Narrow" w:cstheme="majorBidi"/>
                <w:b/>
                <w:sz w:val="20"/>
                <w:lang w:eastAsia="en-US"/>
              </w:rPr>
            </w:pPr>
          </w:p>
        </w:tc>
      </w:tr>
    </w:tbl>
    <w:p w14:paraId="773F6B6F" w14:textId="0A3347AE" w:rsidR="00C7280F" w:rsidRPr="009A4DCA" w:rsidRDefault="00C7280F" w:rsidP="00BE2884">
      <w:pPr>
        <w:pStyle w:val="FooterTableFigure"/>
        <w:keepNext/>
        <w:keepLines/>
        <w:rPr>
          <w:rFonts w:eastAsia="Calibri"/>
        </w:rPr>
      </w:pPr>
      <w:r w:rsidRPr="009A4DCA">
        <w:rPr>
          <w:rFonts w:eastAsia="Calibri"/>
        </w:rPr>
        <w:t xml:space="preserve">Source: Table 2.5.7 p70 of the submission; </w:t>
      </w:r>
      <w:r w:rsidRPr="009A4DCA">
        <w:t xml:space="preserve">RENOIR EOS 2 efficacy tables, Table 18.18, Table 18.28 and Table 18.38. </w:t>
      </w:r>
    </w:p>
    <w:p w14:paraId="34CA2313" w14:textId="77777777" w:rsidR="00B569FC" w:rsidRPr="009A4DCA" w:rsidRDefault="003F2A73" w:rsidP="00BE2884">
      <w:pPr>
        <w:pStyle w:val="FooterTableFigure"/>
        <w:keepNext/>
        <w:keepLines/>
        <w:rPr>
          <w:rFonts w:eastAsia="Calibri"/>
        </w:rPr>
      </w:pPr>
      <w:r w:rsidRPr="009A4DCA">
        <w:rPr>
          <w:rFonts w:eastAsia="Calibri"/>
        </w:rPr>
        <w:t xml:space="preserve">ARI = Acute respiratory illness; </w:t>
      </w:r>
      <w:r w:rsidR="00C7280F" w:rsidRPr="009A4DCA">
        <w:rPr>
          <w:rFonts w:eastAsia="Calibri"/>
        </w:rPr>
        <w:t>CI = confidence interval; IR = incidence rate; LRTI = lower respiratory tract i</w:t>
      </w:r>
      <w:r w:rsidR="00C57FA0" w:rsidRPr="009A4DCA">
        <w:rPr>
          <w:rFonts w:eastAsia="Calibri"/>
        </w:rPr>
        <w:t>llness</w:t>
      </w:r>
      <w:r w:rsidR="00C7280F" w:rsidRPr="009A4DCA">
        <w:rPr>
          <w:rFonts w:eastAsia="Calibri"/>
        </w:rPr>
        <w:t xml:space="preserve">; </w:t>
      </w:r>
      <w:r w:rsidRPr="009A4DCA">
        <w:rPr>
          <w:rFonts w:eastAsia="Calibri"/>
        </w:rPr>
        <w:t xml:space="preserve">mL = millilitre; </w:t>
      </w:r>
      <w:r w:rsidR="00C7280F" w:rsidRPr="009A4DCA">
        <w:rPr>
          <w:rFonts w:eastAsia="Calibri"/>
        </w:rPr>
        <w:t xml:space="preserve">n = number of participants with event; N = total participants in group; NP = Not performed due to insufficient numbers; NR = not reported; PBO = placebo; RSV = respiratory syncytial virus; </w:t>
      </w:r>
      <w:r w:rsidRPr="009A4DCA">
        <w:rPr>
          <w:rFonts w:eastAsia="Calibri"/>
        </w:rPr>
        <w:t xml:space="preserve">RSVpreF = </w:t>
      </w:r>
      <w:r w:rsidRPr="009A4DCA">
        <w:t>recombinant RSV prefusion F protein vaccine</w:t>
      </w:r>
      <w:r w:rsidRPr="009A4DCA">
        <w:rPr>
          <w:rFonts w:eastAsia="Calibri"/>
        </w:rPr>
        <w:t xml:space="preserve">; </w:t>
      </w:r>
      <w:r w:rsidR="00C7280F" w:rsidRPr="009A4DCA">
        <w:rPr>
          <w:rFonts w:eastAsia="Calibri"/>
        </w:rPr>
        <w:t>VE = vaccine efficacy</w:t>
      </w:r>
      <w:r w:rsidRPr="009A4DCA">
        <w:rPr>
          <w:rFonts w:eastAsia="Calibri"/>
        </w:rPr>
        <w:t>; y = years.</w:t>
      </w:r>
      <w:r w:rsidR="00C7280F" w:rsidRPr="009A4DCA">
        <w:rPr>
          <w:rFonts w:eastAsia="Calibri"/>
        </w:rPr>
        <w:t xml:space="preserve"> </w:t>
      </w:r>
    </w:p>
    <w:p w14:paraId="1D40153D" w14:textId="22B5D571" w:rsidR="00C7280F" w:rsidRPr="009A4DCA" w:rsidRDefault="00C7280F" w:rsidP="00BE2884">
      <w:pPr>
        <w:pStyle w:val="FooterTableFigure"/>
        <w:keepNext/>
        <w:keepLines/>
        <w:rPr>
          <w:rFonts w:eastAsia="Calibri"/>
        </w:rPr>
      </w:pPr>
      <w:r w:rsidRPr="009A4DCA">
        <w:rPr>
          <w:rFonts w:eastAsia="Calibri"/>
          <w:b/>
        </w:rPr>
        <w:t>Bold</w:t>
      </w:r>
      <w:r w:rsidRPr="009A4DCA">
        <w:rPr>
          <w:rFonts w:eastAsia="Calibri"/>
        </w:rPr>
        <w:t xml:space="preserve"> indicates statistically significant results.</w:t>
      </w:r>
    </w:p>
    <w:p w14:paraId="3E7B91AA" w14:textId="77777777" w:rsidR="00C7280F" w:rsidRPr="009A4DCA" w:rsidRDefault="00C7280F" w:rsidP="00B82D7A">
      <w:pPr>
        <w:pStyle w:val="FooterTableFigure"/>
        <w:keepLines/>
      </w:pPr>
      <w:r w:rsidRPr="009A4DCA">
        <w:t xml:space="preserve">VE = 1 – Risk Ratio. Results were not presented for VE=1-incidence rate, or VE=1-hazard ratio. Risk difference was not presented.  </w:t>
      </w:r>
    </w:p>
    <w:p w14:paraId="3977A2A9" w14:textId="7E959FF2" w:rsidR="00C7280F" w:rsidRPr="009A4DCA" w:rsidRDefault="00C7280F" w:rsidP="00C7280F">
      <w:pPr>
        <w:pStyle w:val="3-BodyText"/>
        <w:numPr>
          <w:ilvl w:val="1"/>
          <w:numId w:val="1"/>
        </w:numPr>
      </w:pPr>
      <w:r w:rsidRPr="009A4DCA">
        <w:t xml:space="preserve">The submission stated that the results for subgroup analyses should be interpreted with caution, due to the limited number of cases and smaller sample sizes for subgroups, which contribute to the wide CI around point estimates reported. </w:t>
      </w:r>
      <w:r w:rsidR="0023375B" w:rsidRPr="009A4DCA">
        <w:t>The evaluation noted that d</w:t>
      </w:r>
      <w:r w:rsidRPr="009A4DCA">
        <w:t xml:space="preserve">ue to the smaller sample size of the population included (relative to the overall study sample), there is an increased risk of type II errors (such as would occur if the trials failed to detect an effect for treatment even where one actually existed). </w:t>
      </w:r>
      <w:r w:rsidR="0023375B" w:rsidRPr="009A4DCA">
        <w:t>The evaluation commented that a</w:t>
      </w:r>
      <w:r w:rsidRPr="009A4DCA">
        <w:t>lthough these subgroup analyses have a higher risk of bias due to the smaller sample sizes, the results for the subgroup of participants aged </w:t>
      </w:r>
      <w:r w:rsidRPr="009A4DCA">
        <w:rPr>
          <w:rFonts w:cstheme="minorHAnsi"/>
        </w:rPr>
        <w:t>≥</w:t>
      </w:r>
      <w:r w:rsidRPr="009A4DCA">
        <w:t>75 years and adults with one or more pre-specified condition are informative for decision making.</w:t>
      </w:r>
    </w:p>
    <w:p w14:paraId="3DA7F3C1" w14:textId="2EDBC1BA" w:rsidR="00C7280F" w:rsidRPr="009A4DCA" w:rsidRDefault="00C7280F" w:rsidP="00C7280F">
      <w:pPr>
        <w:rPr>
          <w:b/>
          <w:bCs/>
        </w:rPr>
      </w:pPr>
      <w:r w:rsidRPr="009A4DCA">
        <w:rPr>
          <w:b/>
          <w:bCs/>
        </w:rPr>
        <w:t>Study 1006</w:t>
      </w:r>
      <w:r w:rsidR="00F75BDD" w:rsidRPr="009A4DCA">
        <w:rPr>
          <w:b/>
          <w:bCs/>
        </w:rPr>
        <w:t>: RSVpreF with SIIV (coadministered or sequential) versus placebo</w:t>
      </w:r>
    </w:p>
    <w:p w14:paraId="5E59FB69" w14:textId="6B995A69" w:rsidR="00C7280F" w:rsidRPr="009A4DCA" w:rsidRDefault="00C7280F" w:rsidP="003A0F9B">
      <w:pPr>
        <w:pStyle w:val="3-BodyText"/>
        <w:numPr>
          <w:ilvl w:val="1"/>
          <w:numId w:val="1"/>
        </w:numPr>
      </w:pPr>
      <w:r w:rsidRPr="009A4DCA">
        <w:t xml:space="preserve">The submission presented further subgroup analyses by age group (65-74 years; </w:t>
      </w:r>
      <w:r w:rsidRPr="009A4DCA">
        <w:rPr>
          <w:rFonts w:cstheme="minorHAnsi"/>
        </w:rPr>
        <w:t>≥</w:t>
      </w:r>
      <w:r w:rsidRPr="009A4DCA">
        <w:t>75</w:t>
      </w:r>
      <w:r w:rsidR="00B82D7A">
        <w:t> </w:t>
      </w:r>
      <w:r w:rsidRPr="009A4DCA">
        <w:t>years) for Study 1006, approximately 20% were aged ≥75 years, and concluded that results for subgroup analyses were similar to the primary analysis. There was no significant difference in the immune response elicited by RSVpreF or SIIV when administered concomitantly versus sequentially, in either age subgroup. The</w:t>
      </w:r>
      <w:r w:rsidR="00E53FBC" w:rsidRPr="009A4DCA">
        <w:t xml:space="preserve"> evaluation noted that the</w:t>
      </w:r>
      <w:r w:rsidRPr="009A4DCA">
        <w:t xml:space="preserve"> results presented for RSVpreF for adults aged ≥75 years did not meet the non-inferiority criterion of the lower limit of the 2-sided 95% CI &gt;0.667. </w:t>
      </w:r>
      <w:r w:rsidR="00E53FBC" w:rsidRPr="009A4DCA">
        <w:t>Notwithstanding, i</w:t>
      </w:r>
      <w:r w:rsidRPr="009A4DCA">
        <w:t xml:space="preserve">n </w:t>
      </w:r>
      <w:r w:rsidR="001B0535" w:rsidRPr="009A4DCA">
        <w:t xml:space="preserve">its </w:t>
      </w:r>
      <w:r w:rsidRPr="009A4DCA">
        <w:t>pre-submission advice, ATAGI noted there is no immediate reason to expect markedly different responses to coadministration of RSV with SIIV across age groups.</w:t>
      </w:r>
    </w:p>
    <w:p w14:paraId="4F280F64" w14:textId="77777777" w:rsidR="00B60939" w:rsidRPr="009A4DCA" w:rsidRDefault="00B60939" w:rsidP="00D86231">
      <w:pPr>
        <w:pStyle w:val="4-SubsectionHeading"/>
      </w:pPr>
      <w:bookmarkStart w:id="41" w:name="_Toc177558740"/>
      <w:r w:rsidRPr="009A4DCA">
        <w:lastRenderedPageBreak/>
        <w:t>Comparative harms</w:t>
      </w:r>
      <w:bookmarkEnd w:id="33"/>
      <w:bookmarkEnd w:id="41"/>
    </w:p>
    <w:p w14:paraId="6E158263" w14:textId="42F5C786" w:rsidR="005356AA" w:rsidRPr="009A4DCA" w:rsidRDefault="005356AA" w:rsidP="005356AA">
      <w:pPr>
        <w:pStyle w:val="3-BodyText"/>
        <w:numPr>
          <w:ilvl w:val="1"/>
          <w:numId w:val="1"/>
        </w:numPr>
      </w:pPr>
      <w:bookmarkStart w:id="42" w:name="_Toc22897643"/>
      <w:r w:rsidRPr="009A4DCA">
        <w:t xml:space="preserve">A summary of safety reported for RENOIR is presented in </w:t>
      </w:r>
      <w:r w:rsidRPr="009A4DCA">
        <w:fldChar w:fldCharType="begin"/>
      </w:r>
      <w:r w:rsidRPr="009A4DCA">
        <w:instrText xml:space="preserve"> REF _Ref165828332 \h </w:instrText>
      </w:r>
      <w:r w:rsidRPr="009A4DCA">
        <w:fldChar w:fldCharType="separate"/>
      </w:r>
      <w:r w:rsidR="007B2F50" w:rsidRPr="009A4DCA">
        <w:t xml:space="preserve">Table </w:t>
      </w:r>
      <w:r w:rsidR="007B2F50">
        <w:rPr>
          <w:noProof/>
        </w:rPr>
        <w:t>10</w:t>
      </w:r>
      <w:r w:rsidRPr="009A4DCA">
        <w:fldChar w:fldCharType="end"/>
      </w:r>
      <w:r w:rsidRPr="009A4DCA">
        <w:t>, with all the safety results of relevance summarised as follows:</w:t>
      </w:r>
    </w:p>
    <w:p w14:paraId="4A380E5E" w14:textId="77777777" w:rsidR="005356AA" w:rsidRPr="009A4DCA" w:rsidRDefault="005356AA" w:rsidP="00C6762E">
      <w:pPr>
        <w:pStyle w:val="3-BodyText"/>
        <w:numPr>
          <w:ilvl w:val="0"/>
          <w:numId w:val="13"/>
        </w:numPr>
        <w:ind w:left="1134"/>
      </w:pPr>
      <w:r w:rsidRPr="009A4DCA">
        <w:t>The proportions of participants reporting any AEs, immediate AEs, and severe AEs within 1-month of vaccination were similar between RSVpreF and placebo in RENOIR.</w:t>
      </w:r>
    </w:p>
    <w:p w14:paraId="638C1678" w14:textId="77777777" w:rsidR="005356AA" w:rsidRPr="009A4DCA" w:rsidRDefault="005356AA" w:rsidP="00C6762E">
      <w:pPr>
        <w:pStyle w:val="3-BodyText"/>
        <w:numPr>
          <w:ilvl w:val="0"/>
          <w:numId w:val="13"/>
        </w:numPr>
        <w:ind w:left="1134"/>
      </w:pPr>
      <w:r w:rsidRPr="009A4DCA">
        <w:t xml:space="preserve">Serious Adverse Events (SAEs): The most frequently reported system order classes (SOCs) for RSVpreF and placebo were cardiac disorders (1.4% vs 1.4%), infections and infestations (1.2% vs 1.1%), and neoplasms benign, malignant and unspecified (including cysts and polyps) (1.2% vs 1.1%). By preferred term (PT), the most frequently reported SAEs for RSVpreF were acute myocardial infarction (n=44; 0.2%), pneumonia (n=39; 0.2%), and atrial fibrillation (n=37; 0.2%), which had a similar frequency in the placebo group (39 [0.2%]), 32 [0.2%] and 29 [0.2%], respectively). </w:t>
      </w:r>
    </w:p>
    <w:p w14:paraId="1046F022" w14:textId="7465E1FA" w:rsidR="005356AA" w:rsidRPr="009A4DCA" w:rsidRDefault="005356AA" w:rsidP="00C6762E">
      <w:pPr>
        <w:pStyle w:val="3-BodyText"/>
        <w:numPr>
          <w:ilvl w:val="0"/>
          <w:numId w:val="13"/>
        </w:numPr>
        <w:ind w:left="1134"/>
      </w:pPr>
      <w:r w:rsidRPr="009A4DCA">
        <w:t>SAEs were assessed as related to study intervention by the investigator in 3</w:t>
      </w:r>
      <w:r w:rsidR="005F1C94">
        <w:t> </w:t>
      </w:r>
      <w:r w:rsidRPr="009A4DCA">
        <w:t xml:space="preserve">participants receiving RSVpreF group and none receiving placebo. The 3 cases reported were: Hypersensitivity (allergic reaction; moderate severity, Guillain-Barre syndrome (GBS; life-threatening), and Miller Fisher syndrome (MFS; severe) (a rare form of GBS). </w:t>
      </w:r>
    </w:p>
    <w:p w14:paraId="0C770978" w14:textId="71BAB7DC" w:rsidR="005356AA" w:rsidRPr="009A4DCA" w:rsidRDefault="005356AA" w:rsidP="003A0F9B">
      <w:pPr>
        <w:pStyle w:val="3-BodyText"/>
        <w:numPr>
          <w:ilvl w:val="1"/>
          <w:numId w:val="1"/>
        </w:numPr>
        <w:rPr>
          <w:iCs/>
        </w:rPr>
      </w:pPr>
      <w:bookmarkStart w:id="43" w:name="_Ref179891979"/>
      <w:r w:rsidRPr="009A4DCA">
        <w:rPr>
          <w:iCs/>
        </w:rPr>
        <w:t>ATAGI considered that whilst there are no immediate safety concerns based on RENOIR, the claim of non-inferiority could not be assessed due to the absence of established non-inferiority criteria in relation to safety. The data supports the claim that the vaccine appears to be safe and well tolerated, however statistical constraints may prevent detection of other rare events (ATAGI Pre-Submission Advice to the PBAC Dec 2023).</w:t>
      </w:r>
      <w:bookmarkEnd w:id="43"/>
    </w:p>
    <w:p w14:paraId="4DB2EE26" w14:textId="232C5B13" w:rsidR="005356AA" w:rsidRPr="009A4DCA" w:rsidRDefault="005356AA" w:rsidP="003A0F9B">
      <w:pPr>
        <w:pStyle w:val="3-BodyText"/>
        <w:numPr>
          <w:ilvl w:val="1"/>
          <w:numId w:val="1"/>
        </w:numPr>
        <w:rPr>
          <w:iCs/>
        </w:rPr>
      </w:pPr>
      <w:r w:rsidRPr="009A4DCA">
        <w:rPr>
          <w:iCs/>
        </w:rPr>
        <w:t xml:space="preserve">ATAGI recommended that, if approved by the PBAC, post-licensure long-term monitoring is implemented with a specific focus on detecting additional instances of GBS and MFS associated with RSVpreF. In addition, ongoing monitoring is essential to detect other rare events which may not be identified with the sample size of RENOIR (ATAGI advice to the PBAC Dec 2023). </w:t>
      </w:r>
    </w:p>
    <w:p w14:paraId="6467126D" w14:textId="19E9BFBF" w:rsidR="005356AA" w:rsidRPr="009A4DCA" w:rsidRDefault="005356AA" w:rsidP="003A0F9B">
      <w:pPr>
        <w:pStyle w:val="3-BodyText"/>
        <w:numPr>
          <w:ilvl w:val="1"/>
          <w:numId w:val="1"/>
        </w:numPr>
        <w:rPr>
          <w:iCs/>
        </w:rPr>
      </w:pPr>
      <w:r w:rsidRPr="009A4DCA">
        <w:rPr>
          <w:iCs/>
        </w:rPr>
        <w:t>In Study 1006, most AEs were mild or moderate in severity. No SAEs or severe AEs were considered to be related to the study intervention. There were 7 participants (1.0%) who reported AEs that led to withdrawal following concomitant administration of RSV</w:t>
      </w:r>
      <w:r w:rsidR="009A4DCA">
        <w:rPr>
          <w:iCs/>
        </w:rPr>
        <w:t>p</w:t>
      </w:r>
      <w:r w:rsidRPr="009A4DCA">
        <w:rPr>
          <w:iCs/>
        </w:rPr>
        <w:t xml:space="preserve">reF and SIIV at Visit 1, but none after Visit 2. Of the 7 reports, 2 were considered to be related to the study intervention. </w:t>
      </w:r>
    </w:p>
    <w:p w14:paraId="613ACBA4" w14:textId="77AEADF5" w:rsidR="005356AA" w:rsidRPr="009A4DCA" w:rsidRDefault="005356AA" w:rsidP="005356AA">
      <w:pPr>
        <w:pStyle w:val="3-BodyText"/>
        <w:numPr>
          <w:ilvl w:val="1"/>
          <w:numId w:val="1"/>
        </w:numPr>
        <w:rPr>
          <w:iCs/>
        </w:rPr>
      </w:pPr>
      <w:r w:rsidRPr="009A4DCA">
        <w:rPr>
          <w:iCs/>
        </w:rPr>
        <w:t>ATAGI considered that there are no immediate safety concerns following coadministration of RSV</w:t>
      </w:r>
      <w:r w:rsidR="009A4DCA">
        <w:rPr>
          <w:iCs/>
        </w:rPr>
        <w:t>p</w:t>
      </w:r>
      <w:r w:rsidRPr="009A4DCA">
        <w:rPr>
          <w:iCs/>
        </w:rPr>
        <w:t xml:space="preserve">reF with SIIV, however, this was based on a small sample which prevents identification of rare safety events. Furthermore, safety assessments were not subject to statistical analysis, there was no non-inferiority criteria, and comparisons are descriptive only. There are no completed trials assessing </w:t>
      </w:r>
      <w:r w:rsidRPr="009A4DCA">
        <w:rPr>
          <w:iCs/>
        </w:rPr>
        <w:lastRenderedPageBreak/>
        <w:t>coadministration of RSVpreF with COVID-19 or any other vaccine in older adults (ATAGI advice to the PBAC Dec 2023).</w:t>
      </w:r>
    </w:p>
    <w:p w14:paraId="517FE9A5" w14:textId="77777777" w:rsidR="007F1017" w:rsidRPr="009A4DCA" w:rsidRDefault="007F1017" w:rsidP="00D86231">
      <w:pPr>
        <w:pStyle w:val="4-SubsectionHeading"/>
      </w:pPr>
      <w:bookmarkStart w:id="44" w:name="_Toc177558741"/>
      <w:r w:rsidRPr="009A4DCA">
        <w:t>Benefits/harms</w:t>
      </w:r>
      <w:bookmarkEnd w:id="42"/>
      <w:bookmarkEnd w:id="44"/>
    </w:p>
    <w:p w14:paraId="6D83F05C" w14:textId="682AE74B" w:rsidR="006857A2" w:rsidRPr="009A4DCA" w:rsidRDefault="006857A2" w:rsidP="006857A2">
      <w:pPr>
        <w:pStyle w:val="3-BodyText"/>
        <w:numPr>
          <w:ilvl w:val="1"/>
          <w:numId w:val="1"/>
        </w:numPr>
      </w:pPr>
      <w:bookmarkStart w:id="45" w:name="_Toc22897644"/>
      <w:r w:rsidRPr="009A4DCA">
        <w:t>A summary of the comparative benefits and harms for RSV</w:t>
      </w:r>
      <w:r w:rsidR="00C21411" w:rsidRPr="009A4DCA">
        <w:t>p</w:t>
      </w:r>
      <w:r w:rsidRPr="009A4DCA">
        <w:t xml:space="preserve">reF versus placebo in RENOIR is presented in </w:t>
      </w:r>
      <w:r w:rsidRPr="009A4DCA">
        <w:fldChar w:fldCharType="begin"/>
      </w:r>
      <w:r w:rsidRPr="009A4DCA">
        <w:instrText xml:space="preserve"> REF _Ref165828332 \h </w:instrText>
      </w:r>
      <w:r w:rsidRPr="009A4DCA">
        <w:fldChar w:fldCharType="separate"/>
      </w:r>
      <w:r w:rsidR="007B2F50" w:rsidRPr="009A4DCA">
        <w:t xml:space="preserve">Table </w:t>
      </w:r>
      <w:r w:rsidR="007B2F50">
        <w:rPr>
          <w:noProof/>
        </w:rPr>
        <w:t>10</w:t>
      </w:r>
      <w:r w:rsidRPr="009A4DCA">
        <w:fldChar w:fldCharType="end"/>
      </w:r>
      <w:r w:rsidRPr="009A4DCA">
        <w:t>.</w:t>
      </w:r>
    </w:p>
    <w:p w14:paraId="6312BA25" w14:textId="23A96039" w:rsidR="006857A2" w:rsidRPr="009A4DCA" w:rsidRDefault="006857A2" w:rsidP="00216379">
      <w:pPr>
        <w:pStyle w:val="Caption"/>
        <w:rPr>
          <w:rStyle w:val="CommentReference"/>
          <w:b/>
          <w:szCs w:val="24"/>
        </w:rPr>
      </w:pPr>
      <w:bookmarkStart w:id="46" w:name="_Ref165828332"/>
      <w:r w:rsidRPr="009A4DCA">
        <w:t xml:space="preserve">Table </w:t>
      </w:r>
      <w:r w:rsidR="00491347">
        <w:fldChar w:fldCharType="begin"/>
      </w:r>
      <w:r w:rsidR="00491347">
        <w:instrText xml:space="preserve"> SEQ Table \* ARABIC </w:instrText>
      </w:r>
      <w:r w:rsidR="00491347">
        <w:fldChar w:fldCharType="separate"/>
      </w:r>
      <w:r w:rsidR="007B2F50">
        <w:rPr>
          <w:noProof/>
        </w:rPr>
        <w:t>10</w:t>
      </w:r>
      <w:r w:rsidR="00491347">
        <w:fldChar w:fldCharType="end"/>
      </w:r>
      <w:bookmarkEnd w:id="46"/>
      <w:r w:rsidRPr="009A4DCA">
        <w:t>: Summary of comparative benefits and harms for RSVpreF and placebo</w:t>
      </w:r>
    </w:p>
    <w:tbl>
      <w:tblPr>
        <w:tblStyle w:val="TableGrid"/>
        <w:tblW w:w="5000" w:type="pct"/>
        <w:tblLayout w:type="fixed"/>
        <w:tblCellMar>
          <w:left w:w="28" w:type="dxa"/>
          <w:right w:w="28" w:type="dxa"/>
        </w:tblCellMar>
        <w:tblLook w:val="04A0" w:firstRow="1" w:lastRow="0" w:firstColumn="1" w:lastColumn="0" w:noHBand="0" w:noVBand="1"/>
      </w:tblPr>
      <w:tblGrid>
        <w:gridCol w:w="2547"/>
        <w:gridCol w:w="1560"/>
        <w:gridCol w:w="1558"/>
        <w:gridCol w:w="1556"/>
        <w:gridCol w:w="1796"/>
      </w:tblGrid>
      <w:tr w:rsidR="006857A2" w:rsidRPr="009A4DCA" w14:paraId="1228B009" w14:textId="77777777" w:rsidTr="00973287">
        <w:trPr>
          <w:trHeight w:val="20"/>
        </w:trPr>
        <w:tc>
          <w:tcPr>
            <w:tcW w:w="5000" w:type="pct"/>
            <w:gridSpan w:val="5"/>
            <w:shd w:val="clear" w:color="auto" w:fill="auto"/>
          </w:tcPr>
          <w:p w14:paraId="607C0DC2" w14:textId="77777777" w:rsidR="006857A2" w:rsidRPr="009A4DCA" w:rsidRDefault="006857A2" w:rsidP="00216379">
            <w:pPr>
              <w:keepNext/>
              <w:keepLines/>
              <w:ind w:right="17"/>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Benefits</w:t>
            </w:r>
          </w:p>
        </w:tc>
      </w:tr>
      <w:tr w:rsidR="006857A2" w:rsidRPr="009A4DCA" w14:paraId="1F8F4CD7" w14:textId="77777777" w:rsidTr="00973287">
        <w:trPr>
          <w:trHeight w:val="20"/>
        </w:trPr>
        <w:tc>
          <w:tcPr>
            <w:tcW w:w="5000" w:type="pct"/>
            <w:gridSpan w:val="5"/>
            <w:shd w:val="clear" w:color="auto" w:fill="auto"/>
          </w:tcPr>
          <w:p w14:paraId="3DF5F39B" w14:textId="74D2DD09" w:rsidR="006857A2" w:rsidRPr="009A4DCA" w:rsidRDefault="006857A2" w:rsidP="00216379">
            <w:pPr>
              <w:keepNext/>
              <w:keepLines/>
              <w:ind w:right="17"/>
              <w:jc w:val="left"/>
              <w:rPr>
                <w:rFonts w:ascii="Arial Narrow" w:eastAsiaTheme="majorEastAsia" w:hAnsi="Arial Narrow" w:cstheme="majorBidi"/>
                <w:b/>
                <w:bCs/>
                <w:sz w:val="20"/>
                <w:lang w:eastAsia="en-US"/>
              </w:rPr>
            </w:pPr>
            <w:bookmarkStart w:id="47" w:name="_Hlk167211625"/>
            <w:r w:rsidRPr="009A4DCA">
              <w:rPr>
                <w:rFonts w:ascii="Arial Narrow" w:eastAsiaTheme="majorEastAsia" w:hAnsi="Arial Narrow" w:cstheme="majorBidi"/>
                <w:b/>
                <w:bCs/>
                <w:sz w:val="20"/>
                <w:lang w:eastAsia="en-US"/>
              </w:rPr>
              <w:t>RT-PCR confirmed RSV-LRTI</w:t>
            </w:r>
          </w:p>
        </w:tc>
      </w:tr>
      <w:tr w:rsidR="006857A2" w:rsidRPr="009A4DCA" w14:paraId="776ADB58" w14:textId="77777777" w:rsidTr="00973287">
        <w:trPr>
          <w:trHeight w:val="20"/>
        </w:trPr>
        <w:tc>
          <w:tcPr>
            <w:tcW w:w="1412" w:type="pct"/>
            <w:tcBorders>
              <w:bottom w:val="single" w:sz="4" w:space="0" w:color="auto"/>
            </w:tcBorders>
            <w:shd w:val="clear" w:color="auto" w:fill="auto"/>
          </w:tcPr>
          <w:p w14:paraId="57838B2D" w14:textId="77777777" w:rsidR="006857A2" w:rsidRPr="009A4DCA" w:rsidRDefault="006857A2" w:rsidP="00216379">
            <w:pPr>
              <w:keepNext/>
              <w:keepLines/>
              <w:ind w:right="17"/>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Event</w:t>
            </w:r>
          </w:p>
        </w:tc>
        <w:tc>
          <w:tcPr>
            <w:tcW w:w="865" w:type="pct"/>
            <w:tcBorders>
              <w:bottom w:val="single" w:sz="4" w:space="0" w:color="auto"/>
            </w:tcBorders>
            <w:shd w:val="clear" w:color="auto" w:fill="auto"/>
            <w:vAlign w:val="center"/>
          </w:tcPr>
          <w:p w14:paraId="6C7F2A97" w14:textId="2C5CC532" w:rsidR="006857A2" w:rsidRPr="009A4DCA" w:rsidRDefault="006857A2" w:rsidP="00216379">
            <w:pPr>
              <w:pStyle w:val="In-tableHeading"/>
              <w:rPr>
                <w:lang w:val="en-AU" w:eastAsia="en-US"/>
              </w:rPr>
            </w:pPr>
            <w:r w:rsidRPr="009A4DCA">
              <w:rPr>
                <w:lang w:val="en-AU" w:eastAsia="en-US"/>
              </w:rPr>
              <w:t>RSV</w:t>
            </w:r>
            <w:r w:rsidR="009A4DCA">
              <w:rPr>
                <w:lang w:val="en-AU" w:eastAsia="en-US"/>
              </w:rPr>
              <w:t>p</w:t>
            </w:r>
            <w:r w:rsidRPr="009A4DCA">
              <w:rPr>
                <w:lang w:val="en-AU" w:eastAsia="en-US"/>
              </w:rPr>
              <w:t>reF</w:t>
            </w:r>
          </w:p>
        </w:tc>
        <w:tc>
          <w:tcPr>
            <w:tcW w:w="864" w:type="pct"/>
            <w:tcBorders>
              <w:bottom w:val="single" w:sz="4" w:space="0" w:color="auto"/>
            </w:tcBorders>
            <w:shd w:val="clear" w:color="auto" w:fill="auto"/>
            <w:vAlign w:val="center"/>
          </w:tcPr>
          <w:p w14:paraId="6591DC9D" w14:textId="77777777" w:rsidR="006857A2" w:rsidRPr="009A4DCA" w:rsidRDefault="006857A2" w:rsidP="00216379">
            <w:pPr>
              <w:pStyle w:val="In-tableHeading"/>
              <w:rPr>
                <w:lang w:val="en-AU" w:eastAsia="en-US"/>
              </w:rPr>
            </w:pPr>
            <w:r w:rsidRPr="009A4DCA">
              <w:rPr>
                <w:lang w:val="en-AU" w:eastAsia="en-US"/>
              </w:rPr>
              <w:t>Placebo</w:t>
            </w:r>
          </w:p>
        </w:tc>
        <w:tc>
          <w:tcPr>
            <w:tcW w:w="863" w:type="pct"/>
            <w:tcBorders>
              <w:bottom w:val="single" w:sz="4" w:space="0" w:color="auto"/>
            </w:tcBorders>
            <w:shd w:val="clear" w:color="auto" w:fill="auto"/>
            <w:vAlign w:val="center"/>
          </w:tcPr>
          <w:p w14:paraId="27C95352" w14:textId="476E9AAA" w:rsidR="006857A2" w:rsidRPr="009A4DCA" w:rsidRDefault="006857A2" w:rsidP="00216379">
            <w:pPr>
              <w:pStyle w:val="In-tableHeading"/>
              <w:rPr>
                <w:lang w:val="en-AU" w:eastAsia="en-US"/>
              </w:rPr>
            </w:pPr>
            <w:r w:rsidRPr="009A4DCA">
              <w:rPr>
                <w:lang w:val="en-AU" w:eastAsia="en-US"/>
              </w:rPr>
              <w:t>Difference</w:t>
            </w:r>
            <w:r w:rsidR="00477ACD" w:rsidRPr="009A4DCA">
              <w:rPr>
                <w:vertAlign w:val="superscript"/>
                <w:lang w:val="en-AU" w:eastAsia="en-US"/>
              </w:rPr>
              <w:t>b</w:t>
            </w:r>
          </w:p>
        </w:tc>
        <w:tc>
          <w:tcPr>
            <w:tcW w:w="996" w:type="pct"/>
            <w:tcBorders>
              <w:bottom w:val="single" w:sz="4" w:space="0" w:color="auto"/>
            </w:tcBorders>
            <w:shd w:val="clear" w:color="auto" w:fill="auto"/>
            <w:vAlign w:val="center"/>
          </w:tcPr>
          <w:p w14:paraId="718E33EC" w14:textId="4A97B684" w:rsidR="006857A2" w:rsidRPr="009A4DCA" w:rsidRDefault="006857A2" w:rsidP="00216379">
            <w:pPr>
              <w:pStyle w:val="In-tableHeading"/>
              <w:rPr>
                <w:lang w:val="en-AU" w:eastAsia="en-US"/>
              </w:rPr>
            </w:pPr>
            <w:r w:rsidRPr="009A4DCA">
              <w:rPr>
                <w:lang w:val="en-AU" w:eastAsia="en-US"/>
              </w:rPr>
              <w:t>VE (</w:t>
            </w:r>
            <w:r w:rsidR="001313F0" w:rsidRPr="009A4DCA">
              <w:rPr>
                <w:lang w:val="en-AU" w:eastAsia="en-US"/>
              </w:rPr>
              <w:t xml:space="preserve">95% </w:t>
            </w:r>
            <w:r w:rsidRPr="009A4DCA">
              <w:rPr>
                <w:lang w:val="en-AU" w:eastAsia="en-US"/>
              </w:rPr>
              <w:t>CI)</w:t>
            </w:r>
          </w:p>
        </w:tc>
      </w:tr>
      <w:tr w:rsidR="006857A2" w:rsidRPr="009A4DCA" w14:paraId="5FA56B40" w14:textId="77777777" w:rsidTr="00973287">
        <w:trPr>
          <w:trHeight w:val="20"/>
        </w:trPr>
        <w:tc>
          <w:tcPr>
            <w:tcW w:w="5000" w:type="pct"/>
            <w:gridSpan w:val="5"/>
            <w:tcBorders>
              <w:bottom w:val="single" w:sz="4" w:space="0" w:color="auto"/>
            </w:tcBorders>
            <w:shd w:val="clear" w:color="auto" w:fill="auto"/>
            <w:vAlign w:val="center"/>
          </w:tcPr>
          <w:p w14:paraId="596DAD7D" w14:textId="77777777" w:rsidR="006857A2" w:rsidRPr="009A4DCA" w:rsidRDefault="006857A2" w:rsidP="00DE25B3">
            <w:pPr>
              <w:pStyle w:val="TableHeading0"/>
            </w:pPr>
            <w:r w:rsidRPr="009A4DCA">
              <w:t>First episode of RSV-LRTI with ≥ 2 symptoms</w:t>
            </w:r>
          </w:p>
        </w:tc>
      </w:tr>
      <w:tr w:rsidR="006857A2" w:rsidRPr="009A4DCA" w14:paraId="7890C650" w14:textId="77777777" w:rsidTr="00E855AC">
        <w:trPr>
          <w:trHeight w:val="20"/>
        </w:trPr>
        <w:tc>
          <w:tcPr>
            <w:tcW w:w="1412" w:type="pct"/>
            <w:tcBorders>
              <w:bottom w:val="single" w:sz="4" w:space="0" w:color="auto"/>
              <w:right w:val="single" w:sz="4" w:space="0" w:color="auto"/>
            </w:tcBorders>
            <w:shd w:val="clear" w:color="auto" w:fill="auto"/>
            <w:vAlign w:val="center"/>
          </w:tcPr>
          <w:p w14:paraId="68106418" w14:textId="77777777" w:rsidR="006857A2" w:rsidRPr="009A4DCA" w:rsidRDefault="006857A2" w:rsidP="00E76F4F">
            <w:pPr>
              <w:pStyle w:val="TableText0"/>
            </w:pPr>
            <w:r w:rsidRPr="009A4DCA">
              <w:t>VE analysis, Season 1</w:t>
            </w:r>
          </w:p>
        </w:tc>
        <w:tc>
          <w:tcPr>
            <w:tcW w:w="865" w:type="pct"/>
            <w:tcBorders>
              <w:left w:val="single" w:sz="4" w:space="0" w:color="auto"/>
              <w:bottom w:val="single" w:sz="4" w:space="0" w:color="auto"/>
              <w:right w:val="single" w:sz="4" w:space="0" w:color="auto"/>
            </w:tcBorders>
            <w:shd w:val="clear" w:color="auto" w:fill="auto"/>
          </w:tcPr>
          <w:p w14:paraId="57DCD17F" w14:textId="77777777" w:rsidR="006857A2" w:rsidRPr="009A4DCA" w:rsidRDefault="006857A2" w:rsidP="00E76F4F">
            <w:pPr>
              <w:pStyle w:val="TableText0"/>
            </w:pPr>
            <w:r w:rsidRPr="009A4DCA">
              <w:t>15/18,050 (0.08%)</w:t>
            </w:r>
          </w:p>
        </w:tc>
        <w:tc>
          <w:tcPr>
            <w:tcW w:w="864" w:type="pct"/>
            <w:tcBorders>
              <w:left w:val="single" w:sz="4" w:space="0" w:color="auto"/>
              <w:bottom w:val="single" w:sz="4" w:space="0" w:color="auto"/>
              <w:right w:val="single" w:sz="4" w:space="0" w:color="auto"/>
            </w:tcBorders>
            <w:shd w:val="clear" w:color="auto" w:fill="auto"/>
          </w:tcPr>
          <w:p w14:paraId="4D5DDABD" w14:textId="77777777" w:rsidR="006857A2" w:rsidRPr="009A4DCA" w:rsidRDefault="006857A2" w:rsidP="00E76F4F">
            <w:pPr>
              <w:pStyle w:val="TableText0"/>
            </w:pPr>
            <w:r w:rsidRPr="009A4DCA">
              <w:t>43/18,074 (0.24%)</w:t>
            </w:r>
          </w:p>
        </w:tc>
        <w:tc>
          <w:tcPr>
            <w:tcW w:w="863" w:type="pct"/>
            <w:tcBorders>
              <w:left w:val="single" w:sz="4" w:space="0" w:color="auto"/>
              <w:bottom w:val="single" w:sz="4" w:space="0" w:color="auto"/>
              <w:right w:val="single" w:sz="4" w:space="0" w:color="auto"/>
            </w:tcBorders>
            <w:shd w:val="clear" w:color="auto" w:fill="auto"/>
          </w:tcPr>
          <w:p w14:paraId="249D6A31" w14:textId="4DC9E0D8" w:rsidR="006857A2" w:rsidRPr="009A4DCA" w:rsidRDefault="006857A2" w:rsidP="00E76F4F">
            <w:pPr>
              <w:pStyle w:val="TableText0"/>
            </w:pPr>
            <w:r w:rsidRPr="009A4DCA">
              <w:t>0.15%</w:t>
            </w:r>
          </w:p>
        </w:tc>
        <w:tc>
          <w:tcPr>
            <w:tcW w:w="996" w:type="pct"/>
            <w:tcBorders>
              <w:left w:val="single" w:sz="4" w:space="0" w:color="auto"/>
              <w:bottom w:val="single" w:sz="4" w:space="0" w:color="auto"/>
            </w:tcBorders>
            <w:shd w:val="clear" w:color="auto" w:fill="auto"/>
            <w:vAlign w:val="center"/>
          </w:tcPr>
          <w:p w14:paraId="45FF91FF" w14:textId="4173264D" w:rsidR="006857A2" w:rsidRPr="009A4DCA" w:rsidRDefault="006857A2" w:rsidP="00E76F4F">
            <w:pPr>
              <w:pStyle w:val="TableText0"/>
            </w:pPr>
            <w:r w:rsidRPr="009A4DCA">
              <w:t>65.1 (35.9, 82.0)</w:t>
            </w:r>
          </w:p>
        </w:tc>
      </w:tr>
      <w:tr w:rsidR="006857A2" w:rsidRPr="009A4DCA" w14:paraId="4C680F2B" w14:textId="77777777" w:rsidTr="00E855AC">
        <w:trPr>
          <w:trHeight w:val="20"/>
        </w:trPr>
        <w:tc>
          <w:tcPr>
            <w:tcW w:w="1412" w:type="pct"/>
            <w:tcBorders>
              <w:bottom w:val="single" w:sz="4" w:space="0" w:color="auto"/>
              <w:right w:val="single" w:sz="4" w:space="0" w:color="auto"/>
            </w:tcBorders>
            <w:shd w:val="clear" w:color="auto" w:fill="auto"/>
            <w:vAlign w:val="center"/>
          </w:tcPr>
          <w:p w14:paraId="6514F3BB" w14:textId="77777777" w:rsidR="006857A2" w:rsidRPr="009A4DCA" w:rsidRDefault="006857A2" w:rsidP="00E76F4F">
            <w:pPr>
              <w:pStyle w:val="TableText0"/>
            </w:pPr>
            <w:r w:rsidRPr="009A4DCA">
              <w:t>VE analysis, Season 2</w:t>
            </w:r>
          </w:p>
        </w:tc>
        <w:tc>
          <w:tcPr>
            <w:tcW w:w="865" w:type="pct"/>
            <w:tcBorders>
              <w:left w:val="single" w:sz="4" w:space="0" w:color="auto"/>
              <w:bottom w:val="single" w:sz="4" w:space="0" w:color="auto"/>
              <w:right w:val="single" w:sz="4" w:space="0" w:color="auto"/>
            </w:tcBorders>
            <w:shd w:val="clear" w:color="auto" w:fill="auto"/>
          </w:tcPr>
          <w:p w14:paraId="6FD732C2" w14:textId="77777777" w:rsidR="006857A2" w:rsidRPr="009A4DCA" w:rsidRDefault="006857A2" w:rsidP="00E76F4F">
            <w:pPr>
              <w:pStyle w:val="TableText0"/>
            </w:pPr>
            <w:r w:rsidRPr="009A4DCA">
              <w:t>39/16,164 (0.24%)</w:t>
            </w:r>
          </w:p>
        </w:tc>
        <w:tc>
          <w:tcPr>
            <w:tcW w:w="864" w:type="pct"/>
            <w:tcBorders>
              <w:left w:val="single" w:sz="4" w:space="0" w:color="auto"/>
              <w:bottom w:val="single" w:sz="4" w:space="0" w:color="auto"/>
              <w:right w:val="single" w:sz="4" w:space="0" w:color="auto"/>
            </w:tcBorders>
            <w:shd w:val="clear" w:color="auto" w:fill="auto"/>
          </w:tcPr>
          <w:p w14:paraId="2DC336E9" w14:textId="77777777" w:rsidR="006857A2" w:rsidRPr="009A4DCA" w:rsidRDefault="006857A2" w:rsidP="00E76F4F">
            <w:pPr>
              <w:pStyle w:val="TableText0"/>
            </w:pPr>
            <w:r w:rsidRPr="009A4DCA">
              <w:t>88/16,059 (0.55%)</w:t>
            </w:r>
          </w:p>
        </w:tc>
        <w:tc>
          <w:tcPr>
            <w:tcW w:w="863" w:type="pct"/>
            <w:tcBorders>
              <w:left w:val="single" w:sz="4" w:space="0" w:color="auto"/>
              <w:bottom w:val="single" w:sz="4" w:space="0" w:color="auto"/>
              <w:right w:val="single" w:sz="4" w:space="0" w:color="auto"/>
            </w:tcBorders>
            <w:shd w:val="clear" w:color="auto" w:fill="auto"/>
          </w:tcPr>
          <w:p w14:paraId="351E5AFE" w14:textId="709CAA83" w:rsidR="006857A2" w:rsidRPr="009A4DCA" w:rsidRDefault="006857A2" w:rsidP="00E76F4F">
            <w:pPr>
              <w:pStyle w:val="TableText0"/>
            </w:pPr>
            <w:r w:rsidRPr="009A4DCA">
              <w:t>0.31%</w:t>
            </w:r>
          </w:p>
        </w:tc>
        <w:tc>
          <w:tcPr>
            <w:tcW w:w="996" w:type="pct"/>
            <w:tcBorders>
              <w:top w:val="single" w:sz="4" w:space="0" w:color="auto"/>
              <w:left w:val="single" w:sz="4" w:space="0" w:color="auto"/>
              <w:bottom w:val="single" w:sz="4" w:space="0" w:color="auto"/>
            </w:tcBorders>
            <w:shd w:val="clear" w:color="auto" w:fill="auto"/>
            <w:vAlign w:val="center"/>
          </w:tcPr>
          <w:p w14:paraId="68958DA6" w14:textId="77777777" w:rsidR="006857A2" w:rsidRPr="009A4DCA" w:rsidRDefault="006857A2" w:rsidP="00E76F4F">
            <w:pPr>
              <w:pStyle w:val="TableText0"/>
            </w:pPr>
            <w:r w:rsidRPr="009A4DCA">
              <w:t>55.7 (34.7, 70.4)</w:t>
            </w:r>
          </w:p>
        </w:tc>
      </w:tr>
      <w:tr w:rsidR="006857A2" w:rsidRPr="009A4DCA" w14:paraId="36147093" w14:textId="77777777" w:rsidTr="00E855AC">
        <w:trPr>
          <w:trHeight w:val="20"/>
        </w:trPr>
        <w:tc>
          <w:tcPr>
            <w:tcW w:w="1412" w:type="pct"/>
            <w:tcBorders>
              <w:top w:val="single" w:sz="4" w:space="0" w:color="auto"/>
              <w:bottom w:val="single" w:sz="4" w:space="0" w:color="auto"/>
              <w:right w:val="single" w:sz="4" w:space="0" w:color="auto"/>
            </w:tcBorders>
            <w:shd w:val="clear" w:color="auto" w:fill="auto"/>
            <w:vAlign w:val="center"/>
          </w:tcPr>
          <w:p w14:paraId="4F1AB3BF" w14:textId="77777777" w:rsidR="006857A2" w:rsidRPr="009A4DCA" w:rsidRDefault="006857A2" w:rsidP="00E76F4F">
            <w:pPr>
              <w:pStyle w:val="TableText0"/>
            </w:pPr>
            <w:r w:rsidRPr="009A4DCA">
              <w:t>VE analysis, Across 2 seasons</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4E6E7908" w14:textId="77777777" w:rsidR="006857A2" w:rsidRPr="009A4DCA" w:rsidRDefault="006857A2" w:rsidP="00E76F4F">
            <w:pPr>
              <w:pStyle w:val="TableText0"/>
            </w:pPr>
            <w:r w:rsidRPr="009A4DCA">
              <w:t>54/18,050 (0.30%)</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7F260F27" w14:textId="77777777" w:rsidR="006857A2" w:rsidRPr="009A4DCA" w:rsidRDefault="006857A2" w:rsidP="00E76F4F">
            <w:pPr>
              <w:pStyle w:val="TableText0"/>
            </w:pPr>
            <w:r w:rsidRPr="009A4DCA">
              <w:t>131/18,074 (0.72%)</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722056E8" w14:textId="377ADF90" w:rsidR="006857A2" w:rsidRPr="009A4DCA" w:rsidRDefault="006857A2" w:rsidP="00E76F4F">
            <w:pPr>
              <w:pStyle w:val="TableText0"/>
            </w:pPr>
            <w:r w:rsidRPr="009A4DCA">
              <w:t>0.43%</w:t>
            </w:r>
          </w:p>
        </w:tc>
        <w:tc>
          <w:tcPr>
            <w:tcW w:w="996" w:type="pct"/>
            <w:tcBorders>
              <w:top w:val="single" w:sz="4" w:space="0" w:color="auto"/>
              <w:left w:val="single" w:sz="4" w:space="0" w:color="auto"/>
              <w:bottom w:val="single" w:sz="4" w:space="0" w:color="auto"/>
            </w:tcBorders>
            <w:shd w:val="clear" w:color="auto" w:fill="auto"/>
            <w:vAlign w:val="center"/>
          </w:tcPr>
          <w:p w14:paraId="5DB2F957" w14:textId="77777777" w:rsidR="006857A2" w:rsidRPr="009A4DCA" w:rsidRDefault="006857A2" w:rsidP="00E76F4F">
            <w:pPr>
              <w:pStyle w:val="TableText0"/>
            </w:pPr>
            <w:r w:rsidRPr="009A4DCA">
              <w:t>58.8 (43.0, 70.6)</w:t>
            </w:r>
          </w:p>
        </w:tc>
      </w:tr>
      <w:tr w:rsidR="006857A2" w:rsidRPr="009A4DCA" w14:paraId="3CB9592D" w14:textId="77777777" w:rsidTr="00973287">
        <w:trPr>
          <w:trHeight w:val="20"/>
        </w:trPr>
        <w:tc>
          <w:tcPr>
            <w:tcW w:w="5000" w:type="pct"/>
            <w:gridSpan w:val="5"/>
            <w:tcBorders>
              <w:top w:val="single" w:sz="4" w:space="0" w:color="auto"/>
              <w:bottom w:val="single" w:sz="4" w:space="0" w:color="auto"/>
            </w:tcBorders>
            <w:shd w:val="clear" w:color="auto" w:fill="auto"/>
            <w:vAlign w:val="center"/>
          </w:tcPr>
          <w:p w14:paraId="492F7571" w14:textId="77777777" w:rsidR="006857A2" w:rsidRPr="009A4DCA" w:rsidRDefault="006857A2" w:rsidP="00DE25B3">
            <w:pPr>
              <w:pStyle w:val="TableHeading0"/>
              <w:rPr>
                <w:bCs/>
              </w:rPr>
            </w:pPr>
            <w:r w:rsidRPr="009A4DCA">
              <w:t>First episode of RSV-LRTI with ≥ 3 symptoms</w:t>
            </w:r>
          </w:p>
        </w:tc>
      </w:tr>
      <w:tr w:rsidR="006857A2" w:rsidRPr="009A4DCA" w14:paraId="4DF47EE4" w14:textId="77777777" w:rsidTr="00E855AC">
        <w:trPr>
          <w:trHeight w:val="20"/>
        </w:trPr>
        <w:tc>
          <w:tcPr>
            <w:tcW w:w="1412" w:type="pct"/>
            <w:tcBorders>
              <w:top w:val="single" w:sz="4" w:space="0" w:color="auto"/>
              <w:bottom w:val="single" w:sz="4" w:space="0" w:color="auto"/>
              <w:right w:val="single" w:sz="4" w:space="0" w:color="auto"/>
            </w:tcBorders>
            <w:shd w:val="clear" w:color="auto" w:fill="auto"/>
            <w:vAlign w:val="center"/>
          </w:tcPr>
          <w:p w14:paraId="2D9EE71E" w14:textId="77777777" w:rsidR="006857A2" w:rsidRPr="009A4DCA" w:rsidRDefault="006857A2" w:rsidP="00E76F4F">
            <w:pPr>
              <w:pStyle w:val="TableText0"/>
            </w:pPr>
            <w:r w:rsidRPr="009A4DCA">
              <w:t>VE analysis, Season 1</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44154696" w14:textId="77777777" w:rsidR="006857A2" w:rsidRPr="009A4DCA" w:rsidRDefault="006857A2" w:rsidP="00E76F4F">
            <w:pPr>
              <w:pStyle w:val="TableText0"/>
            </w:pPr>
            <w:r w:rsidRPr="009A4DCA">
              <w:t>2/18,050 (0.01%)</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7F41B66A" w14:textId="77777777" w:rsidR="006857A2" w:rsidRPr="009A4DCA" w:rsidRDefault="006857A2" w:rsidP="00E76F4F">
            <w:pPr>
              <w:pStyle w:val="TableText0"/>
            </w:pPr>
            <w:r w:rsidRPr="009A4DCA">
              <w:t>18/18,074 (0.10%)</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16FFFD1E" w14:textId="370AF91D" w:rsidR="006857A2" w:rsidRPr="009A4DCA" w:rsidRDefault="006857A2" w:rsidP="00E76F4F">
            <w:pPr>
              <w:pStyle w:val="TableText0"/>
            </w:pPr>
            <w:r w:rsidRPr="009A4DCA">
              <w:t>0.09%</w:t>
            </w:r>
          </w:p>
        </w:tc>
        <w:tc>
          <w:tcPr>
            <w:tcW w:w="996" w:type="pct"/>
            <w:tcBorders>
              <w:top w:val="single" w:sz="4" w:space="0" w:color="auto"/>
              <w:left w:val="single" w:sz="4" w:space="0" w:color="auto"/>
              <w:bottom w:val="single" w:sz="4" w:space="0" w:color="auto"/>
            </w:tcBorders>
            <w:shd w:val="clear" w:color="auto" w:fill="auto"/>
            <w:vAlign w:val="center"/>
          </w:tcPr>
          <w:p w14:paraId="759E1E12" w14:textId="77777777" w:rsidR="006857A2" w:rsidRPr="009A4DCA" w:rsidRDefault="006857A2" w:rsidP="00E76F4F">
            <w:pPr>
              <w:pStyle w:val="TableText0"/>
            </w:pPr>
            <w:r w:rsidRPr="009A4DCA">
              <w:t>88.9 (53.6, 98.7)</w:t>
            </w:r>
          </w:p>
        </w:tc>
      </w:tr>
      <w:tr w:rsidR="006857A2" w:rsidRPr="009A4DCA" w14:paraId="795BE352" w14:textId="77777777" w:rsidTr="00E855AC">
        <w:trPr>
          <w:trHeight w:val="20"/>
        </w:trPr>
        <w:tc>
          <w:tcPr>
            <w:tcW w:w="1412" w:type="pct"/>
            <w:tcBorders>
              <w:top w:val="single" w:sz="4" w:space="0" w:color="auto"/>
              <w:bottom w:val="single" w:sz="4" w:space="0" w:color="auto"/>
              <w:right w:val="single" w:sz="4" w:space="0" w:color="auto"/>
            </w:tcBorders>
            <w:shd w:val="clear" w:color="auto" w:fill="auto"/>
            <w:vAlign w:val="center"/>
          </w:tcPr>
          <w:p w14:paraId="37B4CF77" w14:textId="77777777" w:rsidR="006857A2" w:rsidRPr="009A4DCA" w:rsidRDefault="006857A2" w:rsidP="00E76F4F">
            <w:pPr>
              <w:pStyle w:val="TableText0"/>
            </w:pPr>
            <w:r w:rsidRPr="009A4DCA">
              <w:t>VE analysis, Season 2</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2E87CB84" w14:textId="77777777" w:rsidR="006857A2" w:rsidRPr="009A4DCA" w:rsidRDefault="006857A2" w:rsidP="00E76F4F">
            <w:pPr>
              <w:pStyle w:val="TableText0"/>
            </w:pPr>
            <w:r w:rsidRPr="009A4DCA">
              <w:t>8/16,164 (0.05%)</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A976524" w14:textId="77777777" w:rsidR="006857A2" w:rsidRPr="009A4DCA" w:rsidRDefault="006857A2" w:rsidP="00E76F4F">
            <w:pPr>
              <w:pStyle w:val="TableText0"/>
            </w:pPr>
            <w:r w:rsidRPr="009A4DCA">
              <w:t>36/16,059 (0.22%)</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0D0FD5EC" w14:textId="1319C381" w:rsidR="006857A2" w:rsidRPr="009A4DCA" w:rsidRDefault="006857A2" w:rsidP="00E76F4F">
            <w:pPr>
              <w:pStyle w:val="TableText0"/>
            </w:pPr>
            <w:r w:rsidRPr="009A4DCA">
              <w:t>0.17%</w:t>
            </w:r>
          </w:p>
        </w:tc>
        <w:tc>
          <w:tcPr>
            <w:tcW w:w="996" w:type="pct"/>
            <w:tcBorders>
              <w:top w:val="single" w:sz="4" w:space="0" w:color="auto"/>
              <w:left w:val="single" w:sz="4" w:space="0" w:color="auto"/>
              <w:bottom w:val="single" w:sz="4" w:space="0" w:color="auto"/>
            </w:tcBorders>
            <w:shd w:val="clear" w:color="auto" w:fill="auto"/>
            <w:vAlign w:val="center"/>
          </w:tcPr>
          <w:p w14:paraId="338E68EC" w14:textId="77777777" w:rsidR="006857A2" w:rsidRPr="009A4DCA" w:rsidRDefault="006857A2" w:rsidP="00E76F4F">
            <w:pPr>
              <w:pStyle w:val="TableText0"/>
            </w:pPr>
            <w:r w:rsidRPr="009A4DCA">
              <w:t>77.8 (51.4, 91.1)</w:t>
            </w:r>
          </w:p>
        </w:tc>
      </w:tr>
      <w:tr w:rsidR="006857A2" w:rsidRPr="009A4DCA" w14:paraId="75E74ABD" w14:textId="77777777" w:rsidTr="00E855AC">
        <w:trPr>
          <w:trHeight w:val="20"/>
        </w:trPr>
        <w:tc>
          <w:tcPr>
            <w:tcW w:w="1412" w:type="pct"/>
            <w:tcBorders>
              <w:top w:val="single" w:sz="4" w:space="0" w:color="auto"/>
              <w:bottom w:val="single" w:sz="4" w:space="0" w:color="auto"/>
              <w:right w:val="single" w:sz="4" w:space="0" w:color="auto"/>
            </w:tcBorders>
            <w:shd w:val="clear" w:color="auto" w:fill="auto"/>
            <w:vAlign w:val="center"/>
          </w:tcPr>
          <w:p w14:paraId="552CCCD4" w14:textId="77777777" w:rsidR="006857A2" w:rsidRPr="009A4DCA" w:rsidRDefault="006857A2" w:rsidP="00E76F4F">
            <w:pPr>
              <w:pStyle w:val="TableText0"/>
            </w:pPr>
            <w:r w:rsidRPr="009A4DCA">
              <w:t>VE analysis, Across 2 seasons</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32BACD96" w14:textId="77777777" w:rsidR="006857A2" w:rsidRPr="009A4DCA" w:rsidRDefault="006857A2" w:rsidP="00E76F4F">
            <w:pPr>
              <w:pStyle w:val="TableText0"/>
            </w:pPr>
            <w:r w:rsidRPr="009A4DCA">
              <w:t>10/18,050 (0.06%)</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36DD4E6" w14:textId="77777777" w:rsidR="006857A2" w:rsidRPr="009A4DCA" w:rsidRDefault="006857A2" w:rsidP="00E76F4F">
            <w:pPr>
              <w:pStyle w:val="TableText0"/>
            </w:pPr>
            <w:r w:rsidRPr="009A4DCA">
              <w:t>54/18,074 (0.30%)</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678D5A7D" w14:textId="3743681B" w:rsidR="006857A2" w:rsidRPr="009A4DCA" w:rsidRDefault="006857A2" w:rsidP="00E76F4F">
            <w:pPr>
              <w:pStyle w:val="TableText0"/>
            </w:pPr>
            <w:r w:rsidRPr="009A4DCA">
              <w:t>0.24%</w:t>
            </w:r>
          </w:p>
        </w:tc>
        <w:tc>
          <w:tcPr>
            <w:tcW w:w="996" w:type="pct"/>
            <w:tcBorders>
              <w:top w:val="single" w:sz="4" w:space="0" w:color="auto"/>
              <w:left w:val="single" w:sz="4" w:space="0" w:color="auto"/>
              <w:bottom w:val="single" w:sz="4" w:space="0" w:color="auto"/>
            </w:tcBorders>
            <w:shd w:val="clear" w:color="auto" w:fill="auto"/>
            <w:vAlign w:val="center"/>
          </w:tcPr>
          <w:p w14:paraId="34D54C92" w14:textId="77777777" w:rsidR="006857A2" w:rsidRPr="009A4DCA" w:rsidRDefault="006857A2" w:rsidP="00E76F4F">
            <w:pPr>
              <w:pStyle w:val="TableText0"/>
            </w:pPr>
            <w:r w:rsidRPr="009A4DCA">
              <w:t>81.5 (63.3, 91.6)</w:t>
            </w:r>
          </w:p>
        </w:tc>
      </w:tr>
      <w:tr w:rsidR="00E21B10" w:rsidRPr="009A4DCA" w14:paraId="1838C91B" w14:textId="77777777" w:rsidTr="00E21B10">
        <w:trPr>
          <w:trHeight w:val="20"/>
        </w:trPr>
        <w:tc>
          <w:tcPr>
            <w:tcW w:w="5000" w:type="pct"/>
            <w:gridSpan w:val="5"/>
            <w:tcBorders>
              <w:top w:val="single" w:sz="4" w:space="0" w:color="auto"/>
              <w:bottom w:val="single" w:sz="4" w:space="0" w:color="auto"/>
            </w:tcBorders>
            <w:shd w:val="clear" w:color="auto" w:fill="auto"/>
            <w:vAlign w:val="center"/>
          </w:tcPr>
          <w:p w14:paraId="0313588D" w14:textId="3BBE38FC" w:rsidR="00E21B10" w:rsidRPr="009A4DCA" w:rsidRDefault="00E21B10" w:rsidP="00DE25B3">
            <w:pPr>
              <w:pStyle w:val="TableHeading0"/>
            </w:pPr>
            <w:r w:rsidRPr="009A4DCA">
              <w:t>VE applied in economic model: First episode of medically-attended RSV</w:t>
            </w:r>
            <w:r w:rsidR="00DE25B3" w:rsidRPr="009A4DCA">
              <w:t xml:space="preserve"> (any healthcare visit, Season 1)</w:t>
            </w:r>
          </w:p>
        </w:tc>
      </w:tr>
      <w:tr w:rsidR="00E21B10" w:rsidRPr="009A4DCA" w14:paraId="22616003" w14:textId="77777777" w:rsidTr="00E855AC">
        <w:trPr>
          <w:trHeight w:val="20"/>
        </w:trPr>
        <w:tc>
          <w:tcPr>
            <w:tcW w:w="1412" w:type="pct"/>
            <w:tcBorders>
              <w:top w:val="single" w:sz="4" w:space="0" w:color="auto"/>
              <w:bottom w:val="single" w:sz="4" w:space="0" w:color="auto"/>
              <w:right w:val="single" w:sz="4" w:space="0" w:color="auto"/>
            </w:tcBorders>
            <w:shd w:val="clear" w:color="auto" w:fill="auto"/>
            <w:vAlign w:val="center"/>
          </w:tcPr>
          <w:p w14:paraId="71449E0F" w14:textId="502FF169" w:rsidR="00E21B10" w:rsidRPr="009A4DCA" w:rsidRDefault="00E21B10" w:rsidP="00E76F4F">
            <w:pPr>
              <w:pStyle w:val="TableText0"/>
            </w:pPr>
            <w:r w:rsidRPr="009A4DCA">
              <w:t>First episode of RSV-LRTI with ≥2 symptoms</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7070A952" w14:textId="03A89BBA" w:rsidR="00E21B10" w:rsidRPr="009A4DCA" w:rsidRDefault="00DE25B3" w:rsidP="00E76F4F">
            <w:pPr>
              <w:pStyle w:val="TableText0"/>
            </w:pPr>
            <w:r w:rsidRPr="009A4DCA">
              <w:t>8</w:t>
            </w:r>
            <w:r w:rsidR="00E21B10" w:rsidRPr="009A4DCA">
              <w:t>/18,050 (0.0</w:t>
            </w:r>
            <w:r w:rsidR="009A1C10" w:rsidRPr="009A4DCA">
              <w:t>4</w:t>
            </w:r>
            <w:r w:rsidR="00E21B10" w:rsidRPr="009A4DCA">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D1CA301" w14:textId="732BCD7A" w:rsidR="00E21B10" w:rsidRPr="009A4DCA" w:rsidRDefault="00DE25B3" w:rsidP="00E76F4F">
            <w:pPr>
              <w:pStyle w:val="TableText0"/>
            </w:pPr>
            <w:r w:rsidRPr="009A4DCA">
              <w:t>27</w:t>
            </w:r>
            <w:r w:rsidR="00E21B10" w:rsidRPr="009A4DCA">
              <w:t>/18,074 (0.</w:t>
            </w:r>
            <w:r w:rsidR="009A1C10" w:rsidRPr="009A4DCA">
              <w:t>15</w:t>
            </w:r>
            <w:r w:rsidR="00E21B10" w:rsidRPr="009A4DCA">
              <w:t>%)</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3EA62CB6" w14:textId="1B8A322B" w:rsidR="00E21B10" w:rsidRPr="009A4DCA" w:rsidRDefault="00E21B10" w:rsidP="00E76F4F">
            <w:pPr>
              <w:pStyle w:val="TableText0"/>
            </w:pPr>
            <w:r w:rsidRPr="009A4DCA">
              <w:t>0.</w:t>
            </w:r>
            <w:r w:rsidR="009A1C10" w:rsidRPr="009A4DCA">
              <w:t>11</w:t>
            </w:r>
            <w:r w:rsidRPr="009A4DCA">
              <w:t>%</w:t>
            </w:r>
          </w:p>
        </w:tc>
        <w:tc>
          <w:tcPr>
            <w:tcW w:w="996" w:type="pct"/>
            <w:tcBorders>
              <w:top w:val="single" w:sz="4" w:space="0" w:color="auto"/>
              <w:left w:val="single" w:sz="4" w:space="0" w:color="auto"/>
              <w:bottom w:val="single" w:sz="4" w:space="0" w:color="auto"/>
            </w:tcBorders>
            <w:shd w:val="clear" w:color="auto" w:fill="auto"/>
            <w:vAlign w:val="center"/>
          </w:tcPr>
          <w:p w14:paraId="080E29AC" w14:textId="0D2F2C9A" w:rsidR="00E21B10" w:rsidRPr="009A4DCA" w:rsidRDefault="00DE25B3" w:rsidP="00E76F4F">
            <w:pPr>
              <w:pStyle w:val="TableText0"/>
            </w:pPr>
            <w:r w:rsidRPr="009A4DCA">
              <w:t>70</w:t>
            </w:r>
            <w:r w:rsidR="00E21B10" w:rsidRPr="009A4DCA">
              <w:t>.</w:t>
            </w:r>
            <w:r w:rsidRPr="009A4DCA">
              <w:t>4</w:t>
            </w:r>
            <w:r w:rsidR="00E21B10" w:rsidRPr="009A4DCA">
              <w:t xml:space="preserve"> (</w:t>
            </w:r>
            <w:r w:rsidRPr="009A4DCA">
              <w:t>33.0</w:t>
            </w:r>
            <w:r w:rsidR="00E21B10" w:rsidRPr="009A4DCA">
              <w:t xml:space="preserve">, </w:t>
            </w:r>
            <w:r w:rsidRPr="009A4DCA">
              <w:t>88</w:t>
            </w:r>
            <w:r w:rsidR="00E21B10" w:rsidRPr="009A4DCA">
              <w:t>.</w:t>
            </w:r>
            <w:r w:rsidRPr="009A4DCA">
              <w:t>4</w:t>
            </w:r>
            <w:r w:rsidR="00E21B10" w:rsidRPr="009A4DCA">
              <w:t>)</w:t>
            </w:r>
          </w:p>
        </w:tc>
      </w:tr>
      <w:tr w:rsidR="00DE25B3" w:rsidRPr="009A4DCA" w14:paraId="601C4D8E" w14:textId="77777777" w:rsidTr="00E855AC">
        <w:trPr>
          <w:trHeight w:val="20"/>
        </w:trPr>
        <w:tc>
          <w:tcPr>
            <w:tcW w:w="1412" w:type="pct"/>
            <w:tcBorders>
              <w:top w:val="single" w:sz="4" w:space="0" w:color="auto"/>
              <w:bottom w:val="single" w:sz="4" w:space="0" w:color="auto"/>
              <w:right w:val="single" w:sz="4" w:space="0" w:color="auto"/>
            </w:tcBorders>
            <w:shd w:val="clear" w:color="auto" w:fill="auto"/>
            <w:vAlign w:val="center"/>
          </w:tcPr>
          <w:p w14:paraId="021F6E77" w14:textId="7B911ED5" w:rsidR="00DE25B3" w:rsidRPr="009A4DCA" w:rsidRDefault="00DE25B3" w:rsidP="00E76F4F">
            <w:pPr>
              <w:pStyle w:val="TableText0"/>
            </w:pPr>
            <w:r w:rsidRPr="009A4DCA">
              <w:t>First episode of RSV-LRTI with ≥3 symptoms</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0ADD7738" w14:textId="0FA76981" w:rsidR="00DE25B3" w:rsidRPr="009A4DCA" w:rsidRDefault="00DE25B3" w:rsidP="00E76F4F">
            <w:pPr>
              <w:pStyle w:val="TableText0"/>
            </w:pPr>
            <w:r w:rsidRPr="009A4DCA">
              <w:t>2/18,050 (0.0</w:t>
            </w:r>
            <w:r w:rsidR="009A1C10" w:rsidRPr="009A4DCA">
              <w:t>1</w:t>
            </w:r>
            <w:r w:rsidRPr="009A4DCA">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D33445C" w14:textId="4933BA8E" w:rsidR="00DE25B3" w:rsidRPr="009A4DCA" w:rsidRDefault="00DE25B3" w:rsidP="00E76F4F">
            <w:pPr>
              <w:pStyle w:val="TableText0"/>
            </w:pPr>
            <w:r w:rsidRPr="009A4DCA">
              <w:t>13/18,074 (0.</w:t>
            </w:r>
            <w:r w:rsidR="009A1C10" w:rsidRPr="009A4DCA">
              <w:t>07</w:t>
            </w:r>
            <w:r w:rsidRPr="009A4DCA">
              <w:t>%)</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62D263EA" w14:textId="05F9C825" w:rsidR="00DE25B3" w:rsidRPr="009A4DCA" w:rsidRDefault="00DE25B3" w:rsidP="00E76F4F">
            <w:pPr>
              <w:pStyle w:val="TableText0"/>
            </w:pPr>
            <w:r w:rsidRPr="009A4DCA">
              <w:t>0.</w:t>
            </w:r>
            <w:r w:rsidR="009A1C10" w:rsidRPr="009A4DCA">
              <w:t>06</w:t>
            </w:r>
            <w:r w:rsidRPr="009A4DCA">
              <w:t>%</w:t>
            </w:r>
          </w:p>
        </w:tc>
        <w:tc>
          <w:tcPr>
            <w:tcW w:w="996" w:type="pct"/>
            <w:tcBorders>
              <w:top w:val="single" w:sz="4" w:space="0" w:color="auto"/>
              <w:left w:val="single" w:sz="4" w:space="0" w:color="auto"/>
              <w:bottom w:val="single" w:sz="4" w:space="0" w:color="auto"/>
            </w:tcBorders>
            <w:shd w:val="clear" w:color="auto" w:fill="auto"/>
            <w:vAlign w:val="center"/>
          </w:tcPr>
          <w:p w14:paraId="3C4FE54B" w14:textId="6F846E31" w:rsidR="00DE25B3" w:rsidRPr="009A4DCA" w:rsidRDefault="00DE25B3" w:rsidP="00E76F4F">
            <w:pPr>
              <w:pStyle w:val="TableText0"/>
            </w:pPr>
            <w:r w:rsidRPr="009A4DCA">
              <w:t>84.6 (32.0, 98.3)</w:t>
            </w:r>
          </w:p>
        </w:tc>
      </w:tr>
      <w:tr w:rsidR="00DE25B3" w:rsidRPr="009A4DCA" w14:paraId="7B706D2F" w14:textId="77777777" w:rsidTr="00E855AC">
        <w:trPr>
          <w:trHeight w:val="20"/>
        </w:trPr>
        <w:tc>
          <w:tcPr>
            <w:tcW w:w="1412" w:type="pct"/>
            <w:tcBorders>
              <w:top w:val="single" w:sz="4" w:space="0" w:color="auto"/>
              <w:bottom w:val="single" w:sz="4" w:space="0" w:color="auto"/>
              <w:right w:val="single" w:sz="4" w:space="0" w:color="auto"/>
            </w:tcBorders>
            <w:shd w:val="clear" w:color="auto" w:fill="auto"/>
            <w:vAlign w:val="center"/>
          </w:tcPr>
          <w:p w14:paraId="208025AD" w14:textId="5C33A212" w:rsidR="00DE25B3" w:rsidRPr="009A4DCA" w:rsidRDefault="00DE25B3" w:rsidP="00E76F4F">
            <w:pPr>
              <w:pStyle w:val="TableText0"/>
            </w:pPr>
            <w:r w:rsidRPr="009A4DCA">
              <w:t>First-episode of RSV-ARI</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6F322F98" w14:textId="7CB8D908" w:rsidR="00DE25B3" w:rsidRPr="009A4DCA" w:rsidRDefault="00DE25B3" w:rsidP="00E76F4F">
            <w:pPr>
              <w:pStyle w:val="TableText0"/>
            </w:pPr>
            <w:r w:rsidRPr="009A4DCA">
              <w:t>15/18,050 (0.0</w:t>
            </w:r>
            <w:r w:rsidR="009A1C10" w:rsidRPr="009A4DCA">
              <w:t>8</w:t>
            </w:r>
            <w:r w:rsidRPr="009A4DCA">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7358BA93" w14:textId="01F3FC0F" w:rsidR="00DE25B3" w:rsidRPr="009A4DCA" w:rsidRDefault="00E208BC" w:rsidP="00E76F4F">
            <w:pPr>
              <w:pStyle w:val="TableText0"/>
            </w:pPr>
            <w:r w:rsidRPr="009A4DCA">
              <w:t>43</w:t>
            </w:r>
            <w:r w:rsidR="00DE25B3" w:rsidRPr="009A4DCA">
              <w:t>/18,074 (0.</w:t>
            </w:r>
            <w:r w:rsidR="009A1C10" w:rsidRPr="009A4DCA">
              <w:t>24</w:t>
            </w:r>
            <w:r w:rsidR="00DE25B3" w:rsidRPr="009A4DCA">
              <w:t>%)</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2DFA8A05" w14:textId="7321C0EA" w:rsidR="00DE25B3" w:rsidRPr="009A4DCA" w:rsidRDefault="00DE25B3" w:rsidP="00E76F4F">
            <w:pPr>
              <w:pStyle w:val="TableText0"/>
            </w:pPr>
            <w:r w:rsidRPr="009A4DCA">
              <w:t>0.</w:t>
            </w:r>
            <w:r w:rsidR="009A1C10" w:rsidRPr="009A4DCA">
              <w:t>15</w:t>
            </w:r>
            <w:r w:rsidRPr="009A4DCA">
              <w:t>%</w:t>
            </w:r>
          </w:p>
        </w:tc>
        <w:tc>
          <w:tcPr>
            <w:tcW w:w="996" w:type="pct"/>
            <w:tcBorders>
              <w:top w:val="single" w:sz="4" w:space="0" w:color="auto"/>
              <w:left w:val="single" w:sz="4" w:space="0" w:color="auto"/>
              <w:bottom w:val="single" w:sz="4" w:space="0" w:color="auto"/>
            </w:tcBorders>
            <w:shd w:val="clear" w:color="auto" w:fill="auto"/>
            <w:vAlign w:val="center"/>
          </w:tcPr>
          <w:p w14:paraId="7F8DBBF4" w14:textId="272DDC90" w:rsidR="00DE25B3" w:rsidRPr="009A4DCA" w:rsidRDefault="00E208BC" w:rsidP="00E76F4F">
            <w:pPr>
              <w:pStyle w:val="TableText0"/>
            </w:pPr>
            <w:r w:rsidRPr="009A4DCA">
              <w:t>65.1</w:t>
            </w:r>
            <w:r w:rsidR="00DE25B3" w:rsidRPr="009A4DCA">
              <w:t xml:space="preserve"> (</w:t>
            </w:r>
            <w:r w:rsidRPr="009A4DCA">
              <w:t>35.9</w:t>
            </w:r>
            <w:r w:rsidR="00DE25B3" w:rsidRPr="009A4DCA">
              <w:t xml:space="preserve">, </w:t>
            </w:r>
            <w:r w:rsidRPr="009A4DCA">
              <w:t>82.0</w:t>
            </w:r>
            <w:r w:rsidR="00DE25B3" w:rsidRPr="009A4DCA">
              <w:t>)</w:t>
            </w:r>
          </w:p>
        </w:tc>
      </w:tr>
    </w:tbl>
    <w:tbl>
      <w:tblPr>
        <w:tblW w:w="5000" w:type="pct"/>
        <w:tblLayout w:type="fixed"/>
        <w:tblCellMar>
          <w:left w:w="28" w:type="dxa"/>
          <w:right w:w="28" w:type="dxa"/>
        </w:tblCellMar>
        <w:tblLook w:val="04A0" w:firstRow="1" w:lastRow="0" w:firstColumn="1" w:lastColumn="0" w:noHBand="0" w:noVBand="1"/>
      </w:tblPr>
      <w:tblGrid>
        <w:gridCol w:w="1696"/>
        <w:gridCol w:w="1136"/>
        <w:gridCol w:w="1134"/>
        <w:gridCol w:w="1558"/>
        <w:gridCol w:w="709"/>
        <w:gridCol w:w="851"/>
        <w:gridCol w:w="1933"/>
      </w:tblGrid>
      <w:tr w:rsidR="006857A2" w:rsidRPr="009A4DCA" w14:paraId="21EBDE40" w14:textId="77777777" w:rsidTr="00973287">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bookmarkEnd w:id="47"/>
          <w:p w14:paraId="452B1C5C" w14:textId="77777777" w:rsidR="006857A2" w:rsidRPr="009A4DCA" w:rsidRDefault="006857A2" w:rsidP="00216379">
            <w:pPr>
              <w:pStyle w:val="In-tableHeading"/>
              <w:rPr>
                <w:lang w:val="en-AU"/>
              </w:rPr>
            </w:pPr>
            <w:r w:rsidRPr="009A4DCA">
              <w:rPr>
                <w:lang w:val="en-AU"/>
              </w:rPr>
              <w:t xml:space="preserve">Harms </w:t>
            </w:r>
          </w:p>
        </w:tc>
      </w:tr>
      <w:tr w:rsidR="006857A2" w:rsidRPr="009A4DCA" w14:paraId="1E09FE4A" w14:textId="77777777" w:rsidTr="00C54156">
        <w:trPr>
          <w:trHeight w:val="70"/>
        </w:trPr>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9F525" w14:textId="77777777" w:rsidR="006857A2" w:rsidRPr="009A4DCA" w:rsidRDefault="006857A2" w:rsidP="00216379">
            <w:pPr>
              <w:pStyle w:val="In-tableHeading"/>
              <w:rPr>
                <w:lang w:val="en-AU"/>
              </w:rPr>
            </w:pPr>
            <w:r w:rsidRPr="009A4DCA">
              <w:rPr>
                <w:lang w:val="en-AU"/>
              </w:rPr>
              <w:t>RENOIR</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14:paraId="28FE799D" w14:textId="77777777" w:rsidR="006857A2" w:rsidRPr="009A4DCA" w:rsidRDefault="006857A2" w:rsidP="00216379">
            <w:pPr>
              <w:pStyle w:val="In-tableHeading"/>
              <w:rPr>
                <w:lang w:val="en-AU"/>
              </w:rPr>
            </w:pPr>
            <w:r w:rsidRPr="009A4DCA">
              <w:rPr>
                <w:lang w:val="en-AU"/>
              </w:rPr>
              <w:t xml:space="preserve">RSVpreF </w:t>
            </w:r>
          </w:p>
          <w:p w14:paraId="458C4889" w14:textId="77777777" w:rsidR="006857A2" w:rsidRPr="009A4DCA" w:rsidRDefault="006857A2" w:rsidP="00216379">
            <w:pPr>
              <w:pStyle w:val="In-tableHeading"/>
              <w:rPr>
                <w:lang w:val="en-AU"/>
              </w:rPr>
            </w:pPr>
            <w:r w:rsidRPr="009A4DCA">
              <w:rPr>
                <w:lang w:val="en-AU"/>
              </w:rPr>
              <w:t>n/N</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31C79B11" w14:textId="77777777" w:rsidR="006857A2" w:rsidRPr="009A4DCA" w:rsidRDefault="006857A2" w:rsidP="00216379">
            <w:pPr>
              <w:pStyle w:val="In-tableHeading"/>
              <w:rPr>
                <w:lang w:val="en-AU"/>
              </w:rPr>
            </w:pPr>
            <w:r w:rsidRPr="009A4DCA">
              <w:rPr>
                <w:lang w:val="en-AU"/>
              </w:rPr>
              <w:t>Placebo</w:t>
            </w:r>
          </w:p>
          <w:p w14:paraId="5194B936" w14:textId="77777777" w:rsidR="006857A2" w:rsidRPr="009A4DCA" w:rsidRDefault="006857A2" w:rsidP="00216379">
            <w:pPr>
              <w:pStyle w:val="In-tableHeading"/>
              <w:rPr>
                <w:lang w:val="en-AU"/>
              </w:rPr>
            </w:pPr>
            <w:r w:rsidRPr="009A4DCA">
              <w:rPr>
                <w:lang w:val="en-AU"/>
              </w:rPr>
              <w:t>n/N</w:t>
            </w:r>
          </w:p>
        </w:tc>
        <w:tc>
          <w:tcPr>
            <w:tcW w:w="864" w:type="pct"/>
            <w:vMerge w:val="restart"/>
            <w:tcBorders>
              <w:top w:val="single" w:sz="4" w:space="0" w:color="auto"/>
              <w:left w:val="single" w:sz="4" w:space="0" w:color="auto"/>
              <w:bottom w:val="single" w:sz="4" w:space="0" w:color="auto"/>
              <w:right w:val="single" w:sz="4" w:space="0" w:color="auto"/>
            </w:tcBorders>
            <w:vAlign w:val="center"/>
          </w:tcPr>
          <w:p w14:paraId="519224E2" w14:textId="77777777" w:rsidR="006857A2" w:rsidRPr="009A4DCA" w:rsidRDefault="006857A2" w:rsidP="00216379">
            <w:pPr>
              <w:pStyle w:val="In-tableHeading"/>
              <w:rPr>
                <w:lang w:val="en-AU"/>
              </w:rPr>
            </w:pPr>
            <w:r w:rsidRPr="009A4DCA">
              <w:rPr>
                <w:lang w:val="en-AU"/>
              </w:rPr>
              <w:t>RR</w:t>
            </w:r>
          </w:p>
          <w:p w14:paraId="6E9DCAE4" w14:textId="488D105D" w:rsidR="006857A2" w:rsidRPr="009A4DCA" w:rsidRDefault="006857A2" w:rsidP="00216379">
            <w:pPr>
              <w:pStyle w:val="In-tableHeading"/>
              <w:rPr>
                <w:lang w:val="en-AU"/>
              </w:rPr>
            </w:pPr>
            <w:r w:rsidRPr="009A4DCA">
              <w:rPr>
                <w:lang w:val="en-AU"/>
              </w:rPr>
              <w:t>(95% CI)</w:t>
            </w:r>
            <w:r w:rsidR="00477ACD" w:rsidRPr="009A4DCA">
              <w:rPr>
                <w:vertAlign w:val="superscript"/>
                <w:lang w:val="en-AU" w:eastAsia="en-US"/>
              </w:rPr>
              <w:t xml:space="preserve"> b</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367D7009" w14:textId="77777777" w:rsidR="006857A2" w:rsidRPr="009A4DCA" w:rsidRDefault="006857A2" w:rsidP="00216379">
            <w:pPr>
              <w:pStyle w:val="In-tableHeading"/>
              <w:rPr>
                <w:lang w:val="en-AU"/>
              </w:rPr>
            </w:pPr>
            <w:r w:rsidRPr="009A4DCA">
              <w:rPr>
                <w:lang w:val="en-AU"/>
              </w:rPr>
              <w:t>Event rate/100 patients</w:t>
            </w:r>
          </w:p>
        </w:tc>
        <w:tc>
          <w:tcPr>
            <w:tcW w:w="1072" w:type="pct"/>
            <w:vMerge w:val="restart"/>
            <w:tcBorders>
              <w:top w:val="single" w:sz="4" w:space="0" w:color="auto"/>
              <w:left w:val="single" w:sz="4" w:space="0" w:color="auto"/>
              <w:bottom w:val="single" w:sz="4" w:space="0" w:color="auto"/>
              <w:right w:val="single" w:sz="4" w:space="0" w:color="auto"/>
            </w:tcBorders>
            <w:vAlign w:val="center"/>
          </w:tcPr>
          <w:p w14:paraId="053FCFA2" w14:textId="77777777" w:rsidR="006857A2" w:rsidRPr="009A4DCA" w:rsidRDefault="006857A2" w:rsidP="00216379">
            <w:pPr>
              <w:pStyle w:val="In-tableHeading"/>
              <w:rPr>
                <w:lang w:val="en-AU"/>
              </w:rPr>
            </w:pPr>
            <w:r w:rsidRPr="009A4DCA">
              <w:rPr>
                <w:lang w:val="en-AU"/>
              </w:rPr>
              <w:t>RD</w:t>
            </w:r>
          </w:p>
          <w:p w14:paraId="7C0D1C77" w14:textId="46E2D1A9" w:rsidR="006857A2" w:rsidRPr="009A4DCA" w:rsidRDefault="006857A2" w:rsidP="00216379">
            <w:pPr>
              <w:pStyle w:val="In-tableHeading"/>
              <w:rPr>
                <w:lang w:val="en-AU"/>
              </w:rPr>
            </w:pPr>
            <w:r w:rsidRPr="009A4DCA">
              <w:rPr>
                <w:lang w:val="en-AU"/>
              </w:rPr>
              <w:t>(95% CI)</w:t>
            </w:r>
            <w:r w:rsidR="00477ACD" w:rsidRPr="009A4DCA">
              <w:rPr>
                <w:vertAlign w:val="superscript"/>
                <w:lang w:val="en-AU" w:eastAsia="en-US"/>
              </w:rPr>
              <w:t xml:space="preserve"> b</w:t>
            </w:r>
          </w:p>
        </w:tc>
      </w:tr>
      <w:tr w:rsidR="006857A2" w:rsidRPr="009A4DCA" w14:paraId="0356B2D8" w14:textId="77777777" w:rsidTr="00C54156">
        <w:trPr>
          <w:trHeight w:val="390"/>
        </w:trPr>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6D1682" w14:textId="77777777" w:rsidR="006857A2" w:rsidRPr="009A4DCA" w:rsidRDefault="006857A2" w:rsidP="00216379">
            <w:pPr>
              <w:pStyle w:val="In-tableHeading"/>
              <w:rPr>
                <w:lang w:val="en-AU"/>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7405207C" w14:textId="77777777" w:rsidR="006857A2" w:rsidRPr="009A4DCA" w:rsidRDefault="006857A2" w:rsidP="00216379">
            <w:pPr>
              <w:pStyle w:val="In-tableHeading"/>
              <w:rPr>
                <w:lang w:val="en-AU"/>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03BC3C26" w14:textId="77777777" w:rsidR="006857A2" w:rsidRPr="009A4DCA" w:rsidRDefault="006857A2" w:rsidP="00216379">
            <w:pPr>
              <w:pStyle w:val="In-tableHeading"/>
              <w:rPr>
                <w:lang w:val="en-AU"/>
              </w:rPr>
            </w:pPr>
          </w:p>
        </w:tc>
        <w:tc>
          <w:tcPr>
            <w:tcW w:w="864" w:type="pct"/>
            <w:vMerge/>
            <w:tcBorders>
              <w:top w:val="single" w:sz="4" w:space="0" w:color="auto"/>
              <w:left w:val="single" w:sz="4" w:space="0" w:color="auto"/>
              <w:bottom w:val="single" w:sz="4" w:space="0" w:color="auto"/>
              <w:right w:val="single" w:sz="4" w:space="0" w:color="auto"/>
            </w:tcBorders>
            <w:vAlign w:val="center"/>
          </w:tcPr>
          <w:p w14:paraId="675C29A3" w14:textId="77777777" w:rsidR="006857A2" w:rsidRPr="009A4DCA" w:rsidRDefault="006857A2" w:rsidP="00216379">
            <w:pPr>
              <w:pStyle w:val="In-tableHeading"/>
              <w:rPr>
                <w:lang w:val="en-AU"/>
              </w:rPr>
            </w:pPr>
          </w:p>
        </w:tc>
        <w:tc>
          <w:tcPr>
            <w:tcW w:w="393" w:type="pct"/>
            <w:tcBorders>
              <w:top w:val="single" w:sz="4" w:space="0" w:color="auto"/>
              <w:left w:val="single" w:sz="4" w:space="0" w:color="auto"/>
              <w:bottom w:val="single" w:sz="4" w:space="0" w:color="auto"/>
              <w:right w:val="single" w:sz="4" w:space="0" w:color="auto"/>
            </w:tcBorders>
            <w:vAlign w:val="center"/>
          </w:tcPr>
          <w:p w14:paraId="55B63605" w14:textId="77777777" w:rsidR="006857A2" w:rsidRPr="009A4DCA" w:rsidRDefault="006857A2" w:rsidP="00216379">
            <w:pPr>
              <w:pStyle w:val="In-tableHeading"/>
              <w:rPr>
                <w:lang w:val="en-AU"/>
              </w:rPr>
            </w:pPr>
            <w:r w:rsidRPr="009A4DCA">
              <w:rPr>
                <w:lang w:val="en-AU"/>
              </w:rPr>
              <w:t>RSVpreF</w:t>
            </w:r>
          </w:p>
        </w:tc>
        <w:tc>
          <w:tcPr>
            <w:tcW w:w="472" w:type="pct"/>
            <w:tcBorders>
              <w:top w:val="single" w:sz="4" w:space="0" w:color="auto"/>
              <w:left w:val="single" w:sz="4" w:space="0" w:color="auto"/>
              <w:bottom w:val="single" w:sz="4" w:space="0" w:color="auto"/>
              <w:right w:val="single" w:sz="4" w:space="0" w:color="auto"/>
            </w:tcBorders>
            <w:vAlign w:val="center"/>
          </w:tcPr>
          <w:p w14:paraId="4A43358F" w14:textId="77777777" w:rsidR="006857A2" w:rsidRPr="009A4DCA" w:rsidRDefault="006857A2" w:rsidP="00216379">
            <w:pPr>
              <w:pStyle w:val="In-tableHeading"/>
              <w:rPr>
                <w:lang w:val="en-AU"/>
              </w:rPr>
            </w:pPr>
            <w:r w:rsidRPr="009A4DCA">
              <w:rPr>
                <w:lang w:val="en-AU"/>
              </w:rPr>
              <w:t>Placebo</w:t>
            </w:r>
          </w:p>
        </w:tc>
        <w:tc>
          <w:tcPr>
            <w:tcW w:w="1072" w:type="pct"/>
            <w:vMerge/>
            <w:tcBorders>
              <w:top w:val="single" w:sz="4" w:space="0" w:color="auto"/>
              <w:left w:val="single" w:sz="4" w:space="0" w:color="auto"/>
              <w:bottom w:val="single" w:sz="4" w:space="0" w:color="auto"/>
              <w:right w:val="single" w:sz="4" w:space="0" w:color="auto"/>
            </w:tcBorders>
            <w:vAlign w:val="center"/>
          </w:tcPr>
          <w:p w14:paraId="0F6A7D54" w14:textId="77777777" w:rsidR="006857A2" w:rsidRPr="009A4DCA" w:rsidRDefault="006857A2" w:rsidP="00216379">
            <w:pPr>
              <w:pStyle w:val="In-tableHeading"/>
              <w:rPr>
                <w:lang w:val="en-AU"/>
              </w:rPr>
            </w:pPr>
          </w:p>
        </w:tc>
      </w:tr>
      <w:tr w:rsidR="006857A2" w:rsidRPr="009A4DCA" w14:paraId="1C01C886" w14:textId="77777777" w:rsidTr="0097328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17CC35" w14:textId="44A1D701" w:rsidR="006857A2" w:rsidRPr="009A4DCA" w:rsidRDefault="006857A2" w:rsidP="00216379">
            <w:pPr>
              <w:keepNext/>
              <w:keepLines/>
              <w:ind w:right="17"/>
              <w:jc w:val="left"/>
            </w:pPr>
            <w:r w:rsidRPr="009A4DCA">
              <w:rPr>
                <w:rFonts w:ascii="Arial Narrow" w:eastAsiaTheme="majorEastAsia" w:hAnsi="Arial Narrow" w:cstheme="majorBidi"/>
                <w:b/>
                <w:bCs/>
                <w:sz w:val="20"/>
                <w:lang w:eastAsia="en-US"/>
              </w:rPr>
              <w:t>Any AE</w:t>
            </w:r>
            <w:r w:rsidR="003E6D07" w:rsidRPr="009A4DCA">
              <w:rPr>
                <w:rFonts w:ascii="Arial Narrow" w:eastAsiaTheme="majorEastAsia" w:hAnsi="Arial Narrow" w:cstheme="majorBidi"/>
                <w:b/>
                <w:bCs/>
                <w:sz w:val="20"/>
                <w:lang w:eastAsia="en-US"/>
              </w:rPr>
              <w:t xml:space="preserve"> (from vaccination through 1-month follow up visit)</w:t>
            </w:r>
          </w:p>
        </w:tc>
      </w:tr>
      <w:tr w:rsidR="004B5118" w:rsidRPr="009A4DCA" w14:paraId="7DC69B23" w14:textId="77777777" w:rsidTr="00533AC3">
        <w:tc>
          <w:tcPr>
            <w:tcW w:w="940" w:type="pct"/>
            <w:tcBorders>
              <w:top w:val="single" w:sz="4" w:space="0" w:color="auto"/>
              <w:left w:val="single" w:sz="4" w:space="0" w:color="auto"/>
              <w:bottom w:val="single" w:sz="4" w:space="0" w:color="auto"/>
              <w:right w:val="single" w:sz="4" w:space="0" w:color="auto"/>
            </w:tcBorders>
            <w:shd w:val="clear" w:color="auto" w:fill="auto"/>
          </w:tcPr>
          <w:p w14:paraId="35E9AC57" w14:textId="77777777" w:rsidR="004B5118" w:rsidRPr="009A4DCA" w:rsidRDefault="004B5118" w:rsidP="00E76F4F">
            <w:pPr>
              <w:pStyle w:val="TableText0"/>
            </w:pPr>
            <w:r w:rsidRPr="009A4DCA">
              <w:t>Any AE</w:t>
            </w:r>
          </w:p>
        </w:tc>
        <w:tc>
          <w:tcPr>
            <w:tcW w:w="630" w:type="pct"/>
            <w:tcBorders>
              <w:top w:val="single" w:sz="4" w:space="0" w:color="auto"/>
              <w:left w:val="single" w:sz="4" w:space="0" w:color="auto"/>
              <w:bottom w:val="single" w:sz="4" w:space="0" w:color="auto"/>
              <w:right w:val="single" w:sz="4" w:space="0" w:color="auto"/>
            </w:tcBorders>
            <w:vAlign w:val="center"/>
          </w:tcPr>
          <w:p w14:paraId="608562BD" w14:textId="77777777" w:rsidR="004B5118" w:rsidRPr="009A4DCA" w:rsidRDefault="004B5118" w:rsidP="00E76F4F">
            <w:pPr>
              <w:pStyle w:val="TableText0"/>
            </w:pPr>
            <w:r w:rsidRPr="009A4DCA">
              <w:t>2,012/18,574</w:t>
            </w:r>
          </w:p>
        </w:tc>
        <w:tc>
          <w:tcPr>
            <w:tcW w:w="629" w:type="pct"/>
            <w:tcBorders>
              <w:top w:val="single" w:sz="4" w:space="0" w:color="auto"/>
              <w:left w:val="single" w:sz="4" w:space="0" w:color="auto"/>
              <w:bottom w:val="single" w:sz="4" w:space="0" w:color="auto"/>
              <w:right w:val="single" w:sz="4" w:space="0" w:color="auto"/>
            </w:tcBorders>
            <w:vAlign w:val="center"/>
          </w:tcPr>
          <w:p w14:paraId="7829E464" w14:textId="77777777" w:rsidR="004B5118" w:rsidRPr="009A4DCA" w:rsidRDefault="004B5118" w:rsidP="00E76F4F">
            <w:pPr>
              <w:pStyle w:val="TableText0"/>
            </w:pPr>
            <w:r w:rsidRPr="009A4DCA">
              <w:t>1,917/18,288</w:t>
            </w:r>
          </w:p>
        </w:tc>
        <w:tc>
          <w:tcPr>
            <w:tcW w:w="864" w:type="pct"/>
            <w:tcBorders>
              <w:top w:val="single" w:sz="4" w:space="0" w:color="auto"/>
              <w:left w:val="single" w:sz="4" w:space="0" w:color="auto"/>
              <w:bottom w:val="single" w:sz="4" w:space="0" w:color="auto"/>
              <w:right w:val="single" w:sz="4" w:space="0" w:color="auto"/>
            </w:tcBorders>
            <w:vAlign w:val="center"/>
          </w:tcPr>
          <w:p w14:paraId="7A2BDA91" w14:textId="77777777" w:rsidR="004B5118" w:rsidRPr="009A4DCA" w:rsidRDefault="004B5118" w:rsidP="00E76F4F">
            <w:pPr>
              <w:pStyle w:val="TableText0"/>
            </w:pPr>
            <w:r w:rsidRPr="009A4DCA">
              <w:t>1.03 (0.97, 1.10)</w:t>
            </w:r>
          </w:p>
        </w:tc>
        <w:tc>
          <w:tcPr>
            <w:tcW w:w="393" w:type="pct"/>
            <w:tcBorders>
              <w:top w:val="single" w:sz="4" w:space="0" w:color="auto"/>
              <w:left w:val="single" w:sz="4" w:space="0" w:color="auto"/>
              <w:bottom w:val="single" w:sz="4" w:space="0" w:color="auto"/>
              <w:right w:val="single" w:sz="4" w:space="0" w:color="auto"/>
            </w:tcBorders>
            <w:vAlign w:val="center"/>
          </w:tcPr>
          <w:p w14:paraId="7F6CF1D2" w14:textId="77777777" w:rsidR="004B5118" w:rsidRPr="009A4DCA" w:rsidRDefault="004B5118" w:rsidP="00E76F4F">
            <w:pPr>
              <w:pStyle w:val="TableText0"/>
            </w:pPr>
            <w:r w:rsidRPr="009A4DCA">
              <w:t>10.83</w:t>
            </w:r>
          </w:p>
        </w:tc>
        <w:tc>
          <w:tcPr>
            <w:tcW w:w="472" w:type="pct"/>
            <w:tcBorders>
              <w:top w:val="single" w:sz="4" w:space="0" w:color="auto"/>
              <w:left w:val="single" w:sz="4" w:space="0" w:color="auto"/>
              <w:bottom w:val="single" w:sz="4" w:space="0" w:color="auto"/>
              <w:right w:val="single" w:sz="4" w:space="0" w:color="auto"/>
            </w:tcBorders>
            <w:vAlign w:val="center"/>
          </w:tcPr>
          <w:p w14:paraId="1185FCF4" w14:textId="77777777" w:rsidR="004B5118" w:rsidRPr="009A4DCA" w:rsidRDefault="004B5118" w:rsidP="00E76F4F">
            <w:pPr>
              <w:pStyle w:val="TableText0"/>
            </w:pPr>
            <w:r w:rsidRPr="009A4DCA">
              <w:t>10.48</w:t>
            </w:r>
          </w:p>
        </w:tc>
        <w:tc>
          <w:tcPr>
            <w:tcW w:w="1072" w:type="pct"/>
            <w:tcBorders>
              <w:top w:val="single" w:sz="4" w:space="0" w:color="auto"/>
              <w:left w:val="single" w:sz="4" w:space="0" w:color="auto"/>
              <w:bottom w:val="single" w:sz="4" w:space="0" w:color="auto"/>
              <w:right w:val="single" w:sz="4" w:space="0" w:color="auto"/>
            </w:tcBorders>
            <w:vAlign w:val="center"/>
          </w:tcPr>
          <w:p w14:paraId="5C45D343" w14:textId="74AEEF4C" w:rsidR="004B5118" w:rsidRPr="009A4DCA" w:rsidRDefault="004B5118" w:rsidP="00E76F4F">
            <w:pPr>
              <w:pStyle w:val="TableText0"/>
            </w:pPr>
            <w:r w:rsidRPr="009A4DCA">
              <w:t>0.35% (-0.28%, 0.98%)</w:t>
            </w:r>
          </w:p>
        </w:tc>
      </w:tr>
      <w:tr w:rsidR="004B5118" w:rsidRPr="009A4DCA" w14:paraId="42B50F72" w14:textId="77777777" w:rsidTr="00533AC3">
        <w:tc>
          <w:tcPr>
            <w:tcW w:w="940" w:type="pct"/>
            <w:tcBorders>
              <w:top w:val="single" w:sz="4" w:space="0" w:color="auto"/>
              <w:left w:val="single" w:sz="4" w:space="0" w:color="auto"/>
              <w:bottom w:val="single" w:sz="4" w:space="0" w:color="auto"/>
              <w:right w:val="single" w:sz="4" w:space="0" w:color="auto"/>
            </w:tcBorders>
            <w:shd w:val="clear" w:color="auto" w:fill="auto"/>
          </w:tcPr>
          <w:p w14:paraId="473A79D6" w14:textId="53A4CC8C" w:rsidR="004B5118" w:rsidRPr="009A4DCA" w:rsidRDefault="004B5118" w:rsidP="00E76F4F">
            <w:pPr>
              <w:pStyle w:val="TableText0"/>
            </w:pPr>
            <w:r w:rsidRPr="009A4DCA">
              <w:t>Immediate AE</w:t>
            </w:r>
            <w:r w:rsidRPr="009A4DCA">
              <w:rPr>
                <w:vertAlign w:val="superscript"/>
              </w:rPr>
              <w:t>a</w:t>
            </w:r>
          </w:p>
        </w:tc>
        <w:tc>
          <w:tcPr>
            <w:tcW w:w="630" w:type="pct"/>
            <w:tcBorders>
              <w:top w:val="single" w:sz="4" w:space="0" w:color="auto"/>
              <w:left w:val="single" w:sz="4" w:space="0" w:color="auto"/>
              <w:bottom w:val="single" w:sz="4" w:space="0" w:color="auto"/>
              <w:right w:val="single" w:sz="4" w:space="0" w:color="auto"/>
            </w:tcBorders>
            <w:vAlign w:val="center"/>
          </w:tcPr>
          <w:p w14:paraId="2960E4C7" w14:textId="77777777" w:rsidR="004B5118" w:rsidRPr="009A4DCA" w:rsidRDefault="004B5118" w:rsidP="00E76F4F">
            <w:pPr>
              <w:pStyle w:val="TableText0"/>
            </w:pPr>
            <w:r w:rsidRPr="009A4DCA">
              <w:t>39/18,574</w:t>
            </w:r>
          </w:p>
        </w:tc>
        <w:tc>
          <w:tcPr>
            <w:tcW w:w="629" w:type="pct"/>
            <w:tcBorders>
              <w:top w:val="single" w:sz="4" w:space="0" w:color="auto"/>
              <w:left w:val="single" w:sz="4" w:space="0" w:color="auto"/>
              <w:bottom w:val="single" w:sz="4" w:space="0" w:color="auto"/>
              <w:right w:val="single" w:sz="4" w:space="0" w:color="auto"/>
            </w:tcBorders>
            <w:vAlign w:val="center"/>
          </w:tcPr>
          <w:p w14:paraId="05357E90" w14:textId="77777777" w:rsidR="004B5118" w:rsidRPr="009A4DCA" w:rsidRDefault="004B5118" w:rsidP="00E76F4F">
            <w:pPr>
              <w:pStyle w:val="TableText0"/>
            </w:pPr>
            <w:r w:rsidRPr="009A4DCA">
              <w:t>35/18,288</w:t>
            </w:r>
          </w:p>
        </w:tc>
        <w:tc>
          <w:tcPr>
            <w:tcW w:w="864" w:type="pct"/>
            <w:tcBorders>
              <w:top w:val="single" w:sz="4" w:space="0" w:color="auto"/>
              <w:left w:val="single" w:sz="4" w:space="0" w:color="auto"/>
              <w:bottom w:val="single" w:sz="4" w:space="0" w:color="auto"/>
              <w:right w:val="single" w:sz="4" w:space="0" w:color="auto"/>
            </w:tcBorders>
            <w:vAlign w:val="center"/>
          </w:tcPr>
          <w:p w14:paraId="70450CBD" w14:textId="77777777" w:rsidR="004B5118" w:rsidRPr="009A4DCA" w:rsidRDefault="004B5118" w:rsidP="00E76F4F">
            <w:pPr>
              <w:pStyle w:val="TableText0"/>
            </w:pPr>
            <w:r w:rsidRPr="009A4DCA">
              <w:t>1.10 (0.70, 1.73)</w:t>
            </w:r>
          </w:p>
        </w:tc>
        <w:tc>
          <w:tcPr>
            <w:tcW w:w="393" w:type="pct"/>
            <w:tcBorders>
              <w:top w:val="single" w:sz="4" w:space="0" w:color="auto"/>
              <w:left w:val="single" w:sz="4" w:space="0" w:color="auto"/>
              <w:bottom w:val="single" w:sz="4" w:space="0" w:color="auto"/>
              <w:right w:val="single" w:sz="4" w:space="0" w:color="auto"/>
            </w:tcBorders>
            <w:vAlign w:val="center"/>
          </w:tcPr>
          <w:p w14:paraId="240691DE" w14:textId="77777777" w:rsidR="004B5118" w:rsidRPr="009A4DCA" w:rsidRDefault="004B5118" w:rsidP="00E76F4F">
            <w:pPr>
              <w:pStyle w:val="TableText0"/>
            </w:pPr>
            <w:r w:rsidRPr="009A4DCA">
              <w:t>0.21</w:t>
            </w:r>
          </w:p>
        </w:tc>
        <w:tc>
          <w:tcPr>
            <w:tcW w:w="472" w:type="pct"/>
            <w:tcBorders>
              <w:top w:val="single" w:sz="4" w:space="0" w:color="auto"/>
              <w:left w:val="single" w:sz="4" w:space="0" w:color="auto"/>
              <w:bottom w:val="single" w:sz="4" w:space="0" w:color="auto"/>
              <w:right w:val="single" w:sz="4" w:space="0" w:color="auto"/>
            </w:tcBorders>
            <w:vAlign w:val="center"/>
          </w:tcPr>
          <w:p w14:paraId="2B16B802" w14:textId="77777777" w:rsidR="004B5118" w:rsidRPr="009A4DCA" w:rsidRDefault="004B5118" w:rsidP="00E76F4F">
            <w:pPr>
              <w:pStyle w:val="TableText0"/>
            </w:pPr>
            <w:r w:rsidRPr="009A4DCA">
              <w:t>0.19</w:t>
            </w:r>
          </w:p>
        </w:tc>
        <w:tc>
          <w:tcPr>
            <w:tcW w:w="1072" w:type="pct"/>
            <w:tcBorders>
              <w:top w:val="single" w:sz="4" w:space="0" w:color="auto"/>
              <w:left w:val="single" w:sz="4" w:space="0" w:color="auto"/>
              <w:bottom w:val="single" w:sz="4" w:space="0" w:color="auto"/>
              <w:right w:val="single" w:sz="4" w:space="0" w:color="auto"/>
            </w:tcBorders>
            <w:vAlign w:val="center"/>
          </w:tcPr>
          <w:p w14:paraId="219DEDB5" w14:textId="761F24FA" w:rsidR="004B5118" w:rsidRPr="009A4DCA" w:rsidRDefault="004B5118" w:rsidP="00E76F4F">
            <w:pPr>
              <w:pStyle w:val="TableText0"/>
            </w:pPr>
            <w:r w:rsidRPr="009A4DCA">
              <w:t>0.02% (-0.07%, 0.11%)</w:t>
            </w:r>
          </w:p>
        </w:tc>
      </w:tr>
      <w:tr w:rsidR="004B5118" w:rsidRPr="009A4DCA" w14:paraId="47ACBEAF" w14:textId="77777777" w:rsidTr="00533AC3">
        <w:tc>
          <w:tcPr>
            <w:tcW w:w="940" w:type="pct"/>
            <w:tcBorders>
              <w:top w:val="single" w:sz="4" w:space="0" w:color="auto"/>
              <w:left w:val="single" w:sz="4" w:space="0" w:color="auto"/>
              <w:bottom w:val="single" w:sz="4" w:space="0" w:color="auto"/>
              <w:right w:val="single" w:sz="4" w:space="0" w:color="auto"/>
            </w:tcBorders>
            <w:shd w:val="clear" w:color="auto" w:fill="auto"/>
          </w:tcPr>
          <w:p w14:paraId="371E6853" w14:textId="77777777" w:rsidR="004B5118" w:rsidRPr="009A4DCA" w:rsidRDefault="004B5118" w:rsidP="00E76F4F">
            <w:pPr>
              <w:pStyle w:val="TableText0"/>
            </w:pPr>
            <w:r w:rsidRPr="009A4DCA">
              <w:t>Severe or life-threatening AE</w:t>
            </w:r>
          </w:p>
        </w:tc>
        <w:tc>
          <w:tcPr>
            <w:tcW w:w="630" w:type="pct"/>
            <w:tcBorders>
              <w:top w:val="single" w:sz="4" w:space="0" w:color="auto"/>
              <w:left w:val="single" w:sz="4" w:space="0" w:color="auto"/>
              <w:bottom w:val="single" w:sz="4" w:space="0" w:color="auto"/>
              <w:right w:val="single" w:sz="4" w:space="0" w:color="auto"/>
            </w:tcBorders>
            <w:vAlign w:val="center"/>
          </w:tcPr>
          <w:p w14:paraId="2494FED0" w14:textId="77777777" w:rsidR="004B5118" w:rsidRPr="009A4DCA" w:rsidRDefault="004B5118" w:rsidP="00E76F4F">
            <w:pPr>
              <w:pStyle w:val="TableText0"/>
            </w:pPr>
            <w:r w:rsidRPr="009A4DCA">
              <w:t>106/18,574</w:t>
            </w:r>
          </w:p>
        </w:tc>
        <w:tc>
          <w:tcPr>
            <w:tcW w:w="629" w:type="pct"/>
            <w:tcBorders>
              <w:top w:val="single" w:sz="4" w:space="0" w:color="auto"/>
              <w:left w:val="single" w:sz="4" w:space="0" w:color="auto"/>
              <w:bottom w:val="single" w:sz="4" w:space="0" w:color="auto"/>
              <w:right w:val="single" w:sz="4" w:space="0" w:color="auto"/>
            </w:tcBorders>
            <w:vAlign w:val="center"/>
          </w:tcPr>
          <w:p w14:paraId="0300300F" w14:textId="77777777" w:rsidR="004B5118" w:rsidRPr="009A4DCA" w:rsidRDefault="004B5118" w:rsidP="00E76F4F">
            <w:pPr>
              <w:pStyle w:val="TableText0"/>
            </w:pPr>
            <w:r w:rsidRPr="009A4DCA">
              <w:t>97/18,288</w:t>
            </w:r>
          </w:p>
        </w:tc>
        <w:tc>
          <w:tcPr>
            <w:tcW w:w="864" w:type="pct"/>
            <w:tcBorders>
              <w:top w:val="single" w:sz="4" w:space="0" w:color="auto"/>
              <w:left w:val="single" w:sz="4" w:space="0" w:color="auto"/>
              <w:bottom w:val="single" w:sz="4" w:space="0" w:color="auto"/>
              <w:right w:val="single" w:sz="4" w:space="0" w:color="auto"/>
            </w:tcBorders>
            <w:vAlign w:val="center"/>
          </w:tcPr>
          <w:p w14:paraId="39404F4B" w14:textId="77777777" w:rsidR="004B5118" w:rsidRPr="009A4DCA" w:rsidRDefault="004B5118" w:rsidP="00E76F4F">
            <w:pPr>
              <w:pStyle w:val="TableText0"/>
            </w:pPr>
            <w:r w:rsidRPr="009A4DCA">
              <w:t>1.08 (0.82,1.42)</w:t>
            </w:r>
          </w:p>
        </w:tc>
        <w:tc>
          <w:tcPr>
            <w:tcW w:w="393" w:type="pct"/>
            <w:tcBorders>
              <w:top w:val="single" w:sz="4" w:space="0" w:color="auto"/>
              <w:left w:val="single" w:sz="4" w:space="0" w:color="auto"/>
              <w:bottom w:val="single" w:sz="4" w:space="0" w:color="auto"/>
              <w:right w:val="single" w:sz="4" w:space="0" w:color="auto"/>
            </w:tcBorders>
            <w:vAlign w:val="center"/>
          </w:tcPr>
          <w:p w14:paraId="732ED1A7" w14:textId="77777777" w:rsidR="004B5118" w:rsidRPr="009A4DCA" w:rsidRDefault="004B5118" w:rsidP="00E76F4F">
            <w:pPr>
              <w:pStyle w:val="TableText0"/>
            </w:pPr>
            <w:r w:rsidRPr="009A4DCA">
              <w:t>0.57</w:t>
            </w:r>
          </w:p>
        </w:tc>
        <w:tc>
          <w:tcPr>
            <w:tcW w:w="472" w:type="pct"/>
            <w:tcBorders>
              <w:top w:val="single" w:sz="4" w:space="0" w:color="auto"/>
              <w:left w:val="single" w:sz="4" w:space="0" w:color="auto"/>
              <w:bottom w:val="single" w:sz="4" w:space="0" w:color="auto"/>
              <w:right w:val="single" w:sz="4" w:space="0" w:color="auto"/>
            </w:tcBorders>
            <w:vAlign w:val="center"/>
          </w:tcPr>
          <w:p w14:paraId="662DE99A" w14:textId="77777777" w:rsidR="004B5118" w:rsidRPr="009A4DCA" w:rsidRDefault="004B5118" w:rsidP="00E76F4F">
            <w:pPr>
              <w:pStyle w:val="TableText0"/>
            </w:pPr>
            <w:r w:rsidRPr="009A4DCA">
              <w:t>0.53</w:t>
            </w:r>
          </w:p>
        </w:tc>
        <w:tc>
          <w:tcPr>
            <w:tcW w:w="1072" w:type="pct"/>
            <w:tcBorders>
              <w:top w:val="single" w:sz="4" w:space="0" w:color="auto"/>
              <w:left w:val="single" w:sz="4" w:space="0" w:color="auto"/>
              <w:bottom w:val="single" w:sz="4" w:space="0" w:color="auto"/>
              <w:right w:val="single" w:sz="4" w:space="0" w:color="auto"/>
            </w:tcBorders>
            <w:vAlign w:val="center"/>
          </w:tcPr>
          <w:p w14:paraId="0A67B58E" w14:textId="23DA7A17" w:rsidR="004B5118" w:rsidRPr="009A4DCA" w:rsidRDefault="004B5118" w:rsidP="00E76F4F">
            <w:pPr>
              <w:pStyle w:val="TableText0"/>
            </w:pPr>
            <w:r w:rsidRPr="009A4DCA">
              <w:t>0.04% (-0.11%, 0.19%)</w:t>
            </w:r>
          </w:p>
        </w:tc>
      </w:tr>
      <w:tr w:rsidR="006857A2" w:rsidRPr="009A4DCA" w14:paraId="38C9B694" w14:textId="77777777" w:rsidTr="0097328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81EF64" w14:textId="372A1CB3" w:rsidR="006857A2" w:rsidRPr="009A4DCA" w:rsidRDefault="006857A2" w:rsidP="00216379">
            <w:pPr>
              <w:keepNext/>
              <w:keepLines/>
              <w:ind w:right="17"/>
              <w:jc w:val="left"/>
              <w:rPr>
                <w:rFonts w:ascii="Arial Narrow" w:eastAsiaTheme="majorEastAsia" w:hAnsi="Arial Narrow" w:cstheme="majorBidi"/>
                <w:b/>
                <w:bCs/>
                <w:sz w:val="20"/>
                <w:lang w:eastAsia="en-US"/>
              </w:rPr>
            </w:pPr>
            <w:r w:rsidRPr="009A4DCA">
              <w:rPr>
                <w:rFonts w:ascii="Arial Narrow" w:eastAsiaTheme="majorEastAsia" w:hAnsi="Arial Narrow" w:cstheme="majorBidi"/>
                <w:b/>
                <w:bCs/>
                <w:sz w:val="20"/>
                <w:lang w:eastAsia="en-US"/>
              </w:rPr>
              <w:t>AE related to study intervention</w:t>
            </w:r>
            <w:r w:rsidR="003E6D07" w:rsidRPr="009A4DCA">
              <w:rPr>
                <w:rFonts w:ascii="Arial Narrow" w:eastAsiaTheme="majorEastAsia" w:hAnsi="Arial Narrow" w:cstheme="majorBidi"/>
                <w:b/>
                <w:bCs/>
                <w:sz w:val="20"/>
                <w:lang w:eastAsia="en-US"/>
              </w:rPr>
              <w:t xml:space="preserve"> (from vaccination through 1-month follow up visit)</w:t>
            </w:r>
          </w:p>
        </w:tc>
      </w:tr>
      <w:tr w:rsidR="00944007" w:rsidRPr="009A4DCA" w14:paraId="25717ABB" w14:textId="77777777" w:rsidTr="00533AC3">
        <w:tc>
          <w:tcPr>
            <w:tcW w:w="940" w:type="pct"/>
            <w:tcBorders>
              <w:top w:val="single" w:sz="4" w:space="0" w:color="auto"/>
              <w:left w:val="single" w:sz="4" w:space="0" w:color="auto"/>
              <w:bottom w:val="single" w:sz="4" w:space="0" w:color="auto"/>
              <w:right w:val="single" w:sz="4" w:space="0" w:color="auto"/>
            </w:tcBorders>
            <w:shd w:val="clear" w:color="auto" w:fill="auto"/>
          </w:tcPr>
          <w:p w14:paraId="3F1435BC" w14:textId="77777777" w:rsidR="00944007" w:rsidRPr="009A4DCA" w:rsidRDefault="00944007" w:rsidP="00E76F4F">
            <w:pPr>
              <w:pStyle w:val="TableText0"/>
            </w:pPr>
            <w:r w:rsidRPr="009A4DCA">
              <w:t>Any AE</w:t>
            </w:r>
          </w:p>
        </w:tc>
        <w:tc>
          <w:tcPr>
            <w:tcW w:w="630" w:type="pct"/>
            <w:tcBorders>
              <w:top w:val="single" w:sz="4" w:space="0" w:color="auto"/>
              <w:left w:val="single" w:sz="4" w:space="0" w:color="auto"/>
              <w:bottom w:val="single" w:sz="4" w:space="0" w:color="auto"/>
              <w:right w:val="single" w:sz="4" w:space="0" w:color="auto"/>
            </w:tcBorders>
            <w:vAlign w:val="center"/>
          </w:tcPr>
          <w:p w14:paraId="055E4EEF" w14:textId="77777777" w:rsidR="00944007" w:rsidRPr="009A4DCA" w:rsidRDefault="00944007" w:rsidP="00E76F4F">
            <w:pPr>
              <w:pStyle w:val="TableText0"/>
            </w:pPr>
            <w:r w:rsidRPr="009A4DCA">
              <w:t>264/18,574</w:t>
            </w:r>
          </w:p>
        </w:tc>
        <w:tc>
          <w:tcPr>
            <w:tcW w:w="629" w:type="pct"/>
            <w:tcBorders>
              <w:top w:val="single" w:sz="4" w:space="0" w:color="auto"/>
              <w:left w:val="single" w:sz="4" w:space="0" w:color="auto"/>
              <w:bottom w:val="single" w:sz="4" w:space="0" w:color="auto"/>
              <w:right w:val="single" w:sz="4" w:space="0" w:color="auto"/>
            </w:tcBorders>
            <w:vAlign w:val="center"/>
          </w:tcPr>
          <w:p w14:paraId="0E06CDF1" w14:textId="77777777" w:rsidR="00944007" w:rsidRPr="009A4DCA" w:rsidRDefault="00944007" w:rsidP="00E76F4F">
            <w:pPr>
              <w:pStyle w:val="TableText0"/>
            </w:pPr>
            <w:r w:rsidRPr="009A4DCA">
              <w:t>179/18,288</w:t>
            </w:r>
          </w:p>
        </w:tc>
        <w:tc>
          <w:tcPr>
            <w:tcW w:w="864" w:type="pct"/>
            <w:tcBorders>
              <w:top w:val="single" w:sz="4" w:space="0" w:color="auto"/>
              <w:left w:val="single" w:sz="4" w:space="0" w:color="auto"/>
              <w:bottom w:val="single" w:sz="4" w:space="0" w:color="auto"/>
              <w:right w:val="single" w:sz="4" w:space="0" w:color="auto"/>
            </w:tcBorders>
          </w:tcPr>
          <w:p w14:paraId="361742FC" w14:textId="77777777" w:rsidR="00944007" w:rsidRPr="009A4DCA" w:rsidRDefault="00944007" w:rsidP="00E76F4F">
            <w:pPr>
              <w:pStyle w:val="TableText0"/>
            </w:pPr>
            <w:r w:rsidRPr="009A4DCA">
              <w:t>1.45 (1.20, 1.75)</w:t>
            </w:r>
          </w:p>
        </w:tc>
        <w:tc>
          <w:tcPr>
            <w:tcW w:w="393" w:type="pct"/>
            <w:tcBorders>
              <w:top w:val="single" w:sz="4" w:space="0" w:color="auto"/>
              <w:left w:val="single" w:sz="4" w:space="0" w:color="auto"/>
              <w:bottom w:val="single" w:sz="4" w:space="0" w:color="auto"/>
              <w:right w:val="single" w:sz="4" w:space="0" w:color="auto"/>
            </w:tcBorders>
            <w:vAlign w:val="center"/>
          </w:tcPr>
          <w:p w14:paraId="35718C5F" w14:textId="77777777" w:rsidR="00944007" w:rsidRPr="009A4DCA" w:rsidRDefault="00944007" w:rsidP="00E76F4F">
            <w:pPr>
              <w:pStyle w:val="TableText0"/>
            </w:pPr>
            <w:r w:rsidRPr="009A4DCA">
              <w:t>1.42</w:t>
            </w:r>
          </w:p>
        </w:tc>
        <w:tc>
          <w:tcPr>
            <w:tcW w:w="472" w:type="pct"/>
            <w:tcBorders>
              <w:top w:val="single" w:sz="4" w:space="0" w:color="auto"/>
              <w:left w:val="single" w:sz="4" w:space="0" w:color="auto"/>
              <w:bottom w:val="single" w:sz="4" w:space="0" w:color="auto"/>
              <w:right w:val="single" w:sz="4" w:space="0" w:color="auto"/>
            </w:tcBorders>
            <w:vAlign w:val="center"/>
          </w:tcPr>
          <w:p w14:paraId="6022F5A5" w14:textId="77777777" w:rsidR="00944007" w:rsidRPr="009A4DCA" w:rsidRDefault="00944007" w:rsidP="00E76F4F">
            <w:pPr>
              <w:pStyle w:val="TableText0"/>
            </w:pPr>
            <w:r w:rsidRPr="009A4DCA">
              <w:t>0.98</w:t>
            </w:r>
          </w:p>
        </w:tc>
        <w:tc>
          <w:tcPr>
            <w:tcW w:w="1072" w:type="pct"/>
            <w:tcBorders>
              <w:top w:val="single" w:sz="4" w:space="0" w:color="auto"/>
              <w:left w:val="single" w:sz="4" w:space="0" w:color="auto"/>
              <w:bottom w:val="single" w:sz="4" w:space="0" w:color="auto"/>
              <w:right w:val="single" w:sz="4" w:space="0" w:color="auto"/>
            </w:tcBorders>
            <w:vAlign w:val="bottom"/>
          </w:tcPr>
          <w:p w14:paraId="3836B2AD" w14:textId="0F8A9428" w:rsidR="00944007" w:rsidRPr="009A4DCA" w:rsidRDefault="00944007" w:rsidP="00E76F4F">
            <w:pPr>
              <w:pStyle w:val="TableText0"/>
            </w:pPr>
            <w:r w:rsidRPr="009A4DCA">
              <w:t>0.44% (0.22%, 0.66%)</w:t>
            </w:r>
          </w:p>
        </w:tc>
      </w:tr>
      <w:tr w:rsidR="00944007" w:rsidRPr="009A4DCA" w14:paraId="6F478305" w14:textId="77777777" w:rsidTr="00533AC3">
        <w:tc>
          <w:tcPr>
            <w:tcW w:w="940" w:type="pct"/>
            <w:tcBorders>
              <w:top w:val="single" w:sz="4" w:space="0" w:color="auto"/>
              <w:left w:val="single" w:sz="4" w:space="0" w:color="auto"/>
              <w:bottom w:val="single" w:sz="4" w:space="0" w:color="auto"/>
              <w:right w:val="single" w:sz="4" w:space="0" w:color="auto"/>
            </w:tcBorders>
            <w:shd w:val="clear" w:color="auto" w:fill="auto"/>
          </w:tcPr>
          <w:p w14:paraId="0D7E1048" w14:textId="03585D72" w:rsidR="00944007" w:rsidRPr="009A4DCA" w:rsidRDefault="00944007" w:rsidP="00E76F4F">
            <w:pPr>
              <w:pStyle w:val="TableText0"/>
            </w:pPr>
            <w:r w:rsidRPr="009A4DCA">
              <w:t>Immediate AE</w:t>
            </w:r>
            <w:r w:rsidRPr="009A4DCA">
              <w:rPr>
                <w:vertAlign w:val="superscript"/>
              </w:rPr>
              <w:t>a</w:t>
            </w:r>
          </w:p>
        </w:tc>
        <w:tc>
          <w:tcPr>
            <w:tcW w:w="630" w:type="pct"/>
            <w:tcBorders>
              <w:top w:val="single" w:sz="4" w:space="0" w:color="auto"/>
              <w:left w:val="single" w:sz="4" w:space="0" w:color="auto"/>
              <w:bottom w:val="single" w:sz="4" w:space="0" w:color="auto"/>
              <w:right w:val="single" w:sz="4" w:space="0" w:color="auto"/>
            </w:tcBorders>
            <w:vAlign w:val="center"/>
          </w:tcPr>
          <w:p w14:paraId="38436469" w14:textId="77777777" w:rsidR="00944007" w:rsidRPr="009A4DCA" w:rsidRDefault="00944007" w:rsidP="00E76F4F">
            <w:pPr>
              <w:pStyle w:val="TableText0"/>
            </w:pPr>
            <w:r w:rsidRPr="009A4DCA">
              <w:t>33/18,574</w:t>
            </w:r>
          </w:p>
        </w:tc>
        <w:tc>
          <w:tcPr>
            <w:tcW w:w="629" w:type="pct"/>
            <w:tcBorders>
              <w:top w:val="single" w:sz="4" w:space="0" w:color="auto"/>
              <w:left w:val="single" w:sz="4" w:space="0" w:color="auto"/>
              <w:bottom w:val="single" w:sz="4" w:space="0" w:color="auto"/>
              <w:right w:val="single" w:sz="4" w:space="0" w:color="auto"/>
            </w:tcBorders>
            <w:vAlign w:val="center"/>
          </w:tcPr>
          <w:p w14:paraId="0C6FEA36" w14:textId="77777777" w:rsidR="00944007" w:rsidRPr="009A4DCA" w:rsidRDefault="00944007" w:rsidP="00E76F4F">
            <w:pPr>
              <w:pStyle w:val="TableText0"/>
            </w:pPr>
            <w:r w:rsidRPr="009A4DCA">
              <w:t>27/18,288</w:t>
            </w:r>
          </w:p>
        </w:tc>
        <w:tc>
          <w:tcPr>
            <w:tcW w:w="864" w:type="pct"/>
            <w:tcBorders>
              <w:top w:val="single" w:sz="4" w:space="0" w:color="auto"/>
              <w:left w:val="single" w:sz="4" w:space="0" w:color="auto"/>
              <w:bottom w:val="single" w:sz="4" w:space="0" w:color="auto"/>
              <w:right w:val="single" w:sz="4" w:space="0" w:color="auto"/>
            </w:tcBorders>
          </w:tcPr>
          <w:p w14:paraId="3C78D9D5" w14:textId="0962F7CB" w:rsidR="00944007" w:rsidRPr="009A4DCA" w:rsidRDefault="00944007" w:rsidP="00E76F4F">
            <w:pPr>
              <w:pStyle w:val="TableText0"/>
            </w:pPr>
            <w:r w:rsidRPr="009A4DCA">
              <w:t>1.20 (0.72, 2.00)</w:t>
            </w:r>
          </w:p>
        </w:tc>
        <w:tc>
          <w:tcPr>
            <w:tcW w:w="393" w:type="pct"/>
            <w:tcBorders>
              <w:top w:val="single" w:sz="4" w:space="0" w:color="auto"/>
              <w:left w:val="single" w:sz="4" w:space="0" w:color="auto"/>
              <w:bottom w:val="single" w:sz="4" w:space="0" w:color="auto"/>
              <w:right w:val="single" w:sz="4" w:space="0" w:color="auto"/>
            </w:tcBorders>
            <w:vAlign w:val="center"/>
          </w:tcPr>
          <w:p w14:paraId="03498D69" w14:textId="77777777" w:rsidR="00944007" w:rsidRPr="009A4DCA" w:rsidRDefault="00944007" w:rsidP="00E76F4F">
            <w:pPr>
              <w:pStyle w:val="TableText0"/>
            </w:pPr>
            <w:r w:rsidRPr="009A4DCA">
              <w:t>0.18</w:t>
            </w:r>
          </w:p>
        </w:tc>
        <w:tc>
          <w:tcPr>
            <w:tcW w:w="472" w:type="pct"/>
            <w:tcBorders>
              <w:top w:val="single" w:sz="4" w:space="0" w:color="auto"/>
              <w:left w:val="single" w:sz="4" w:space="0" w:color="auto"/>
              <w:bottom w:val="single" w:sz="4" w:space="0" w:color="auto"/>
              <w:right w:val="single" w:sz="4" w:space="0" w:color="auto"/>
            </w:tcBorders>
            <w:vAlign w:val="center"/>
          </w:tcPr>
          <w:p w14:paraId="37C29E22" w14:textId="77777777" w:rsidR="00944007" w:rsidRPr="009A4DCA" w:rsidRDefault="00944007" w:rsidP="00E76F4F">
            <w:pPr>
              <w:pStyle w:val="TableText0"/>
            </w:pPr>
            <w:r w:rsidRPr="009A4DCA">
              <w:t>0.15</w:t>
            </w:r>
          </w:p>
        </w:tc>
        <w:tc>
          <w:tcPr>
            <w:tcW w:w="1072" w:type="pct"/>
            <w:tcBorders>
              <w:top w:val="single" w:sz="4" w:space="0" w:color="auto"/>
              <w:left w:val="single" w:sz="4" w:space="0" w:color="auto"/>
              <w:bottom w:val="single" w:sz="4" w:space="0" w:color="auto"/>
              <w:right w:val="single" w:sz="4" w:space="0" w:color="auto"/>
            </w:tcBorders>
            <w:vAlign w:val="bottom"/>
          </w:tcPr>
          <w:p w14:paraId="40393F8B" w14:textId="5262872A" w:rsidR="00944007" w:rsidRPr="009A4DCA" w:rsidRDefault="00944007" w:rsidP="00E76F4F">
            <w:pPr>
              <w:pStyle w:val="TableText0"/>
            </w:pPr>
            <w:r w:rsidRPr="009A4DCA">
              <w:t>0.03% (-0.05%, 0.11%)</w:t>
            </w:r>
          </w:p>
        </w:tc>
      </w:tr>
      <w:tr w:rsidR="00944007" w:rsidRPr="009A4DCA" w14:paraId="0B59086F" w14:textId="77777777" w:rsidTr="000E0D8A">
        <w:tc>
          <w:tcPr>
            <w:tcW w:w="940" w:type="pct"/>
            <w:tcBorders>
              <w:top w:val="single" w:sz="4" w:space="0" w:color="auto"/>
              <w:left w:val="single" w:sz="4" w:space="0" w:color="auto"/>
              <w:bottom w:val="single" w:sz="4" w:space="0" w:color="auto"/>
              <w:right w:val="single" w:sz="4" w:space="0" w:color="auto"/>
            </w:tcBorders>
            <w:shd w:val="clear" w:color="auto" w:fill="auto"/>
          </w:tcPr>
          <w:p w14:paraId="257A5A9E" w14:textId="77777777" w:rsidR="00944007" w:rsidRPr="009A4DCA" w:rsidRDefault="00944007" w:rsidP="00E76F4F">
            <w:pPr>
              <w:pStyle w:val="TableText0"/>
            </w:pPr>
            <w:r w:rsidRPr="009A4DCA">
              <w:t>Severe or life-threatening AE</w:t>
            </w:r>
          </w:p>
        </w:tc>
        <w:tc>
          <w:tcPr>
            <w:tcW w:w="630" w:type="pct"/>
            <w:tcBorders>
              <w:top w:val="single" w:sz="4" w:space="0" w:color="auto"/>
              <w:left w:val="single" w:sz="4" w:space="0" w:color="auto"/>
              <w:bottom w:val="single" w:sz="4" w:space="0" w:color="auto"/>
              <w:right w:val="single" w:sz="4" w:space="0" w:color="auto"/>
            </w:tcBorders>
            <w:vAlign w:val="center"/>
          </w:tcPr>
          <w:p w14:paraId="61F3265B" w14:textId="77777777" w:rsidR="00944007" w:rsidRPr="009A4DCA" w:rsidRDefault="00944007" w:rsidP="00E76F4F">
            <w:pPr>
              <w:pStyle w:val="TableText0"/>
            </w:pPr>
            <w:r w:rsidRPr="009A4DCA">
              <w:t>33/18,574</w:t>
            </w:r>
          </w:p>
        </w:tc>
        <w:tc>
          <w:tcPr>
            <w:tcW w:w="629" w:type="pct"/>
            <w:tcBorders>
              <w:top w:val="single" w:sz="4" w:space="0" w:color="auto"/>
              <w:left w:val="single" w:sz="4" w:space="0" w:color="auto"/>
              <w:bottom w:val="single" w:sz="4" w:space="0" w:color="auto"/>
              <w:right w:val="single" w:sz="4" w:space="0" w:color="auto"/>
            </w:tcBorders>
            <w:vAlign w:val="center"/>
          </w:tcPr>
          <w:p w14:paraId="48134B6C" w14:textId="77777777" w:rsidR="00944007" w:rsidRPr="009A4DCA" w:rsidRDefault="00944007" w:rsidP="00E76F4F">
            <w:pPr>
              <w:pStyle w:val="TableText0"/>
            </w:pPr>
            <w:r w:rsidRPr="009A4DCA">
              <w:t>1/18,288</w:t>
            </w:r>
          </w:p>
        </w:tc>
        <w:tc>
          <w:tcPr>
            <w:tcW w:w="864" w:type="pct"/>
            <w:tcBorders>
              <w:top w:val="single" w:sz="4" w:space="0" w:color="auto"/>
              <w:left w:val="single" w:sz="4" w:space="0" w:color="auto"/>
              <w:bottom w:val="single" w:sz="4" w:space="0" w:color="auto"/>
              <w:right w:val="single" w:sz="4" w:space="0" w:color="auto"/>
            </w:tcBorders>
            <w:vAlign w:val="center"/>
          </w:tcPr>
          <w:p w14:paraId="27414A53" w14:textId="28E83EC9" w:rsidR="00944007" w:rsidRPr="009A4DCA" w:rsidRDefault="00944007" w:rsidP="00E76F4F">
            <w:pPr>
              <w:pStyle w:val="TableText0"/>
            </w:pPr>
            <w:r w:rsidRPr="009A4DCA">
              <w:t>32.49 (4.44, 237</w:t>
            </w:r>
            <w:r w:rsidR="002D7653" w:rsidRPr="009A4DCA">
              <w:t>.</w:t>
            </w:r>
            <w:r w:rsidRPr="009A4DCA">
              <w:t>55)</w:t>
            </w:r>
          </w:p>
        </w:tc>
        <w:tc>
          <w:tcPr>
            <w:tcW w:w="393" w:type="pct"/>
            <w:tcBorders>
              <w:top w:val="single" w:sz="4" w:space="0" w:color="auto"/>
              <w:left w:val="single" w:sz="4" w:space="0" w:color="auto"/>
              <w:bottom w:val="single" w:sz="4" w:space="0" w:color="auto"/>
              <w:right w:val="single" w:sz="4" w:space="0" w:color="auto"/>
            </w:tcBorders>
            <w:vAlign w:val="center"/>
          </w:tcPr>
          <w:p w14:paraId="0ECD0EB3" w14:textId="77777777" w:rsidR="00944007" w:rsidRPr="009A4DCA" w:rsidRDefault="00944007" w:rsidP="00E76F4F">
            <w:pPr>
              <w:pStyle w:val="TableText0"/>
            </w:pPr>
            <w:r w:rsidRPr="009A4DCA">
              <w:t>0.18</w:t>
            </w:r>
          </w:p>
        </w:tc>
        <w:tc>
          <w:tcPr>
            <w:tcW w:w="472" w:type="pct"/>
            <w:tcBorders>
              <w:top w:val="single" w:sz="4" w:space="0" w:color="auto"/>
              <w:left w:val="single" w:sz="4" w:space="0" w:color="auto"/>
              <w:bottom w:val="single" w:sz="4" w:space="0" w:color="auto"/>
              <w:right w:val="single" w:sz="4" w:space="0" w:color="auto"/>
            </w:tcBorders>
            <w:vAlign w:val="center"/>
          </w:tcPr>
          <w:p w14:paraId="6BB99382" w14:textId="77777777" w:rsidR="00944007" w:rsidRPr="009A4DCA" w:rsidRDefault="00944007" w:rsidP="00E76F4F">
            <w:pPr>
              <w:pStyle w:val="TableText0"/>
            </w:pPr>
            <w:r w:rsidRPr="009A4DCA">
              <w:t>0.01</w:t>
            </w:r>
          </w:p>
        </w:tc>
        <w:tc>
          <w:tcPr>
            <w:tcW w:w="1072" w:type="pct"/>
            <w:tcBorders>
              <w:top w:val="single" w:sz="4" w:space="0" w:color="auto"/>
              <w:left w:val="single" w:sz="4" w:space="0" w:color="auto"/>
              <w:bottom w:val="single" w:sz="4" w:space="0" w:color="auto"/>
              <w:right w:val="single" w:sz="4" w:space="0" w:color="auto"/>
            </w:tcBorders>
            <w:vAlign w:val="center"/>
          </w:tcPr>
          <w:p w14:paraId="495CE20E" w14:textId="70BD6767" w:rsidR="00944007" w:rsidRPr="009A4DCA" w:rsidRDefault="00944007" w:rsidP="00E76F4F">
            <w:pPr>
              <w:pStyle w:val="TableText0"/>
            </w:pPr>
            <w:r w:rsidRPr="009A4DCA">
              <w:t>0.17% (0.11%, 0.23%)</w:t>
            </w:r>
          </w:p>
        </w:tc>
      </w:tr>
      <w:tr w:rsidR="003E6D07" w:rsidRPr="009A4DCA" w14:paraId="1408BD4B" w14:textId="77777777" w:rsidTr="003E6D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444F21A" w14:textId="2A9A79B0" w:rsidR="003E6D07" w:rsidRPr="009A4DCA" w:rsidRDefault="003E6D07" w:rsidP="00216379">
            <w:pPr>
              <w:keepNext/>
              <w:keepLines/>
              <w:ind w:right="17"/>
              <w:jc w:val="left"/>
            </w:pPr>
            <w:r w:rsidRPr="009A4DCA">
              <w:rPr>
                <w:rFonts w:ascii="Arial Narrow" w:eastAsiaTheme="majorEastAsia" w:hAnsi="Arial Narrow" w:cstheme="majorBidi"/>
                <w:b/>
                <w:bCs/>
                <w:sz w:val="20"/>
                <w:lang w:eastAsia="en-US"/>
              </w:rPr>
              <w:t>Tier 1 AEs</w:t>
            </w:r>
          </w:p>
        </w:tc>
      </w:tr>
      <w:tr w:rsidR="00944007" w:rsidRPr="009A4DCA" w14:paraId="4302A08F" w14:textId="77777777" w:rsidTr="00533AC3">
        <w:tc>
          <w:tcPr>
            <w:tcW w:w="940" w:type="pct"/>
            <w:tcBorders>
              <w:top w:val="single" w:sz="4" w:space="0" w:color="auto"/>
              <w:left w:val="single" w:sz="4" w:space="0" w:color="auto"/>
              <w:bottom w:val="single" w:sz="4" w:space="0" w:color="auto"/>
              <w:right w:val="single" w:sz="4" w:space="0" w:color="auto"/>
            </w:tcBorders>
            <w:shd w:val="clear" w:color="auto" w:fill="auto"/>
          </w:tcPr>
          <w:p w14:paraId="3C762530" w14:textId="0B256CC9" w:rsidR="00944007" w:rsidRPr="009A4DCA" w:rsidRDefault="00944007" w:rsidP="00E76F4F">
            <w:pPr>
              <w:pStyle w:val="TableText0"/>
            </w:pPr>
            <w:r w:rsidRPr="009A4DCA">
              <w:t>Atrial fibrillation</w:t>
            </w:r>
            <w:r w:rsidRPr="009A4DCA">
              <w:br/>
              <w:t>through 1-month after vaccination</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B7D6F64" w14:textId="1C84E36B" w:rsidR="00944007" w:rsidRPr="009A4DCA" w:rsidRDefault="00944007" w:rsidP="00E76F4F">
            <w:pPr>
              <w:pStyle w:val="TableText0"/>
            </w:pPr>
            <w:r w:rsidRPr="009A4DCA">
              <w:t>11</w:t>
            </w:r>
            <w:r w:rsidR="0074368E" w:rsidRPr="009A4DCA">
              <w:t>/18,574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62717B6" w14:textId="3E0C7210" w:rsidR="00944007" w:rsidRPr="009A4DCA" w:rsidRDefault="00944007" w:rsidP="00E76F4F">
            <w:pPr>
              <w:pStyle w:val="TableText0"/>
            </w:pPr>
            <w:r w:rsidRPr="009A4DCA">
              <w:t>3</w:t>
            </w:r>
            <w:r w:rsidR="0074368E" w:rsidRPr="009A4DCA">
              <w:t>/18,288</w:t>
            </w:r>
            <w:r w:rsidRPr="009A4DCA">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14C5666E" w14:textId="31BA1147" w:rsidR="00944007" w:rsidRPr="009A4DCA" w:rsidRDefault="001A7FE4" w:rsidP="00E76F4F">
            <w:pPr>
              <w:pStyle w:val="TableText0"/>
            </w:pPr>
            <w:r w:rsidRPr="009A4DCA">
              <w:t>3.61 (1.01, 12.94)</w:t>
            </w:r>
          </w:p>
        </w:tc>
        <w:tc>
          <w:tcPr>
            <w:tcW w:w="393" w:type="pct"/>
            <w:tcBorders>
              <w:top w:val="single" w:sz="4" w:space="0" w:color="auto"/>
              <w:left w:val="single" w:sz="4" w:space="0" w:color="auto"/>
              <w:bottom w:val="single" w:sz="4" w:space="0" w:color="auto"/>
              <w:right w:val="single" w:sz="4" w:space="0" w:color="auto"/>
            </w:tcBorders>
            <w:vAlign w:val="center"/>
          </w:tcPr>
          <w:p w14:paraId="73F73E1C" w14:textId="1CEBED26" w:rsidR="00944007" w:rsidRPr="009A4DCA" w:rsidRDefault="00944007" w:rsidP="00E76F4F">
            <w:pPr>
              <w:pStyle w:val="TableText0"/>
            </w:pPr>
            <w:r w:rsidRPr="009A4DCA">
              <w:t>0.06</w:t>
            </w:r>
          </w:p>
        </w:tc>
        <w:tc>
          <w:tcPr>
            <w:tcW w:w="472" w:type="pct"/>
            <w:tcBorders>
              <w:top w:val="single" w:sz="4" w:space="0" w:color="auto"/>
              <w:left w:val="single" w:sz="4" w:space="0" w:color="auto"/>
              <w:bottom w:val="single" w:sz="4" w:space="0" w:color="auto"/>
              <w:right w:val="single" w:sz="4" w:space="0" w:color="auto"/>
            </w:tcBorders>
            <w:vAlign w:val="center"/>
          </w:tcPr>
          <w:p w14:paraId="6F16A231" w14:textId="1523A64A" w:rsidR="00944007" w:rsidRPr="009A4DCA" w:rsidRDefault="00944007" w:rsidP="00E76F4F">
            <w:pPr>
              <w:pStyle w:val="TableText0"/>
            </w:pPr>
            <w:r w:rsidRPr="009A4DCA">
              <w:t>0.02</w:t>
            </w:r>
          </w:p>
        </w:tc>
        <w:tc>
          <w:tcPr>
            <w:tcW w:w="1072" w:type="pct"/>
            <w:tcBorders>
              <w:top w:val="single" w:sz="4" w:space="0" w:color="auto"/>
              <w:left w:val="single" w:sz="4" w:space="0" w:color="auto"/>
              <w:bottom w:val="single" w:sz="4" w:space="0" w:color="auto"/>
              <w:right w:val="single" w:sz="4" w:space="0" w:color="auto"/>
            </w:tcBorders>
            <w:vAlign w:val="center"/>
          </w:tcPr>
          <w:p w14:paraId="525932E7" w14:textId="02875976" w:rsidR="00944007" w:rsidRPr="009A4DCA" w:rsidRDefault="00944007" w:rsidP="00E76F4F">
            <w:pPr>
              <w:pStyle w:val="TableText0"/>
            </w:pPr>
            <w:r w:rsidRPr="009A4DCA">
              <w:t>0.04% (0.00%, 0.08%)</w:t>
            </w:r>
          </w:p>
        </w:tc>
      </w:tr>
      <w:tr w:rsidR="00944007" w:rsidRPr="009A4DCA" w14:paraId="31B78DFA" w14:textId="77777777" w:rsidTr="00533AC3">
        <w:tc>
          <w:tcPr>
            <w:tcW w:w="940" w:type="pct"/>
            <w:tcBorders>
              <w:top w:val="single" w:sz="4" w:space="0" w:color="auto"/>
              <w:left w:val="single" w:sz="4" w:space="0" w:color="auto"/>
              <w:bottom w:val="single" w:sz="4" w:space="0" w:color="auto"/>
              <w:right w:val="single" w:sz="4" w:space="0" w:color="auto"/>
            </w:tcBorders>
            <w:shd w:val="clear" w:color="auto" w:fill="auto"/>
          </w:tcPr>
          <w:p w14:paraId="025E6262" w14:textId="35CB0EF2" w:rsidR="00944007" w:rsidRPr="009A4DCA" w:rsidRDefault="00944007" w:rsidP="00E76F4F">
            <w:pPr>
              <w:pStyle w:val="TableText0"/>
            </w:pPr>
            <w:r w:rsidRPr="009A4DCA">
              <w:t xml:space="preserve">Guillain-Barre Syndrome </w:t>
            </w:r>
            <w:r w:rsidRPr="009A4DCA">
              <w:br/>
              <w:t>from day 1 to day 43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9F10132" w14:textId="5C3C6150" w:rsidR="00944007" w:rsidRPr="009A4DCA" w:rsidRDefault="00944007" w:rsidP="00E76F4F">
            <w:pPr>
              <w:pStyle w:val="TableText0"/>
            </w:pPr>
            <w:r w:rsidRPr="009A4DCA">
              <w:t>2</w:t>
            </w:r>
            <w:r w:rsidR="0074368E" w:rsidRPr="009A4DCA">
              <w:t>/18,574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DC7D2D4" w14:textId="4178192F" w:rsidR="00944007" w:rsidRPr="009A4DCA" w:rsidRDefault="00944007" w:rsidP="00E76F4F">
            <w:pPr>
              <w:pStyle w:val="TableText0"/>
            </w:pPr>
            <w:r w:rsidRPr="009A4DCA">
              <w:t>0</w:t>
            </w:r>
            <w:r w:rsidR="0074368E" w:rsidRPr="009A4DCA">
              <w:t>/18,288</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65EFDC90" w14:textId="11DF09ED" w:rsidR="00944007" w:rsidRPr="009A4DCA" w:rsidRDefault="001A7FE4" w:rsidP="00E76F4F">
            <w:pPr>
              <w:pStyle w:val="TableText0"/>
            </w:pPr>
            <w:r w:rsidRPr="009A4DCA">
              <w:t>NE</w:t>
            </w:r>
          </w:p>
        </w:tc>
        <w:tc>
          <w:tcPr>
            <w:tcW w:w="393" w:type="pct"/>
            <w:tcBorders>
              <w:top w:val="single" w:sz="4" w:space="0" w:color="auto"/>
              <w:left w:val="single" w:sz="4" w:space="0" w:color="auto"/>
              <w:bottom w:val="single" w:sz="4" w:space="0" w:color="auto"/>
              <w:right w:val="single" w:sz="4" w:space="0" w:color="auto"/>
            </w:tcBorders>
            <w:vAlign w:val="center"/>
          </w:tcPr>
          <w:p w14:paraId="3DED8071" w14:textId="1001DDE0" w:rsidR="00944007" w:rsidRPr="009A4DCA" w:rsidRDefault="00944007" w:rsidP="00E76F4F">
            <w:pPr>
              <w:pStyle w:val="TableText0"/>
            </w:pPr>
            <w:r w:rsidRPr="009A4DCA">
              <w:t>0.01</w:t>
            </w:r>
          </w:p>
        </w:tc>
        <w:tc>
          <w:tcPr>
            <w:tcW w:w="472" w:type="pct"/>
            <w:tcBorders>
              <w:top w:val="single" w:sz="4" w:space="0" w:color="auto"/>
              <w:left w:val="single" w:sz="4" w:space="0" w:color="auto"/>
              <w:bottom w:val="single" w:sz="4" w:space="0" w:color="auto"/>
              <w:right w:val="single" w:sz="4" w:space="0" w:color="auto"/>
            </w:tcBorders>
            <w:vAlign w:val="center"/>
          </w:tcPr>
          <w:p w14:paraId="5B6539C1" w14:textId="065D0999" w:rsidR="00944007" w:rsidRPr="009A4DCA" w:rsidRDefault="00944007" w:rsidP="00E76F4F">
            <w:pPr>
              <w:pStyle w:val="TableText0"/>
            </w:pPr>
            <w:r w:rsidRPr="009A4DCA">
              <w:t>0.00</w:t>
            </w:r>
          </w:p>
        </w:tc>
        <w:tc>
          <w:tcPr>
            <w:tcW w:w="1072" w:type="pct"/>
            <w:tcBorders>
              <w:top w:val="single" w:sz="4" w:space="0" w:color="auto"/>
              <w:left w:val="single" w:sz="4" w:space="0" w:color="auto"/>
              <w:bottom w:val="single" w:sz="4" w:space="0" w:color="auto"/>
              <w:right w:val="single" w:sz="4" w:space="0" w:color="auto"/>
            </w:tcBorders>
            <w:vAlign w:val="center"/>
          </w:tcPr>
          <w:p w14:paraId="55657E9F" w14:textId="1D7FAB6F" w:rsidR="00944007" w:rsidRPr="009A4DCA" w:rsidRDefault="00944007" w:rsidP="00E76F4F">
            <w:pPr>
              <w:pStyle w:val="TableText0"/>
            </w:pPr>
            <w:r w:rsidRPr="009A4DCA">
              <w:t>0.01% (0.00%, 0.03%)</w:t>
            </w:r>
          </w:p>
        </w:tc>
      </w:tr>
    </w:tbl>
    <w:p w14:paraId="719038EC" w14:textId="3D345C3D" w:rsidR="0094495B" w:rsidRPr="009A4DCA" w:rsidRDefault="006857A2" w:rsidP="00216379">
      <w:pPr>
        <w:pStyle w:val="TableFooter"/>
        <w:keepNext/>
        <w:keepLines/>
        <w:rPr>
          <w:iCs/>
        </w:rPr>
      </w:pPr>
      <w:r w:rsidRPr="009A4DCA">
        <w:t>Source: Compiled during the evaluation</w:t>
      </w:r>
      <w:r w:rsidR="007358DE" w:rsidRPr="009A4DCA">
        <w:t>;</w:t>
      </w:r>
      <w:r w:rsidRPr="009A4DCA">
        <w:t xml:space="preserve"> </w:t>
      </w:r>
      <w:r w:rsidR="00DE25B3" w:rsidRPr="009A4DCA">
        <w:rPr>
          <w:rFonts w:eastAsia="Calibri"/>
        </w:rPr>
        <w:t xml:space="preserve">Table 2.5.7 p70 and </w:t>
      </w:r>
      <w:r w:rsidR="007358DE" w:rsidRPr="009A4DCA">
        <w:rPr>
          <w:rFonts w:eastAsia="Calibri"/>
        </w:rPr>
        <w:t xml:space="preserve">Table 2.5.8 p72 of the submission; </w:t>
      </w:r>
      <w:r w:rsidR="007358DE" w:rsidRPr="009A4DCA">
        <w:rPr>
          <w:rFonts w:eastAsia="Calibri"/>
          <w:iCs/>
        </w:rPr>
        <w:t>RENOIR EOS2 CSR Table 11 p40.</w:t>
      </w:r>
    </w:p>
    <w:p w14:paraId="6ECC01DA" w14:textId="098C59DD" w:rsidR="00951BAA" w:rsidRPr="009A4DCA" w:rsidRDefault="00951BAA" w:rsidP="00216379">
      <w:pPr>
        <w:pStyle w:val="FooterTableFigure"/>
        <w:keepNext/>
        <w:keepLines/>
      </w:pPr>
      <w:r w:rsidRPr="009A4DCA">
        <w:rPr>
          <w:rFonts w:eastAsia="Calibri"/>
        </w:rPr>
        <w:t>AE = adverse event</w:t>
      </w:r>
      <w:r w:rsidRPr="009A4DCA">
        <w:t xml:space="preserve">; CI = confidence interval; </w:t>
      </w:r>
      <w:r w:rsidR="0012261E" w:rsidRPr="009A4DCA">
        <w:t xml:space="preserve">EOS=end of season; </w:t>
      </w:r>
      <w:r w:rsidRPr="009A4DCA">
        <w:t>N = number of participants; n = number of participants with at least one RT-PCR confirmed RSV-LRTI</w:t>
      </w:r>
      <w:r w:rsidR="007E5892" w:rsidRPr="009A4DCA">
        <w:t xml:space="preserve">; </w:t>
      </w:r>
      <w:r w:rsidR="001A7FE4" w:rsidRPr="009A4DCA">
        <w:t xml:space="preserve">NE=not estimable; </w:t>
      </w:r>
      <w:r w:rsidRPr="009A4DCA">
        <w:t xml:space="preserve">LRTI = lower respiratory tract illness; RD = risk difference; </w:t>
      </w:r>
      <w:r w:rsidRPr="009A4DCA">
        <w:rPr>
          <w:rFonts w:eastAsia="Calibri"/>
        </w:rPr>
        <w:t>RR = relative risk</w:t>
      </w:r>
      <w:r w:rsidRPr="009A4DCA">
        <w:t xml:space="preserve">; RSV = respiratory syncytial virus; RT-PCR = reverse transcription-polymerase chain reaction; </w:t>
      </w:r>
      <w:r w:rsidR="003F2A73" w:rsidRPr="009A4DCA">
        <w:t xml:space="preserve">SAE = serious adverse event; </w:t>
      </w:r>
      <w:r w:rsidRPr="009A4DCA">
        <w:t xml:space="preserve">VE = vaccine efficacy. </w:t>
      </w:r>
    </w:p>
    <w:p w14:paraId="1687B233" w14:textId="2497E93C" w:rsidR="00951BAA" w:rsidRPr="009A4DCA" w:rsidRDefault="007358DE" w:rsidP="00216379">
      <w:pPr>
        <w:pStyle w:val="FooterTableFigure"/>
        <w:keepNext/>
        <w:keepLines/>
        <w:rPr>
          <w:rFonts w:eastAsia="Calibri"/>
        </w:rPr>
      </w:pPr>
      <w:r w:rsidRPr="009A4DCA">
        <w:rPr>
          <w:rFonts w:eastAsia="Calibri"/>
        </w:rPr>
        <w:t xml:space="preserve">a Immediate AE refers to an AE reported in the 30 minute post-vaccination period. </w:t>
      </w:r>
    </w:p>
    <w:p w14:paraId="46C6F636" w14:textId="7D3C23A4" w:rsidR="00477ACD" w:rsidRPr="009A4DCA" w:rsidRDefault="00477ACD" w:rsidP="00AD6C84">
      <w:pPr>
        <w:pStyle w:val="FooterTableFigure"/>
        <w:keepLines/>
        <w:rPr>
          <w:rStyle w:val="CommentReference"/>
          <w:rFonts w:eastAsia="Calibri"/>
          <w:b w:val="0"/>
          <w:sz w:val="18"/>
          <w:szCs w:val="22"/>
        </w:rPr>
      </w:pPr>
      <w:r w:rsidRPr="009A4DCA">
        <w:rPr>
          <w:rFonts w:eastAsia="Calibri"/>
        </w:rPr>
        <w:t>b Calculated during the evaluation.</w:t>
      </w:r>
    </w:p>
    <w:p w14:paraId="2CA0BC7E" w14:textId="1E85EA04" w:rsidR="00CE442C" w:rsidRPr="009A4DCA" w:rsidRDefault="00740BE4" w:rsidP="00740BE4">
      <w:pPr>
        <w:pStyle w:val="3-BodyText"/>
        <w:numPr>
          <w:ilvl w:val="1"/>
          <w:numId w:val="1"/>
        </w:numPr>
        <w:spacing w:before="0"/>
      </w:pPr>
      <w:r w:rsidRPr="009A4DCA">
        <w:lastRenderedPageBreak/>
        <w:t>On the basis of direct evidence presented by the submission</w:t>
      </w:r>
      <w:r w:rsidR="001D1603" w:rsidRPr="009A4DCA">
        <w:t xml:space="preserve"> (</w:t>
      </w:r>
      <w:r w:rsidR="005251E7" w:rsidRPr="009A4DCA">
        <w:t>16.</w:t>
      </w:r>
      <w:r w:rsidR="000E2E28" w:rsidRPr="009A4DCA">
        <w:t>4 months ARI surveillance in RENOIR</w:t>
      </w:r>
      <w:r w:rsidR="001D1603" w:rsidRPr="009A4DCA">
        <w:t>)</w:t>
      </w:r>
      <w:r w:rsidRPr="009A4DCA">
        <w:t>, for every 1</w:t>
      </w:r>
      <w:r w:rsidR="00C749F9" w:rsidRPr="009A4DCA">
        <w:t>,</w:t>
      </w:r>
      <w:r w:rsidRPr="009A4DCA">
        <w:t>00</w:t>
      </w:r>
      <w:r w:rsidR="00C749F9" w:rsidRPr="009A4DCA">
        <w:t>0</w:t>
      </w:r>
      <w:r w:rsidRPr="009A4DCA">
        <w:t xml:space="preserve"> p</w:t>
      </w:r>
      <w:r w:rsidR="000E2E28" w:rsidRPr="009A4DCA">
        <w:t>e</w:t>
      </w:r>
      <w:r w:rsidR="009C250B" w:rsidRPr="009A4DCA">
        <w:t>rsons</w:t>
      </w:r>
      <w:r w:rsidR="000E2E28" w:rsidRPr="009A4DCA">
        <w:t xml:space="preserve"> aged</w:t>
      </w:r>
      <w:r w:rsidR="006F3031" w:rsidRPr="009A4DCA">
        <w:t xml:space="preserve"> </w:t>
      </w:r>
      <w:r w:rsidR="006F3031" w:rsidRPr="009A4DCA">
        <w:rPr>
          <w:rFonts w:cstheme="minorHAnsi"/>
        </w:rPr>
        <w:t>≥ </w:t>
      </w:r>
      <w:r w:rsidR="000E2E28" w:rsidRPr="009A4DCA">
        <w:t xml:space="preserve">60 years </w:t>
      </w:r>
      <w:r w:rsidR="009A28AA" w:rsidRPr="009A4DCA">
        <w:t xml:space="preserve">administered </w:t>
      </w:r>
      <w:r w:rsidRPr="009A4DCA">
        <w:t>RSVpreF</w:t>
      </w:r>
      <w:r w:rsidR="009A28AA" w:rsidRPr="009A4DCA">
        <w:t xml:space="preserve"> in comparison with placebo (i.e., no vaccine):</w:t>
      </w:r>
    </w:p>
    <w:p w14:paraId="3C8AD634" w14:textId="40CE15EA" w:rsidR="00281343" w:rsidRPr="009A4DCA" w:rsidRDefault="00281343" w:rsidP="00863008">
      <w:pPr>
        <w:pStyle w:val="ListParagraph"/>
        <w:numPr>
          <w:ilvl w:val="0"/>
          <w:numId w:val="14"/>
        </w:numPr>
        <w:ind w:left="1134"/>
        <w:jc w:val="both"/>
      </w:pPr>
      <w:r w:rsidRPr="009A4DCA">
        <w:t xml:space="preserve">Approximately </w:t>
      </w:r>
      <w:r w:rsidR="00F00E4E" w:rsidRPr="009A4DCA">
        <w:t>1</w:t>
      </w:r>
      <w:r w:rsidR="00242AF5" w:rsidRPr="009A4DCA">
        <w:t>.</w:t>
      </w:r>
      <w:r w:rsidR="00803625" w:rsidRPr="009A4DCA">
        <w:t>5</w:t>
      </w:r>
      <w:r w:rsidR="00F00E4E" w:rsidRPr="009A4DCA">
        <w:t xml:space="preserve"> </w:t>
      </w:r>
      <w:r w:rsidR="00CD3C55" w:rsidRPr="009A4DCA">
        <w:t xml:space="preserve">fewer </w:t>
      </w:r>
      <w:r w:rsidR="00F00E4E" w:rsidRPr="009A4DCA">
        <w:t>person</w:t>
      </w:r>
      <w:r w:rsidR="00327C04" w:rsidRPr="009A4DCA">
        <w:t>s</w:t>
      </w:r>
      <w:r w:rsidR="00483D17" w:rsidRPr="009A4DCA">
        <w:t xml:space="preserve"> </w:t>
      </w:r>
      <w:r w:rsidR="00614F2D" w:rsidRPr="009A4DCA">
        <w:t>w</w:t>
      </w:r>
      <w:r w:rsidR="0048686B" w:rsidRPr="009A4DCA">
        <w:t>ould</w:t>
      </w:r>
      <w:r w:rsidR="00614F2D" w:rsidRPr="009A4DCA">
        <w:t xml:space="preserve"> have RSV-LRTI with ≥2 symptoms</w:t>
      </w:r>
      <w:r w:rsidRPr="009A4DCA">
        <w:t xml:space="preserve"> in the first season after </w:t>
      </w:r>
      <w:r w:rsidR="00803625" w:rsidRPr="009A4DCA">
        <w:t xml:space="preserve">one </w:t>
      </w:r>
      <w:r w:rsidRPr="009A4DCA">
        <w:t>vaccination.</w:t>
      </w:r>
      <w:r w:rsidR="00D24AFA" w:rsidRPr="009A4DCA">
        <w:t xml:space="preserve"> </w:t>
      </w:r>
    </w:p>
    <w:p w14:paraId="09A5FCE9" w14:textId="63839FDB" w:rsidR="000463B5" w:rsidRPr="009A4DCA" w:rsidRDefault="00A6096F" w:rsidP="00863008">
      <w:pPr>
        <w:pStyle w:val="ListParagraph"/>
        <w:numPr>
          <w:ilvl w:val="0"/>
          <w:numId w:val="14"/>
        </w:numPr>
        <w:ind w:left="1134"/>
        <w:jc w:val="both"/>
      </w:pPr>
      <w:r w:rsidRPr="009A4DCA">
        <w:t>A</w:t>
      </w:r>
      <w:r w:rsidR="00CF4D79" w:rsidRPr="009A4DCA">
        <w:t>pproximately</w:t>
      </w:r>
      <w:r w:rsidR="008922D9" w:rsidRPr="009A4DCA">
        <w:t xml:space="preserve"> </w:t>
      </w:r>
      <w:r w:rsidR="00A5016A" w:rsidRPr="009A4DCA">
        <w:t>4</w:t>
      </w:r>
      <w:r w:rsidR="00242AF5" w:rsidRPr="009A4DCA">
        <w:t>.</w:t>
      </w:r>
      <w:r w:rsidR="00620136" w:rsidRPr="009A4DCA">
        <w:t>3</w:t>
      </w:r>
      <w:r w:rsidR="008922D9" w:rsidRPr="009A4DCA">
        <w:t xml:space="preserve"> </w:t>
      </w:r>
      <w:r w:rsidR="00CD3C55" w:rsidRPr="009A4DCA">
        <w:t xml:space="preserve">fewer </w:t>
      </w:r>
      <w:r w:rsidR="008922D9" w:rsidRPr="009A4DCA">
        <w:t>person</w:t>
      </w:r>
      <w:r w:rsidR="00A5016A" w:rsidRPr="009A4DCA">
        <w:t xml:space="preserve">s </w:t>
      </w:r>
      <w:r w:rsidR="008922D9" w:rsidRPr="009A4DCA">
        <w:t>would have RSV-LRTI with ≥2 symptoms</w:t>
      </w:r>
      <w:r w:rsidRPr="009A4DCA">
        <w:t xml:space="preserve"> over 2</w:t>
      </w:r>
      <w:r w:rsidR="00863008">
        <w:t> </w:t>
      </w:r>
      <w:r w:rsidRPr="009A4DCA">
        <w:t xml:space="preserve">seasons after </w:t>
      </w:r>
      <w:r w:rsidR="00803625" w:rsidRPr="009A4DCA">
        <w:t xml:space="preserve">one </w:t>
      </w:r>
      <w:r w:rsidRPr="009A4DCA">
        <w:t>vaccination</w:t>
      </w:r>
      <w:r w:rsidR="008922D9" w:rsidRPr="009A4DCA">
        <w:t xml:space="preserve">. </w:t>
      </w:r>
    </w:p>
    <w:p w14:paraId="4954E5DD" w14:textId="2809FE8F" w:rsidR="006F3A1C" w:rsidRPr="009A4DCA" w:rsidRDefault="00F9087C" w:rsidP="00863008">
      <w:pPr>
        <w:pStyle w:val="ListParagraph"/>
        <w:numPr>
          <w:ilvl w:val="0"/>
          <w:numId w:val="14"/>
        </w:numPr>
        <w:ind w:left="1134"/>
        <w:jc w:val="both"/>
      </w:pPr>
      <w:r w:rsidRPr="009A4DCA">
        <w:t xml:space="preserve">Approximately </w:t>
      </w:r>
      <w:r w:rsidR="003D14A1" w:rsidRPr="009A4DCA">
        <w:t>4.4</w:t>
      </w:r>
      <w:r w:rsidRPr="009A4DCA">
        <w:t xml:space="preserve"> more persons would </w:t>
      </w:r>
      <w:r w:rsidR="003D14A1" w:rsidRPr="009A4DCA">
        <w:t>experience</w:t>
      </w:r>
      <w:r w:rsidRPr="009A4DCA">
        <w:t xml:space="preserve"> an</w:t>
      </w:r>
      <w:r w:rsidR="003D14A1" w:rsidRPr="009A4DCA">
        <w:t>y</w:t>
      </w:r>
      <w:r w:rsidRPr="009A4DCA">
        <w:t xml:space="preserve"> AE </w:t>
      </w:r>
      <w:r w:rsidR="003D14A1" w:rsidRPr="009A4DCA">
        <w:t>related to RSVpreF</w:t>
      </w:r>
      <w:r w:rsidRPr="009A4DCA">
        <w:t xml:space="preserve"> up to 1 month after vaccination.  </w:t>
      </w:r>
    </w:p>
    <w:p w14:paraId="49A469F5" w14:textId="09DAB8AB" w:rsidR="00B60939" w:rsidRPr="009A4DCA" w:rsidRDefault="00B60939" w:rsidP="00E9094A">
      <w:pPr>
        <w:pStyle w:val="4-SubsectionHeading"/>
      </w:pPr>
      <w:bookmarkStart w:id="48" w:name="_Toc177558742"/>
      <w:r w:rsidRPr="009A4DCA">
        <w:t>Clinical claim</w:t>
      </w:r>
      <w:bookmarkEnd w:id="45"/>
      <w:bookmarkEnd w:id="48"/>
    </w:p>
    <w:p w14:paraId="14289B02" w14:textId="0CED6CC7" w:rsidR="002A29DD" w:rsidRPr="009A4DCA" w:rsidRDefault="00F42E49">
      <w:pPr>
        <w:pStyle w:val="3-BodyText"/>
        <w:numPr>
          <w:ilvl w:val="1"/>
          <w:numId w:val="1"/>
        </w:numPr>
      </w:pPr>
      <w:bookmarkStart w:id="49" w:name="_Ref182416241"/>
      <w:bookmarkStart w:id="50" w:name="_Hlk177561381"/>
      <w:bookmarkStart w:id="51" w:name="_Toc22897645"/>
      <w:r w:rsidRPr="009A4DCA">
        <w:rPr>
          <w:rFonts w:eastAsia="Calibri"/>
        </w:rPr>
        <w:t>Compared to placebo, the submission described RSVpreF as superior in terms of effectiveness for the prevention of RSV-LRTI and ARI in older adults, and non-inferior in terms of safety.</w:t>
      </w:r>
      <w:r w:rsidRPr="009A4DCA">
        <w:t xml:space="preserve"> </w:t>
      </w:r>
      <w:r w:rsidR="00A569F1" w:rsidRPr="009A4DCA">
        <w:t>The submission stated that in RENOIR, the pre-defined success criteria (lower bound of the 95% CI &gt;20%) was met for the primary efficacy objective VE against RSV-LRTI </w:t>
      </w:r>
      <w:r w:rsidR="00A569F1" w:rsidRPr="009A4DCA">
        <w:rPr>
          <w:rFonts w:cs="Calibri"/>
        </w:rPr>
        <w:t>≥</w:t>
      </w:r>
      <w:r w:rsidR="00A569F1" w:rsidRPr="009A4DCA">
        <w:t xml:space="preserve">2 symptoms and </w:t>
      </w:r>
      <w:r w:rsidR="00A569F1" w:rsidRPr="009A4DCA">
        <w:rPr>
          <w:rFonts w:cs="Calibri"/>
        </w:rPr>
        <w:t>≥</w:t>
      </w:r>
      <w:r w:rsidR="00A569F1" w:rsidRPr="009A4DCA">
        <w:t xml:space="preserve">3 symptoms. </w:t>
      </w:r>
      <w:r w:rsidR="000E5ABF" w:rsidRPr="009A4DCA">
        <w:t>The</w:t>
      </w:r>
      <w:r w:rsidR="00E53FBC" w:rsidRPr="009A4DCA">
        <w:t xml:space="preserve"> evaluation considered that the</w:t>
      </w:r>
      <w:r w:rsidR="000E5ABF" w:rsidRPr="009A4DCA">
        <w:t xml:space="preserve"> clinical claim </w:t>
      </w:r>
      <w:r w:rsidR="00F52DB8" w:rsidRPr="009A4DCA">
        <w:t xml:space="preserve">of superior effectiveness compared with placebo </w:t>
      </w:r>
      <w:r w:rsidR="00886B5E" w:rsidRPr="009A4DCA">
        <w:t>was adequately supported in that t</w:t>
      </w:r>
      <w:r w:rsidR="00BF068F" w:rsidRPr="009A4DCA">
        <w:t xml:space="preserve">he primary efficacy </w:t>
      </w:r>
      <w:r w:rsidR="00126FF0" w:rsidRPr="009A4DCA">
        <w:t>outcomes</w:t>
      </w:r>
      <w:r w:rsidR="007817CA" w:rsidRPr="009A4DCA">
        <w:t xml:space="preserve"> </w:t>
      </w:r>
      <w:r w:rsidR="009567E8" w:rsidRPr="009A4DCA">
        <w:t>in</w:t>
      </w:r>
      <w:r w:rsidR="00195EE4" w:rsidRPr="009A4DCA">
        <w:t xml:space="preserve"> RENOIR</w:t>
      </w:r>
      <w:r w:rsidR="00BF068F" w:rsidRPr="009A4DCA">
        <w:t xml:space="preserve"> were met for the population of adults aged 60 years and older</w:t>
      </w:r>
      <w:r w:rsidR="000B30AE" w:rsidRPr="009A4DCA">
        <w:t xml:space="preserve"> for the duration of follow-up in the trial</w:t>
      </w:r>
      <w:r w:rsidR="00BF068F" w:rsidRPr="009A4DCA">
        <w:t>.</w:t>
      </w:r>
      <w:r w:rsidR="000B30AE" w:rsidRPr="009A4DCA">
        <w:t xml:space="preserve"> </w:t>
      </w:r>
      <w:r w:rsidR="0029798B" w:rsidRPr="009A4DCA">
        <w:t>The ESC agreed</w:t>
      </w:r>
      <w:r w:rsidR="00DA3EBB" w:rsidRPr="009A4DCA">
        <w:t xml:space="preserve"> with the evaluation</w:t>
      </w:r>
      <w:r w:rsidR="0029798B" w:rsidRPr="009A4DCA">
        <w:t xml:space="preserve"> that</w:t>
      </w:r>
      <w:r w:rsidR="00DA3EBB" w:rsidRPr="009A4DCA">
        <w:t xml:space="preserve"> RSVpreF is more effective than placebo at preventing LRTI (for</w:t>
      </w:r>
      <w:r w:rsidR="007A507B" w:rsidRPr="009A4DCA">
        <w:t xml:space="preserve"> patients with</w:t>
      </w:r>
      <w:r w:rsidR="00DA3EBB" w:rsidRPr="009A4DCA">
        <w:t xml:space="preserve"> ≥2 and ≥3 symptoms</w:t>
      </w:r>
      <w:r w:rsidR="00452364" w:rsidRPr="009A4DCA">
        <w:t xml:space="preserve">; </w:t>
      </w:r>
      <w:r w:rsidR="00452364" w:rsidRPr="009A4DCA">
        <w:fldChar w:fldCharType="begin"/>
      </w:r>
      <w:r w:rsidR="00452364" w:rsidRPr="009A4DCA">
        <w:instrText xml:space="preserve"> REF _Ref175223904 \h </w:instrText>
      </w:r>
      <w:r w:rsidR="00452364" w:rsidRPr="009A4DCA">
        <w:fldChar w:fldCharType="separate"/>
      </w:r>
      <w:r w:rsidR="007B2F50" w:rsidRPr="009A4DCA">
        <w:t xml:space="preserve">Table </w:t>
      </w:r>
      <w:r w:rsidR="007B2F50">
        <w:rPr>
          <w:noProof/>
        </w:rPr>
        <w:t>4</w:t>
      </w:r>
      <w:r w:rsidR="00452364" w:rsidRPr="009A4DCA">
        <w:fldChar w:fldCharType="end"/>
      </w:r>
      <w:r w:rsidR="00DA3EBB" w:rsidRPr="009A4DCA">
        <w:t>) and RSV</w:t>
      </w:r>
      <w:r w:rsidR="007A507B" w:rsidRPr="009A4DCA">
        <w:t>-ARI</w:t>
      </w:r>
      <w:r w:rsidR="00DA3EBB" w:rsidRPr="009A4DCA">
        <w:t xml:space="preserve"> (</w:t>
      </w:r>
      <w:r w:rsidR="00DA3EBB" w:rsidRPr="009A4DCA">
        <w:fldChar w:fldCharType="begin"/>
      </w:r>
      <w:r w:rsidR="00DA3EBB" w:rsidRPr="009A4DCA">
        <w:instrText xml:space="preserve"> REF _Ref175227352 \h  \* MERGEFORMAT </w:instrText>
      </w:r>
      <w:r w:rsidR="00DA3EBB" w:rsidRPr="009A4DCA">
        <w:fldChar w:fldCharType="separate"/>
      </w:r>
      <w:r w:rsidR="007B2F50" w:rsidRPr="009A4DCA">
        <w:t xml:space="preserve">Table </w:t>
      </w:r>
      <w:r w:rsidR="007B2F50">
        <w:t>5</w:t>
      </w:r>
      <w:r w:rsidR="00DA3EBB" w:rsidRPr="009A4DCA">
        <w:fldChar w:fldCharType="end"/>
      </w:r>
      <w:r w:rsidR="00DA3EBB" w:rsidRPr="009A4DCA">
        <w:t>).</w:t>
      </w:r>
      <w:r w:rsidR="000A3F9E" w:rsidRPr="009A4DCA">
        <w:t xml:space="preserve"> However, the ESC noted that for the overall trial population, RSVpreF did not </w:t>
      </w:r>
      <w:r w:rsidR="00D8793F" w:rsidRPr="009A4DCA">
        <w:t>demonstrate</w:t>
      </w:r>
      <w:r w:rsidR="000A3F9E" w:rsidRPr="009A4DCA">
        <w:t xml:space="preserve"> a </w:t>
      </w:r>
      <w:r w:rsidR="00D8793F" w:rsidRPr="009A4DCA">
        <w:t xml:space="preserve">significant </w:t>
      </w:r>
      <w:r w:rsidR="003B5E11" w:rsidRPr="009A4DCA">
        <w:t xml:space="preserve">difference </w:t>
      </w:r>
      <w:r w:rsidR="000A3F9E" w:rsidRPr="009A4DCA">
        <w:t xml:space="preserve">for </w:t>
      </w:r>
      <w:r w:rsidR="003B5E11" w:rsidRPr="009A4DCA">
        <w:t>prevention of</w:t>
      </w:r>
      <w:r w:rsidR="000A3F9E" w:rsidRPr="009A4DCA">
        <w:t xml:space="preserve"> severe RSV-LRTI </w:t>
      </w:r>
      <w:r w:rsidR="00D15339" w:rsidRPr="009A4DCA">
        <w:t xml:space="preserve">and considered there was insufficient evidence to determine the impact of RSVpreF on this outcome </w:t>
      </w:r>
      <w:r w:rsidR="0022666F" w:rsidRPr="009A4DCA">
        <w:t>(</w:t>
      </w:r>
      <w:r w:rsidR="0022666F" w:rsidRPr="009A4DCA">
        <w:fldChar w:fldCharType="begin"/>
      </w:r>
      <w:r w:rsidR="0022666F" w:rsidRPr="009A4DCA">
        <w:instrText xml:space="preserve"> REF _Ref175227352 \h  \* MERGEFORMAT </w:instrText>
      </w:r>
      <w:r w:rsidR="0022666F" w:rsidRPr="009A4DCA">
        <w:fldChar w:fldCharType="separate"/>
      </w:r>
      <w:r w:rsidR="007B2F50" w:rsidRPr="009A4DCA">
        <w:t xml:space="preserve">Table </w:t>
      </w:r>
      <w:r w:rsidR="007B2F50">
        <w:t>5</w:t>
      </w:r>
      <w:r w:rsidR="0022666F" w:rsidRPr="009A4DCA">
        <w:fldChar w:fldCharType="end"/>
      </w:r>
      <w:r w:rsidR="0022666F" w:rsidRPr="009A4DCA">
        <w:t>)</w:t>
      </w:r>
      <w:r w:rsidR="000A3F9E" w:rsidRPr="009A4DCA">
        <w:t>.</w:t>
      </w:r>
      <w:r w:rsidR="00327C07" w:rsidRPr="009A4DCA">
        <w:t xml:space="preserve"> The pre-PBAC response noted that </w:t>
      </w:r>
      <w:r w:rsidR="00D36FFD" w:rsidRPr="009A4DCA">
        <w:t>severe RSV-LRTI was a secondary endpoint</w:t>
      </w:r>
      <w:r w:rsidR="008660C2" w:rsidRPr="009A4DCA">
        <w:t xml:space="preserve"> that was not powered to detect a difference between RSVpreF and placebo</w:t>
      </w:r>
      <w:r w:rsidR="009862D2" w:rsidRPr="009A4DCA">
        <w:t>, and only two cases of severe RSV-LRTI</w:t>
      </w:r>
      <w:r w:rsidR="002E6585" w:rsidRPr="009A4DCA">
        <w:t xml:space="preserve"> were reported </w:t>
      </w:r>
      <w:r w:rsidR="008856ED" w:rsidRPr="009A4DCA">
        <w:t>at</w:t>
      </w:r>
      <w:r w:rsidR="002E6585" w:rsidRPr="009A4DCA">
        <w:t xml:space="preserve"> EOS1</w:t>
      </w:r>
      <w:r w:rsidR="0090618A" w:rsidRPr="009A4DCA">
        <w:t>, both in the placebo group.</w:t>
      </w:r>
      <w:bookmarkEnd w:id="49"/>
      <w:r w:rsidR="007D5A26" w:rsidRPr="009A4DCA">
        <w:t xml:space="preserve"> </w:t>
      </w:r>
      <w:r w:rsidR="00E97403" w:rsidRPr="009A4DCA">
        <w:t xml:space="preserve">The pre-PBAC response also presented results </w:t>
      </w:r>
      <w:r w:rsidR="002A29DD" w:rsidRPr="009A4DCA">
        <w:t>from</w:t>
      </w:r>
      <w:r w:rsidR="00E97403" w:rsidRPr="009A4DCA">
        <w:t xml:space="preserve"> an observational retrospective case control study </w:t>
      </w:r>
      <w:r w:rsidR="002A29DD" w:rsidRPr="009A4DCA">
        <w:t>in hospital or ED settings among US adults aged 60 and older</w:t>
      </w:r>
      <w:r w:rsidR="007D5A26" w:rsidRPr="009A4DCA">
        <w:t>, based on a conference abstract</w:t>
      </w:r>
      <w:r w:rsidR="007D5A26" w:rsidRPr="009A4DCA">
        <w:rPr>
          <w:rFonts w:cs="Arial"/>
        </w:rPr>
        <w:t>.</w:t>
      </w:r>
      <w:r w:rsidR="002A29DD" w:rsidRPr="009A4DCA">
        <w:t xml:space="preserve"> </w:t>
      </w:r>
      <w:r w:rsidR="002A29DD" w:rsidRPr="009A4DCA">
        <w:rPr>
          <w:rFonts w:cs="Arial"/>
        </w:rPr>
        <w:t xml:space="preserve">The response stated that the </w:t>
      </w:r>
      <w:r w:rsidR="002A29DD" w:rsidRPr="009A4DCA">
        <w:t>adjusted VE of RSVpreF against severe RSV-ARI hospitalisations or ED visits was 90% (95% CI 24, 99)</w:t>
      </w:r>
      <w:r w:rsidR="007D5A26" w:rsidRPr="009A4DCA">
        <w:rPr>
          <w:rStyle w:val="FootnoteReference"/>
        </w:rPr>
        <w:t xml:space="preserve"> </w:t>
      </w:r>
      <w:r w:rsidR="007D5A26" w:rsidRPr="009A4DCA">
        <w:rPr>
          <w:rStyle w:val="FootnoteReference"/>
        </w:rPr>
        <w:footnoteReference w:id="9"/>
      </w:r>
      <w:r w:rsidR="002A29DD" w:rsidRPr="009A4DCA">
        <w:t xml:space="preserve">. </w:t>
      </w:r>
      <w:r w:rsidR="005A01B2" w:rsidRPr="009A4DCA">
        <w:t xml:space="preserve">The PBAC </w:t>
      </w:r>
      <w:r w:rsidR="00C77549" w:rsidRPr="009A4DCA">
        <w:t>noted</w:t>
      </w:r>
      <w:r w:rsidR="005A01B2" w:rsidRPr="009A4DCA">
        <w:t xml:space="preserve"> that it was </w:t>
      </w:r>
      <w:r w:rsidR="00372D28" w:rsidRPr="009A4DCA">
        <w:t xml:space="preserve">a favourable result for RSVpreF, however </w:t>
      </w:r>
      <w:r w:rsidR="00C77549" w:rsidRPr="009A4DCA">
        <w:t xml:space="preserve">considered that </w:t>
      </w:r>
      <w:r w:rsidR="000B1FB5" w:rsidRPr="009A4DCA">
        <w:t>the reliability of the estimate was uncertain as it was derived from a non-randomised study, and could not be evaluated in detail as only a conference abstract was available. The</w:t>
      </w:r>
      <w:r w:rsidR="00BA0102" w:rsidRPr="009A4DCA">
        <w:t xml:space="preserve"> </w:t>
      </w:r>
      <w:r w:rsidR="00C77549" w:rsidRPr="009A4DCA">
        <w:t xml:space="preserve">applicability </w:t>
      </w:r>
      <w:r w:rsidR="000B1FB5" w:rsidRPr="009A4DCA">
        <w:t xml:space="preserve">of the results </w:t>
      </w:r>
      <w:r w:rsidR="00C77549" w:rsidRPr="009A4DCA">
        <w:t xml:space="preserve">to the </w:t>
      </w:r>
      <w:r w:rsidR="005A01B2" w:rsidRPr="009A4DCA">
        <w:t>Australian setting</w:t>
      </w:r>
      <w:r w:rsidR="009A4DCA">
        <w:t xml:space="preserve"> </w:t>
      </w:r>
      <w:r w:rsidR="00C77549" w:rsidRPr="009A4DCA">
        <w:t xml:space="preserve">was </w:t>
      </w:r>
      <w:r w:rsidR="000B1FB5" w:rsidRPr="009A4DCA">
        <w:t xml:space="preserve">also </w:t>
      </w:r>
      <w:r w:rsidR="00C77549" w:rsidRPr="009A4DCA">
        <w:t>uncertain</w:t>
      </w:r>
      <w:bookmarkStart w:id="52" w:name="_Hlk183608129"/>
      <w:r w:rsidR="000B1FB5" w:rsidRPr="009A4DCA">
        <w:t xml:space="preserve"> as the study was conducted in the USA</w:t>
      </w:r>
      <w:r w:rsidR="005A01B2" w:rsidRPr="009A4DCA">
        <w:t xml:space="preserve">. </w:t>
      </w:r>
      <w:bookmarkEnd w:id="52"/>
    </w:p>
    <w:p w14:paraId="3594AEF4" w14:textId="495DDFD2" w:rsidR="0004762D" w:rsidRPr="009A4DCA" w:rsidRDefault="0041182D" w:rsidP="0088187D">
      <w:pPr>
        <w:pStyle w:val="3-BodyText"/>
        <w:rPr>
          <w:rFonts w:eastAsia="Calibri"/>
        </w:rPr>
      </w:pPr>
      <w:r w:rsidRPr="009A4DCA">
        <w:lastRenderedPageBreak/>
        <w:t>T</w:t>
      </w:r>
      <w:r w:rsidR="0029798B" w:rsidRPr="009A4DCA">
        <w:t xml:space="preserve">he evaluation </w:t>
      </w:r>
      <w:r w:rsidRPr="009A4DCA">
        <w:t xml:space="preserve">considered </w:t>
      </w:r>
      <w:r w:rsidR="0029798B" w:rsidRPr="009A4DCA">
        <w:t>that superior effectiveness was adequately supported for the duration of the trial</w:t>
      </w:r>
      <w:r w:rsidR="00DC565E" w:rsidRPr="009A4DCA">
        <w:t xml:space="preserve"> in the RENOIR trial population of healthy adults ≥60 years (including those with stable pre-existing conditions)</w:t>
      </w:r>
      <w:r w:rsidR="0029798B" w:rsidRPr="009A4DCA">
        <w:t xml:space="preserve">, </w:t>
      </w:r>
      <w:r w:rsidRPr="009A4DCA">
        <w:t xml:space="preserve">however </w:t>
      </w:r>
      <w:r w:rsidR="008965DF" w:rsidRPr="009A4DCA">
        <w:t>the evaluation and the ESC</w:t>
      </w:r>
      <w:r w:rsidR="00FD0993" w:rsidRPr="009A4DCA">
        <w:t xml:space="preserve"> had concerns</w:t>
      </w:r>
      <w:r w:rsidR="000B30AE" w:rsidRPr="009A4DCA">
        <w:t xml:space="preserve"> regarding the </w:t>
      </w:r>
      <w:r w:rsidR="00DC565E" w:rsidRPr="009A4DCA">
        <w:t xml:space="preserve">duration of protection, and the </w:t>
      </w:r>
      <w:r w:rsidR="000B30AE" w:rsidRPr="009A4DCA">
        <w:t>comparison of RSVpreF and placebo</w:t>
      </w:r>
      <w:r w:rsidR="0029798B" w:rsidRPr="009A4DCA">
        <w:t xml:space="preserve"> in the specific populations proposed for listing</w:t>
      </w:r>
      <w:r w:rsidR="00842C84" w:rsidRPr="009A4DCA">
        <w:t xml:space="preserve">. </w:t>
      </w:r>
      <w:r w:rsidR="00F42E49" w:rsidRPr="009A4DCA">
        <w:t>While there is evidence of VE against RSV compared with placebo in the short-term (16.4 months), the data presented in</w:t>
      </w:r>
      <w:r w:rsidR="005D68E0" w:rsidRPr="009A4DCA">
        <w:t xml:space="preserve"> the submission</w:t>
      </w:r>
      <w:r w:rsidR="00F42E49" w:rsidRPr="009A4DCA">
        <w:t xml:space="preserve"> do not inform that comparison over the long-term, which is particularly relevant </w:t>
      </w:r>
      <w:r w:rsidR="007E6849" w:rsidRPr="009A4DCA">
        <w:t>to</w:t>
      </w:r>
      <w:r w:rsidR="00F42E49" w:rsidRPr="009A4DCA">
        <w:t xml:space="preserve"> informing duration of protection beyond the </w:t>
      </w:r>
      <w:r w:rsidR="00B94CE6">
        <w:t>EOS</w:t>
      </w:r>
      <w:r w:rsidR="00F42E49" w:rsidRPr="009A4DCA">
        <w:t xml:space="preserve">2. There is a decline in immunogenicity by the </w:t>
      </w:r>
      <w:r w:rsidR="00B94CE6">
        <w:t>EOS2</w:t>
      </w:r>
      <w:r w:rsidR="00F42E49" w:rsidRPr="009A4DCA">
        <w:t xml:space="preserve"> for RSVpreF from RENOIR. ATAGI noted that there are no correlates of protection, and no evidence to date, to inform the rate of waning post season two. Therefore, it is unknown whether, or at what point, immunity is likely to decline to a point below a protective threshold.</w:t>
      </w:r>
      <w:r w:rsidR="00D8770A" w:rsidRPr="009A4DCA">
        <w:t xml:space="preserve"> </w:t>
      </w:r>
      <w:bookmarkStart w:id="53" w:name="_Ref182416809"/>
      <w:r w:rsidR="0004762D" w:rsidRPr="009A4DCA">
        <w:rPr>
          <w:rFonts w:eastAsia="Calibri"/>
        </w:rPr>
        <w:t>While the PSCR</w:t>
      </w:r>
      <w:r w:rsidR="00FC797A" w:rsidRPr="009A4DCA">
        <w:rPr>
          <w:rFonts w:eastAsia="Calibri"/>
        </w:rPr>
        <w:t xml:space="preserve"> and pre-PBAC response</w:t>
      </w:r>
      <w:r w:rsidR="0004762D" w:rsidRPr="009A4DCA">
        <w:rPr>
          <w:rFonts w:eastAsia="Calibri"/>
        </w:rPr>
        <w:t xml:space="preserve"> acknowledged that immunogenicity for RSVpreF wane</w:t>
      </w:r>
      <w:r w:rsidR="009349C2" w:rsidRPr="009A4DCA">
        <w:rPr>
          <w:rFonts w:eastAsia="Calibri"/>
        </w:rPr>
        <w:t>d</w:t>
      </w:r>
      <w:r w:rsidR="0004762D" w:rsidRPr="009A4DCA">
        <w:rPr>
          <w:rFonts w:eastAsia="Calibri"/>
        </w:rPr>
        <w:t xml:space="preserve"> over time, </w:t>
      </w:r>
      <w:r w:rsidR="001F6B6B" w:rsidRPr="009A4DCA">
        <w:rPr>
          <w:rFonts w:eastAsia="Calibri"/>
        </w:rPr>
        <w:t xml:space="preserve">it claimed that the relatively small level of decline between Seasons 1 and 2, especially for the more severe and clinically important outcomes, showed that immunity is expected to extend well beyond the </w:t>
      </w:r>
      <w:r w:rsidR="00CA7E20">
        <w:rPr>
          <w:rFonts w:eastAsia="Calibri"/>
        </w:rPr>
        <w:t>EOS2</w:t>
      </w:r>
      <w:r w:rsidR="001F6B6B" w:rsidRPr="009A4DCA">
        <w:rPr>
          <w:rFonts w:eastAsia="Calibri"/>
        </w:rPr>
        <w:t>.</w:t>
      </w:r>
      <w:bookmarkEnd w:id="53"/>
    </w:p>
    <w:p w14:paraId="52C921F7" w14:textId="3491F7A3" w:rsidR="00F42E49" w:rsidRPr="009A4DCA" w:rsidRDefault="00D84B3D" w:rsidP="00A568AC">
      <w:pPr>
        <w:pStyle w:val="3-BodyText"/>
      </w:pPr>
      <w:bookmarkStart w:id="54" w:name="_Ref182417492"/>
      <w:r w:rsidRPr="009A4DCA">
        <w:t>T</w:t>
      </w:r>
      <w:r w:rsidR="00A568AC" w:rsidRPr="009A4DCA">
        <w:t>he evaluation and the ESC</w:t>
      </w:r>
      <w:r w:rsidR="00725B5B" w:rsidRPr="009A4DCA">
        <w:t xml:space="preserve"> had concerns regarding the comparison of RSVpreF and placebo in</w:t>
      </w:r>
      <w:r w:rsidR="00F22557" w:rsidRPr="009A4DCA">
        <w:t xml:space="preserve"> two of</w:t>
      </w:r>
      <w:r w:rsidR="00725B5B" w:rsidRPr="009A4DCA">
        <w:t xml:space="preserve"> the specific populations proposed for listing</w:t>
      </w:r>
      <w:r w:rsidR="00F42E49" w:rsidRPr="009A4DCA">
        <w:t>:</w:t>
      </w:r>
      <w:bookmarkEnd w:id="54"/>
      <w:r w:rsidR="00F42E49" w:rsidRPr="009A4DCA">
        <w:t xml:space="preserve">  </w:t>
      </w:r>
    </w:p>
    <w:p w14:paraId="0928ECB5" w14:textId="436672F2" w:rsidR="00F42E49" w:rsidRPr="009A4DCA" w:rsidRDefault="00F42E49" w:rsidP="00863008">
      <w:pPr>
        <w:pStyle w:val="3-BodyText"/>
        <w:numPr>
          <w:ilvl w:val="0"/>
          <w:numId w:val="0"/>
        </w:numPr>
        <w:ind w:left="1134"/>
        <w:rPr>
          <w:rFonts w:eastAsia="Calibri"/>
        </w:rPr>
      </w:pPr>
      <w:bookmarkStart w:id="55" w:name="_Hlk183609894"/>
      <w:r w:rsidRPr="009A4DCA">
        <w:rPr>
          <w:rFonts w:eastAsia="Calibri"/>
          <w:u w:val="single"/>
        </w:rPr>
        <w:t>Participants aged ≥75 years</w:t>
      </w:r>
      <w:r w:rsidRPr="009A4DCA">
        <w:rPr>
          <w:rFonts w:eastAsia="Calibri"/>
        </w:rPr>
        <w:t>: VE to prevent the first medically-attended episode of RSV-LRTI with ≥2 symptoms was not</w:t>
      </w:r>
      <w:r w:rsidR="000B67C8" w:rsidRPr="009A4DCA">
        <w:rPr>
          <w:rFonts w:eastAsia="Calibri"/>
        </w:rPr>
        <w:t xml:space="preserve"> statistically</w:t>
      </w:r>
      <w:r w:rsidRPr="009A4DCA">
        <w:rPr>
          <w:rFonts w:eastAsia="Calibri"/>
        </w:rPr>
        <w:t xml:space="preserve"> significant; 85.7% (95% CI: </w:t>
      </w:r>
      <w:r w:rsidR="00AC627B" w:rsidRPr="009A4DCA">
        <w:rPr>
          <w:rFonts w:eastAsia="Calibri"/>
        </w:rPr>
        <w:noBreakHyphen/>
      </w:r>
      <w:r w:rsidRPr="009A4DCA">
        <w:rPr>
          <w:rFonts w:eastAsia="Calibri"/>
        </w:rPr>
        <w:t xml:space="preserve">11.2%, 99.7%) at the end season 1, reducing to 40% (95% CI: -208.4%, 90.7%) at the </w:t>
      </w:r>
      <w:r w:rsidR="009B2E6E">
        <w:rPr>
          <w:rFonts w:eastAsia="Calibri"/>
        </w:rPr>
        <w:t>EOS2</w:t>
      </w:r>
      <w:r w:rsidR="00730EE7" w:rsidRPr="009A4DCA">
        <w:rPr>
          <w:rFonts w:eastAsia="Calibri"/>
        </w:rPr>
        <w:t xml:space="preserve"> (</w:t>
      </w:r>
      <w:r w:rsidR="00730EE7" w:rsidRPr="009A4DCA">
        <w:rPr>
          <w:rFonts w:eastAsia="Calibri"/>
        </w:rPr>
        <w:fldChar w:fldCharType="begin"/>
      </w:r>
      <w:r w:rsidR="00730EE7" w:rsidRPr="009A4DCA">
        <w:rPr>
          <w:rFonts w:eastAsia="Calibri"/>
        </w:rPr>
        <w:instrText xml:space="preserve"> REF _Ref175592888 \h </w:instrText>
      </w:r>
      <w:r w:rsidR="00730EE7" w:rsidRPr="009A4DCA">
        <w:rPr>
          <w:rFonts w:eastAsia="Calibri"/>
        </w:rPr>
      </w:r>
      <w:r w:rsidR="00730EE7" w:rsidRPr="009A4DCA">
        <w:rPr>
          <w:rFonts w:eastAsia="Calibri"/>
        </w:rPr>
        <w:fldChar w:fldCharType="separate"/>
      </w:r>
      <w:r w:rsidR="007B2F50" w:rsidRPr="009A4DCA">
        <w:t xml:space="preserve">Table </w:t>
      </w:r>
      <w:r w:rsidR="007B2F50">
        <w:rPr>
          <w:noProof/>
        </w:rPr>
        <w:t>9</w:t>
      </w:r>
      <w:r w:rsidR="00730EE7" w:rsidRPr="009A4DCA">
        <w:rPr>
          <w:rFonts w:eastAsia="Calibri"/>
        </w:rPr>
        <w:fldChar w:fldCharType="end"/>
      </w:r>
      <w:r w:rsidR="00730EE7" w:rsidRPr="009A4DCA">
        <w:rPr>
          <w:rFonts w:eastAsia="Calibri"/>
        </w:rPr>
        <w:t>)</w:t>
      </w:r>
      <w:r w:rsidRPr="009A4DCA">
        <w:rPr>
          <w:rFonts w:eastAsia="Calibri"/>
        </w:rPr>
        <w:t xml:space="preserve">. These results were also consistent for the outcome of VE against medically-attended RSV-LRTI with ≥3 symptoms. The subgroup of adults aged </w:t>
      </w:r>
      <w:r w:rsidR="009B2E6E" w:rsidRPr="009B2E6E">
        <w:rPr>
          <w:rFonts w:eastAsia="Calibri" w:cstheme="minorHAnsi"/>
        </w:rPr>
        <w:t>≥</w:t>
      </w:r>
      <w:r w:rsidRPr="009A4DCA">
        <w:rPr>
          <w:rFonts w:eastAsia="Calibri"/>
        </w:rPr>
        <w:t>75 years represent</w:t>
      </w:r>
      <w:r w:rsidR="009349C2" w:rsidRPr="009A4DCA">
        <w:rPr>
          <w:rFonts w:eastAsia="Calibri"/>
        </w:rPr>
        <w:t>s</w:t>
      </w:r>
      <w:r w:rsidRPr="009A4DCA">
        <w:rPr>
          <w:rFonts w:eastAsia="Calibri"/>
        </w:rPr>
        <w:t xml:space="preserve"> 16% of the RENOIR population.</w:t>
      </w:r>
    </w:p>
    <w:p w14:paraId="020D856B" w14:textId="0B1EBBEC" w:rsidR="00F42E49" w:rsidRPr="009A4DCA" w:rsidRDefault="00F42E49" w:rsidP="00863008">
      <w:pPr>
        <w:pStyle w:val="3-BodyText"/>
        <w:numPr>
          <w:ilvl w:val="0"/>
          <w:numId w:val="0"/>
        </w:numPr>
        <w:ind w:left="1134"/>
        <w:rPr>
          <w:rFonts w:eastAsia="Calibri"/>
        </w:rPr>
      </w:pPr>
      <w:r w:rsidRPr="009A4DCA">
        <w:rPr>
          <w:rFonts w:eastAsia="Calibri"/>
          <w:u w:val="single"/>
        </w:rPr>
        <w:t>Participants with ≥1 pre-specified condition</w:t>
      </w:r>
      <w:r w:rsidRPr="009A4DCA">
        <w:rPr>
          <w:rFonts w:eastAsia="Calibri"/>
        </w:rPr>
        <w:t>: the lower limit for</w:t>
      </w:r>
      <w:r w:rsidR="009349C2" w:rsidRPr="009A4DCA">
        <w:rPr>
          <w:rFonts w:eastAsia="Calibri"/>
        </w:rPr>
        <w:t xml:space="preserve"> the</w:t>
      </w:r>
      <w:r w:rsidRPr="009A4DCA">
        <w:rPr>
          <w:rFonts w:eastAsia="Calibri"/>
        </w:rPr>
        <w:t xml:space="preserve"> 95% CI</w:t>
      </w:r>
      <w:r w:rsidR="00A914A1" w:rsidRPr="009A4DCA">
        <w:rPr>
          <w:rFonts w:eastAsia="Calibri"/>
        </w:rPr>
        <w:t xml:space="preserve"> did not meet the criterion required to demonstrate superiority</w:t>
      </w:r>
      <w:r w:rsidRPr="009A4DCA">
        <w:rPr>
          <w:rFonts w:eastAsia="Calibri"/>
        </w:rPr>
        <w:t> </w:t>
      </w:r>
      <w:r w:rsidR="00A914A1" w:rsidRPr="009A4DCA">
        <w:rPr>
          <w:rFonts w:eastAsia="Calibri"/>
        </w:rPr>
        <w:t>(&gt;</w:t>
      </w:r>
      <w:r w:rsidRPr="009A4DCA">
        <w:rPr>
          <w:rFonts w:eastAsia="Calibri"/>
        </w:rPr>
        <w:t>20%</w:t>
      </w:r>
      <w:r w:rsidR="00A914A1" w:rsidRPr="009A4DCA">
        <w:rPr>
          <w:rFonts w:eastAsia="Calibri"/>
        </w:rPr>
        <w:t>) relative to no vaccination</w:t>
      </w:r>
      <w:r w:rsidRPr="009A4DCA">
        <w:rPr>
          <w:rFonts w:eastAsia="Calibri"/>
        </w:rPr>
        <w:t xml:space="preserve"> for the outcome</w:t>
      </w:r>
      <w:r w:rsidR="00A914A1" w:rsidRPr="009A4DCA">
        <w:rPr>
          <w:rFonts w:eastAsia="Calibri"/>
        </w:rPr>
        <w:t xml:space="preserve"> </w:t>
      </w:r>
      <w:r w:rsidR="00A914A1" w:rsidRPr="009A4DCA">
        <w:rPr>
          <w:rFonts w:eastAsia="Calibri"/>
          <w:i/>
          <w:iCs/>
        </w:rPr>
        <w:t>of</w:t>
      </w:r>
      <w:r w:rsidRPr="009A4DCA">
        <w:rPr>
          <w:rFonts w:eastAsia="Calibri"/>
        </w:rPr>
        <w:t xml:space="preserve"> VE to prevent the first episode of RSV-LRTI with ≥2</w:t>
      </w:r>
      <w:r w:rsidR="00863008">
        <w:rPr>
          <w:rFonts w:eastAsia="Calibri"/>
        </w:rPr>
        <w:t> </w:t>
      </w:r>
      <w:r w:rsidRPr="009A4DCA">
        <w:rPr>
          <w:rFonts w:eastAsia="Calibri"/>
        </w:rPr>
        <w:t xml:space="preserve">symptoms; 63.6% (95% CI: 15.2%, 86.0%) at the </w:t>
      </w:r>
      <w:r w:rsidR="009B2E6E">
        <w:rPr>
          <w:rFonts w:eastAsia="Calibri"/>
        </w:rPr>
        <w:t>EOS1</w:t>
      </w:r>
      <w:r w:rsidR="00730EE7" w:rsidRPr="009A4DCA">
        <w:rPr>
          <w:rFonts w:eastAsia="Calibri"/>
        </w:rPr>
        <w:t xml:space="preserve"> (</w:t>
      </w:r>
      <w:r w:rsidR="00730EE7" w:rsidRPr="009A4DCA">
        <w:rPr>
          <w:rFonts w:eastAsia="Calibri"/>
        </w:rPr>
        <w:fldChar w:fldCharType="begin"/>
      </w:r>
      <w:r w:rsidR="00730EE7" w:rsidRPr="009A4DCA">
        <w:rPr>
          <w:rFonts w:eastAsia="Calibri"/>
        </w:rPr>
        <w:instrText xml:space="preserve"> REF _Ref175594182 \h </w:instrText>
      </w:r>
      <w:r w:rsidR="00730EE7" w:rsidRPr="009A4DCA">
        <w:rPr>
          <w:rFonts w:eastAsia="Calibri"/>
        </w:rPr>
      </w:r>
      <w:r w:rsidR="00730EE7" w:rsidRPr="009A4DCA">
        <w:rPr>
          <w:rFonts w:eastAsia="Calibri"/>
        </w:rPr>
        <w:fldChar w:fldCharType="separate"/>
      </w:r>
      <w:r w:rsidR="007B2F50" w:rsidRPr="009A4DCA">
        <w:t xml:space="preserve">Table </w:t>
      </w:r>
      <w:r w:rsidR="007B2F50">
        <w:rPr>
          <w:noProof/>
        </w:rPr>
        <w:t>8</w:t>
      </w:r>
      <w:r w:rsidR="00730EE7" w:rsidRPr="009A4DCA">
        <w:rPr>
          <w:rFonts w:eastAsia="Calibri"/>
        </w:rPr>
        <w:fldChar w:fldCharType="end"/>
      </w:r>
      <w:r w:rsidR="00730EE7" w:rsidRPr="009A4DCA">
        <w:rPr>
          <w:rFonts w:eastAsia="Calibri"/>
        </w:rPr>
        <w:t>)</w:t>
      </w:r>
      <w:r w:rsidRPr="009A4DCA">
        <w:rPr>
          <w:rFonts w:eastAsia="Calibri"/>
        </w:rPr>
        <w:t xml:space="preserve">. These results were consistent for the outcome VE against RSV-LRTI with ≥3 symptoms. The results for this subgroup were not presented for the </w:t>
      </w:r>
      <w:r w:rsidR="009B2E6E">
        <w:rPr>
          <w:rFonts w:eastAsia="Calibri"/>
        </w:rPr>
        <w:t>EOS2</w:t>
      </w:r>
      <w:r w:rsidRPr="009A4DCA">
        <w:rPr>
          <w:rFonts w:eastAsia="Calibri"/>
        </w:rPr>
        <w:t xml:space="preserve">. The subgroup of adults aged </w:t>
      </w:r>
      <w:r w:rsidR="009349C2" w:rsidRPr="009A4DCA">
        <w:rPr>
          <w:rFonts w:eastAsia="Calibri"/>
        </w:rPr>
        <w:t>≥</w:t>
      </w:r>
      <w:r w:rsidRPr="009A4DCA">
        <w:rPr>
          <w:rFonts w:eastAsia="Calibri"/>
        </w:rPr>
        <w:t>60 years with ≥1 pre-specified condition represent</w:t>
      </w:r>
      <w:r w:rsidR="009349C2" w:rsidRPr="009A4DCA">
        <w:rPr>
          <w:rFonts w:eastAsia="Calibri"/>
        </w:rPr>
        <w:t>s</w:t>
      </w:r>
      <w:r w:rsidRPr="009A4DCA">
        <w:rPr>
          <w:rFonts w:eastAsia="Calibri"/>
        </w:rPr>
        <w:t xml:space="preserve"> 52% of the RENOIR population. </w:t>
      </w:r>
    </w:p>
    <w:bookmarkEnd w:id="55"/>
    <w:p w14:paraId="4E42BD7A" w14:textId="2FAD8D94" w:rsidR="00DA5F26" w:rsidRPr="009A4DCA" w:rsidRDefault="00A845A9" w:rsidP="0029798B">
      <w:pPr>
        <w:pStyle w:val="3-BodyText"/>
        <w:numPr>
          <w:ilvl w:val="0"/>
          <w:numId w:val="0"/>
        </w:numPr>
        <w:ind w:left="709" w:firstLine="11"/>
      </w:pPr>
      <w:r w:rsidRPr="009A4DCA">
        <w:rPr>
          <w:rFonts w:eastAsia="Calibri"/>
        </w:rPr>
        <w:t>The PSCR</w:t>
      </w:r>
      <w:r w:rsidR="00192D74" w:rsidRPr="009A4DCA">
        <w:rPr>
          <w:rFonts w:eastAsia="Calibri"/>
        </w:rPr>
        <w:t xml:space="preserve"> and pre-PBAC response</w:t>
      </w:r>
      <w:r w:rsidRPr="009A4DCA">
        <w:rPr>
          <w:rFonts w:eastAsia="Calibri"/>
        </w:rPr>
        <w:t xml:space="preserve"> stated that</w:t>
      </w:r>
      <w:r w:rsidR="00AA1B25" w:rsidRPr="009A4DCA">
        <w:rPr>
          <w:rFonts w:eastAsia="Calibri"/>
        </w:rPr>
        <w:t xml:space="preserve"> the RENOIR trial was not powered to detect statistically significant differences between the arms for subgroup analyses and that small sample sizes combined with rare events resulted in wide confidence intervals. The PSCR</w:t>
      </w:r>
      <w:r w:rsidR="003C121F" w:rsidRPr="009A4DCA">
        <w:rPr>
          <w:rFonts w:eastAsia="Calibri"/>
        </w:rPr>
        <w:t xml:space="preserve"> and pre-PBAC response</w:t>
      </w:r>
      <w:r w:rsidR="00AA1B25" w:rsidRPr="009A4DCA">
        <w:rPr>
          <w:rFonts w:eastAsia="Calibri"/>
        </w:rPr>
        <w:t xml:space="preserve"> noted that the point estimates for patients ≥75 years</w:t>
      </w:r>
      <w:r w:rsidR="00ED21EA" w:rsidRPr="009A4DCA">
        <w:rPr>
          <w:rFonts w:eastAsia="Calibri"/>
        </w:rPr>
        <w:t xml:space="preserve"> numerically</w:t>
      </w:r>
      <w:r w:rsidR="00AA1B25" w:rsidRPr="009A4DCA">
        <w:rPr>
          <w:rFonts w:eastAsia="Calibri"/>
        </w:rPr>
        <w:t xml:space="preserve"> favoured RSVpreF and were exploratory endpoints only.</w:t>
      </w:r>
      <w:r w:rsidR="00FA6025" w:rsidRPr="009A4DCA">
        <w:rPr>
          <w:rFonts w:eastAsia="Calibri"/>
        </w:rPr>
        <w:t xml:space="preserve"> Further, the PSCR noted that the point estimates shown in </w:t>
      </w:r>
      <w:r w:rsidR="00FA6025" w:rsidRPr="009A4DCA">
        <w:rPr>
          <w:rFonts w:eastAsia="Calibri"/>
          <w:u w:val="single"/>
        </w:rPr>
        <w:fldChar w:fldCharType="begin"/>
      </w:r>
      <w:r w:rsidR="00FA6025" w:rsidRPr="009A4DCA">
        <w:rPr>
          <w:rFonts w:eastAsia="Calibri"/>
          <w:u w:val="single"/>
        </w:rPr>
        <w:instrText xml:space="preserve"> REF _Ref177223293 \h  \* MERGEFORMAT </w:instrText>
      </w:r>
      <w:r w:rsidR="00FA6025" w:rsidRPr="009A4DCA">
        <w:rPr>
          <w:rFonts w:eastAsia="Calibri"/>
          <w:u w:val="single"/>
        </w:rPr>
      </w:r>
      <w:r w:rsidR="00FA6025" w:rsidRPr="009A4DCA">
        <w:rPr>
          <w:rFonts w:eastAsia="Calibri"/>
          <w:u w:val="single"/>
        </w:rPr>
        <w:fldChar w:fldCharType="separate"/>
      </w:r>
      <w:r w:rsidR="007B2F50" w:rsidRPr="009A4DCA">
        <w:t xml:space="preserve">Table </w:t>
      </w:r>
      <w:r w:rsidR="007B2F50">
        <w:t>7</w:t>
      </w:r>
      <w:r w:rsidR="00FA6025" w:rsidRPr="009A4DCA">
        <w:rPr>
          <w:rFonts w:eastAsia="Calibri"/>
          <w:u w:val="single"/>
        </w:rPr>
        <w:fldChar w:fldCharType="end"/>
      </w:r>
      <w:r w:rsidR="00FA6025" w:rsidRPr="009A4DCA">
        <w:t xml:space="preserve"> for the pre-specified analyses (60</w:t>
      </w:r>
      <w:r w:rsidR="00FA6025" w:rsidRPr="009A4DCA">
        <w:noBreakHyphen/>
        <w:t>69 years, 70-79 years and ≥80 years) showed that there was a numerical (but not statistically significant) increase in the VE point estimate with increasing age.</w:t>
      </w:r>
      <w:r w:rsidR="009E770A" w:rsidRPr="009A4DCA">
        <w:t xml:space="preserve"> The ESC </w:t>
      </w:r>
      <w:r w:rsidR="00707845" w:rsidRPr="009A4DCA">
        <w:t>noted</w:t>
      </w:r>
      <w:r w:rsidR="009E770A" w:rsidRPr="009A4DCA">
        <w:t xml:space="preserve"> that </w:t>
      </w:r>
      <w:r w:rsidR="0004762D" w:rsidRPr="009A4DCA">
        <w:t xml:space="preserve">the </w:t>
      </w:r>
      <w:r w:rsidR="00AA33C2" w:rsidRPr="009A4DCA">
        <w:t>subgroups of</w:t>
      </w:r>
      <w:r w:rsidR="0004762D" w:rsidRPr="009A4DCA">
        <w:t xml:space="preserve"> participants aged ≥75 years </w:t>
      </w:r>
      <w:r w:rsidR="00AA33C2" w:rsidRPr="009A4DCA">
        <w:t>(</w:t>
      </w:r>
      <w:r w:rsidR="00AA33C2" w:rsidRPr="009A4DCA">
        <w:fldChar w:fldCharType="begin"/>
      </w:r>
      <w:r w:rsidR="00AA33C2" w:rsidRPr="009A4DCA">
        <w:instrText xml:space="preserve"> REF _Ref175592888 \h </w:instrText>
      </w:r>
      <w:r w:rsidR="00216379" w:rsidRPr="009A4DCA">
        <w:instrText xml:space="preserve"> \* MERGEFORMAT </w:instrText>
      </w:r>
      <w:r w:rsidR="00AA33C2" w:rsidRPr="009A4DCA">
        <w:fldChar w:fldCharType="separate"/>
      </w:r>
      <w:r w:rsidR="007B2F50" w:rsidRPr="009A4DCA">
        <w:t xml:space="preserve">Table </w:t>
      </w:r>
      <w:r w:rsidR="007B2F50">
        <w:t>9</w:t>
      </w:r>
      <w:r w:rsidR="00AA33C2" w:rsidRPr="009A4DCA">
        <w:fldChar w:fldCharType="end"/>
      </w:r>
      <w:r w:rsidR="00AA33C2" w:rsidRPr="009A4DCA">
        <w:t xml:space="preserve">) </w:t>
      </w:r>
      <w:r w:rsidR="005421EE" w:rsidRPr="009A4DCA">
        <w:t xml:space="preserve">and adults </w:t>
      </w:r>
      <w:r w:rsidR="0004762D" w:rsidRPr="009A4DCA">
        <w:lastRenderedPageBreak/>
        <w:t>with one or more pre-specified condition</w:t>
      </w:r>
      <w:r w:rsidR="00AA33C2" w:rsidRPr="009A4DCA">
        <w:t>s (</w:t>
      </w:r>
      <w:r w:rsidR="00AA33C2" w:rsidRPr="009A4DCA">
        <w:fldChar w:fldCharType="begin"/>
      </w:r>
      <w:r w:rsidR="00AA33C2" w:rsidRPr="009A4DCA">
        <w:instrText xml:space="preserve"> REF _Ref175594182 \h </w:instrText>
      </w:r>
      <w:r w:rsidR="00216379" w:rsidRPr="009A4DCA">
        <w:instrText xml:space="preserve"> \* MERGEFORMAT </w:instrText>
      </w:r>
      <w:r w:rsidR="00AA33C2" w:rsidRPr="009A4DCA">
        <w:fldChar w:fldCharType="separate"/>
      </w:r>
      <w:r w:rsidR="007B2F50" w:rsidRPr="009A4DCA">
        <w:t xml:space="preserve">Table </w:t>
      </w:r>
      <w:r w:rsidR="007B2F50">
        <w:t>8</w:t>
      </w:r>
      <w:r w:rsidR="00AA33C2" w:rsidRPr="009A4DCA">
        <w:fldChar w:fldCharType="end"/>
      </w:r>
      <w:r w:rsidR="00AA33C2" w:rsidRPr="009A4DCA">
        <w:t>)</w:t>
      </w:r>
      <w:r w:rsidR="0004762D" w:rsidRPr="009A4DCA">
        <w:t xml:space="preserve"> are the most </w:t>
      </w:r>
      <w:r w:rsidR="00AA33C2" w:rsidRPr="009A4DCA">
        <w:t>relevant to the proposed use of RSVpreF</w:t>
      </w:r>
      <w:r w:rsidR="0004762D" w:rsidRPr="009A4DCA">
        <w:t>.</w:t>
      </w:r>
    </w:p>
    <w:p w14:paraId="6A029D1B" w14:textId="0A4ED8A1" w:rsidR="009338B4" w:rsidRPr="009A4DCA" w:rsidRDefault="00F50E1A" w:rsidP="00CB04B1">
      <w:pPr>
        <w:pStyle w:val="3-BodyText"/>
        <w:keepNext/>
        <w:keepLines/>
      </w:pPr>
      <w:bookmarkStart w:id="56" w:name="_Ref183010344"/>
      <w:r w:rsidRPr="009A4DCA">
        <w:t>T</w:t>
      </w:r>
      <w:r w:rsidR="000578F2" w:rsidRPr="009A4DCA">
        <w:t xml:space="preserve">he PBAC </w:t>
      </w:r>
      <w:r w:rsidRPr="009A4DCA">
        <w:t>considered the most significant areas of uncertainty were</w:t>
      </w:r>
      <w:r w:rsidR="009338B4" w:rsidRPr="009A4DCA">
        <w:t>:</w:t>
      </w:r>
      <w:bookmarkEnd w:id="56"/>
      <w:r w:rsidR="00D47DA7" w:rsidRPr="009A4DCA">
        <w:t xml:space="preserve"> </w:t>
      </w:r>
    </w:p>
    <w:p w14:paraId="6FFD82B8" w14:textId="6C9AB39C" w:rsidR="00A845A9" w:rsidRPr="009A4DCA" w:rsidRDefault="001F7383" w:rsidP="00B53AEB">
      <w:pPr>
        <w:pStyle w:val="3-BodyText"/>
        <w:keepNext/>
        <w:keepLines/>
        <w:numPr>
          <w:ilvl w:val="0"/>
          <w:numId w:val="14"/>
        </w:numPr>
        <w:ind w:left="1134"/>
      </w:pPr>
      <w:bookmarkStart w:id="57" w:name="_Hlk183009908"/>
      <w:r w:rsidRPr="009A4DCA">
        <w:t>D</w:t>
      </w:r>
      <w:r w:rsidR="00575C40" w:rsidRPr="009A4DCA">
        <w:rPr>
          <w:rFonts w:eastAsia="Calibri"/>
        </w:rPr>
        <w:t>eclin</w:t>
      </w:r>
      <w:r w:rsidRPr="009A4DCA">
        <w:rPr>
          <w:rFonts w:eastAsia="Calibri"/>
        </w:rPr>
        <w:t>ing</w:t>
      </w:r>
      <w:r w:rsidR="00575C40" w:rsidRPr="009A4DCA">
        <w:rPr>
          <w:rFonts w:eastAsia="Calibri"/>
        </w:rPr>
        <w:t xml:space="preserve"> immunogenicity by the </w:t>
      </w:r>
      <w:r w:rsidR="009B2E6E">
        <w:rPr>
          <w:rFonts w:eastAsia="Calibri"/>
        </w:rPr>
        <w:t>EOS</w:t>
      </w:r>
      <w:r w:rsidR="00575C40" w:rsidRPr="009A4DCA">
        <w:rPr>
          <w:rFonts w:eastAsia="Calibri"/>
        </w:rPr>
        <w:t>2</w:t>
      </w:r>
      <w:r w:rsidRPr="009A4DCA">
        <w:rPr>
          <w:rFonts w:eastAsia="Calibri"/>
        </w:rPr>
        <w:t xml:space="preserve"> and </w:t>
      </w:r>
      <w:r w:rsidR="00655C72" w:rsidRPr="009A4DCA">
        <w:rPr>
          <w:rFonts w:eastAsia="Calibri"/>
        </w:rPr>
        <w:t>no evidence to inform the rate of waning after season 2</w:t>
      </w:r>
      <w:r w:rsidR="00504C20" w:rsidRPr="009A4DCA">
        <w:rPr>
          <w:rFonts w:eastAsia="Calibri"/>
        </w:rPr>
        <w:t xml:space="preserve"> (paragraph </w:t>
      </w:r>
      <w:r w:rsidR="00504C20" w:rsidRPr="009A4DCA">
        <w:rPr>
          <w:rFonts w:eastAsia="Calibri"/>
        </w:rPr>
        <w:fldChar w:fldCharType="begin"/>
      </w:r>
      <w:r w:rsidR="00504C20" w:rsidRPr="009A4DCA">
        <w:rPr>
          <w:rFonts w:eastAsia="Calibri"/>
        </w:rPr>
        <w:instrText xml:space="preserve"> REF _Ref182416809 \r \h  \* MERGEFORMAT </w:instrText>
      </w:r>
      <w:r w:rsidR="00504C20" w:rsidRPr="009A4DCA">
        <w:rPr>
          <w:rFonts w:eastAsia="Calibri"/>
        </w:rPr>
      </w:r>
      <w:r w:rsidR="00504C20" w:rsidRPr="009A4DCA">
        <w:rPr>
          <w:rFonts w:eastAsia="Calibri"/>
        </w:rPr>
        <w:fldChar w:fldCharType="separate"/>
      </w:r>
      <w:r w:rsidR="007B2F50">
        <w:rPr>
          <w:rFonts w:eastAsia="Calibri"/>
        </w:rPr>
        <w:t>6.36</w:t>
      </w:r>
      <w:r w:rsidR="00504C20" w:rsidRPr="009A4DCA">
        <w:rPr>
          <w:rFonts w:eastAsia="Calibri"/>
        </w:rPr>
        <w:fldChar w:fldCharType="end"/>
      </w:r>
      <w:r w:rsidR="00504C20" w:rsidRPr="009A4DCA">
        <w:rPr>
          <w:rFonts w:eastAsia="Calibri"/>
        </w:rPr>
        <w:t>)</w:t>
      </w:r>
      <w:r w:rsidR="00655C72" w:rsidRPr="009A4DCA">
        <w:rPr>
          <w:rFonts w:eastAsia="Calibri"/>
        </w:rPr>
        <w:t>;</w:t>
      </w:r>
    </w:p>
    <w:p w14:paraId="204E5448" w14:textId="62631AD0" w:rsidR="003379A9" w:rsidRPr="009A4DCA" w:rsidRDefault="00C47040" w:rsidP="00B53AEB">
      <w:pPr>
        <w:pStyle w:val="3-BodyText"/>
        <w:numPr>
          <w:ilvl w:val="0"/>
          <w:numId w:val="14"/>
        </w:numPr>
        <w:ind w:left="1134"/>
        <w:rPr>
          <w:rFonts w:eastAsia="Calibri"/>
        </w:rPr>
      </w:pPr>
      <w:bookmarkStart w:id="58" w:name="_Hlk183631578"/>
      <w:r w:rsidRPr="009A4DCA">
        <w:t>I</w:t>
      </w:r>
      <w:r w:rsidR="003379A9" w:rsidRPr="009A4DCA">
        <w:t>mpact</w:t>
      </w:r>
      <w:r w:rsidR="00C63FD5" w:rsidRPr="009A4DCA">
        <w:t xml:space="preserve"> of RSVpreF</w:t>
      </w:r>
      <w:r w:rsidR="003379A9" w:rsidRPr="009A4DCA">
        <w:t xml:space="preserve"> on prevention of severe RSV-LRTI in </w:t>
      </w:r>
      <w:r w:rsidR="003379A9" w:rsidRPr="009A4DCA">
        <w:rPr>
          <w:rFonts w:eastAsia="Calibri"/>
        </w:rPr>
        <w:t>overall trial population, noting there were very few events in the trial</w:t>
      </w:r>
      <w:r w:rsidR="00AD6C84">
        <w:rPr>
          <w:rFonts w:eastAsia="Calibri"/>
        </w:rPr>
        <w:t xml:space="preserve"> </w:t>
      </w:r>
      <w:r w:rsidR="003379A9" w:rsidRPr="009A4DCA">
        <w:rPr>
          <w:rFonts w:eastAsia="Calibri"/>
        </w:rPr>
        <w:t xml:space="preserve">(paragraph </w:t>
      </w:r>
      <w:r w:rsidR="003379A9" w:rsidRPr="009A4DCA">
        <w:rPr>
          <w:rFonts w:eastAsia="Calibri"/>
        </w:rPr>
        <w:fldChar w:fldCharType="begin"/>
      </w:r>
      <w:r w:rsidR="003379A9" w:rsidRPr="009A4DCA">
        <w:rPr>
          <w:rFonts w:eastAsia="Calibri"/>
        </w:rPr>
        <w:instrText xml:space="preserve"> REF _Ref182416241 \r \h  \* MERGEFORMAT </w:instrText>
      </w:r>
      <w:r w:rsidR="003379A9" w:rsidRPr="009A4DCA">
        <w:rPr>
          <w:rFonts w:eastAsia="Calibri"/>
        </w:rPr>
      </w:r>
      <w:r w:rsidR="003379A9" w:rsidRPr="009A4DCA">
        <w:rPr>
          <w:rFonts w:eastAsia="Calibri"/>
        </w:rPr>
        <w:fldChar w:fldCharType="separate"/>
      </w:r>
      <w:r w:rsidR="007B2F50">
        <w:rPr>
          <w:rFonts w:eastAsia="Calibri"/>
        </w:rPr>
        <w:t>6.35</w:t>
      </w:r>
      <w:r w:rsidR="003379A9" w:rsidRPr="009A4DCA">
        <w:rPr>
          <w:rFonts w:eastAsia="Calibri"/>
        </w:rPr>
        <w:fldChar w:fldCharType="end"/>
      </w:r>
      <w:r w:rsidR="003379A9" w:rsidRPr="009A4DCA">
        <w:rPr>
          <w:rFonts w:eastAsia="Calibri"/>
        </w:rPr>
        <w:t>);</w:t>
      </w:r>
    </w:p>
    <w:p w14:paraId="35EF6830" w14:textId="553800CD" w:rsidR="0026230A" w:rsidRPr="009A4DCA" w:rsidRDefault="00C47040" w:rsidP="00B53AEB">
      <w:pPr>
        <w:pStyle w:val="3-BodyText"/>
        <w:numPr>
          <w:ilvl w:val="0"/>
          <w:numId w:val="14"/>
        </w:numPr>
        <w:ind w:left="1134"/>
        <w:rPr>
          <w:rFonts w:eastAsia="Calibri"/>
        </w:rPr>
      </w:pPr>
      <w:bookmarkStart w:id="59" w:name="_Hlk183633105"/>
      <w:bookmarkEnd w:id="58"/>
      <w:r w:rsidRPr="009A4DCA">
        <w:rPr>
          <w:rFonts w:eastAsia="Calibri"/>
        </w:rPr>
        <w:t>I</w:t>
      </w:r>
      <w:r w:rsidR="003379A9" w:rsidRPr="009A4DCA">
        <w:rPr>
          <w:rFonts w:eastAsia="Calibri"/>
        </w:rPr>
        <w:t xml:space="preserve">mpact </w:t>
      </w:r>
      <w:r w:rsidR="00C63FD5" w:rsidRPr="009A4DCA">
        <w:rPr>
          <w:rFonts w:eastAsia="Calibri"/>
        </w:rPr>
        <w:t xml:space="preserve">of RSVpreF </w:t>
      </w:r>
      <w:r w:rsidR="003379A9" w:rsidRPr="009A4DCA">
        <w:rPr>
          <w:rFonts w:eastAsia="Calibri"/>
        </w:rPr>
        <w:t xml:space="preserve">on efficacy outcomes </w:t>
      </w:r>
      <w:r w:rsidR="000F2D6C" w:rsidRPr="009A4DCA">
        <w:rPr>
          <w:rFonts w:eastAsia="Calibri"/>
        </w:rPr>
        <w:t xml:space="preserve">in the </w:t>
      </w:r>
      <w:r w:rsidR="00474E19" w:rsidRPr="009A4DCA">
        <w:rPr>
          <w:rFonts w:eastAsia="Calibri"/>
        </w:rPr>
        <w:t>populations</w:t>
      </w:r>
      <w:r w:rsidR="000F2D6C" w:rsidRPr="009A4DCA">
        <w:rPr>
          <w:rFonts w:eastAsia="Calibri"/>
        </w:rPr>
        <w:t xml:space="preserve"> requested for NIP listing</w:t>
      </w:r>
      <w:r w:rsidR="003379A9" w:rsidRPr="009A4DCA">
        <w:rPr>
          <w:rFonts w:eastAsia="Calibri"/>
        </w:rPr>
        <w:t>, noting the smaller number of events in the subgroups compared with the overall study sample (16% of the RENOIR population were adults aged ≥</w:t>
      </w:r>
      <w:r w:rsidR="00960CDD" w:rsidRPr="009A4DCA">
        <w:rPr>
          <w:rFonts w:eastAsia="Calibri"/>
        </w:rPr>
        <w:t>75</w:t>
      </w:r>
      <w:r w:rsidR="00960CDD">
        <w:rPr>
          <w:rFonts w:eastAsia="Calibri"/>
        </w:rPr>
        <w:t> </w:t>
      </w:r>
      <w:r w:rsidR="003379A9" w:rsidRPr="009A4DCA">
        <w:rPr>
          <w:rFonts w:eastAsia="Calibri"/>
        </w:rPr>
        <w:t>years; 52% of the RENOIR population were adults aged ≥60 years with ≥1 pre-specified condition</w:t>
      </w:r>
      <w:r w:rsidR="00C63FD5" w:rsidRPr="009A4DCA">
        <w:rPr>
          <w:rFonts w:eastAsia="Calibri"/>
        </w:rPr>
        <w:t xml:space="preserve">; </w:t>
      </w:r>
      <w:r w:rsidR="003A214C" w:rsidRPr="009A4DCA">
        <w:rPr>
          <w:rFonts w:eastAsia="Calibri"/>
        </w:rPr>
        <w:t xml:space="preserve">paragraph </w:t>
      </w:r>
      <w:r w:rsidR="003A214C" w:rsidRPr="009A4DCA">
        <w:rPr>
          <w:rFonts w:eastAsia="Calibri"/>
        </w:rPr>
        <w:fldChar w:fldCharType="begin"/>
      </w:r>
      <w:r w:rsidR="003A214C" w:rsidRPr="009A4DCA">
        <w:rPr>
          <w:rFonts w:eastAsia="Calibri"/>
        </w:rPr>
        <w:instrText xml:space="preserve"> REF _Ref182417492 \r \h  \* MERGEFORMAT </w:instrText>
      </w:r>
      <w:r w:rsidR="003A214C" w:rsidRPr="009A4DCA">
        <w:rPr>
          <w:rFonts w:eastAsia="Calibri"/>
        </w:rPr>
      </w:r>
      <w:r w:rsidR="003A214C" w:rsidRPr="009A4DCA">
        <w:rPr>
          <w:rFonts w:eastAsia="Calibri"/>
        </w:rPr>
        <w:fldChar w:fldCharType="separate"/>
      </w:r>
      <w:r w:rsidR="007B2F50">
        <w:rPr>
          <w:rFonts w:eastAsia="Calibri"/>
        </w:rPr>
        <w:t>6.37</w:t>
      </w:r>
      <w:r w:rsidR="003A214C" w:rsidRPr="009A4DCA">
        <w:rPr>
          <w:rFonts w:eastAsia="Calibri"/>
        </w:rPr>
        <w:fldChar w:fldCharType="end"/>
      </w:r>
      <w:r w:rsidR="00BF06D3" w:rsidRPr="009A4DCA">
        <w:rPr>
          <w:rFonts w:eastAsia="Calibri"/>
        </w:rPr>
        <w:t>)</w:t>
      </w:r>
      <w:r w:rsidR="00A73B86" w:rsidRPr="009A4DCA">
        <w:rPr>
          <w:rFonts w:eastAsia="Calibri"/>
        </w:rPr>
        <w:t>.</w:t>
      </w:r>
      <w:r w:rsidRPr="009A4DCA">
        <w:rPr>
          <w:rFonts w:eastAsia="Calibri"/>
        </w:rPr>
        <w:t xml:space="preserve"> </w:t>
      </w:r>
      <w:r w:rsidR="0026230A" w:rsidRPr="009A4DCA">
        <w:rPr>
          <w:rFonts w:eastAsia="Calibri"/>
        </w:rPr>
        <w:t xml:space="preserve">No adults from Australia were included in the RENOIR trial and no information was available regarding </w:t>
      </w:r>
      <w:r w:rsidR="0026230A" w:rsidRPr="009A4DCA">
        <w:rPr>
          <w:rFonts w:cstheme="minorHAnsi"/>
        </w:rPr>
        <w:t>differential immune response or safety in Aboriginal and Torres Strait Island adults.</w:t>
      </w:r>
    </w:p>
    <w:p w14:paraId="4C7761B2" w14:textId="346B2366" w:rsidR="00F644FA" w:rsidRPr="009A4DCA" w:rsidRDefault="00336554" w:rsidP="00610C1E">
      <w:pPr>
        <w:pStyle w:val="3-BodyText"/>
        <w:numPr>
          <w:ilvl w:val="1"/>
          <w:numId w:val="1"/>
        </w:numPr>
      </w:pPr>
      <w:bookmarkStart w:id="60" w:name="_Hlk183633068"/>
      <w:bookmarkEnd w:id="50"/>
      <w:bookmarkEnd w:id="59"/>
      <w:r w:rsidRPr="009A4DCA">
        <w:rPr>
          <w:snapToGrid w:val="0"/>
        </w:rPr>
        <w:t xml:space="preserve">Overall, </w:t>
      </w:r>
      <w:r w:rsidRPr="009A4DCA">
        <w:rPr>
          <w:iCs/>
          <w:snapToGrid w:val="0"/>
        </w:rPr>
        <w:t>the</w:t>
      </w:r>
      <w:r w:rsidRPr="009A4DCA">
        <w:rPr>
          <w:snapToGrid w:val="0"/>
          <w:szCs w:val="20"/>
        </w:rPr>
        <w:t xml:space="preserve"> PBAC considered that a claim of superior comparative effectiveness was reasonable for the comparison between RSVpreF and no vaccination based on the RENOIR trial (</w:t>
      </w:r>
      <w:r w:rsidRPr="009A4DCA">
        <w:t>patients 60 years and older</w:t>
      </w:r>
      <w:r w:rsidRPr="009A4DCA">
        <w:rPr>
          <w:snapToGrid w:val="0"/>
          <w:szCs w:val="20"/>
        </w:rPr>
        <w:t>)</w:t>
      </w:r>
      <w:r w:rsidRPr="009A4DCA">
        <w:rPr>
          <w:snapToGrid w:val="0"/>
        </w:rPr>
        <w:t xml:space="preserve"> noting that the RENOIR trial was not powered to detect statistically significant differences between the arms for subgroup analyses</w:t>
      </w:r>
      <w:r w:rsidRPr="009A4DCA">
        <w:rPr>
          <w:snapToGrid w:val="0"/>
          <w:szCs w:val="20"/>
        </w:rPr>
        <w:t xml:space="preserve">. </w:t>
      </w:r>
      <w:bookmarkEnd w:id="57"/>
      <w:r w:rsidR="00F42E49" w:rsidRPr="009A4DCA">
        <w:t>The</w:t>
      </w:r>
      <w:r w:rsidR="00882D7B" w:rsidRPr="009A4DCA">
        <w:t xml:space="preserve"> evaluation considered that the</w:t>
      </w:r>
      <w:r w:rsidR="00F42E49" w:rsidRPr="009A4DCA">
        <w:t xml:space="preserve"> therapeutic conclusion presented in the submission for</w:t>
      </w:r>
      <w:r w:rsidR="00880D77" w:rsidRPr="009A4DCA">
        <w:t xml:space="preserve"> non-inferior</w:t>
      </w:r>
      <w:r w:rsidR="00F42E49" w:rsidRPr="009A4DCA">
        <w:t xml:space="preserve"> safety </w:t>
      </w:r>
      <w:r w:rsidR="00880D77" w:rsidRPr="009A4DCA">
        <w:t xml:space="preserve">compared to placebo </w:t>
      </w:r>
      <w:r w:rsidR="00F42E49" w:rsidRPr="009A4DCA">
        <w:t>may</w:t>
      </w:r>
      <w:r w:rsidR="000344AB" w:rsidRPr="009A4DCA">
        <w:t xml:space="preserve"> not</w:t>
      </w:r>
      <w:r w:rsidR="00F42E49" w:rsidRPr="009A4DCA">
        <w:t xml:space="preserve"> be reasonable, noting that the trials included were not powered for the assessment of safety outcomes. The PBAC previously considered that </w:t>
      </w:r>
      <w:r w:rsidR="000344AB" w:rsidRPr="009A4DCA">
        <w:t>that RSVpreF had</w:t>
      </w:r>
      <w:r w:rsidR="00C44C77" w:rsidRPr="009A4DCA">
        <w:t xml:space="preserve"> an</w:t>
      </w:r>
      <w:r w:rsidR="000344AB" w:rsidRPr="009A4DCA">
        <w:t xml:space="preserve"> inferior</w:t>
      </w:r>
      <w:r w:rsidR="00C701A3" w:rsidRPr="009A4DCA">
        <w:t xml:space="preserve"> but acceptable</w:t>
      </w:r>
      <w:r w:rsidR="000344AB" w:rsidRPr="009A4DCA">
        <w:t xml:space="preserve"> safety</w:t>
      </w:r>
      <w:r w:rsidR="00C44C77" w:rsidRPr="009A4DCA">
        <w:t xml:space="preserve"> profile</w:t>
      </w:r>
      <w:r w:rsidR="000344AB" w:rsidRPr="009A4DCA">
        <w:t xml:space="preserve"> compared to placebo for active immunisation of pregnant women (</w:t>
      </w:r>
      <w:r w:rsidR="00882D7B" w:rsidRPr="009A4DCA">
        <w:t>paragraph</w:t>
      </w:r>
      <w:r w:rsidR="00C701A3" w:rsidRPr="009A4DCA">
        <w:t>s</w:t>
      </w:r>
      <w:r w:rsidR="00882D7B" w:rsidRPr="009A4DCA">
        <w:t xml:space="preserve"> 6.46</w:t>
      </w:r>
      <w:r w:rsidR="00C701A3" w:rsidRPr="009A4DCA">
        <w:t xml:space="preserve"> and 7.1</w:t>
      </w:r>
      <w:r w:rsidR="00882D7B" w:rsidRPr="009A4DCA">
        <w:t xml:space="preserve">, </w:t>
      </w:r>
      <w:r w:rsidR="000344AB" w:rsidRPr="009A4DCA">
        <w:t>RSVpreF</w:t>
      </w:r>
      <w:r w:rsidR="00882D7B" w:rsidRPr="009A4DCA">
        <w:t xml:space="preserve"> PSD</w:t>
      </w:r>
      <w:r w:rsidR="000344AB" w:rsidRPr="009A4DCA">
        <w:t>, March 2024)</w:t>
      </w:r>
      <w:r w:rsidR="00F42E49" w:rsidRPr="009A4DCA">
        <w:t>.</w:t>
      </w:r>
      <w:r w:rsidR="00C701A3" w:rsidRPr="009A4DCA">
        <w:t xml:space="preserve"> While the ESC agreed with ATAGI that there were no immediate safety concerns with RSVpreF, which appears safe and well tolerated (paragraph </w:t>
      </w:r>
      <w:r w:rsidR="00C701A3" w:rsidRPr="009A4DCA">
        <w:fldChar w:fldCharType="begin"/>
      </w:r>
      <w:r w:rsidR="00C701A3" w:rsidRPr="009A4DCA">
        <w:instrText xml:space="preserve"> REF _Ref179891979 \r \h </w:instrText>
      </w:r>
      <w:r w:rsidR="00216379" w:rsidRPr="009A4DCA">
        <w:instrText xml:space="preserve"> \* MERGEFORMAT </w:instrText>
      </w:r>
      <w:r w:rsidR="00C701A3" w:rsidRPr="009A4DCA">
        <w:fldChar w:fldCharType="separate"/>
      </w:r>
      <w:r w:rsidR="007B2F50">
        <w:t>6.29</w:t>
      </w:r>
      <w:r w:rsidR="00C701A3" w:rsidRPr="009A4DCA">
        <w:fldChar w:fldCharType="end"/>
      </w:r>
      <w:r w:rsidR="00C701A3" w:rsidRPr="009A4DCA">
        <w:t>), it noted that statistical constraints may prevent the detection of rare events and therefore post licensing monitoring is recommended with a focus on GBS and MFS.</w:t>
      </w:r>
      <w:bookmarkStart w:id="61" w:name="_Hlk76376200"/>
      <w:r w:rsidR="00C1197D" w:rsidRPr="009A4DCA">
        <w:t xml:space="preserve"> </w:t>
      </w:r>
      <w:r w:rsidR="00A10B9B" w:rsidRPr="009A4DCA">
        <w:t xml:space="preserve">Consistent with its previous </w:t>
      </w:r>
      <w:r w:rsidR="00F80D24" w:rsidRPr="009A4DCA">
        <w:t xml:space="preserve">consideration of RSVpreF for immunisation of pregnant women, the PBAC considered that </w:t>
      </w:r>
      <w:r w:rsidR="00EE08DE" w:rsidRPr="009A4DCA">
        <w:t>RSVpreF had an inferior but acceptable safety profile compared to placebo</w:t>
      </w:r>
      <w:r w:rsidR="00007FA9" w:rsidRPr="009A4DCA">
        <w:t xml:space="preserve"> in adults aged 60 years and older.</w:t>
      </w:r>
    </w:p>
    <w:p w14:paraId="2315FB0D" w14:textId="77777777" w:rsidR="00B60939" w:rsidRPr="00586C6E" w:rsidRDefault="00B60939" w:rsidP="00586C6E">
      <w:pPr>
        <w:pStyle w:val="4-SubsectionHeading"/>
      </w:pPr>
      <w:bookmarkStart w:id="62" w:name="_Toc177558743"/>
      <w:bookmarkEnd w:id="60"/>
      <w:bookmarkEnd w:id="61"/>
      <w:r w:rsidRPr="00586C6E">
        <w:t>Economic analysis</w:t>
      </w:r>
      <w:bookmarkEnd w:id="51"/>
      <w:bookmarkEnd w:id="62"/>
      <w:r w:rsidR="00491B3A" w:rsidRPr="00586C6E">
        <w:t xml:space="preserve"> </w:t>
      </w:r>
    </w:p>
    <w:p w14:paraId="69B350F2" w14:textId="778E9120" w:rsidR="00DA50F1" w:rsidRPr="009A4DCA" w:rsidRDefault="00DA50F1" w:rsidP="00DA50F1">
      <w:pPr>
        <w:pStyle w:val="3-BodyText"/>
        <w:numPr>
          <w:ilvl w:val="1"/>
          <w:numId w:val="1"/>
        </w:numPr>
        <w:rPr>
          <w:b/>
          <w:bCs/>
        </w:rPr>
      </w:pPr>
      <w:bookmarkStart w:id="63" w:name="_Toc22897646"/>
      <w:r w:rsidRPr="009A4DCA">
        <w:t xml:space="preserve">The submission presented a modelled economic evaluation comparing a single dose of RSVpreF with no vaccine, with evidence drawn from RENOIR. The type of economic evaluation presented was a cost-utility analysis. </w:t>
      </w:r>
      <w:r w:rsidR="004D5DC8" w:rsidRPr="009A4DCA">
        <w:t>The evaluation considered that t</w:t>
      </w:r>
      <w:r w:rsidRPr="009A4DCA">
        <w:t>his was reasonable given the clinical claim of RSVpreF being superior in efficacy to no vaccine.</w:t>
      </w:r>
    </w:p>
    <w:p w14:paraId="1F354325" w14:textId="4E7A9166" w:rsidR="00DA50F1" w:rsidRPr="009A4DCA" w:rsidRDefault="00DA50F1" w:rsidP="008C1CDB">
      <w:pPr>
        <w:pStyle w:val="3-BodyText"/>
        <w:numPr>
          <w:ilvl w:val="0"/>
          <w:numId w:val="0"/>
        </w:numPr>
        <w:spacing w:before="0"/>
        <w:ind w:left="720"/>
      </w:pPr>
      <w:r w:rsidRPr="009A4DCA">
        <w:t>The summary of the model structure, key inputs and rationale is presented in</w:t>
      </w:r>
      <w:r w:rsidR="00CB04B1">
        <w:t xml:space="preserve"> Table 11</w:t>
      </w:r>
      <w:r w:rsidRPr="009A4DCA">
        <w:t xml:space="preserve">. </w:t>
      </w:r>
    </w:p>
    <w:p w14:paraId="595D93E5" w14:textId="6ABC173B" w:rsidR="00DA50F1" w:rsidRDefault="00DA50F1" w:rsidP="00717145">
      <w:pPr>
        <w:pStyle w:val="Caption"/>
        <w:suppressLineNumbers/>
        <w:suppressAutoHyphens/>
        <w:jc w:val="left"/>
        <w:rPr>
          <w:rStyle w:val="CommentReference"/>
          <w:b/>
          <w:szCs w:val="24"/>
        </w:rPr>
      </w:pPr>
      <w:bookmarkStart w:id="64" w:name="_Ref175605199"/>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11</w:t>
      </w:r>
      <w:r w:rsidR="00491347">
        <w:fldChar w:fldCharType="end"/>
      </w:r>
      <w:bookmarkEnd w:id="64"/>
      <w:r w:rsidRPr="009A4DCA">
        <w:t>:</w:t>
      </w:r>
      <w:r w:rsidRPr="009A4DCA">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DA50F1" w:rsidRPr="009A4DCA" w14:paraId="6DC54BDD" w14:textId="77777777" w:rsidTr="671D06A2">
        <w:trPr>
          <w:tblHeader/>
        </w:trPr>
        <w:tc>
          <w:tcPr>
            <w:tcW w:w="784" w:type="pct"/>
            <w:shd w:val="clear" w:color="auto" w:fill="auto"/>
            <w:vAlign w:val="center"/>
          </w:tcPr>
          <w:p w14:paraId="75FF8D88" w14:textId="77777777" w:rsidR="00DA50F1" w:rsidRPr="009A4DCA" w:rsidRDefault="00DA50F1" w:rsidP="00A03664">
            <w:pPr>
              <w:pStyle w:val="In-tableHeading"/>
              <w:keepNext w:val="0"/>
              <w:keepLines w:val="0"/>
              <w:suppressLineNumbers/>
              <w:suppressAutoHyphens/>
              <w:rPr>
                <w:lang w:val="en-AU"/>
              </w:rPr>
            </w:pPr>
            <w:r w:rsidRPr="009A4DCA">
              <w:rPr>
                <w:lang w:val="en-AU"/>
              </w:rPr>
              <w:t>Component</w:t>
            </w:r>
          </w:p>
        </w:tc>
        <w:tc>
          <w:tcPr>
            <w:tcW w:w="4216" w:type="pct"/>
            <w:shd w:val="clear" w:color="auto" w:fill="auto"/>
            <w:vAlign w:val="center"/>
          </w:tcPr>
          <w:p w14:paraId="67E59656" w14:textId="77777777" w:rsidR="00DA50F1" w:rsidRPr="009A4DCA" w:rsidRDefault="00DA50F1" w:rsidP="00A03664">
            <w:pPr>
              <w:pStyle w:val="In-tableHeading"/>
              <w:keepNext w:val="0"/>
              <w:keepLines w:val="0"/>
              <w:suppressLineNumbers/>
              <w:suppressAutoHyphens/>
              <w:rPr>
                <w:lang w:val="en-AU"/>
              </w:rPr>
            </w:pPr>
            <w:r w:rsidRPr="009A4DCA">
              <w:rPr>
                <w:lang w:val="en-AU"/>
              </w:rPr>
              <w:t>Summary</w:t>
            </w:r>
          </w:p>
        </w:tc>
      </w:tr>
      <w:tr w:rsidR="00DA50F1" w:rsidRPr="009A4DCA" w14:paraId="224AB82C" w14:textId="77777777" w:rsidTr="671D06A2">
        <w:tc>
          <w:tcPr>
            <w:tcW w:w="784" w:type="pct"/>
            <w:shd w:val="clear" w:color="auto" w:fill="auto"/>
            <w:vAlign w:val="center"/>
          </w:tcPr>
          <w:p w14:paraId="44FC4955" w14:textId="77777777" w:rsidR="00DA50F1" w:rsidRPr="009A4DCA" w:rsidRDefault="00DA50F1" w:rsidP="00A03664">
            <w:pPr>
              <w:pStyle w:val="TableText0"/>
              <w:keepNext w:val="0"/>
              <w:keepLines w:val="0"/>
              <w:suppressLineNumbers/>
              <w:suppressAutoHyphens/>
              <w:rPr>
                <w:i/>
              </w:rPr>
            </w:pPr>
            <w:r w:rsidRPr="009A4DCA">
              <w:t>Treatments</w:t>
            </w:r>
          </w:p>
        </w:tc>
        <w:tc>
          <w:tcPr>
            <w:tcW w:w="4216" w:type="pct"/>
            <w:shd w:val="clear" w:color="auto" w:fill="auto"/>
            <w:vAlign w:val="center"/>
          </w:tcPr>
          <w:p w14:paraId="1D961906" w14:textId="77777777" w:rsidR="00DA50F1" w:rsidRPr="009A4DCA" w:rsidRDefault="00DA50F1" w:rsidP="00A03664">
            <w:pPr>
              <w:pStyle w:val="TableText0"/>
              <w:keepNext w:val="0"/>
              <w:keepLines w:val="0"/>
              <w:suppressLineNumbers/>
              <w:suppressAutoHyphens/>
              <w:rPr>
                <w:i/>
              </w:rPr>
            </w:pPr>
            <w:r w:rsidRPr="009A4DCA">
              <w:t>RSVpreF (one dose) versus no vaccine</w:t>
            </w:r>
          </w:p>
        </w:tc>
      </w:tr>
      <w:tr w:rsidR="00DA50F1" w:rsidRPr="009A4DCA" w14:paraId="2EBD226C" w14:textId="77777777" w:rsidTr="671D06A2">
        <w:tc>
          <w:tcPr>
            <w:tcW w:w="784" w:type="pct"/>
            <w:shd w:val="clear" w:color="auto" w:fill="auto"/>
            <w:vAlign w:val="center"/>
          </w:tcPr>
          <w:p w14:paraId="27884448" w14:textId="77777777" w:rsidR="00DA50F1" w:rsidRPr="009A4DCA" w:rsidRDefault="00DA50F1" w:rsidP="00A03664">
            <w:pPr>
              <w:pStyle w:val="TableText0"/>
              <w:keepNext w:val="0"/>
              <w:keepLines w:val="0"/>
              <w:suppressLineNumbers/>
              <w:suppressAutoHyphens/>
              <w:rPr>
                <w:i/>
              </w:rPr>
            </w:pPr>
            <w:r w:rsidRPr="009A4DCA">
              <w:t>Time horizon</w:t>
            </w:r>
          </w:p>
        </w:tc>
        <w:tc>
          <w:tcPr>
            <w:tcW w:w="4216" w:type="pct"/>
            <w:shd w:val="clear" w:color="auto" w:fill="auto"/>
            <w:vAlign w:val="center"/>
          </w:tcPr>
          <w:p w14:paraId="31B03EE5" w14:textId="77777777" w:rsidR="00DA50F1" w:rsidRPr="009A4DCA" w:rsidRDefault="00DA50F1" w:rsidP="00A03664">
            <w:pPr>
              <w:pStyle w:val="TableText0"/>
              <w:keepNext w:val="0"/>
              <w:keepLines w:val="0"/>
              <w:suppressLineNumbers/>
              <w:suppressAutoHyphens/>
              <w:rPr>
                <w:i/>
              </w:rPr>
            </w:pPr>
            <w:r w:rsidRPr="009A4DCA">
              <w:t xml:space="preserve">Varied by population. Commences at average age of cohort entry until participant reaches 100 years of age for each of the following cohorts: </w:t>
            </w:r>
          </w:p>
          <w:p w14:paraId="5169AEA2" w14:textId="77777777" w:rsidR="00DA50F1" w:rsidRPr="009A4DCA" w:rsidRDefault="00DA50F1" w:rsidP="00A03664">
            <w:pPr>
              <w:pStyle w:val="ListParagraph"/>
              <w:numPr>
                <w:ilvl w:val="0"/>
                <w:numId w:val="20"/>
              </w:numPr>
              <w:suppressLineNumbers/>
              <w:suppressAutoHyphens/>
              <w:spacing w:after="0"/>
              <w:ind w:hanging="357"/>
              <w:rPr>
                <w:rFonts w:ascii="Arial Narrow" w:hAnsi="Arial Narrow"/>
                <w:sz w:val="20"/>
                <w:szCs w:val="20"/>
              </w:rPr>
            </w:pPr>
            <w:r w:rsidRPr="009A4DCA">
              <w:rPr>
                <w:rFonts w:ascii="Arial Narrow" w:hAnsi="Arial Narrow"/>
                <w:sz w:val="20"/>
                <w:szCs w:val="20"/>
              </w:rPr>
              <w:t>Adults aged 75 years and over; and</w:t>
            </w:r>
          </w:p>
          <w:p w14:paraId="3DAE37A8" w14:textId="2EDC68D3" w:rsidR="00DA50F1" w:rsidRPr="009A4DCA" w:rsidRDefault="00DA50F1" w:rsidP="00A03664">
            <w:pPr>
              <w:pStyle w:val="ListParagraph"/>
              <w:numPr>
                <w:ilvl w:val="0"/>
                <w:numId w:val="20"/>
              </w:numPr>
              <w:suppressLineNumbers/>
              <w:suppressAutoHyphens/>
              <w:spacing w:after="0"/>
              <w:ind w:hanging="357"/>
              <w:rPr>
                <w:rFonts w:ascii="Arial Narrow" w:hAnsi="Arial Narrow"/>
                <w:sz w:val="20"/>
                <w:szCs w:val="20"/>
              </w:rPr>
            </w:pPr>
            <w:r w:rsidRPr="009A4DCA">
              <w:rPr>
                <w:rFonts w:ascii="Arial Narrow" w:hAnsi="Arial Narrow"/>
                <w:sz w:val="20"/>
                <w:szCs w:val="20"/>
              </w:rPr>
              <w:t>Aboriginal and Torres Strait Islander adults aged 60-74 years</w:t>
            </w:r>
            <w:r w:rsidR="00DB05C2" w:rsidRPr="009A4DCA">
              <w:rPr>
                <w:rFonts w:ascii="Arial Narrow" w:hAnsi="Arial Narrow"/>
                <w:sz w:val="20"/>
                <w:szCs w:val="20"/>
              </w:rPr>
              <w:t xml:space="preserve">; and </w:t>
            </w:r>
          </w:p>
          <w:p w14:paraId="1D102CFA" w14:textId="0C5C5A55" w:rsidR="00DB05C2" w:rsidRPr="009A4DCA" w:rsidRDefault="00DB05C2" w:rsidP="00A03664">
            <w:pPr>
              <w:pStyle w:val="ListParagraph"/>
              <w:numPr>
                <w:ilvl w:val="0"/>
                <w:numId w:val="20"/>
              </w:numPr>
              <w:suppressLineNumbers/>
              <w:suppressAutoHyphens/>
              <w:spacing w:after="0"/>
              <w:ind w:hanging="357"/>
              <w:rPr>
                <w:rFonts w:ascii="Arial Narrow" w:hAnsi="Arial Narrow"/>
                <w:sz w:val="20"/>
                <w:szCs w:val="20"/>
              </w:rPr>
            </w:pPr>
            <w:r w:rsidRPr="009A4DCA">
              <w:rPr>
                <w:rFonts w:ascii="Arial Narrow" w:hAnsi="Arial Narrow"/>
                <w:sz w:val="20"/>
                <w:szCs w:val="20"/>
              </w:rPr>
              <w:t>Adults aged 60-74 years with at least one identified risk factor for severe RSV disease.</w:t>
            </w:r>
          </w:p>
          <w:p w14:paraId="6636547A" w14:textId="147FE87F" w:rsidR="00DA50F1" w:rsidRPr="009A4DCA" w:rsidRDefault="00DA50F1" w:rsidP="00A03664">
            <w:pPr>
              <w:pStyle w:val="TableText0"/>
              <w:keepNext w:val="0"/>
              <w:keepLines w:val="0"/>
              <w:suppressLineNumbers/>
              <w:suppressAutoHyphens/>
            </w:pPr>
            <w:r w:rsidRPr="009A4DCA">
              <w:t>Varies by population from 16.93 years to 33.27 years in the model base case vs. 16.4 months</w:t>
            </w:r>
            <w:r w:rsidR="00ED1B29" w:rsidRPr="009A4DCA">
              <w:t xml:space="preserve"> follow-up</w:t>
            </w:r>
            <w:r w:rsidRPr="009A4DCA">
              <w:t xml:space="preserve"> in RENOIR.  </w:t>
            </w:r>
          </w:p>
          <w:p w14:paraId="1E595637" w14:textId="77777777" w:rsidR="0048215A" w:rsidRPr="009A4DCA" w:rsidRDefault="0048215A" w:rsidP="00A03664">
            <w:pPr>
              <w:pStyle w:val="TableText0"/>
              <w:keepNext w:val="0"/>
              <w:keepLines w:val="0"/>
              <w:suppressLineNumbers/>
              <w:suppressAutoHyphens/>
            </w:pPr>
          </w:p>
          <w:p w14:paraId="5F99EA44" w14:textId="726A766D" w:rsidR="0048215A" w:rsidRPr="009A4DCA" w:rsidRDefault="0048215A" w:rsidP="00A03664">
            <w:pPr>
              <w:pStyle w:val="TableText0"/>
              <w:keepNext w:val="0"/>
              <w:keepLines w:val="0"/>
              <w:suppressLineNumbers/>
              <w:suppressAutoHyphens/>
              <w:rPr>
                <w:i/>
              </w:rPr>
            </w:pPr>
            <w:r w:rsidRPr="009A4DCA">
              <w:t xml:space="preserve">VE was truncated </w:t>
            </w:r>
            <w:r w:rsidR="00FE460E" w:rsidRPr="009A4DCA">
              <w:t xml:space="preserve">to zero </w:t>
            </w:r>
            <w:r w:rsidRPr="009A4DCA">
              <w:t xml:space="preserve">at month 48 </w:t>
            </w:r>
            <w:r w:rsidR="00F37A28" w:rsidRPr="009A4DCA">
              <w:t>(see extrapolation</w:t>
            </w:r>
            <w:r w:rsidR="004D5DC8" w:rsidRPr="009A4DCA">
              <w:t xml:space="preserve"> method</w:t>
            </w:r>
            <w:r w:rsidR="00F37A28" w:rsidRPr="009A4DCA">
              <w:t xml:space="preserve"> </w:t>
            </w:r>
            <w:r w:rsidRPr="009A4DCA">
              <w:t>below</w:t>
            </w:r>
            <w:r w:rsidR="00F37A28" w:rsidRPr="009A4DCA">
              <w:t>)</w:t>
            </w:r>
            <w:r w:rsidRPr="009A4DCA">
              <w:t>.</w:t>
            </w:r>
          </w:p>
        </w:tc>
      </w:tr>
      <w:tr w:rsidR="00DA50F1" w:rsidRPr="009A4DCA" w14:paraId="0F478D87" w14:textId="77777777" w:rsidTr="671D06A2">
        <w:tc>
          <w:tcPr>
            <w:tcW w:w="784" w:type="pct"/>
            <w:shd w:val="clear" w:color="auto" w:fill="auto"/>
            <w:vAlign w:val="center"/>
          </w:tcPr>
          <w:p w14:paraId="28DE5C68" w14:textId="77777777" w:rsidR="00DA50F1" w:rsidRPr="009A4DCA" w:rsidRDefault="00DA50F1" w:rsidP="00A03664">
            <w:pPr>
              <w:pStyle w:val="TableText0"/>
              <w:keepNext w:val="0"/>
              <w:keepLines w:val="0"/>
              <w:suppressLineNumbers/>
              <w:suppressAutoHyphens/>
              <w:rPr>
                <w:i/>
              </w:rPr>
            </w:pPr>
            <w:r w:rsidRPr="009A4DCA">
              <w:t>Outcomes</w:t>
            </w:r>
          </w:p>
        </w:tc>
        <w:tc>
          <w:tcPr>
            <w:tcW w:w="4216" w:type="pct"/>
            <w:shd w:val="clear" w:color="auto" w:fill="auto"/>
            <w:vAlign w:val="center"/>
          </w:tcPr>
          <w:p w14:paraId="758BCD15" w14:textId="77777777" w:rsidR="00DA50F1" w:rsidRPr="009A4DCA" w:rsidRDefault="00DA50F1" w:rsidP="00A03664">
            <w:pPr>
              <w:pStyle w:val="TableText0"/>
              <w:keepNext w:val="0"/>
              <w:keepLines w:val="0"/>
              <w:suppressLineNumbers/>
              <w:suppressAutoHyphens/>
              <w:rPr>
                <w:i/>
              </w:rPr>
            </w:pPr>
            <w:r w:rsidRPr="009A4DCA">
              <w:t>QALYs</w:t>
            </w:r>
          </w:p>
        </w:tc>
      </w:tr>
      <w:tr w:rsidR="00DA50F1" w:rsidRPr="009A4DCA" w14:paraId="025C5EED" w14:textId="77777777" w:rsidTr="671D06A2">
        <w:tc>
          <w:tcPr>
            <w:tcW w:w="784" w:type="pct"/>
            <w:shd w:val="clear" w:color="auto" w:fill="auto"/>
            <w:vAlign w:val="center"/>
          </w:tcPr>
          <w:p w14:paraId="470D20ED" w14:textId="77777777" w:rsidR="00DA50F1" w:rsidRPr="009A4DCA" w:rsidRDefault="00DA50F1" w:rsidP="00A03664">
            <w:pPr>
              <w:pStyle w:val="TableText0"/>
              <w:keepNext w:val="0"/>
              <w:keepLines w:val="0"/>
              <w:suppressLineNumbers/>
              <w:suppressAutoHyphens/>
              <w:rPr>
                <w:i/>
              </w:rPr>
            </w:pPr>
            <w:r w:rsidRPr="009A4DCA">
              <w:t>Methods used to generate results</w:t>
            </w:r>
          </w:p>
        </w:tc>
        <w:tc>
          <w:tcPr>
            <w:tcW w:w="4216" w:type="pct"/>
            <w:shd w:val="clear" w:color="auto" w:fill="auto"/>
            <w:vAlign w:val="center"/>
          </w:tcPr>
          <w:p w14:paraId="5DB4F65E" w14:textId="77777777" w:rsidR="00DA50F1" w:rsidRPr="009A4DCA" w:rsidRDefault="00DA50F1" w:rsidP="00A03664">
            <w:pPr>
              <w:pStyle w:val="TableText0"/>
              <w:keepNext w:val="0"/>
              <w:keepLines w:val="0"/>
              <w:suppressLineNumbers/>
              <w:suppressAutoHyphens/>
              <w:rPr>
                <w:i/>
              </w:rPr>
            </w:pPr>
            <w:r w:rsidRPr="009A4DCA">
              <w:t>Markov model using cohort expected value analysis.</w:t>
            </w:r>
          </w:p>
        </w:tc>
      </w:tr>
      <w:tr w:rsidR="00DA50F1" w:rsidRPr="009A4DCA" w14:paraId="13512B38" w14:textId="77777777" w:rsidTr="671D06A2">
        <w:tc>
          <w:tcPr>
            <w:tcW w:w="784" w:type="pct"/>
            <w:shd w:val="clear" w:color="auto" w:fill="auto"/>
            <w:vAlign w:val="center"/>
          </w:tcPr>
          <w:p w14:paraId="2CB2575B" w14:textId="77777777" w:rsidR="00DA50F1" w:rsidRPr="009A4DCA" w:rsidRDefault="00DA50F1" w:rsidP="00A03664">
            <w:pPr>
              <w:pStyle w:val="TableText0"/>
              <w:keepNext w:val="0"/>
              <w:keepLines w:val="0"/>
              <w:suppressLineNumbers/>
              <w:suppressAutoHyphens/>
              <w:rPr>
                <w:i/>
              </w:rPr>
            </w:pPr>
            <w:r w:rsidRPr="009A4DCA">
              <w:t>Health states</w:t>
            </w:r>
          </w:p>
        </w:tc>
        <w:tc>
          <w:tcPr>
            <w:tcW w:w="4216" w:type="pct"/>
            <w:shd w:val="clear" w:color="auto" w:fill="auto"/>
            <w:vAlign w:val="center"/>
          </w:tcPr>
          <w:p w14:paraId="50CE0CCF" w14:textId="77777777" w:rsidR="00DA50F1" w:rsidRPr="009A4DCA" w:rsidRDefault="00DA50F1" w:rsidP="00A03664">
            <w:pPr>
              <w:pStyle w:val="TableText0"/>
              <w:keepNext w:val="0"/>
              <w:keepLines w:val="0"/>
              <w:suppressLineNumbers/>
              <w:suppressAutoHyphens/>
              <w:rPr>
                <w:i/>
              </w:rPr>
            </w:pPr>
            <w:r w:rsidRPr="009A4DCA">
              <w:t>Alive and Dead</w:t>
            </w:r>
          </w:p>
          <w:p w14:paraId="0BCE4E60" w14:textId="77777777" w:rsidR="00DA50F1" w:rsidRPr="009A4DCA" w:rsidRDefault="00DA50F1" w:rsidP="00A03664">
            <w:pPr>
              <w:pStyle w:val="ListParagraph"/>
              <w:numPr>
                <w:ilvl w:val="0"/>
                <w:numId w:val="20"/>
              </w:numPr>
              <w:suppressLineNumbers/>
              <w:suppressAutoHyphens/>
              <w:spacing w:after="0"/>
              <w:ind w:hanging="357"/>
              <w:rPr>
                <w:rFonts w:ascii="Arial Narrow" w:hAnsi="Arial Narrow"/>
                <w:i/>
                <w:sz w:val="20"/>
                <w:szCs w:val="20"/>
              </w:rPr>
            </w:pPr>
            <w:r w:rsidRPr="009A4DCA">
              <w:rPr>
                <w:rFonts w:ascii="Arial Narrow" w:hAnsi="Arial Narrow"/>
                <w:sz w:val="20"/>
                <w:szCs w:val="20"/>
              </w:rPr>
              <w:t xml:space="preserve">Alive: MA-LRTI: RSV: </w:t>
            </w:r>
          </w:p>
          <w:p w14:paraId="04A15EF1" w14:textId="77777777" w:rsidR="00DA50F1" w:rsidRPr="009A4DCA" w:rsidRDefault="00DA50F1" w:rsidP="00A03664">
            <w:pPr>
              <w:pStyle w:val="ListParagraph"/>
              <w:numPr>
                <w:ilvl w:val="1"/>
                <w:numId w:val="20"/>
              </w:numPr>
              <w:suppressLineNumbers/>
              <w:suppressAutoHyphens/>
              <w:spacing w:after="0"/>
              <w:ind w:hanging="357"/>
              <w:rPr>
                <w:rFonts w:ascii="Arial Narrow" w:hAnsi="Arial Narrow"/>
                <w:i/>
                <w:sz w:val="20"/>
                <w:szCs w:val="20"/>
              </w:rPr>
            </w:pPr>
            <w:r w:rsidRPr="009A4DCA">
              <w:rPr>
                <w:rFonts w:ascii="Arial Narrow" w:hAnsi="Arial Narrow"/>
                <w:sz w:val="20"/>
                <w:szCs w:val="20"/>
              </w:rPr>
              <w:t xml:space="preserve">hospital </w:t>
            </w:r>
          </w:p>
          <w:p w14:paraId="3DC40184" w14:textId="77777777" w:rsidR="00DA50F1" w:rsidRPr="009A4DCA" w:rsidRDefault="00DA50F1" w:rsidP="00A03664">
            <w:pPr>
              <w:pStyle w:val="ListParagraph"/>
              <w:numPr>
                <w:ilvl w:val="1"/>
                <w:numId w:val="20"/>
              </w:numPr>
              <w:suppressLineNumbers/>
              <w:suppressAutoHyphens/>
              <w:spacing w:after="0"/>
              <w:ind w:hanging="357"/>
              <w:rPr>
                <w:rFonts w:ascii="Arial Narrow" w:hAnsi="Arial Narrow"/>
                <w:i/>
                <w:sz w:val="20"/>
                <w:szCs w:val="20"/>
              </w:rPr>
            </w:pPr>
            <w:r w:rsidRPr="009A4DCA">
              <w:rPr>
                <w:rFonts w:ascii="Arial Narrow" w:hAnsi="Arial Narrow"/>
                <w:sz w:val="20"/>
                <w:szCs w:val="20"/>
              </w:rPr>
              <w:t xml:space="preserve">emergency </w:t>
            </w:r>
          </w:p>
          <w:p w14:paraId="237B071C" w14:textId="77777777" w:rsidR="00DA50F1" w:rsidRPr="009A4DCA" w:rsidRDefault="00DA50F1" w:rsidP="00A03664">
            <w:pPr>
              <w:pStyle w:val="ListParagraph"/>
              <w:numPr>
                <w:ilvl w:val="1"/>
                <w:numId w:val="20"/>
              </w:numPr>
              <w:suppressLineNumbers/>
              <w:suppressAutoHyphens/>
              <w:spacing w:after="0"/>
              <w:ind w:hanging="357"/>
              <w:rPr>
                <w:rFonts w:ascii="Arial Narrow" w:hAnsi="Arial Narrow"/>
                <w:i/>
                <w:sz w:val="20"/>
                <w:szCs w:val="20"/>
              </w:rPr>
            </w:pPr>
            <w:r w:rsidRPr="009A4DCA">
              <w:rPr>
                <w:rFonts w:ascii="Arial Narrow" w:hAnsi="Arial Narrow"/>
                <w:sz w:val="20"/>
                <w:szCs w:val="20"/>
              </w:rPr>
              <w:t>outpatient</w:t>
            </w:r>
          </w:p>
          <w:p w14:paraId="41CC9510" w14:textId="77777777" w:rsidR="00DA50F1" w:rsidRPr="009A4DCA" w:rsidRDefault="00DA50F1" w:rsidP="00A03664">
            <w:pPr>
              <w:pStyle w:val="ListParagraph"/>
              <w:numPr>
                <w:ilvl w:val="0"/>
                <w:numId w:val="20"/>
              </w:numPr>
              <w:suppressLineNumbers/>
              <w:suppressAutoHyphens/>
              <w:spacing w:after="0"/>
              <w:ind w:hanging="357"/>
              <w:rPr>
                <w:rFonts w:ascii="Arial Narrow" w:hAnsi="Arial Narrow"/>
                <w:i/>
                <w:sz w:val="20"/>
                <w:szCs w:val="20"/>
              </w:rPr>
            </w:pPr>
            <w:r w:rsidRPr="009A4DCA">
              <w:rPr>
                <w:rFonts w:ascii="Arial Narrow" w:hAnsi="Arial Narrow"/>
                <w:sz w:val="20"/>
                <w:szCs w:val="20"/>
              </w:rPr>
              <w:t xml:space="preserve">Death: </w:t>
            </w:r>
          </w:p>
          <w:p w14:paraId="607F631F" w14:textId="77777777" w:rsidR="00DA50F1" w:rsidRPr="009A4DCA" w:rsidRDefault="00DA50F1" w:rsidP="00A03664">
            <w:pPr>
              <w:pStyle w:val="ListParagraph"/>
              <w:numPr>
                <w:ilvl w:val="1"/>
                <w:numId w:val="20"/>
              </w:numPr>
              <w:suppressLineNumbers/>
              <w:suppressAutoHyphens/>
              <w:spacing w:after="0"/>
              <w:ind w:hanging="357"/>
              <w:rPr>
                <w:rFonts w:ascii="Arial Narrow" w:hAnsi="Arial Narrow"/>
                <w:i/>
                <w:sz w:val="20"/>
                <w:szCs w:val="20"/>
              </w:rPr>
            </w:pPr>
            <w:r w:rsidRPr="009A4DCA">
              <w:rPr>
                <w:rFonts w:ascii="Arial Narrow" w:hAnsi="Arial Narrow"/>
                <w:sz w:val="20"/>
                <w:szCs w:val="20"/>
              </w:rPr>
              <w:t xml:space="preserve">due to RSV (DSM) </w:t>
            </w:r>
          </w:p>
          <w:p w14:paraId="120A9413" w14:textId="77777777" w:rsidR="00DA50F1" w:rsidRPr="009A4DCA" w:rsidRDefault="00DA50F1" w:rsidP="00A03664">
            <w:pPr>
              <w:pStyle w:val="ListParagraph"/>
              <w:numPr>
                <w:ilvl w:val="1"/>
                <w:numId w:val="20"/>
              </w:numPr>
              <w:suppressLineNumbers/>
              <w:suppressAutoHyphens/>
              <w:spacing w:after="0"/>
              <w:ind w:hanging="357"/>
              <w:rPr>
                <w:rFonts w:ascii="Arial Narrow" w:hAnsi="Arial Narrow"/>
                <w:i/>
                <w:sz w:val="20"/>
                <w:szCs w:val="20"/>
              </w:rPr>
            </w:pPr>
            <w:r w:rsidRPr="009A4DCA">
              <w:rPr>
                <w:rFonts w:ascii="Arial Narrow" w:hAnsi="Arial Narrow"/>
                <w:sz w:val="20"/>
                <w:szCs w:val="20"/>
              </w:rPr>
              <w:t>from other causes (OCM)</w:t>
            </w:r>
          </w:p>
          <w:p w14:paraId="26A7ED8E" w14:textId="77777777" w:rsidR="00DA50F1" w:rsidRPr="009A4DCA" w:rsidRDefault="00DA50F1" w:rsidP="00A03664">
            <w:pPr>
              <w:pStyle w:val="TableText0"/>
              <w:keepNext w:val="0"/>
              <w:keepLines w:val="0"/>
              <w:suppressLineNumbers/>
              <w:suppressAutoHyphens/>
              <w:rPr>
                <w:i/>
              </w:rPr>
            </w:pPr>
            <w:r w:rsidRPr="009A4DCA">
              <w:t xml:space="preserve">Cases of MA-LRTI: RSV and associated deaths, hospital admissions, emergency department (ED) visits and general practitioner (GP) or outpatient consultations were informed by results from RENOIR.  </w:t>
            </w:r>
          </w:p>
        </w:tc>
      </w:tr>
      <w:tr w:rsidR="00DA50F1" w:rsidRPr="009A4DCA" w14:paraId="52BBEE91" w14:textId="77777777" w:rsidTr="671D06A2">
        <w:tc>
          <w:tcPr>
            <w:tcW w:w="784" w:type="pct"/>
            <w:shd w:val="clear" w:color="auto" w:fill="auto"/>
            <w:vAlign w:val="center"/>
          </w:tcPr>
          <w:p w14:paraId="2BF3B386" w14:textId="77777777" w:rsidR="00DA50F1" w:rsidRPr="009A4DCA" w:rsidRDefault="00DA50F1" w:rsidP="00A03664">
            <w:pPr>
              <w:pStyle w:val="TableText0"/>
              <w:keepNext w:val="0"/>
              <w:keepLines w:val="0"/>
              <w:suppressLineNumbers/>
              <w:suppressAutoHyphens/>
              <w:rPr>
                <w:i/>
              </w:rPr>
            </w:pPr>
            <w:r w:rsidRPr="009A4DCA">
              <w:t>Cycle length</w:t>
            </w:r>
          </w:p>
        </w:tc>
        <w:tc>
          <w:tcPr>
            <w:tcW w:w="4216" w:type="pct"/>
            <w:shd w:val="clear" w:color="auto" w:fill="auto"/>
            <w:vAlign w:val="center"/>
          </w:tcPr>
          <w:p w14:paraId="3F3AEDA7" w14:textId="77777777" w:rsidR="00DA50F1" w:rsidRPr="009A4DCA" w:rsidRDefault="00DA50F1" w:rsidP="00A03664">
            <w:pPr>
              <w:pStyle w:val="TableText0"/>
              <w:keepNext w:val="0"/>
              <w:keepLines w:val="0"/>
              <w:suppressLineNumbers/>
              <w:suppressAutoHyphens/>
              <w:rPr>
                <w:i/>
              </w:rPr>
            </w:pPr>
            <w:r w:rsidRPr="009A4DCA">
              <w:t>1 month</w:t>
            </w:r>
          </w:p>
        </w:tc>
      </w:tr>
      <w:tr w:rsidR="00DA50F1" w:rsidRPr="009A4DCA" w14:paraId="4EA74204" w14:textId="77777777" w:rsidTr="671D06A2">
        <w:tc>
          <w:tcPr>
            <w:tcW w:w="784" w:type="pct"/>
            <w:shd w:val="clear" w:color="auto" w:fill="auto"/>
            <w:vAlign w:val="center"/>
          </w:tcPr>
          <w:p w14:paraId="0EBC14C9" w14:textId="77777777" w:rsidR="00DA50F1" w:rsidRPr="009A4DCA" w:rsidRDefault="00DA50F1" w:rsidP="00A03664">
            <w:pPr>
              <w:pStyle w:val="TableText0"/>
              <w:keepNext w:val="0"/>
              <w:keepLines w:val="0"/>
              <w:suppressLineNumbers/>
              <w:suppressAutoHyphens/>
              <w:rPr>
                <w:i/>
              </w:rPr>
            </w:pPr>
            <w:r w:rsidRPr="009A4DCA">
              <w:t xml:space="preserve">Transition probabilities </w:t>
            </w:r>
          </w:p>
        </w:tc>
        <w:tc>
          <w:tcPr>
            <w:tcW w:w="4216" w:type="pct"/>
            <w:shd w:val="clear" w:color="auto" w:fill="auto"/>
            <w:vAlign w:val="center"/>
          </w:tcPr>
          <w:p w14:paraId="607609E8" w14:textId="77777777" w:rsidR="00DA50F1" w:rsidRPr="009A4DCA" w:rsidRDefault="00DA50F1" w:rsidP="00A03664">
            <w:pPr>
              <w:pStyle w:val="TableText0"/>
              <w:keepNext w:val="0"/>
              <w:keepLines w:val="0"/>
              <w:suppressLineNumbers/>
              <w:suppressAutoHyphens/>
            </w:pPr>
            <w:r w:rsidRPr="009A4DCA">
              <w:t xml:space="preserve">Baseline incidence, mortality and morbidity are estimated from a specific Australian modelling study. </w:t>
            </w:r>
          </w:p>
          <w:p w14:paraId="2B66ED89" w14:textId="77777777" w:rsidR="00DA50F1" w:rsidRPr="009A4DCA" w:rsidRDefault="00DA50F1" w:rsidP="00A03664">
            <w:pPr>
              <w:pStyle w:val="TableText0"/>
              <w:keepNext w:val="0"/>
              <w:keepLines w:val="0"/>
              <w:suppressLineNumbers/>
              <w:suppressAutoHyphens/>
            </w:pPr>
          </w:p>
          <w:p w14:paraId="26B37BF6" w14:textId="58AE2D29" w:rsidR="00DA50F1" w:rsidRPr="009A4DCA" w:rsidRDefault="00DA50F1" w:rsidP="00A03664">
            <w:pPr>
              <w:suppressLineNumbers/>
              <w:suppressAutoHyphens/>
              <w:rPr>
                <w:rFonts w:ascii="Arial Narrow" w:hAnsi="Arial Narrow"/>
                <w:sz w:val="20"/>
                <w:szCs w:val="20"/>
              </w:rPr>
            </w:pPr>
            <w:r w:rsidRPr="009A4DCA">
              <w:rPr>
                <w:rFonts w:ascii="Arial Narrow" w:hAnsi="Arial Narrow"/>
                <w:sz w:val="20"/>
                <w:szCs w:val="20"/>
              </w:rPr>
              <w:t>The Australian modelling study estimated a higher rate of RSV hospitalisation per 100,000 population compared with the results presented by Nazareno (2022)</w:t>
            </w:r>
            <w:r w:rsidR="004D5DC8" w:rsidRPr="009A4DCA">
              <w:rPr>
                <w:rFonts w:ascii="Arial Narrow" w:hAnsi="Arial Narrow"/>
                <w:sz w:val="20"/>
                <w:szCs w:val="20"/>
              </w:rPr>
              <w:t>,</w:t>
            </w:r>
            <w:r w:rsidRPr="009A4DCA">
              <w:rPr>
                <w:rFonts w:ascii="Arial Narrow" w:hAnsi="Arial Narrow"/>
                <w:sz w:val="20"/>
                <w:szCs w:val="20"/>
              </w:rPr>
              <w:t xml:space="preserve"> which was presented by the sponsor in the request for Advice from ATAGI. </w:t>
            </w:r>
            <w:r w:rsidR="00820835" w:rsidRPr="009A4DCA">
              <w:rPr>
                <w:rFonts w:ascii="Arial Narrow" w:hAnsi="Arial Narrow"/>
                <w:sz w:val="20"/>
                <w:szCs w:val="20"/>
              </w:rPr>
              <w:t xml:space="preserve">Comparisons of the estimates for RSV hospitalisation rate per 100,000 have been assessed by ATAGI. </w:t>
            </w:r>
            <w:r w:rsidR="004D5DC8" w:rsidRPr="009A4DCA">
              <w:rPr>
                <w:rFonts w:ascii="Arial Narrow" w:hAnsi="Arial Narrow"/>
                <w:sz w:val="20"/>
                <w:szCs w:val="20"/>
              </w:rPr>
              <w:t>The evaluation noted that e</w:t>
            </w:r>
            <w:r w:rsidR="00AE2664" w:rsidRPr="009A4DCA">
              <w:rPr>
                <w:rFonts w:ascii="Arial Narrow" w:hAnsi="Arial Narrow"/>
                <w:sz w:val="20"/>
                <w:szCs w:val="20"/>
              </w:rPr>
              <w:t>stimates used by the submission were not consistent with the Advice from ATAGI, who considered that applying a multiplier of 2 to 2016-20</w:t>
            </w:r>
            <w:r w:rsidR="008A3F53" w:rsidRPr="009A4DCA">
              <w:rPr>
                <w:rFonts w:ascii="Arial Narrow" w:hAnsi="Arial Narrow"/>
                <w:sz w:val="20"/>
                <w:szCs w:val="20"/>
              </w:rPr>
              <w:t>1</w:t>
            </w:r>
            <w:r w:rsidR="00AE2664" w:rsidRPr="009A4DCA">
              <w:rPr>
                <w:rFonts w:ascii="Arial Narrow" w:hAnsi="Arial Narrow"/>
                <w:sz w:val="20"/>
                <w:szCs w:val="20"/>
              </w:rPr>
              <w:t xml:space="preserve">9 AIHW data would be reasonable. </w:t>
            </w:r>
          </w:p>
        </w:tc>
      </w:tr>
      <w:tr w:rsidR="00DA50F1" w:rsidRPr="009A4DCA" w14:paraId="67BE97FE" w14:textId="77777777" w:rsidTr="671D06A2">
        <w:tc>
          <w:tcPr>
            <w:tcW w:w="784" w:type="pct"/>
            <w:shd w:val="clear" w:color="auto" w:fill="auto"/>
            <w:vAlign w:val="center"/>
          </w:tcPr>
          <w:p w14:paraId="019C6F65" w14:textId="77777777" w:rsidR="00DA50F1" w:rsidRPr="009A4DCA" w:rsidRDefault="00DA50F1" w:rsidP="00A03664">
            <w:pPr>
              <w:pStyle w:val="TableText0"/>
              <w:keepNext w:val="0"/>
              <w:keepLines w:val="0"/>
              <w:suppressLineNumbers/>
              <w:suppressAutoHyphens/>
              <w:rPr>
                <w:i/>
              </w:rPr>
            </w:pPr>
            <w:r w:rsidRPr="009A4DCA">
              <w:t>Extrapolation method</w:t>
            </w:r>
          </w:p>
        </w:tc>
        <w:tc>
          <w:tcPr>
            <w:tcW w:w="4216" w:type="pct"/>
            <w:shd w:val="clear" w:color="auto" w:fill="auto"/>
            <w:vAlign w:val="center"/>
          </w:tcPr>
          <w:p w14:paraId="30538D75" w14:textId="58CC40A5" w:rsidR="00EF020E" w:rsidRPr="009A4DCA" w:rsidRDefault="00C7261D" w:rsidP="00A03664">
            <w:pPr>
              <w:pStyle w:val="TableText0"/>
              <w:keepNext w:val="0"/>
              <w:keepLines w:val="0"/>
              <w:suppressLineNumbers/>
              <w:suppressAutoHyphens/>
            </w:pPr>
            <w:r w:rsidRPr="009A4DCA">
              <w:t xml:space="preserve">VE of RSVpreF </w:t>
            </w:r>
            <w:r w:rsidR="00EF020E" w:rsidRPr="009A4DCA">
              <w:t xml:space="preserve">used in the model is </w:t>
            </w:r>
            <w:r w:rsidR="004D5DC8" w:rsidRPr="009A4DCA">
              <w:t xml:space="preserve">shown </w:t>
            </w:r>
            <w:r w:rsidR="00EF020E" w:rsidRPr="009A4DCA">
              <w:t xml:space="preserve">below: </w:t>
            </w:r>
          </w:p>
          <w:p w14:paraId="46FFCADE" w14:textId="77777777" w:rsidR="00237D56" w:rsidRPr="009A4DCA" w:rsidRDefault="00237D56" w:rsidP="00A03664">
            <w:pPr>
              <w:pStyle w:val="TableText0"/>
              <w:keepNext w:val="0"/>
              <w:keepLines w:val="0"/>
              <w:suppressLineNumbers/>
              <w:suppressAutoHyphens/>
            </w:pPr>
          </w:p>
          <w:p w14:paraId="1ED04074" w14:textId="432627D2" w:rsidR="00237D56" w:rsidRPr="009A4DCA" w:rsidRDefault="00237D56" w:rsidP="00A03664">
            <w:pPr>
              <w:pStyle w:val="TableText0"/>
              <w:keepNext w:val="0"/>
              <w:keepLines w:val="0"/>
              <w:suppressLineNumbers/>
              <w:suppressAutoHyphens/>
            </w:pPr>
            <w:r w:rsidRPr="009A4DCA">
              <w:t>VE of RSVpreF</w:t>
            </w:r>
            <w:r w:rsidR="00AD482B" w:rsidRPr="009A4DCA">
              <w:t xml:space="preserve"> against RSV events</w:t>
            </w:r>
            <w:r w:rsidRPr="009A4DCA">
              <w:t xml:space="preserve"> (requiring any healthcare visit)</w:t>
            </w:r>
            <w:r w:rsidR="00AD482B" w:rsidRPr="009A4DCA">
              <w:t xml:space="preserve"> from RENOIR</w:t>
            </w:r>
            <w:r w:rsidRPr="009A4DCA">
              <w:t xml:space="preserve"> compared with VE estimate</w:t>
            </w:r>
            <w:r w:rsidR="00AD482B" w:rsidRPr="009A4DCA">
              <w:t>d</w:t>
            </w:r>
            <w:r w:rsidRPr="009A4DCA">
              <w:t xml:space="preserve"> in model </w:t>
            </w:r>
          </w:p>
          <w:tbl>
            <w:tblPr>
              <w:tblStyle w:val="TableGrid"/>
              <w:tblW w:w="5000" w:type="pct"/>
              <w:tblLayout w:type="fixed"/>
              <w:tblLook w:val="04A0" w:firstRow="1" w:lastRow="0" w:firstColumn="1" w:lastColumn="0" w:noHBand="0" w:noVBand="1"/>
            </w:tblPr>
            <w:tblGrid>
              <w:gridCol w:w="1587"/>
              <w:gridCol w:w="990"/>
              <w:gridCol w:w="992"/>
              <w:gridCol w:w="993"/>
              <w:gridCol w:w="1223"/>
              <w:gridCol w:w="760"/>
              <w:gridCol w:w="992"/>
            </w:tblGrid>
            <w:tr w:rsidR="00EF020E" w:rsidRPr="009A4DCA" w14:paraId="2760D60D" w14:textId="77777777" w:rsidTr="00311DFF">
              <w:trPr>
                <w:tblHeader/>
              </w:trPr>
              <w:tc>
                <w:tcPr>
                  <w:tcW w:w="1053" w:type="pct"/>
                  <w:vMerge w:val="restart"/>
                  <w:tcBorders>
                    <w:top w:val="single" w:sz="4" w:space="0" w:color="auto"/>
                    <w:left w:val="single" w:sz="4" w:space="0" w:color="auto"/>
                    <w:right w:val="single" w:sz="4" w:space="0" w:color="auto"/>
                  </w:tcBorders>
                  <w:shd w:val="clear" w:color="auto" w:fill="auto"/>
                </w:tcPr>
                <w:p w14:paraId="62504E4C" w14:textId="0EC98606" w:rsidR="00EF020E" w:rsidRPr="009A4DCA" w:rsidRDefault="00EF020E" w:rsidP="00A03664">
                  <w:pPr>
                    <w:pStyle w:val="TableText0"/>
                    <w:keepNext w:val="0"/>
                    <w:keepLines w:val="0"/>
                    <w:suppressLineNumbers/>
                    <w:suppressAutoHyphens/>
                  </w:pPr>
                  <w:r w:rsidRPr="009A4DCA">
                    <w:t xml:space="preserve">Trial Endpoint: </w:t>
                  </w:r>
                </w:p>
                <w:p w14:paraId="0BD246CC" w14:textId="44EFCE1A" w:rsidR="00EF020E" w:rsidRPr="009A4DCA" w:rsidRDefault="00EF020E" w:rsidP="00A03664">
                  <w:pPr>
                    <w:pStyle w:val="TableText0"/>
                    <w:keepNext w:val="0"/>
                    <w:keepLines w:val="0"/>
                    <w:suppressLineNumbers/>
                    <w:suppressAutoHyphens/>
                  </w:pPr>
                  <w:r w:rsidRPr="009A4DCA">
                    <w:t xml:space="preserve">Model Outcome, VE against RSV:  </w:t>
                  </w:r>
                </w:p>
              </w:tc>
              <w:tc>
                <w:tcPr>
                  <w:tcW w:w="1974" w:type="pct"/>
                  <w:gridSpan w:val="3"/>
                  <w:tcBorders>
                    <w:top w:val="single" w:sz="4" w:space="0" w:color="auto"/>
                    <w:left w:val="single" w:sz="4" w:space="0" w:color="auto"/>
                    <w:bottom w:val="single" w:sz="4" w:space="0" w:color="auto"/>
                    <w:right w:val="single" w:sz="4" w:space="0" w:color="auto"/>
                  </w:tcBorders>
                </w:tcPr>
                <w:p w14:paraId="1CF2C93E" w14:textId="77777777" w:rsidR="00EF020E" w:rsidRPr="009A4DCA" w:rsidRDefault="00EF020E" w:rsidP="00A03664">
                  <w:pPr>
                    <w:pStyle w:val="TableText0"/>
                    <w:keepNext w:val="0"/>
                    <w:keepLines w:val="0"/>
                    <w:suppressLineNumbers/>
                    <w:suppressAutoHyphens/>
                  </w:pPr>
                  <w:r w:rsidRPr="009A4DCA">
                    <w:t>RENOIR, VE (%) (95%CI)</w:t>
                  </w:r>
                </w:p>
              </w:tc>
              <w:tc>
                <w:tcPr>
                  <w:tcW w:w="1973" w:type="pct"/>
                  <w:gridSpan w:val="3"/>
                  <w:tcBorders>
                    <w:top w:val="single" w:sz="4" w:space="0" w:color="auto"/>
                    <w:left w:val="single" w:sz="4" w:space="0" w:color="auto"/>
                    <w:bottom w:val="single" w:sz="4" w:space="0" w:color="auto"/>
                    <w:right w:val="single" w:sz="4" w:space="0" w:color="auto"/>
                  </w:tcBorders>
                </w:tcPr>
                <w:p w14:paraId="291F0DCA" w14:textId="77777777" w:rsidR="00EF020E" w:rsidRPr="009A4DCA" w:rsidRDefault="00EF020E" w:rsidP="00A03664">
                  <w:pPr>
                    <w:pStyle w:val="TableText0"/>
                    <w:keepNext w:val="0"/>
                    <w:keepLines w:val="0"/>
                    <w:suppressLineNumbers/>
                    <w:suppressAutoHyphens/>
                  </w:pPr>
                  <w:r w:rsidRPr="009A4DCA">
                    <w:t>Modelled base case VE (%)</w:t>
                  </w:r>
                </w:p>
              </w:tc>
            </w:tr>
            <w:tr w:rsidR="00EF020E" w:rsidRPr="009A4DCA" w14:paraId="4D5EF807" w14:textId="77777777" w:rsidTr="00311DFF">
              <w:trPr>
                <w:trHeight w:val="671"/>
                <w:tblHeader/>
              </w:trPr>
              <w:tc>
                <w:tcPr>
                  <w:tcW w:w="1053" w:type="pct"/>
                  <w:vMerge/>
                  <w:tcBorders>
                    <w:left w:val="single" w:sz="4" w:space="0" w:color="auto"/>
                    <w:bottom w:val="nil"/>
                    <w:right w:val="single" w:sz="4" w:space="0" w:color="auto"/>
                  </w:tcBorders>
                  <w:shd w:val="clear" w:color="auto" w:fill="auto"/>
                  <w:hideMark/>
                </w:tcPr>
                <w:p w14:paraId="320D67CD" w14:textId="77777777" w:rsidR="00EF020E" w:rsidRPr="009A4DCA" w:rsidRDefault="00EF020E" w:rsidP="00A03664">
                  <w:pPr>
                    <w:pStyle w:val="TableText0"/>
                    <w:keepNext w:val="0"/>
                    <w:keepLines w:val="0"/>
                    <w:suppressLineNumbers/>
                    <w:suppressAutoHyphens/>
                  </w:pPr>
                </w:p>
              </w:tc>
              <w:tc>
                <w:tcPr>
                  <w:tcW w:w="657" w:type="pct"/>
                  <w:tcBorders>
                    <w:top w:val="single" w:sz="4" w:space="0" w:color="auto"/>
                    <w:left w:val="single" w:sz="4" w:space="0" w:color="auto"/>
                    <w:bottom w:val="nil"/>
                    <w:right w:val="single" w:sz="4" w:space="0" w:color="auto"/>
                  </w:tcBorders>
                  <w:shd w:val="clear" w:color="auto" w:fill="auto"/>
                </w:tcPr>
                <w:p w14:paraId="4753E6D5" w14:textId="77777777" w:rsidR="00EF020E" w:rsidRPr="009A4DCA" w:rsidRDefault="00EF020E" w:rsidP="00A03664">
                  <w:pPr>
                    <w:pStyle w:val="TableText0"/>
                    <w:keepNext w:val="0"/>
                    <w:keepLines w:val="0"/>
                    <w:suppressLineNumbers/>
                    <w:suppressAutoHyphens/>
                  </w:pPr>
                  <w:r w:rsidRPr="009A4DCA">
                    <w:t>Season 1</w:t>
                  </w:r>
                </w:p>
                <w:p w14:paraId="2CF6697D" w14:textId="012EE101" w:rsidR="00EF020E" w:rsidRPr="009A4DCA" w:rsidRDefault="00EF020E" w:rsidP="00A03664">
                  <w:pPr>
                    <w:pStyle w:val="TableText0"/>
                    <w:keepNext w:val="0"/>
                    <w:keepLines w:val="0"/>
                    <w:suppressLineNumbers/>
                    <w:suppressAutoHyphens/>
                  </w:pPr>
                  <w:r w:rsidRPr="009A4DCA">
                    <w:t>7.05 mths</w:t>
                  </w:r>
                </w:p>
              </w:tc>
              <w:tc>
                <w:tcPr>
                  <w:tcW w:w="658" w:type="pct"/>
                  <w:tcBorders>
                    <w:top w:val="single" w:sz="4" w:space="0" w:color="auto"/>
                    <w:left w:val="single" w:sz="4" w:space="0" w:color="auto"/>
                    <w:bottom w:val="nil"/>
                    <w:right w:val="single" w:sz="4" w:space="0" w:color="auto"/>
                  </w:tcBorders>
                </w:tcPr>
                <w:p w14:paraId="0439B169" w14:textId="1D758BFB" w:rsidR="00EF020E" w:rsidRPr="009A4DCA" w:rsidRDefault="00EF020E" w:rsidP="00A03664">
                  <w:pPr>
                    <w:pStyle w:val="TableText0"/>
                    <w:keepNext w:val="0"/>
                    <w:keepLines w:val="0"/>
                    <w:suppressLineNumbers/>
                    <w:suppressAutoHyphens/>
                  </w:pPr>
                  <w:r w:rsidRPr="009A4DCA">
                    <w:t>Season 2</w:t>
                  </w:r>
                </w:p>
                <w:p w14:paraId="3457CA2F" w14:textId="4CA19E22" w:rsidR="00EF020E" w:rsidRPr="009A4DCA" w:rsidRDefault="00EF020E" w:rsidP="00A03664">
                  <w:pPr>
                    <w:pStyle w:val="TableText0"/>
                    <w:keepNext w:val="0"/>
                    <w:keepLines w:val="0"/>
                    <w:suppressLineNumbers/>
                    <w:suppressAutoHyphens/>
                  </w:pPr>
                  <w:r w:rsidRPr="009A4DCA">
                    <w:t>7.59 mths</w:t>
                  </w:r>
                </w:p>
              </w:tc>
              <w:tc>
                <w:tcPr>
                  <w:tcW w:w="659" w:type="pct"/>
                  <w:tcBorders>
                    <w:top w:val="single" w:sz="4" w:space="0" w:color="auto"/>
                    <w:left w:val="single" w:sz="4" w:space="0" w:color="auto"/>
                    <w:bottom w:val="nil"/>
                    <w:right w:val="single" w:sz="4" w:space="0" w:color="auto"/>
                  </w:tcBorders>
                  <w:shd w:val="clear" w:color="auto" w:fill="auto"/>
                </w:tcPr>
                <w:p w14:paraId="26F43A07" w14:textId="77777777" w:rsidR="00EF020E" w:rsidRPr="009A4DCA" w:rsidRDefault="00EF020E" w:rsidP="00A03664">
                  <w:pPr>
                    <w:pStyle w:val="TableText0"/>
                    <w:keepNext w:val="0"/>
                    <w:keepLines w:val="0"/>
                    <w:suppressLineNumbers/>
                    <w:suppressAutoHyphens/>
                  </w:pPr>
                  <w:r w:rsidRPr="009A4DCA">
                    <w:t>Across 2 seasons</w:t>
                  </w:r>
                </w:p>
                <w:p w14:paraId="0262E6EE" w14:textId="633BDED1" w:rsidR="00EF020E" w:rsidRPr="009A4DCA" w:rsidRDefault="00EF020E" w:rsidP="00A03664">
                  <w:pPr>
                    <w:pStyle w:val="TableText0"/>
                    <w:keepNext w:val="0"/>
                    <w:keepLines w:val="0"/>
                    <w:suppressLineNumbers/>
                    <w:suppressAutoHyphens/>
                  </w:pPr>
                  <w:r w:rsidRPr="009A4DCA">
                    <w:t>16.4 mths</w:t>
                  </w:r>
                </w:p>
              </w:tc>
              <w:tc>
                <w:tcPr>
                  <w:tcW w:w="811" w:type="pct"/>
                  <w:tcBorders>
                    <w:top w:val="single" w:sz="4" w:space="0" w:color="auto"/>
                    <w:left w:val="single" w:sz="4" w:space="0" w:color="auto"/>
                    <w:bottom w:val="nil"/>
                    <w:right w:val="single" w:sz="4" w:space="0" w:color="auto"/>
                  </w:tcBorders>
                </w:tcPr>
                <w:p w14:paraId="2741D768" w14:textId="77777777" w:rsidR="00EF020E" w:rsidRPr="009A4DCA" w:rsidRDefault="00EF020E" w:rsidP="00A03664">
                  <w:pPr>
                    <w:pStyle w:val="TableText0"/>
                    <w:keepNext w:val="0"/>
                    <w:keepLines w:val="0"/>
                    <w:suppressLineNumbers/>
                    <w:suppressAutoHyphens/>
                  </w:pPr>
                  <w:r w:rsidRPr="009A4DCA">
                    <w:t xml:space="preserve">Months </w:t>
                  </w:r>
                  <w:r w:rsidRPr="009A4DCA">
                    <w:br/>
                    <w:t>1-6</w:t>
                  </w:r>
                </w:p>
              </w:tc>
              <w:tc>
                <w:tcPr>
                  <w:tcW w:w="504" w:type="pct"/>
                  <w:tcBorders>
                    <w:top w:val="single" w:sz="4" w:space="0" w:color="auto"/>
                    <w:left w:val="single" w:sz="4" w:space="0" w:color="auto"/>
                    <w:bottom w:val="nil"/>
                    <w:right w:val="single" w:sz="4" w:space="0" w:color="auto"/>
                  </w:tcBorders>
                </w:tcPr>
                <w:p w14:paraId="23F18B4D" w14:textId="77777777" w:rsidR="00EF020E" w:rsidRPr="009A4DCA" w:rsidRDefault="00EF020E" w:rsidP="00A03664">
                  <w:pPr>
                    <w:pStyle w:val="TableText0"/>
                    <w:keepNext w:val="0"/>
                    <w:keepLines w:val="0"/>
                    <w:suppressLineNumbers/>
                    <w:suppressAutoHyphens/>
                  </w:pPr>
                  <w:r w:rsidRPr="009A4DCA">
                    <w:t xml:space="preserve">Month </w:t>
                  </w:r>
                  <w:r w:rsidRPr="009A4DCA">
                    <w:br/>
                    <w:t>16</w:t>
                  </w:r>
                </w:p>
              </w:tc>
              <w:tc>
                <w:tcPr>
                  <w:tcW w:w="658" w:type="pct"/>
                  <w:tcBorders>
                    <w:top w:val="single" w:sz="4" w:space="0" w:color="auto"/>
                    <w:left w:val="single" w:sz="4" w:space="0" w:color="auto"/>
                    <w:bottom w:val="nil"/>
                    <w:right w:val="single" w:sz="4" w:space="0" w:color="auto"/>
                  </w:tcBorders>
                </w:tcPr>
                <w:p w14:paraId="0479BD47" w14:textId="24436324" w:rsidR="00EF020E" w:rsidRPr="009A4DCA" w:rsidRDefault="00EF020E" w:rsidP="00A03664">
                  <w:pPr>
                    <w:pStyle w:val="TableText0"/>
                    <w:keepNext w:val="0"/>
                    <w:keepLines w:val="0"/>
                    <w:suppressLineNumbers/>
                    <w:suppressAutoHyphens/>
                  </w:pPr>
                  <w:r w:rsidRPr="009A4DCA">
                    <w:t xml:space="preserve">Abs VE% reduction </w:t>
                  </w:r>
                  <w:r w:rsidRPr="009A4DCA">
                    <w:br/>
                    <w:t>per m</w:t>
                  </w:r>
                  <w:r w:rsidR="00634F3A" w:rsidRPr="009A4DCA">
                    <w:t>on</w:t>
                  </w:r>
                  <w:r w:rsidRPr="009A4DCA">
                    <w:t>th</w:t>
                  </w:r>
                </w:p>
              </w:tc>
            </w:tr>
            <w:tr w:rsidR="00EF020E" w:rsidRPr="009A4DCA" w14:paraId="08EF9227" w14:textId="77777777" w:rsidTr="00311DFF">
              <w:tc>
                <w:tcPr>
                  <w:tcW w:w="1053" w:type="pct"/>
                  <w:tcBorders>
                    <w:top w:val="single" w:sz="4" w:space="0" w:color="auto"/>
                    <w:left w:val="single" w:sz="4" w:space="0" w:color="auto"/>
                    <w:bottom w:val="single" w:sz="4" w:space="0" w:color="auto"/>
                    <w:right w:val="single" w:sz="4" w:space="0" w:color="auto"/>
                  </w:tcBorders>
                </w:tcPr>
                <w:p w14:paraId="09BD00BE" w14:textId="1FE2EA04" w:rsidR="00EF020E" w:rsidRPr="009A4DCA" w:rsidRDefault="00EF020E" w:rsidP="00A03664">
                  <w:pPr>
                    <w:pStyle w:val="TableText0"/>
                    <w:keepNext w:val="0"/>
                    <w:keepLines w:val="0"/>
                    <w:suppressLineNumbers/>
                    <w:suppressAutoHyphens/>
                  </w:pPr>
                  <w:r w:rsidRPr="009A4DCA">
                    <w:t>RSV-ARI</w:t>
                  </w:r>
                  <w:r w:rsidR="00EB2257" w:rsidRPr="009A4DCA">
                    <w:t>,</w:t>
                  </w:r>
                  <w:r w:rsidRPr="009A4DCA">
                    <w:t xml:space="preserve"> </w:t>
                  </w:r>
                </w:p>
                <w:p w14:paraId="62D83413" w14:textId="05903E91" w:rsidR="00EF020E" w:rsidRPr="009A4DCA" w:rsidRDefault="00EF020E" w:rsidP="00A03664">
                  <w:pPr>
                    <w:pStyle w:val="TableText0"/>
                    <w:keepNext w:val="0"/>
                    <w:keepLines w:val="0"/>
                    <w:suppressLineNumbers/>
                    <w:suppressAutoHyphens/>
                  </w:pPr>
                  <w:r w:rsidRPr="009A4DCA">
                    <w:t>Outpatient visit</w:t>
                  </w:r>
                </w:p>
              </w:tc>
              <w:tc>
                <w:tcPr>
                  <w:tcW w:w="657" w:type="pct"/>
                  <w:tcBorders>
                    <w:top w:val="single" w:sz="4" w:space="0" w:color="auto"/>
                    <w:left w:val="single" w:sz="4" w:space="0" w:color="auto"/>
                    <w:bottom w:val="single" w:sz="4" w:space="0" w:color="auto"/>
                    <w:right w:val="single" w:sz="4" w:space="0" w:color="auto"/>
                  </w:tcBorders>
                  <w:vAlign w:val="center"/>
                </w:tcPr>
                <w:p w14:paraId="1B52AEA5" w14:textId="77777777" w:rsidR="00EF020E" w:rsidRPr="009A4DCA" w:rsidRDefault="00EF020E" w:rsidP="00A03664">
                  <w:pPr>
                    <w:pStyle w:val="TableText0"/>
                    <w:keepNext w:val="0"/>
                    <w:keepLines w:val="0"/>
                    <w:suppressLineNumbers/>
                    <w:suppressAutoHyphens/>
                  </w:pPr>
                  <w:r w:rsidRPr="009A4DCA">
                    <w:t xml:space="preserve">65.1 </w:t>
                  </w:r>
                  <w:r w:rsidRPr="009A4DCA">
                    <w:br/>
                    <w:t>(35.9, 82.0)</w:t>
                  </w:r>
                </w:p>
              </w:tc>
              <w:tc>
                <w:tcPr>
                  <w:tcW w:w="658" w:type="pct"/>
                  <w:tcBorders>
                    <w:top w:val="single" w:sz="4" w:space="0" w:color="auto"/>
                    <w:left w:val="single" w:sz="4" w:space="0" w:color="auto"/>
                    <w:bottom w:val="single" w:sz="4" w:space="0" w:color="auto"/>
                    <w:right w:val="single" w:sz="4" w:space="0" w:color="auto"/>
                  </w:tcBorders>
                  <w:vAlign w:val="center"/>
                </w:tcPr>
                <w:p w14:paraId="4E02BF71" w14:textId="77777777" w:rsidR="00EF020E" w:rsidRPr="009A4DCA" w:rsidRDefault="00EF020E" w:rsidP="00A03664">
                  <w:pPr>
                    <w:pStyle w:val="TableText0"/>
                    <w:keepNext w:val="0"/>
                    <w:keepLines w:val="0"/>
                    <w:suppressLineNumbers/>
                    <w:suppressAutoHyphens/>
                  </w:pPr>
                  <w:r w:rsidRPr="009A4DCA">
                    <w:t xml:space="preserve">47.0 </w:t>
                  </w:r>
                  <w:r w:rsidRPr="009A4DCA">
                    <w:br/>
                    <w:t>(22.7, 64.1)</w:t>
                  </w:r>
                </w:p>
              </w:tc>
              <w:tc>
                <w:tcPr>
                  <w:tcW w:w="659" w:type="pct"/>
                  <w:tcBorders>
                    <w:top w:val="single" w:sz="4" w:space="0" w:color="auto"/>
                    <w:left w:val="single" w:sz="4" w:space="0" w:color="auto"/>
                    <w:bottom w:val="single" w:sz="4" w:space="0" w:color="auto"/>
                    <w:right w:val="single" w:sz="4" w:space="0" w:color="auto"/>
                  </w:tcBorders>
                  <w:vAlign w:val="center"/>
                </w:tcPr>
                <w:p w14:paraId="5A77212C" w14:textId="77777777" w:rsidR="00EF020E" w:rsidRPr="009A4DCA" w:rsidRDefault="00EF020E" w:rsidP="00A03664">
                  <w:pPr>
                    <w:pStyle w:val="TableText0"/>
                    <w:keepNext w:val="0"/>
                    <w:keepLines w:val="0"/>
                    <w:suppressLineNumbers/>
                    <w:suppressAutoHyphens/>
                  </w:pPr>
                  <w:r w:rsidRPr="009A4DCA">
                    <w:t xml:space="preserve">53.2 </w:t>
                  </w:r>
                  <w:r w:rsidRPr="009A4DCA">
                    <w:br/>
                    <w:t>(35.7, 66.2)</w:t>
                  </w:r>
                </w:p>
              </w:tc>
              <w:tc>
                <w:tcPr>
                  <w:tcW w:w="811" w:type="pct"/>
                  <w:tcBorders>
                    <w:top w:val="single" w:sz="4" w:space="0" w:color="auto"/>
                    <w:left w:val="single" w:sz="4" w:space="0" w:color="auto"/>
                    <w:bottom w:val="single" w:sz="4" w:space="0" w:color="auto"/>
                    <w:right w:val="single" w:sz="4" w:space="0" w:color="auto"/>
                  </w:tcBorders>
                  <w:vAlign w:val="center"/>
                </w:tcPr>
                <w:p w14:paraId="27408DFF" w14:textId="442FA620" w:rsidR="00EF020E" w:rsidRPr="009A4DCA" w:rsidRDefault="00EF020E" w:rsidP="00A03664">
                  <w:pPr>
                    <w:pStyle w:val="TableText0"/>
                    <w:keepNext w:val="0"/>
                    <w:keepLines w:val="0"/>
                    <w:suppressLineNumbers/>
                    <w:suppressAutoHyphens/>
                  </w:pPr>
                  <w:r w:rsidRPr="009A4DCA">
                    <w:t xml:space="preserve">65.1 </w:t>
                  </w:r>
                  <w:r w:rsidRPr="009A4DCA">
                    <w:br/>
                    <w:t>(SA: 50, 100)</w:t>
                  </w:r>
                </w:p>
              </w:tc>
              <w:tc>
                <w:tcPr>
                  <w:tcW w:w="504" w:type="pct"/>
                  <w:tcBorders>
                    <w:top w:val="single" w:sz="4" w:space="0" w:color="auto"/>
                    <w:left w:val="single" w:sz="4" w:space="0" w:color="auto"/>
                    <w:bottom w:val="single" w:sz="4" w:space="0" w:color="auto"/>
                    <w:right w:val="single" w:sz="4" w:space="0" w:color="auto"/>
                  </w:tcBorders>
                  <w:vAlign w:val="center"/>
                </w:tcPr>
                <w:p w14:paraId="72943086" w14:textId="77777777" w:rsidR="00EF020E" w:rsidRPr="009A4DCA" w:rsidRDefault="00EF020E" w:rsidP="00A03664">
                  <w:pPr>
                    <w:pStyle w:val="TableText0"/>
                    <w:keepNext w:val="0"/>
                    <w:keepLines w:val="0"/>
                    <w:suppressLineNumbers/>
                    <w:suppressAutoHyphens/>
                  </w:pPr>
                  <w:r w:rsidRPr="009A4DCA">
                    <w:t>50.0</w:t>
                  </w:r>
                  <w:r w:rsidRPr="009A4DCA">
                    <w:br/>
                  </w:r>
                </w:p>
              </w:tc>
              <w:tc>
                <w:tcPr>
                  <w:tcW w:w="658" w:type="pct"/>
                  <w:tcBorders>
                    <w:top w:val="single" w:sz="4" w:space="0" w:color="auto"/>
                    <w:left w:val="single" w:sz="4" w:space="0" w:color="auto"/>
                    <w:bottom w:val="single" w:sz="4" w:space="0" w:color="auto"/>
                    <w:right w:val="single" w:sz="4" w:space="0" w:color="auto"/>
                  </w:tcBorders>
                  <w:vAlign w:val="center"/>
                </w:tcPr>
                <w:p w14:paraId="3A166A0F" w14:textId="77777777" w:rsidR="00EF020E" w:rsidRPr="009A4DCA" w:rsidRDefault="00EF020E" w:rsidP="00A03664">
                  <w:pPr>
                    <w:pStyle w:val="TableText0"/>
                    <w:keepNext w:val="0"/>
                    <w:keepLines w:val="0"/>
                    <w:suppressLineNumbers/>
                    <w:suppressAutoHyphens/>
                  </w:pPr>
                  <w:r w:rsidRPr="009A4DCA">
                    <w:t>1.51%</w:t>
                  </w:r>
                  <w:r w:rsidRPr="009A4DCA">
                    <w:br/>
                  </w:r>
                </w:p>
              </w:tc>
            </w:tr>
            <w:tr w:rsidR="00EF020E" w:rsidRPr="009A4DCA" w14:paraId="2E0C0ADE" w14:textId="77777777" w:rsidTr="00311DFF">
              <w:tc>
                <w:tcPr>
                  <w:tcW w:w="1053" w:type="pct"/>
                  <w:tcBorders>
                    <w:top w:val="single" w:sz="4" w:space="0" w:color="auto"/>
                    <w:left w:val="single" w:sz="4" w:space="0" w:color="auto"/>
                    <w:bottom w:val="single" w:sz="4" w:space="0" w:color="auto"/>
                    <w:right w:val="single" w:sz="4" w:space="0" w:color="auto"/>
                  </w:tcBorders>
                </w:tcPr>
                <w:p w14:paraId="70D91D6D" w14:textId="0BE59625" w:rsidR="00EF020E" w:rsidRPr="009A4DCA" w:rsidRDefault="00EF020E" w:rsidP="00A03664">
                  <w:pPr>
                    <w:pStyle w:val="TableText0"/>
                    <w:keepNext w:val="0"/>
                    <w:keepLines w:val="0"/>
                    <w:suppressLineNumbers/>
                    <w:suppressAutoHyphens/>
                  </w:pPr>
                  <w:r w:rsidRPr="009A4DCA">
                    <w:t>RSV-LRTI with ≥2 symptoms</w:t>
                  </w:r>
                  <w:r w:rsidR="00EB2257" w:rsidRPr="009A4DCA">
                    <w:t>,</w:t>
                  </w:r>
                  <w:r w:rsidRPr="009A4DCA">
                    <w:t xml:space="preserve"> </w:t>
                  </w:r>
                </w:p>
                <w:p w14:paraId="0042A552" w14:textId="7C7A09DB" w:rsidR="00EF020E" w:rsidRPr="009A4DCA" w:rsidRDefault="00EF020E" w:rsidP="00A03664">
                  <w:pPr>
                    <w:pStyle w:val="TableText0"/>
                    <w:keepNext w:val="0"/>
                    <w:keepLines w:val="0"/>
                    <w:suppressLineNumbers/>
                    <w:suppressAutoHyphens/>
                  </w:pPr>
                  <w:r w:rsidRPr="009A4DCA">
                    <w:t>Emergency visit</w:t>
                  </w:r>
                </w:p>
              </w:tc>
              <w:tc>
                <w:tcPr>
                  <w:tcW w:w="657" w:type="pct"/>
                  <w:tcBorders>
                    <w:top w:val="single" w:sz="4" w:space="0" w:color="auto"/>
                    <w:left w:val="single" w:sz="4" w:space="0" w:color="auto"/>
                    <w:bottom w:val="single" w:sz="4" w:space="0" w:color="auto"/>
                    <w:right w:val="single" w:sz="4" w:space="0" w:color="auto"/>
                  </w:tcBorders>
                  <w:vAlign w:val="center"/>
                </w:tcPr>
                <w:p w14:paraId="17CCDB50" w14:textId="77777777" w:rsidR="00EF020E" w:rsidRPr="009A4DCA" w:rsidRDefault="00EF020E" w:rsidP="00A03664">
                  <w:pPr>
                    <w:pStyle w:val="TableText0"/>
                    <w:keepNext w:val="0"/>
                    <w:keepLines w:val="0"/>
                    <w:suppressLineNumbers/>
                    <w:suppressAutoHyphens/>
                  </w:pPr>
                  <w:r w:rsidRPr="009A4DCA">
                    <w:t xml:space="preserve">70.4 </w:t>
                  </w:r>
                  <w:r w:rsidRPr="009A4DCA">
                    <w:br/>
                    <w:t>(33.0, 88.4)</w:t>
                  </w:r>
                </w:p>
              </w:tc>
              <w:tc>
                <w:tcPr>
                  <w:tcW w:w="658" w:type="pct"/>
                  <w:tcBorders>
                    <w:top w:val="single" w:sz="4" w:space="0" w:color="auto"/>
                    <w:left w:val="single" w:sz="4" w:space="0" w:color="auto"/>
                    <w:bottom w:val="single" w:sz="4" w:space="0" w:color="auto"/>
                    <w:right w:val="single" w:sz="4" w:space="0" w:color="auto"/>
                  </w:tcBorders>
                  <w:vAlign w:val="center"/>
                </w:tcPr>
                <w:p w14:paraId="29063919" w14:textId="77777777" w:rsidR="00EF020E" w:rsidRPr="009A4DCA" w:rsidRDefault="00EF020E" w:rsidP="00A03664">
                  <w:pPr>
                    <w:pStyle w:val="TableText0"/>
                    <w:keepNext w:val="0"/>
                    <w:keepLines w:val="0"/>
                    <w:suppressLineNumbers/>
                    <w:suppressAutoHyphens/>
                  </w:pPr>
                  <w:r w:rsidRPr="009A4DCA">
                    <w:t xml:space="preserve">53.5 </w:t>
                  </w:r>
                  <w:r w:rsidRPr="009A4DCA">
                    <w:br/>
                    <w:t>(19.2, 74.1)</w:t>
                  </w:r>
                </w:p>
              </w:tc>
              <w:tc>
                <w:tcPr>
                  <w:tcW w:w="659" w:type="pct"/>
                  <w:tcBorders>
                    <w:top w:val="single" w:sz="4" w:space="0" w:color="auto"/>
                    <w:left w:val="single" w:sz="4" w:space="0" w:color="auto"/>
                    <w:bottom w:val="single" w:sz="4" w:space="0" w:color="auto"/>
                    <w:right w:val="single" w:sz="4" w:space="0" w:color="auto"/>
                  </w:tcBorders>
                  <w:vAlign w:val="center"/>
                </w:tcPr>
                <w:p w14:paraId="6EC93C4B" w14:textId="77777777" w:rsidR="00EF020E" w:rsidRPr="009A4DCA" w:rsidRDefault="00EF020E" w:rsidP="00A03664">
                  <w:pPr>
                    <w:pStyle w:val="TableText0"/>
                    <w:keepNext w:val="0"/>
                    <w:keepLines w:val="0"/>
                    <w:suppressLineNumbers/>
                    <w:suppressAutoHyphens/>
                  </w:pPr>
                  <w:r w:rsidRPr="009A4DCA">
                    <w:t xml:space="preserve">60.0 </w:t>
                  </w:r>
                  <w:r w:rsidRPr="009A4DCA">
                    <w:br/>
                    <w:t>(37.2, 75.2)</w:t>
                  </w:r>
                </w:p>
              </w:tc>
              <w:tc>
                <w:tcPr>
                  <w:tcW w:w="811" w:type="pct"/>
                  <w:tcBorders>
                    <w:top w:val="single" w:sz="4" w:space="0" w:color="auto"/>
                    <w:left w:val="single" w:sz="4" w:space="0" w:color="auto"/>
                    <w:bottom w:val="single" w:sz="4" w:space="0" w:color="auto"/>
                    <w:right w:val="single" w:sz="4" w:space="0" w:color="auto"/>
                  </w:tcBorders>
                  <w:vAlign w:val="center"/>
                </w:tcPr>
                <w:p w14:paraId="391AEED9" w14:textId="3EA66710" w:rsidR="00EF020E" w:rsidRPr="009A4DCA" w:rsidRDefault="00EF020E" w:rsidP="00A03664">
                  <w:pPr>
                    <w:pStyle w:val="TableText0"/>
                    <w:keepNext w:val="0"/>
                    <w:keepLines w:val="0"/>
                    <w:suppressLineNumbers/>
                    <w:suppressAutoHyphens/>
                  </w:pPr>
                  <w:r w:rsidRPr="009A4DCA">
                    <w:t xml:space="preserve">70.4 </w:t>
                  </w:r>
                  <w:r w:rsidRPr="009A4DCA">
                    <w:br/>
                    <w:t>(SA: 50, 100)</w:t>
                  </w:r>
                </w:p>
              </w:tc>
              <w:tc>
                <w:tcPr>
                  <w:tcW w:w="504" w:type="pct"/>
                  <w:tcBorders>
                    <w:top w:val="single" w:sz="4" w:space="0" w:color="auto"/>
                    <w:left w:val="single" w:sz="4" w:space="0" w:color="auto"/>
                    <w:bottom w:val="single" w:sz="4" w:space="0" w:color="auto"/>
                    <w:right w:val="single" w:sz="4" w:space="0" w:color="auto"/>
                  </w:tcBorders>
                  <w:vAlign w:val="center"/>
                </w:tcPr>
                <w:p w14:paraId="5949E05C" w14:textId="77777777" w:rsidR="00EF020E" w:rsidRPr="009A4DCA" w:rsidRDefault="00EF020E" w:rsidP="00A03664">
                  <w:pPr>
                    <w:pStyle w:val="TableText0"/>
                    <w:keepNext w:val="0"/>
                    <w:keepLines w:val="0"/>
                    <w:suppressLineNumbers/>
                    <w:suppressAutoHyphens/>
                  </w:pPr>
                  <w:r w:rsidRPr="009A4DCA">
                    <w:t>56.3</w:t>
                  </w:r>
                  <w:r w:rsidRPr="009A4DCA">
                    <w:br/>
                  </w:r>
                </w:p>
              </w:tc>
              <w:tc>
                <w:tcPr>
                  <w:tcW w:w="658" w:type="pct"/>
                  <w:tcBorders>
                    <w:top w:val="single" w:sz="4" w:space="0" w:color="auto"/>
                    <w:left w:val="single" w:sz="4" w:space="0" w:color="auto"/>
                    <w:bottom w:val="single" w:sz="4" w:space="0" w:color="auto"/>
                    <w:right w:val="single" w:sz="4" w:space="0" w:color="auto"/>
                  </w:tcBorders>
                  <w:vAlign w:val="center"/>
                </w:tcPr>
                <w:p w14:paraId="023107FC" w14:textId="77777777" w:rsidR="00EF020E" w:rsidRPr="009A4DCA" w:rsidRDefault="00EF020E" w:rsidP="00A03664">
                  <w:pPr>
                    <w:pStyle w:val="TableText0"/>
                    <w:keepNext w:val="0"/>
                    <w:keepLines w:val="0"/>
                    <w:suppressLineNumbers/>
                    <w:suppressAutoHyphens/>
                  </w:pPr>
                  <w:r w:rsidRPr="009A4DCA">
                    <w:t>1.41%</w:t>
                  </w:r>
                  <w:r w:rsidRPr="009A4DCA">
                    <w:br/>
                  </w:r>
                </w:p>
              </w:tc>
            </w:tr>
            <w:tr w:rsidR="00EF020E" w:rsidRPr="009A4DCA" w14:paraId="5A64D5D8" w14:textId="77777777" w:rsidTr="00311DFF">
              <w:tc>
                <w:tcPr>
                  <w:tcW w:w="1053" w:type="pct"/>
                  <w:tcBorders>
                    <w:top w:val="single" w:sz="4" w:space="0" w:color="auto"/>
                    <w:left w:val="single" w:sz="4" w:space="0" w:color="auto"/>
                    <w:bottom w:val="single" w:sz="4" w:space="0" w:color="auto"/>
                    <w:right w:val="single" w:sz="4" w:space="0" w:color="auto"/>
                  </w:tcBorders>
                  <w:hideMark/>
                </w:tcPr>
                <w:p w14:paraId="0C145D40" w14:textId="774F9720" w:rsidR="00EF020E" w:rsidRPr="009A4DCA" w:rsidRDefault="00EF020E" w:rsidP="00A03664">
                  <w:pPr>
                    <w:pStyle w:val="TableText0"/>
                    <w:keepNext w:val="0"/>
                    <w:keepLines w:val="0"/>
                    <w:suppressLineNumbers/>
                    <w:suppressAutoHyphens/>
                  </w:pPr>
                  <w:r w:rsidRPr="009A4DCA">
                    <w:t>RSV-LRTI with ≥3 symptoms</w:t>
                  </w:r>
                  <w:r w:rsidR="00EB2257" w:rsidRPr="009A4DCA">
                    <w:t>,</w:t>
                  </w:r>
                </w:p>
                <w:p w14:paraId="4FAF77AF" w14:textId="340EA92D" w:rsidR="00EF020E" w:rsidRPr="009A4DCA" w:rsidRDefault="00EF020E" w:rsidP="00A03664">
                  <w:pPr>
                    <w:pStyle w:val="TableText0"/>
                    <w:keepNext w:val="0"/>
                    <w:keepLines w:val="0"/>
                    <w:suppressLineNumbers/>
                    <w:suppressAutoHyphens/>
                  </w:pPr>
                  <w:r w:rsidRPr="009A4DCA">
                    <w:t xml:space="preserve">Hospital </w:t>
                  </w:r>
                  <w:r w:rsidR="008B0C80" w:rsidRPr="009A4DCA">
                    <w:t>admission</w:t>
                  </w:r>
                </w:p>
              </w:tc>
              <w:tc>
                <w:tcPr>
                  <w:tcW w:w="657" w:type="pct"/>
                  <w:tcBorders>
                    <w:top w:val="single" w:sz="4" w:space="0" w:color="auto"/>
                    <w:left w:val="single" w:sz="4" w:space="0" w:color="auto"/>
                    <w:bottom w:val="single" w:sz="4" w:space="0" w:color="auto"/>
                    <w:right w:val="single" w:sz="4" w:space="0" w:color="auto"/>
                  </w:tcBorders>
                  <w:vAlign w:val="center"/>
                </w:tcPr>
                <w:p w14:paraId="198F65F2" w14:textId="77777777" w:rsidR="00EF020E" w:rsidRPr="009A4DCA" w:rsidRDefault="00EF020E" w:rsidP="00A03664">
                  <w:pPr>
                    <w:pStyle w:val="TableText0"/>
                    <w:keepNext w:val="0"/>
                    <w:keepLines w:val="0"/>
                    <w:suppressLineNumbers/>
                    <w:suppressAutoHyphens/>
                  </w:pPr>
                  <w:r w:rsidRPr="009A4DCA">
                    <w:t xml:space="preserve">84.6 </w:t>
                  </w:r>
                  <w:r w:rsidRPr="009A4DCA">
                    <w:br/>
                    <w:t>(32.0, 98.3)</w:t>
                  </w:r>
                </w:p>
              </w:tc>
              <w:tc>
                <w:tcPr>
                  <w:tcW w:w="658" w:type="pct"/>
                  <w:tcBorders>
                    <w:top w:val="single" w:sz="4" w:space="0" w:color="auto"/>
                    <w:left w:val="single" w:sz="4" w:space="0" w:color="auto"/>
                    <w:bottom w:val="single" w:sz="4" w:space="0" w:color="auto"/>
                    <w:right w:val="single" w:sz="4" w:space="0" w:color="auto"/>
                  </w:tcBorders>
                  <w:vAlign w:val="center"/>
                </w:tcPr>
                <w:p w14:paraId="2D46A193" w14:textId="77777777" w:rsidR="00EF020E" w:rsidRPr="009A4DCA" w:rsidRDefault="00EF020E" w:rsidP="00A03664">
                  <w:pPr>
                    <w:pStyle w:val="TableText0"/>
                    <w:keepNext w:val="0"/>
                    <w:keepLines w:val="0"/>
                    <w:suppressLineNumbers/>
                    <w:suppressAutoHyphens/>
                  </w:pPr>
                  <w:r w:rsidRPr="009A4DCA">
                    <w:t xml:space="preserve">72.0 </w:t>
                  </w:r>
                </w:p>
                <w:p w14:paraId="09B141C6" w14:textId="77777777" w:rsidR="00EF020E" w:rsidRPr="009A4DCA" w:rsidRDefault="00EF020E" w:rsidP="00A03664">
                  <w:pPr>
                    <w:pStyle w:val="TableText0"/>
                    <w:keepNext w:val="0"/>
                    <w:keepLines w:val="0"/>
                    <w:suppressLineNumbers/>
                    <w:suppressAutoHyphens/>
                  </w:pPr>
                  <w:r w:rsidRPr="009A4DCA">
                    <w:t>(33.4, 89.8)</w:t>
                  </w:r>
                </w:p>
              </w:tc>
              <w:tc>
                <w:tcPr>
                  <w:tcW w:w="659" w:type="pct"/>
                  <w:tcBorders>
                    <w:top w:val="single" w:sz="4" w:space="0" w:color="auto"/>
                    <w:left w:val="single" w:sz="4" w:space="0" w:color="auto"/>
                    <w:bottom w:val="single" w:sz="4" w:space="0" w:color="auto"/>
                    <w:right w:val="single" w:sz="4" w:space="0" w:color="auto"/>
                  </w:tcBorders>
                  <w:vAlign w:val="center"/>
                </w:tcPr>
                <w:p w14:paraId="7034F356" w14:textId="77777777" w:rsidR="00EF020E" w:rsidRPr="009A4DCA" w:rsidRDefault="00EF020E" w:rsidP="00A03664">
                  <w:pPr>
                    <w:pStyle w:val="TableText0"/>
                    <w:keepNext w:val="0"/>
                    <w:keepLines w:val="0"/>
                    <w:suppressLineNumbers/>
                    <w:suppressAutoHyphens/>
                  </w:pPr>
                  <w:r w:rsidRPr="009A4DCA">
                    <w:t xml:space="preserve">76.3 </w:t>
                  </w:r>
                  <w:r w:rsidRPr="009A4DCA">
                    <w:br/>
                    <w:t>(50.2, 89.9)</w:t>
                  </w:r>
                </w:p>
              </w:tc>
              <w:tc>
                <w:tcPr>
                  <w:tcW w:w="811" w:type="pct"/>
                  <w:tcBorders>
                    <w:top w:val="single" w:sz="4" w:space="0" w:color="auto"/>
                    <w:left w:val="single" w:sz="4" w:space="0" w:color="auto"/>
                    <w:bottom w:val="single" w:sz="4" w:space="0" w:color="auto"/>
                    <w:right w:val="single" w:sz="4" w:space="0" w:color="auto"/>
                  </w:tcBorders>
                  <w:vAlign w:val="center"/>
                </w:tcPr>
                <w:p w14:paraId="3A68231A" w14:textId="220CDFAF" w:rsidR="00EF020E" w:rsidRPr="009A4DCA" w:rsidRDefault="00EF020E" w:rsidP="00A03664">
                  <w:pPr>
                    <w:pStyle w:val="TableText0"/>
                    <w:keepNext w:val="0"/>
                    <w:keepLines w:val="0"/>
                    <w:suppressLineNumbers/>
                    <w:suppressAutoHyphens/>
                  </w:pPr>
                  <w:r w:rsidRPr="009A4DCA">
                    <w:t xml:space="preserve">84.6 </w:t>
                  </w:r>
                  <w:r w:rsidRPr="009A4DCA">
                    <w:br/>
                    <w:t>(SA: 50, 100)</w:t>
                  </w:r>
                </w:p>
              </w:tc>
              <w:tc>
                <w:tcPr>
                  <w:tcW w:w="504" w:type="pct"/>
                  <w:tcBorders>
                    <w:top w:val="single" w:sz="4" w:space="0" w:color="auto"/>
                    <w:left w:val="single" w:sz="4" w:space="0" w:color="auto"/>
                    <w:bottom w:val="single" w:sz="4" w:space="0" w:color="auto"/>
                    <w:right w:val="single" w:sz="4" w:space="0" w:color="auto"/>
                  </w:tcBorders>
                  <w:vAlign w:val="center"/>
                </w:tcPr>
                <w:p w14:paraId="481775D6" w14:textId="77777777" w:rsidR="00EF020E" w:rsidRPr="009A4DCA" w:rsidRDefault="00EF020E" w:rsidP="00A03664">
                  <w:pPr>
                    <w:pStyle w:val="TableText0"/>
                    <w:keepNext w:val="0"/>
                    <w:keepLines w:val="0"/>
                    <w:suppressLineNumbers/>
                    <w:suppressAutoHyphens/>
                  </w:pPr>
                  <w:r w:rsidRPr="009A4DCA">
                    <w:t>74.1</w:t>
                  </w:r>
                  <w:r w:rsidRPr="009A4DCA">
                    <w:br/>
                  </w:r>
                </w:p>
              </w:tc>
              <w:tc>
                <w:tcPr>
                  <w:tcW w:w="658" w:type="pct"/>
                  <w:tcBorders>
                    <w:top w:val="single" w:sz="4" w:space="0" w:color="auto"/>
                    <w:left w:val="single" w:sz="4" w:space="0" w:color="auto"/>
                    <w:bottom w:val="single" w:sz="4" w:space="0" w:color="auto"/>
                    <w:right w:val="single" w:sz="4" w:space="0" w:color="auto"/>
                  </w:tcBorders>
                  <w:vAlign w:val="center"/>
                </w:tcPr>
                <w:p w14:paraId="471060F8" w14:textId="77777777" w:rsidR="00EF020E" w:rsidRPr="009A4DCA" w:rsidRDefault="00EF020E" w:rsidP="00A03664">
                  <w:pPr>
                    <w:pStyle w:val="TableText0"/>
                    <w:keepNext w:val="0"/>
                    <w:keepLines w:val="0"/>
                    <w:suppressLineNumbers/>
                    <w:suppressAutoHyphens/>
                  </w:pPr>
                  <w:r w:rsidRPr="009A4DCA">
                    <w:t>1.05%</w:t>
                  </w:r>
                  <w:r w:rsidRPr="009A4DCA">
                    <w:br/>
                  </w:r>
                </w:p>
              </w:tc>
            </w:tr>
          </w:tbl>
          <w:p w14:paraId="72930756" w14:textId="77777777" w:rsidR="009554CD" w:rsidRPr="009A4DCA" w:rsidRDefault="009554CD" w:rsidP="00A03664">
            <w:pPr>
              <w:pStyle w:val="FooterTableFigure"/>
              <w:suppressLineNumbers/>
              <w:suppressAutoHyphens/>
            </w:pPr>
            <w:r w:rsidRPr="009A4DCA">
              <w:t>Source: Adapted from Table 2.5.7 p70, text pp110-111, and Table 3.4.2 p112 of the submission; Economic evaluation workbook ABRYSVO_Older Adults_CEA_July 2024, sheet ‘ABR’</w:t>
            </w:r>
          </w:p>
          <w:p w14:paraId="2448A2C8" w14:textId="77777777" w:rsidR="00761620" w:rsidRPr="009A4DCA" w:rsidRDefault="00761620" w:rsidP="00A03664">
            <w:pPr>
              <w:pStyle w:val="FooterTableFigure"/>
              <w:suppressLineNumbers/>
              <w:suppressAutoHyphens/>
              <w:rPr>
                <w:iCs/>
              </w:rPr>
            </w:pPr>
          </w:p>
          <w:p w14:paraId="72475F23" w14:textId="0D417C42" w:rsidR="00281164" w:rsidRPr="009A4DCA" w:rsidRDefault="00281164" w:rsidP="00A03664">
            <w:pPr>
              <w:pStyle w:val="FooterTableFigure"/>
              <w:suppressLineNumbers/>
              <w:suppressAutoHyphens/>
              <w:rPr>
                <w:iCs/>
              </w:rPr>
            </w:pPr>
            <w:r w:rsidRPr="009A4DCA">
              <w:rPr>
                <w:iCs/>
              </w:rPr>
              <w:lastRenderedPageBreak/>
              <w:t xml:space="preserve">During the evaluation, the applicant provided a revised model where the rate of waning was increased for each outcome presented; 1.26% per month for hospitalisations, 1.69% per month for VE against emergency visits, and 1.81% for outpatient visits. This was not revised during the evaluation. </w:t>
            </w:r>
          </w:p>
          <w:p w14:paraId="696A244B" w14:textId="254C1C98" w:rsidR="00DA50F1" w:rsidRPr="009A4DCA" w:rsidRDefault="00DA50F1" w:rsidP="00A03664">
            <w:pPr>
              <w:pStyle w:val="TableText0"/>
              <w:keepNext w:val="0"/>
              <w:keepLines w:val="0"/>
              <w:suppressLineNumbers/>
              <w:suppressAutoHyphens/>
              <w:rPr>
                <w:i/>
              </w:rPr>
            </w:pPr>
            <w:r w:rsidRPr="009A4DCA">
              <w:t xml:space="preserve">VE was extrapolated by assuming: </w:t>
            </w:r>
          </w:p>
          <w:p w14:paraId="27FF50B4" w14:textId="77777777" w:rsidR="00DA50F1" w:rsidRPr="009A4DCA" w:rsidRDefault="00DA50F1" w:rsidP="00A03664">
            <w:pPr>
              <w:pStyle w:val="ListParagraph"/>
              <w:numPr>
                <w:ilvl w:val="0"/>
                <w:numId w:val="21"/>
              </w:numPr>
              <w:suppressLineNumbers/>
              <w:suppressAutoHyphens/>
              <w:spacing w:after="0"/>
              <w:ind w:left="357" w:hanging="357"/>
              <w:contextualSpacing/>
              <w:rPr>
                <w:rFonts w:ascii="Arial Narrow" w:hAnsi="Arial Narrow"/>
                <w:i/>
                <w:sz w:val="20"/>
                <w:szCs w:val="20"/>
              </w:rPr>
            </w:pPr>
            <w:r w:rsidRPr="009A4DCA">
              <w:rPr>
                <w:rFonts w:ascii="Arial Narrow" w:hAnsi="Arial Narrow"/>
                <w:sz w:val="20"/>
                <w:szCs w:val="20"/>
              </w:rPr>
              <w:t xml:space="preserve">Month 1: the onset of effect of RSVpreF is not immediate i.e., assumed to be 50% peak efficacy.  </w:t>
            </w:r>
          </w:p>
          <w:p w14:paraId="08C7C736" w14:textId="77777777" w:rsidR="00DA50F1" w:rsidRPr="009A4DCA" w:rsidRDefault="00DA50F1" w:rsidP="00A03664">
            <w:pPr>
              <w:pStyle w:val="ListParagraph"/>
              <w:numPr>
                <w:ilvl w:val="0"/>
                <w:numId w:val="21"/>
              </w:numPr>
              <w:suppressLineNumbers/>
              <w:suppressAutoHyphens/>
              <w:spacing w:after="0"/>
              <w:ind w:left="357" w:hanging="357"/>
              <w:contextualSpacing/>
              <w:rPr>
                <w:rFonts w:ascii="Arial Narrow" w:hAnsi="Arial Narrow"/>
                <w:i/>
                <w:sz w:val="20"/>
                <w:szCs w:val="20"/>
              </w:rPr>
            </w:pPr>
            <w:r w:rsidRPr="009A4DCA">
              <w:rPr>
                <w:rFonts w:ascii="Arial Narrow" w:hAnsi="Arial Narrow"/>
                <w:sz w:val="20"/>
                <w:szCs w:val="20"/>
              </w:rPr>
              <w:t xml:space="preserve">Month 1 to 7: VE assumed to peak post-vaccination. VE is maintained at peak efficacy over this time. </w:t>
            </w:r>
          </w:p>
          <w:p w14:paraId="3561F380" w14:textId="25BAF303" w:rsidR="007C66BA" w:rsidRPr="009A4DCA" w:rsidRDefault="00DA50F1" w:rsidP="00A03664">
            <w:pPr>
              <w:pStyle w:val="ListParagraph"/>
              <w:numPr>
                <w:ilvl w:val="0"/>
                <w:numId w:val="21"/>
              </w:numPr>
              <w:suppressLineNumbers/>
              <w:suppressAutoHyphens/>
              <w:spacing w:after="0"/>
              <w:ind w:left="357" w:hanging="357"/>
              <w:contextualSpacing/>
              <w:rPr>
                <w:rFonts w:ascii="Arial Narrow" w:hAnsi="Arial Narrow"/>
                <w:i/>
                <w:sz w:val="20"/>
                <w:szCs w:val="20"/>
              </w:rPr>
            </w:pPr>
            <w:r w:rsidRPr="009A4DCA">
              <w:rPr>
                <w:rFonts w:ascii="Arial Narrow" w:hAnsi="Arial Narrow"/>
                <w:sz w:val="20"/>
                <w:szCs w:val="20"/>
              </w:rPr>
              <w:t xml:space="preserve">Month 8 to 47: VE is reduced at a constant rate each month. The reduction in the rate is varied for each outcome presented: 1.05% per month for hospitalisations, 1.41% per month for VE against emergency visits, and 1.51% for outpatient visits. </w:t>
            </w:r>
            <w:r w:rsidR="004D5DC8" w:rsidRPr="009A4DCA">
              <w:rPr>
                <w:rFonts w:ascii="Arial Narrow" w:hAnsi="Arial Narrow"/>
                <w:sz w:val="20"/>
                <w:szCs w:val="20"/>
              </w:rPr>
              <w:t>The evaluation noted that n</w:t>
            </w:r>
            <w:r w:rsidR="00DE4F38" w:rsidRPr="009A4DCA">
              <w:rPr>
                <w:rFonts w:ascii="Arial Narrow" w:hAnsi="Arial Narrow"/>
                <w:sz w:val="20"/>
                <w:szCs w:val="20"/>
              </w:rPr>
              <w:t>o calculations or sources were provided for the verification of the reduction in VE assumed in the model.</w:t>
            </w:r>
          </w:p>
          <w:p w14:paraId="62AED217" w14:textId="76910B0D" w:rsidR="00DA50F1" w:rsidRPr="009A4DCA" w:rsidRDefault="00DA50F1" w:rsidP="00A03664">
            <w:pPr>
              <w:pStyle w:val="ListParagraph"/>
              <w:numPr>
                <w:ilvl w:val="0"/>
                <w:numId w:val="21"/>
              </w:numPr>
              <w:suppressLineNumbers/>
              <w:suppressAutoHyphens/>
              <w:spacing w:after="0"/>
              <w:ind w:left="357" w:hanging="357"/>
              <w:contextualSpacing/>
              <w:rPr>
                <w:rFonts w:ascii="Arial Narrow" w:hAnsi="Arial Narrow"/>
                <w:i/>
                <w:sz w:val="20"/>
                <w:szCs w:val="20"/>
              </w:rPr>
            </w:pPr>
            <w:r w:rsidRPr="009A4DCA">
              <w:rPr>
                <w:rFonts w:ascii="Arial Narrow" w:hAnsi="Arial Narrow"/>
                <w:sz w:val="20"/>
                <w:szCs w:val="20"/>
              </w:rPr>
              <w:t>Month 48 and beyond: VE for all outcomes was truncated to zero.</w:t>
            </w:r>
          </w:p>
        </w:tc>
      </w:tr>
      <w:tr w:rsidR="00DA50F1" w:rsidRPr="009A4DCA" w14:paraId="567D7B9E" w14:textId="77777777" w:rsidTr="671D06A2">
        <w:tc>
          <w:tcPr>
            <w:tcW w:w="784" w:type="pct"/>
            <w:shd w:val="clear" w:color="auto" w:fill="auto"/>
            <w:vAlign w:val="center"/>
          </w:tcPr>
          <w:p w14:paraId="15D9CABC" w14:textId="5F86D39E" w:rsidR="00DA50F1" w:rsidRPr="009A4DCA" w:rsidRDefault="00DA50F1" w:rsidP="00A03664">
            <w:pPr>
              <w:pStyle w:val="TableText0"/>
              <w:keepNext w:val="0"/>
              <w:keepLines w:val="0"/>
              <w:suppressLineNumbers/>
              <w:suppressAutoHyphens/>
              <w:rPr>
                <w:i/>
              </w:rPr>
            </w:pPr>
            <w:r w:rsidRPr="009A4DCA">
              <w:lastRenderedPageBreak/>
              <w:t>Health</w:t>
            </w:r>
            <w:r w:rsidR="0055605D" w:rsidRPr="009A4DCA">
              <w:t>-</w:t>
            </w:r>
            <w:r w:rsidRPr="009A4DCA">
              <w:t>related quality of life</w:t>
            </w:r>
          </w:p>
        </w:tc>
        <w:tc>
          <w:tcPr>
            <w:tcW w:w="4216" w:type="pct"/>
            <w:shd w:val="clear" w:color="auto" w:fill="auto"/>
            <w:vAlign w:val="center"/>
          </w:tcPr>
          <w:p w14:paraId="5F435182" w14:textId="6358C4E8" w:rsidR="00DA50F1" w:rsidRPr="009A4DCA" w:rsidRDefault="00DA50F1" w:rsidP="00A03664">
            <w:pPr>
              <w:pStyle w:val="TableText0"/>
              <w:keepNext w:val="0"/>
              <w:keepLines w:val="0"/>
              <w:suppressLineNumbers/>
              <w:suppressAutoHyphens/>
              <w:rPr>
                <w:i/>
              </w:rPr>
            </w:pPr>
            <w:r w:rsidRPr="009A4DCA">
              <w:t>Literature</w:t>
            </w:r>
            <w:r w:rsidR="00921306" w:rsidRPr="009A4DCA">
              <w:t>-</w:t>
            </w:r>
            <w:r w:rsidRPr="009A4DCA">
              <w:t xml:space="preserve">based: </w:t>
            </w:r>
          </w:p>
          <w:p w14:paraId="349ABF72" w14:textId="77777777" w:rsidR="00DA50F1" w:rsidRPr="009A4DCA" w:rsidRDefault="00DA50F1" w:rsidP="00A03664">
            <w:pPr>
              <w:pStyle w:val="ListParagraph"/>
              <w:numPr>
                <w:ilvl w:val="0"/>
                <w:numId w:val="22"/>
              </w:numPr>
              <w:suppressLineNumbers/>
              <w:suppressAutoHyphens/>
              <w:spacing w:after="0"/>
              <w:ind w:left="357" w:hanging="357"/>
              <w:contextualSpacing/>
              <w:rPr>
                <w:rFonts w:ascii="Arial Narrow" w:hAnsi="Arial Narrow"/>
                <w:i/>
                <w:sz w:val="20"/>
                <w:szCs w:val="20"/>
              </w:rPr>
            </w:pPr>
            <w:r w:rsidRPr="009A4DCA">
              <w:rPr>
                <w:rFonts w:ascii="Arial Narrow" w:hAnsi="Arial Narrow"/>
                <w:sz w:val="20"/>
                <w:szCs w:val="20"/>
              </w:rPr>
              <w:t>McCaffrey (2016): EQ-5D-5L with Australian preference weights</w:t>
            </w:r>
          </w:p>
          <w:p w14:paraId="2FAF3C60" w14:textId="77777777" w:rsidR="00DA50F1" w:rsidRPr="009A4DCA" w:rsidRDefault="00DA50F1" w:rsidP="00A03664">
            <w:pPr>
              <w:pStyle w:val="ListParagraph"/>
              <w:numPr>
                <w:ilvl w:val="1"/>
                <w:numId w:val="22"/>
              </w:numPr>
              <w:suppressLineNumbers/>
              <w:suppressAutoHyphens/>
              <w:spacing w:after="0"/>
              <w:ind w:left="1077" w:hanging="357"/>
              <w:contextualSpacing/>
              <w:rPr>
                <w:rFonts w:ascii="Arial Narrow" w:hAnsi="Arial Narrow"/>
                <w:i/>
                <w:sz w:val="20"/>
                <w:szCs w:val="20"/>
              </w:rPr>
            </w:pPr>
            <w:r w:rsidRPr="009A4DCA">
              <w:rPr>
                <w:rFonts w:ascii="Arial Narrow" w:hAnsi="Arial Narrow"/>
                <w:sz w:val="20"/>
                <w:szCs w:val="20"/>
              </w:rPr>
              <w:t>Adults aged 60-64 years: 0.89</w:t>
            </w:r>
          </w:p>
          <w:p w14:paraId="70ABFF0C" w14:textId="77777777" w:rsidR="00DA50F1" w:rsidRPr="009A4DCA" w:rsidRDefault="00DA50F1" w:rsidP="00A03664">
            <w:pPr>
              <w:pStyle w:val="ListParagraph"/>
              <w:numPr>
                <w:ilvl w:val="1"/>
                <w:numId w:val="22"/>
              </w:numPr>
              <w:suppressLineNumbers/>
              <w:suppressAutoHyphens/>
              <w:spacing w:after="0"/>
              <w:ind w:left="1077" w:hanging="357"/>
              <w:contextualSpacing/>
              <w:rPr>
                <w:rFonts w:ascii="Arial Narrow" w:hAnsi="Arial Narrow"/>
                <w:i/>
                <w:sz w:val="20"/>
                <w:szCs w:val="20"/>
              </w:rPr>
            </w:pPr>
            <w:r w:rsidRPr="009A4DCA">
              <w:rPr>
                <w:rFonts w:ascii="Arial Narrow" w:hAnsi="Arial Narrow"/>
                <w:sz w:val="20"/>
                <w:szCs w:val="20"/>
              </w:rPr>
              <w:t>Adults aged 65-74 years: 0.87</w:t>
            </w:r>
          </w:p>
          <w:p w14:paraId="116456D7" w14:textId="77777777" w:rsidR="00DA50F1" w:rsidRPr="009A4DCA" w:rsidRDefault="00DA50F1" w:rsidP="00A03664">
            <w:pPr>
              <w:pStyle w:val="ListParagraph"/>
              <w:numPr>
                <w:ilvl w:val="1"/>
                <w:numId w:val="22"/>
              </w:numPr>
              <w:suppressLineNumbers/>
              <w:suppressAutoHyphens/>
              <w:spacing w:after="0"/>
              <w:ind w:left="1077" w:hanging="357"/>
              <w:contextualSpacing/>
              <w:rPr>
                <w:rFonts w:ascii="Arial Narrow" w:hAnsi="Arial Narrow"/>
                <w:i/>
                <w:sz w:val="20"/>
                <w:szCs w:val="20"/>
              </w:rPr>
            </w:pPr>
            <w:r w:rsidRPr="009A4DCA">
              <w:rPr>
                <w:rFonts w:ascii="Arial Narrow" w:hAnsi="Arial Narrow"/>
                <w:sz w:val="20"/>
                <w:szCs w:val="20"/>
              </w:rPr>
              <w:t>Adults aged ≥ 75 years: 0.83</w:t>
            </w:r>
          </w:p>
          <w:p w14:paraId="516423BC" w14:textId="77777777" w:rsidR="00DA50F1" w:rsidRPr="009A4DCA" w:rsidRDefault="00DA50F1" w:rsidP="00A03664">
            <w:pPr>
              <w:pStyle w:val="ListParagraph"/>
              <w:numPr>
                <w:ilvl w:val="0"/>
                <w:numId w:val="22"/>
              </w:numPr>
              <w:suppressLineNumbers/>
              <w:suppressAutoHyphens/>
              <w:spacing w:after="0"/>
              <w:ind w:left="357" w:hanging="357"/>
              <w:contextualSpacing/>
              <w:rPr>
                <w:rFonts w:ascii="Arial Narrow" w:hAnsi="Arial Narrow"/>
                <w:i/>
                <w:sz w:val="20"/>
                <w:szCs w:val="20"/>
              </w:rPr>
            </w:pPr>
            <w:r w:rsidRPr="009A4DCA">
              <w:rPr>
                <w:rFonts w:ascii="Arial Narrow" w:hAnsi="Arial Narrow"/>
                <w:sz w:val="20"/>
                <w:szCs w:val="20"/>
              </w:rPr>
              <w:t>Banham (2019); SF-6D</w:t>
            </w:r>
          </w:p>
          <w:p w14:paraId="09BBD4E4" w14:textId="77777777" w:rsidR="00DA50F1" w:rsidRPr="009A4DCA" w:rsidRDefault="00DA50F1" w:rsidP="00A03664">
            <w:pPr>
              <w:pStyle w:val="ListParagraph"/>
              <w:numPr>
                <w:ilvl w:val="1"/>
                <w:numId w:val="22"/>
              </w:numPr>
              <w:suppressLineNumbers/>
              <w:suppressAutoHyphens/>
              <w:spacing w:after="0"/>
              <w:ind w:left="1077" w:hanging="357"/>
              <w:contextualSpacing/>
              <w:rPr>
                <w:rFonts w:ascii="Arial Narrow" w:hAnsi="Arial Narrow"/>
                <w:i/>
                <w:sz w:val="20"/>
                <w:szCs w:val="20"/>
              </w:rPr>
            </w:pPr>
            <w:r w:rsidRPr="009A4DCA">
              <w:rPr>
                <w:rFonts w:ascii="Arial Narrow" w:hAnsi="Arial Narrow"/>
                <w:sz w:val="20"/>
                <w:szCs w:val="20"/>
              </w:rPr>
              <w:t>Aboriginal and Torres Strait Islander adults aged ≥ 55 years, 0.675</w:t>
            </w:r>
          </w:p>
          <w:p w14:paraId="05E2F065" w14:textId="77777777" w:rsidR="00DA50F1" w:rsidRPr="009A4DCA" w:rsidRDefault="00DA50F1" w:rsidP="00A03664">
            <w:pPr>
              <w:pStyle w:val="ListParagraph"/>
              <w:numPr>
                <w:ilvl w:val="0"/>
                <w:numId w:val="22"/>
              </w:numPr>
              <w:suppressLineNumbers/>
              <w:suppressAutoHyphens/>
              <w:spacing w:after="0"/>
              <w:ind w:left="357" w:hanging="357"/>
              <w:contextualSpacing/>
              <w:rPr>
                <w:rFonts w:ascii="Arial Narrow" w:hAnsi="Arial Narrow"/>
                <w:i/>
                <w:sz w:val="20"/>
                <w:szCs w:val="20"/>
              </w:rPr>
            </w:pPr>
            <w:r w:rsidRPr="009A4DCA">
              <w:rPr>
                <w:rFonts w:ascii="Arial Narrow" w:hAnsi="Arial Narrow"/>
                <w:sz w:val="20"/>
                <w:szCs w:val="20"/>
              </w:rPr>
              <w:t xml:space="preserve">Disutility values: </w:t>
            </w:r>
          </w:p>
          <w:p w14:paraId="6E2D03B1" w14:textId="77777777" w:rsidR="00DA50F1" w:rsidRPr="009A4DCA" w:rsidRDefault="00DA50F1" w:rsidP="00A03664">
            <w:pPr>
              <w:pStyle w:val="ListParagraph"/>
              <w:numPr>
                <w:ilvl w:val="1"/>
                <w:numId w:val="22"/>
              </w:numPr>
              <w:suppressLineNumbers/>
              <w:suppressAutoHyphens/>
              <w:spacing w:after="0"/>
              <w:ind w:left="1077" w:hanging="357"/>
              <w:contextualSpacing/>
              <w:rPr>
                <w:rFonts w:ascii="Arial Narrow" w:hAnsi="Arial Narrow"/>
                <w:i/>
                <w:sz w:val="20"/>
                <w:szCs w:val="20"/>
              </w:rPr>
            </w:pPr>
            <w:r w:rsidRPr="009A4DCA">
              <w:rPr>
                <w:rFonts w:ascii="Arial Narrow" w:hAnsi="Arial Narrow"/>
                <w:sz w:val="20"/>
                <w:szCs w:val="20"/>
              </w:rPr>
              <w:t>Falsey (2022): Hospital: 0.0167</w:t>
            </w:r>
          </w:p>
          <w:p w14:paraId="7F2A09E7" w14:textId="52713E59" w:rsidR="007C66BA" w:rsidRPr="009A4DCA" w:rsidRDefault="00DA50F1" w:rsidP="00A03664">
            <w:pPr>
              <w:pStyle w:val="ListParagraph"/>
              <w:numPr>
                <w:ilvl w:val="1"/>
                <w:numId w:val="22"/>
              </w:numPr>
              <w:suppressLineNumbers/>
              <w:suppressAutoHyphens/>
              <w:spacing w:after="0"/>
              <w:ind w:left="1077" w:hanging="357"/>
              <w:contextualSpacing/>
              <w:rPr>
                <w:rFonts w:ascii="Arial Narrow" w:hAnsi="Arial Narrow"/>
                <w:i/>
                <w:sz w:val="20"/>
                <w:szCs w:val="20"/>
              </w:rPr>
            </w:pPr>
            <w:r w:rsidRPr="009A4DCA">
              <w:rPr>
                <w:rFonts w:ascii="Arial Narrow" w:hAnsi="Arial Narrow"/>
                <w:sz w:val="20"/>
                <w:szCs w:val="20"/>
              </w:rPr>
              <w:t>Mao (2022): Emergency: 0.0054</w:t>
            </w:r>
          </w:p>
          <w:p w14:paraId="4EBD7D51" w14:textId="77777777" w:rsidR="00DA50F1" w:rsidRPr="009A4DCA" w:rsidRDefault="00DA50F1" w:rsidP="00A03664">
            <w:pPr>
              <w:pStyle w:val="ListParagraph"/>
              <w:numPr>
                <w:ilvl w:val="1"/>
                <w:numId w:val="22"/>
              </w:numPr>
              <w:suppressLineNumbers/>
              <w:suppressAutoHyphens/>
              <w:spacing w:after="0"/>
              <w:ind w:left="1077" w:hanging="357"/>
              <w:contextualSpacing/>
              <w:rPr>
                <w:rFonts w:ascii="Arial Narrow" w:hAnsi="Arial Narrow"/>
                <w:i/>
                <w:sz w:val="20"/>
                <w:szCs w:val="20"/>
              </w:rPr>
            </w:pPr>
            <w:r w:rsidRPr="009A4DCA">
              <w:rPr>
                <w:rFonts w:ascii="Arial Narrow" w:hAnsi="Arial Narrow"/>
                <w:sz w:val="20"/>
                <w:szCs w:val="20"/>
              </w:rPr>
              <w:t>Mao (2022): Outpatient: 0.0054</w:t>
            </w:r>
          </w:p>
        </w:tc>
      </w:tr>
      <w:tr w:rsidR="00DA50F1" w:rsidRPr="009A4DCA" w14:paraId="3B3C1012" w14:textId="77777777" w:rsidTr="671D06A2">
        <w:tc>
          <w:tcPr>
            <w:tcW w:w="784" w:type="pct"/>
            <w:shd w:val="clear" w:color="auto" w:fill="auto"/>
            <w:vAlign w:val="center"/>
          </w:tcPr>
          <w:p w14:paraId="26FC4B85" w14:textId="77777777" w:rsidR="00DA50F1" w:rsidRPr="009A4DCA" w:rsidRDefault="00DA50F1" w:rsidP="00A03664">
            <w:pPr>
              <w:pStyle w:val="TableText0"/>
              <w:keepNext w:val="0"/>
              <w:keepLines w:val="0"/>
              <w:suppressLineNumbers/>
              <w:suppressAutoHyphens/>
              <w:rPr>
                <w:i/>
              </w:rPr>
            </w:pPr>
            <w:r w:rsidRPr="009A4DCA">
              <w:t>Costs</w:t>
            </w:r>
          </w:p>
        </w:tc>
        <w:tc>
          <w:tcPr>
            <w:tcW w:w="4216" w:type="pct"/>
            <w:shd w:val="clear" w:color="auto" w:fill="auto"/>
            <w:vAlign w:val="center"/>
          </w:tcPr>
          <w:p w14:paraId="37E9EF1B" w14:textId="1FF2AF7F" w:rsidR="00DA50F1" w:rsidRPr="009A4DCA" w:rsidRDefault="00DA50F1" w:rsidP="00A03664">
            <w:pPr>
              <w:pStyle w:val="ListParagraph"/>
              <w:suppressLineNumbers/>
              <w:suppressAutoHyphens/>
              <w:spacing w:after="0"/>
              <w:ind w:left="357" w:hanging="357"/>
              <w:rPr>
                <w:rFonts w:ascii="Arial Narrow" w:hAnsi="Arial Narrow"/>
                <w:sz w:val="20"/>
                <w:szCs w:val="20"/>
              </w:rPr>
            </w:pPr>
            <w:r w:rsidRPr="671D06A2">
              <w:rPr>
                <w:rFonts w:ascii="Arial Narrow" w:hAnsi="Arial Narrow"/>
                <w:sz w:val="20"/>
                <w:szCs w:val="20"/>
              </w:rPr>
              <w:t>RSVpreF, proposed NIP price: $</w:t>
            </w:r>
            <w:r w:rsidR="00E44A34">
              <w:rPr>
                <w:rFonts w:ascii="Arial Narrow" w:hAnsi="Arial Narrow"/>
                <w:color w:val="000000"/>
                <w:spacing w:val="53"/>
                <w:sz w:val="20"/>
                <w:szCs w:val="20"/>
                <w:shd w:val="solid" w:color="000000" w:fill="000000"/>
                <w:fitText w:val="333" w:id="-762047743"/>
                <w14:textFill>
                  <w14:solidFill>
                    <w14:srgbClr w14:val="000000">
                      <w14:alpha w14:val="100000"/>
                    </w14:srgbClr>
                  </w14:solidFill>
                </w14:textFill>
              </w:rPr>
              <w:t>|||</w:t>
            </w:r>
            <w:r w:rsidR="00E44A34">
              <w:rPr>
                <w:rFonts w:ascii="Arial Narrow" w:hAnsi="Arial Narrow"/>
                <w:color w:val="000000"/>
                <w:spacing w:val="2"/>
                <w:sz w:val="20"/>
                <w:szCs w:val="20"/>
                <w:shd w:val="solid" w:color="000000" w:fill="000000"/>
                <w:fitText w:val="333" w:id="-762047743"/>
                <w14:textFill>
                  <w14:solidFill>
                    <w14:srgbClr w14:val="000000">
                      <w14:alpha w14:val="100000"/>
                    </w14:srgbClr>
                  </w14:solidFill>
                </w14:textFill>
              </w:rPr>
              <w:t>|</w:t>
            </w:r>
          </w:p>
          <w:p w14:paraId="2486A4B8" w14:textId="77777777" w:rsidR="00DA50F1" w:rsidRPr="009A4DCA" w:rsidRDefault="00DA50F1" w:rsidP="00A03664">
            <w:pPr>
              <w:pStyle w:val="ListParagraph"/>
              <w:suppressLineNumbers/>
              <w:suppressAutoHyphens/>
              <w:spacing w:after="0"/>
              <w:ind w:left="357" w:hanging="357"/>
              <w:rPr>
                <w:rFonts w:ascii="Arial Narrow" w:hAnsi="Arial Narrow"/>
                <w:sz w:val="20"/>
                <w:szCs w:val="20"/>
              </w:rPr>
            </w:pPr>
            <w:r w:rsidRPr="671D06A2">
              <w:rPr>
                <w:rFonts w:ascii="Arial Narrow" w:hAnsi="Arial Narrow"/>
                <w:sz w:val="20"/>
                <w:szCs w:val="20"/>
              </w:rPr>
              <w:t>Administration cost: $</w:t>
            </w:r>
            <w:r w:rsidRPr="00A87CB5">
              <w:rPr>
                <w:rFonts w:ascii="Arial Narrow" w:hAnsi="Arial Narrow"/>
                <w:sz w:val="20"/>
                <w:szCs w:val="20"/>
              </w:rPr>
              <w:t>7</w:t>
            </w:r>
          </w:p>
          <w:p w14:paraId="5C69EC60" w14:textId="5D71B007" w:rsidR="00DA50F1" w:rsidRPr="009A4DCA" w:rsidRDefault="00DA50F1" w:rsidP="00A03664">
            <w:pPr>
              <w:pStyle w:val="ListParagraph"/>
              <w:numPr>
                <w:ilvl w:val="0"/>
                <w:numId w:val="23"/>
              </w:numPr>
              <w:suppressLineNumbers/>
              <w:suppressAutoHyphens/>
              <w:spacing w:after="0"/>
              <w:ind w:left="357" w:hanging="357"/>
              <w:rPr>
                <w:rFonts w:ascii="Arial Narrow" w:hAnsi="Arial Narrow"/>
                <w:sz w:val="20"/>
                <w:szCs w:val="20"/>
              </w:rPr>
            </w:pPr>
            <w:r w:rsidRPr="009A4DCA">
              <w:rPr>
                <w:rFonts w:ascii="Arial Narrow" w:hAnsi="Arial Narrow"/>
                <w:sz w:val="20"/>
                <w:szCs w:val="20"/>
              </w:rPr>
              <w:t>GP visit: Assumed cost is 1.5 times MBS fee (=41.4</w:t>
            </w:r>
            <w:r w:rsidRPr="009A4DCA">
              <w:rPr>
                <w:rFonts w:ascii="Arial Narrow" w:hAnsi="Arial Narrow"/>
                <w:sz w:val="20"/>
                <w:szCs w:val="20"/>
                <w:vertAlign w:val="superscript"/>
              </w:rPr>
              <w:t>a</w:t>
            </w:r>
            <w:r w:rsidRPr="009A4DCA">
              <w:rPr>
                <w:rFonts w:ascii="Arial Narrow" w:hAnsi="Arial Narrow"/>
                <w:sz w:val="20"/>
                <w:szCs w:val="20"/>
              </w:rPr>
              <w:t>*1.5=$62.10)</w:t>
            </w:r>
          </w:p>
          <w:p w14:paraId="68B6CBB1" w14:textId="6D7AD242" w:rsidR="00010DB6" w:rsidRPr="009A4DCA" w:rsidRDefault="00DA50F1" w:rsidP="00A03664">
            <w:pPr>
              <w:pStyle w:val="ListParagraph"/>
              <w:numPr>
                <w:ilvl w:val="0"/>
                <w:numId w:val="23"/>
              </w:numPr>
              <w:suppressLineNumbers/>
              <w:suppressAutoHyphens/>
              <w:spacing w:after="0"/>
              <w:ind w:left="357" w:hanging="357"/>
              <w:rPr>
                <w:rFonts w:ascii="Arial Narrow" w:hAnsi="Arial Narrow"/>
                <w:sz w:val="20"/>
                <w:szCs w:val="20"/>
              </w:rPr>
            </w:pPr>
            <w:r w:rsidRPr="009A4DCA">
              <w:rPr>
                <w:rFonts w:ascii="Arial Narrow" w:hAnsi="Arial Narrow"/>
                <w:sz w:val="20"/>
                <w:szCs w:val="20"/>
              </w:rPr>
              <w:t>Emergency visit: AECC items E0450A, E0450B, E0450C: $1,299.57.</w:t>
            </w:r>
          </w:p>
          <w:p w14:paraId="589730E8" w14:textId="1BE12664" w:rsidR="00DA50F1" w:rsidRPr="009A4DCA" w:rsidRDefault="00DA50F1" w:rsidP="00A03664">
            <w:pPr>
              <w:pStyle w:val="ListParagraph"/>
              <w:numPr>
                <w:ilvl w:val="0"/>
                <w:numId w:val="23"/>
              </w:numPr>
              <w:suppressLineNumbers/>
              <w:suppressAutoHyphens/>
              <w:spacing w:after="0"/>
              <w:ind w:left="357" w:hanging="357"/>
              <w:rPr>
                <w:rFonts w:ascii="Arial Narrow" w:hAnsi="Arial Narrow"/>
                <w:sz w:val="20"/>
                <w:szCs w:val="20"/>
              </w:rPr>
            </w:pPr>
            <w:r w:rsidRPr="009A4DCA">
              <w:rPr>
                <w:rFonts w:ascii="Arial Narrow" w:hAnsi="Arial Narrow"/>
                <w:sz w:val="20"/>
                <w:szCs w:val="20"/>
              </w:rPr>
              <w:t>Hospital admission: AR-DRG E62A and E62B, NHCDC 2020/21: $8,542</w:t>
            </w:r>
            <w:r w:rsidR="005839B3" w:rsidRPr="009A4DCA">
              <w:rPr>
                <w:rFonts w:ascii="Arial Narrow" w:hAnsi="Arial Narrow"/>
                <w:sz w:val="20"/>
                <w:szCs w:val="20"/>
              </w:rPr>
              <w:t>.</w:t>
            </w:r>
            <w:r w:rsidRPr="009A4DCA">
              <w:rPr>
                <w:rFonts w:ascii="Arial Narrow" w:hAnsi="Arial Narrow"/>
                <w:sz w:val="20"/>
                <w:szCs w:val="20"/>
              </w:rPr>
              <w:t>43</w:t>
            </w:r>
          </w:p>
        </w:tc>
      </w:tr>
    </w:tbl>
    <w:p w14:paraId="66AFED56" w14:textId="5EE784A4" w:rsidR="00BB5BC7" w:rsidRPr="009A4DCA" w:rsidRDefault="00DA50F1" w:rsidP="00A03664">
      <w:pPr>
        <w:pStyle w:val="FooterTableFigure"/>
        <w:suppressLineNumbers/>
        <w:suppressAutoHyphens/>
      </w:pPr>
      <w:r w:rsidRPr="009A4DCA">
        <w:t xml:space="preserve">Source: </w:t>
      </w:r>
      <w:r w:rsidR="000216C6" w:rsidRPr="009A4DCA">
        <w:t xml:space="preserve">Table 2.5.7 p70, text pp110-111, </w:t>
      </w:r>
      <w:r w:rsidRPr="009A4DCA">
        <w:t>Table 3.1.1 p103</w:t>
      </w:r>
      <w:r w:rsidR="000216C6" w:rsidRPr="009A4DCA">
        <w:t xml:space="preserve">; </w:t>
      </w:r>
      <w:r w:rsidR="001F14AB" w:rsidRPr="009A4DCA">
        <w:t xml:space="preserve">Table 3.3.1 p107, Table 3.4.2 p112, </w:t>
      </w:r>
      <w:r w:rsidR="000216C6" w:rsidRPr="009A4DCA">
        <w:t>Table 3.5.1 p114 of the submission; Table 3.6.1 p115 of the submission; Economic evaluation workbook ABRYSVO_Older Adults_CEA_July 2024, sheet ‘ABR’</w:t>
      </w:r>
      <w:r w:rsidR="001F14AB" w:rsidRPr="009A4DCA">
        <w:t xml:space="preserve"> and sheet ‘Variables’.</w:t>
      </w:r>
    </w:p>
    <w:p w14:paraId="2FAF6C2F" w14:textId="3E5E8601" w:rsidR="00554B07" w:rsidRPr="009A4DCA" w:rsidRDefault="003F2A73" w:rsidP="00A03664">
      <w:pPr>
        <w:pStyle w:val="FooterTableFigure"/>
        <w:suppressLineNumbers/>
        <w:suppressAutoHyphens/>
      </w:pPr>
      <w:r w:rsidRPr="009A4DCA">
        <w:rPr>
          <w:rFonts w:eastAsiaTheme="majorEastAsia"/>
        </w:rPr>
        <w:t xml:space="preserve">AECC = Australian Emergency Care Classification; </w:t>
      </w:r>
      <w:r w:rsidR="00D635C6" w:rsidRPr="009A4DCA">
        <w:rPr>
          <w:rFonts w:eastAsiaTheme="majorEastAsia"/>
        </w:rPr>
        <w:t xml:space="preserve">AIHW = Australian Institute of Health and Welfare; </w:t>
      </w:r>
      <w:r w:rsidRPr="009A4DCA">
        <w:rPr>
          <w:rFonts w:eastAsiaTheme="majorEastAsia"/>
        </w:rPr>
        <w:t xml:space="preserve">AR-DRG = Australian Refined Diagnosis Related Groups; </w:t>
      </w:r>
      <w:r w:rsidR="00554B07" w:rsidRPr="009A4DCA">
        <w:t xml:space="preserve">ARI = acute respiratory </w:t>
      </w:r>
      <w:r w:rsidR="00DD7AA9" w:rsidRPr="009A4DCA">
        <w:t>illness</w:t>
      </w:r>
      <w:r w:rsidR="00554B07" w:rsidRPr="009A4DCA">
        <w:t xml:space="preserve">; </w:t>
      </w:r>
      <w:r w:rsidR="00D635C6" w:rsidRPr="009A4DCA">
        <w:t xml:space="preserve">ATAGI = Australian Technical Advisory Group on immunisation; </w:t>
      </w:r>
      <w:r w:rsidR="00554B07" w:rsidRPr="009A4DCA">
        <w:t xml:space="preserve">CI = confidence interval; </w:t>
      </w:r>
      <w:r w:rsidR="00D635C6" w:rsidRPr="009A4DCA">
        <w:t xml:space="preserve">DSM = death due to RSV; ED = emergency department; </w:t>
      </w:r>
      <w:r w:rsidR="00554B07" w:rsidRPr="009A4DCA">
        <w:t xml:space="preserve">EOS = End of Season; </w:t>
      </w:r>
      <w:r w:rsidRPr="009A4DCA">
        <w:rPr>
          <w:rFonts w:eastAsiaTheme="majorEastAsia"/>
        </w:rPr>
        <w:t xml:space="preserve">GP = general practice; </w:t>
      </w:r>
      <w:r w:rsidR="00554B07" w:rsidRPr="009A4DCA">
        <w:t>LRT</w:t>
      </w:r>
      <w:r w:rsidR="00D635C6" w:rsidRPr="009A4DCA">
        <w:t>I</w:t>
      </w:r>
      <w:r w:rsidR="00554B07" w:rsidRPr="009A4DCA">
        <w:t xml:space="preserve"> = lower respiratory tract </w:t>
      </w:r>
      <w:r w:rsidR="00D635C6" w:rsidRPr="009A4DCA">
        <w:t>illness</w:t>
      </w:r>
      <w:r w:rsidR="00554B07" w:rsidRPr="009A4DCA">
        <w:t xml:space="preserve">; </w:t>
      </w:r>
      <w:r w:rsidR="00D635C6" w:rsidRPr="009A4DCA">
        <w:t xml:space="preserve">MA = medically attended; </w:t>
      </w:r>
      <w:r w:rsidRPr="009A4DCA">
        <w:rPr>
          <w:rFonts w:eastAsiaTheme="majorEastAsia"/>
        </w:rPr>
        <w:t xml:space="preserve">MBS = medical benefit scheme; </w:t>
      </w:r>
      <w:r w:rsidRPr="009A4DCA">
        <w:t xml:space="preserve">mL=millilitres; NA = not applicable; NIP=National Immunisation Program; NHCDC=National Hospital Cost Data Collection; </w:t>
      </w:r>
      <w:r w:rsidR="00D635C6" w:rsidRPr="009A4DCA">
        <w:t xml:space="preserve">OCM = death from other cause; QALY = quality adjusted life years; </w:t>
      </w:r>
      <w:r w:rsidR="00554B07" w:rsidRPr="009A4DCA">
        <w:t xml:space="preserve">RSV = respiratory syncytial virus; </w:t>
      </w:r>
      <w:r w:rsidRPr="009A4DCA">
        <w:t xml:space="preserve">RSVpreF = recombinant RSV prefusion F protein vaccine; </w:t>
      </w:r>
      <w:r w:rsidR="00554B07" w:rsidRPr="009A4DCA">
        <w:t>SA = sensitivity analysis; VE = vaccine efficacy</w:t>
      </w:r>
      <w:r w:rsidRPr="009A4DCA">
        <w:t>.</w:t>
      </w:r>
    </w:p>
    <w:p w14:paraId="05B04760" w14:textId="0B271481" w:rsidR="00DA50F1" w:rsidRPr="009A4DCA" w:rsidRDefault="00BC32A3" w:rsidP="00A03664">
      <w:pPr>
        <w:pStyle w:val="FooterTableFigure"/>
        <w:suppressLineNumbers/>
        <w:suppressAutoHyphens/>
      </w:pPr>
      <w:r w:rsidRPr="009A4DCA">
        <w:t>a Value has changed to $42.85 ($42.85*1.5=$64.28); however</w:t>
      </w:r>
      <w:r w:rsidR="00D635C6" w:rsidRPr="009A4DCA">
        <w:t>,</w:t>
      </w:r>
      <w:r w:rsidRPr="009A4DCA">
        <w:t xml:space="preserve"> this was not updated during the evaluation. </w:t>
      </w:r>
    </w:p>
    <w:p w14:paraId="56AEDF7A" w14:textId="55D9B88B" w:rsidR="00DA50F1" w:rsidRPr="009A4DCA" w:rsidRDefault="00DA50F1" w:rsidP="003A0F9B">
      <w:pPr>
        <w:pStyle w:val="3-BodyText"/>
        <w:numPr>
          <w:ilvl w:val="1"/>
          <w:numId w:val="1"/>
        </w:numPr>
      </w:pPr>
      <w:r w:rsidRPr="009A4DCA">
        <w:t>The model structure was the same for all populations. Cost-effectiveness was modelled separately for each target population, with a weighted ICER presented across the three populations.</w:t>
      </w:r>
    </w:p>
    <w:p w14:paraId="0DC02E9B" w14:textId="77777777" w:rsidR="00DA50F1" w:rsidRPr="009A4DCA" w:rsidRDefault="00DA50F1" w:rsidP="00DA50F1">
      <w:pPr>
        <w:pStyle w:val="3-BodyText"/>
        <w:numPr>
          <w:ilvl w:val="1"/>
          <w:numId w:val="1"/>
        </w:numPr>
      </w:pPr>
      <w:r w:rsidRPr="009A4DCA">
        <w:t xml:space="preserve">The economic evaluation used a Markov model with two health states: ‘Alive’ and ‘Dead’. </w:t>
      </w:r>
      <w:r w:rsidRPr="009A4DCA">
        <w:rPr>
          <w:lang w:eastAsia="en-US"/>
        </w:rPr>
        <w:t xml:space="preserve">The model estimated RSV cases of medically-attended LRTI (MA-LRTI): hospital admissions, ED visits, outpatient consultations, and deaths. </w:t>
      </w:r>
      <w:r w:rsidRPr="009A4DCA">
        <w:t xml:space="preserve">The model assumed that all individuals started in the ‘Alive’ state and received a single dose of ‘RSVpreF’ or ‘no RSV vaccine’. Within each cycle, individuals in the alive health state may have experienced one of the following events: </w:t>
      </w:r>
    </w:p>
    <w:p w14:paraId="20C89746" w14:textId="77777777" w:rsidR="00DA50F1" w:rsidRPr="009A4DCA" w:rsidRDefault="00DA50F1" w:rsidP="001F4FF1">
      <w:pPr>
        <w:pStyle w:val="3-BodyText"/>
        <w:numPr>
          <w:ilvl w:val="1"/>
          <w:numId w:val="50"/>
        </w:numPr>
        <w:ind w:left="1134"/>
      </w:pPr>
      <w:r w:rsidRPr="009A4DCA">
        <w:t>Outpatient visit;</w:t>
      </w:r>
    </w:p>
    <w:p w14:paraId="4A601D4A" w14:textId="77777777" w:rsidR="00DA50F1" w:rsidRPr="009A4DCA" w:rsidRDefault="00DA50F1" w:rsidP="001F4FF1">
      <w:pPr>
        <w:pStyle w:val="3-BodyText"/>
        <w:numPr>
          <w:ilvl w:val="1"/>
          <w:numId w:val="50"/>
        </w:numPr>
        <w:ind w:left="1134"/>
      </w:pPr>
      <w:r w:rsidRPr="009A4DCA">
        <w:t xml:space="preserve">Emergency visit;  </w:t>
      </w:r>
    </w:p>
    <w:p w14:paraId="645076F3" w14:textId="159C76EC" w:rsidR="00DA50F1" w:rsidRPr="009A4DCA" w:rsidRDefault="00DA50F1" w:rsidP="001F4FF1">
      <w:pPr>
        <w:pStyle w:val="3-BodyText"/>
        <w:numPr>
          <w:ilvl w:val="1"/>
          <w:numId w:val="50"/>
        </w:numPr>
        <w:ind w:left="1134"/>
      </w:pPr>
      <w:r w:rsidRPr="009A4DCA">
        <w:lastRenderedPageBreak/>
        <w:t xml:space="preserve">Hospital </w:t>
      </w:r>
      <w:r w:rsidR="00FD7C2B" w:rsidRPr="009A4DCA">
        <w:t>admission</w:t>
      </w:r>
      <w:r w:rsidRPr="009A4DCA">
        <w:t>;</w:t>
      </w:r>
    </w:p>
    <w:p w14:paraId="7DF024A9" w14:textId="1D313A0C" w:rsidR="00DA50F1" w:rsidRPr="009A4DCA" w:rsidRDefault="00DA50F1" w:rsidP="001F4FF1">
      <w:pPr>
        <w:pStyle w:val="3-BodyText"/>
        <w:numPr>
          <w:ilvl w:val="1"/>
          <w:numId w:val="50"/>
        </w:numPr>
        <w:ind w:left="1134"/>
      </w:pPr>
      <w:r w:rsidRPr="009A4DCA">
        <w:t>Death (RSV disease</w:t>
      </w:r>
      <w:r w:rsidR="00CF5554" w:rsidRPr="009A4DCA">
        <w:t>-</w:t>
      </w:r>
      <w:r w:rsidRPr="009A4DCA">
        <w:t>specific mortality (DSM)); or</w:t>
      </w:r>
    </w:p>
    <w:p w14:paraId="00BB662D" w14:textId="77777777" w:rsidR="00DA50F1" w:rsidRPr="009A4DCA" w:rsidRDefault="00DA50F1" w:rsidP="001F4FF1">
      <w:pPr>
        <w:pStyle w:val="3-BodyText"/>
        <w:numPr>
          <w:ilvl w:val="1"/>
          <w:numId w:val="50"/>
        </w:numPr>
        <w:ind w:left="1134"/>
      </w:pPr>
      <w:r w:rsidRPr="009A4DCA">
        <w:t xml:space="preserve">Death (other cause mortality (OCM)). </w:t>
      </w:r>
    </w:p>
    <w:p w14:paraId="304B8CB6" w14:textId="33F5C05A" w:rsidR="00DA50F1" w:rsidRPr="009A4DCA" w:rsidRDefault="00DA50F1" w:rsidP="00DA50F1">
      <w:pPr>
        <w:pStyle w:val="3-BodyText"/>
        <w:numPr>
          <w:ilvl w:val="0"/>
          <w:numId w:val="0"/>
        </w:numPr>
        <w:ind w:left="720"/>
      </w:pPr>
      <w:r w:rsidRPr="009A4DCA">
        <w:t>The</w:t>
      </w:r>
      <w:r w:rsidR="005E0AF9" w:rsidRPr="009A4DCA">
        <w:t xml:space="preserve"> evaluation and the ESC considered that the</w:t>
      </w:r>
      <w:r w:rsidRPr="009A4DCA">
        <w:t xml:space="preserve"> model structure was reasonable.</w:t>
      </w:r>
    </w:p>
    <w:p w14:paraId="5D61FD14" w14:textId="754A5D7F" w:rsidR="00DA50F1" w:rsidRPr="009A4DCA" w:rsidRDefault="00DA50F1">
      <w:pPr>
        <w:pStyle w:val="3-BodyText"/>
        <w:numPr>
          <w:ilvl w:val="1"/>
          <w:numId w:val="1"/>
        </w:numPr>
        <w:rPr>
          <w:iCs/>
          <w:color w:val="0066FF"/>
        </w:rPr>
      </w:pPr>
      <w:r w:rsidRPr="009A4DCA">
        <w:t xml:space="preserve">The </w:t>
      </w:r>
      <w:r w:rsidR="00B82FD0" w:rsidRPr="009A4DCA">
        <w:t xml:space="preserve">submission’s </w:t>
      </w:r>
      <w:r w:rsidRPr="009A4DCA">
        <w:t xml:space="preserve">model structure differed from the 2-year decision analytic structure presented to ATAGI. The submission reasoned that more mature data were available since the Request for Advice from ATAGI was prepared. </w:t>
      </w:r>
      <w:r w:rsidR="00251482" w:rsidRPr="009A4DCA">
        <w:rPr>
          <w:iCs/>
        </w:rPr>
        <w:t xml:space="preserve">The submission stated that the underlying clinical logic of the model was unchanged and it was only the estimated effect profile of the intervention over time and the structure of the model which had changed (monthly rather than annual cycles, and with fatal cases captured using a conventional Markov process, in combination with other cause mortality (OCM) estimates from Australian life tables, rather than as a single payoff). </w:t>
      </w:r>
      <w:r w:rsidRPr="009A4DCA">
        <w:t>The submission</w:t>
      </w:r>
      <w:r w:rsidR="00B82FD0" w:rsidRPr="009A4DCA">
        <w:t>’s Markov model</w:t>
      </w:r>
      <w:r w:rsidRPr="009A4DCA">
        <w:t xml:space="preserve"> applied a lifetime time horizon which differed based on the starting age for each cohort in the model. </w:t>
      </w:r>
      <w:r w:rsidRPr="009A4DCA">
        <w:rPr>
          <w:iCs/>
        </w:rPr>
        <w:t>The</w:t>
      </w:r>
      <w:r w:rsidR="00704405" w:rsidRPr="009A4DCA">
        <w:rPr>
          <w:iCs/>
        </w:rPr>
        <w:t xml:space="preserve"> evaluation noted that the</w:t>
      </w:r>
      <w:r w:rsidRPr="009A4DCA">
        <w:rPr>
          <w:iCs/>
        </w:rPr>
        <w:t xml:space="preserve"> time horizon ranged from 16.93 years (average age of adults over 75 years: 83.07 years) to 33.</w:t>
      </w:r>
      <w:r w:rsidR="001F4FF1" w:rsidRPr="009A4DCA">
        <w:rPr>
          <w:iCs/>
        </w:rPr>
        <w:t>27</w:t>
      </w:r>
      <w:r w:rsidR="001F4FF1">
        <w:rPr>
          <w:iCs/>
        </w:rPr>
        <w:t> </w:t>
      </w:r>
      <w:r w:rsidRPr="009A4DCA">
        <w:rPr>
          <w:iCs/>
        </w:rPr>
        <w:t>years (average age of Aboriginal and Torres Strait Islander adults: 66.73 years).</w:t>
      </w:r>
    </w:p>
    <w:p w14:paraId="1336E13E" w14:textId="19D1362B" w:rsidR="00DA50F1" w:rsidRPr="009A4DCA" w:rsidRDefault="00DA50F1" w:rsidP="003A0F9B">
      <w:pPr>
        <w:pStyle w:val="3-BodyText"/>
        <w:numPr>
          <w:ilvl w:val="1"/>
          <w:numId w:val="1"/>
        </w:numPr>
      </w:pPr>
      <w:r w:rsidRPr="009A4DCA">
        <w:t xml:space="preserve">The submission assumed VE of RSVpreF </w:t>
      </w:r>
      <w:r w:rsidR="00251482" w:rsidRPr="009A4DCA">
        <w:t>did not vary</w:t>
      </w:r>
      <w:r w:rsidRPr="009A4DCA">
        <w:t xml:space="preserve"> by age and </w:t>
      </w:r>
      <w:r w:rsidR="00CE67B9" w:rsidRPr="009A4DCA">
        <w:t xml:space="preserve">by </w:t>
      </w:r>
      <w:r w:rsidRPr="009A4DCA">
        <w:t>subgroup</w:t>
      </w:r>
      <w:r w:rsidR="004675B9" w:rsidRPr="009A4DCA">
        <w:t xml:space="preserve"> </w:t>
      </w:r>
      <w:r w:rsidR="00A35157" w:rsidRPr="009A4DCA">
        <w:t>(</w:t>
      </w:r>
      <w:r w:rsidR="004675B9" w:rsidRPr="009A4DCA">
        <w:t>adults with a pre-specified condition</w:t>
      </w:r>
      <w:r w:rsidR="00A35157" w:rsidRPr="009A4DCA">
        <w:t>)</w:t>
      </w:r>
      <w:r w:rsidR="004675B9" w:rsidRPr="009A4DCA">
        <w:t xml:space="preserve">. </w:t>
      </w:r>
      <w:r w:rsidR="004A57D7" w:rsidRPr="009A4DCA">
        <w:rPr>
          <w:rFonts w:eastAsia="Calibri"/>
        </w:rPr>
        <w:t>E</w:t>
      </w:r>
      <w:r w:rsidRPr="009A4DCA">
        <w:rPr>
          <w:rFonts w:eastAsia="Calibri"/>
        </w:rPr>
        <w:t>fficacy</w:t>
      </w:r>
      <w:r w:rsidRPr="009A4DCA">
        <w:t xml:space="preserve"> estimates for the evaluable efficacy population in RENOIR included participants </w:t>
      </w:r>
      <w:r w:rsidR="001F4FF1" w:rsidRPr="009A4DCA">
        <w:t>aged</w:t>
      </w:r>
      <w:r w:rsidR="001F4FF1">
        <w:t xml:space="preserve"> </w:t>
      </w:r>
      <w:r w:rsidRPr="009A4DCA">
        <w:rPr>
          <w:rFonts w:cstheme="minorHAnsi"/>
        </w:rPr>
        <w:t>≥</w:t>
      </w:r>
      <w:r w:rsidRPr="009A4DCA">
        <w:t xml:space="preserve">60 years. The population in RENOIR was younger than </w:t>
      </w:r>
      <w:r w:rsidR="0079559F" w:rsidRPr="009A4DCA">
        <w:t xml:space="preserve">one of </w:t>
      </w:r>
      <w:r w:rsidRPr="009A4DCA">
        <w:t>the target population</w:t>
      </w:r>
      <w:r w:rsidR="0079559F" w:rsidRPr="009A4DCA">
        <w:t>s</w:t>
      </w:r>
      <w:r w:rsidRPr="009A4DCA">
        <w:t xml:space="preserve"> of adults aged ≥75 years</w:t>
      </w:r>
      <w:r w:rsidR="00057852" w:rsidRPr="009A4DCA">
        <w:t xml:space="preserve"> (mean age at vaccination: 68 years</w:t>
      </w:r>
      <w:r w:rsidR="00132402" w:rsidRPr="009A4DCA">
        <w:t xml:space="preserve">, paragraph </w:t>
      </w:r>
      <w:r w:rsidR="00080CAF" w:rsidRPr="009A4DCA">
        <w:fldChar w:fldCharType="begin"/>
      </w:r>
      <w:r w:rsidR="00080CAF" w:rsidRPr="009A4DCA">
        <w:instrText xml:space="preserve"> REF _Ref182419380 \r \h  \* MERGEFORMAT </w:instrText>
      </w:r>
      <w:r w:rsidR="00080CAF" w:rsidRPr="009A4DCA">
        <w:fldChar w:fldCharType="separate"/>
      </w:r>
      <w:r w:rsidR="007B2F50">
        <w:t>6.10</w:t>
      </w:r>
      <w:r w:rsidR="00080CAF" w:rsidRPr="009A4DCA">
        <w:fldChar w:fldCharType="end"/>
      </w:r>
      <w:r w:rsidR="00057852" w:rsidRPr="009A4DCA">
        <w:t>)</w:t>
      </w:r>
      <w:r w:rsidR="00784EF6" w:rsidRPr="009A4DCA">
        <w:t>, and</w:t>
      </w:r>
      <w:r w:rsidR="005C2886" w:rsidRPr="009A4DCA">
        <w:t xml:space="preserve"> approximately half of participants (51.6%) had a prespecified high-risk condition at baseline</w:t>
      </w:r>
      <w:r w:rsidRPr="009A4DCA">
        <w:t>.</w:t>
      </w:r>
      <w:r w:rsidR="00902D46" w:rsidRPr="009A4DCA">
        <w:t xml:space="preserve"> </w:t>
      </w:r>
      <w:r w:rsidRPr="009A4DCA">
        <w:rPr>
          <w:rFonts w:cstheme="minorHAnsi"/>
        </w:rPr>
        <w:t>The point estimate results for VE against RSV ≥2 symptoms for the evaluable efficacy population were similar to those for the population of adults with ≥1 pre-specified condition</w:t>
      </w:r>
      <w:r w:rsidR="00023D16" w:rsidRPr="009A4DCA">
        <w:rPr>
          <w:rFonts w:cstheme="minorHAnsi"/>
        </w:rPr>
        <w:t xml:space="preserve"> </w:t>
      </w:r>
      <w:r w:rsidR="00023D16" w:rsidRPr="009A4DCA">
        <w:rPr>
          <w:iCs/>
        </w:rPr>
        <w:t>(</w:t>
      </w:r>
      <w:r w:rsidR="00023D16" w:rsidRPr="009A4DCA">
        <w:rPr>
          <w:iCs/>
        </w:rPr>
        <w:fldChar w:fldCharType="begin"/>
      </w:r>
      <w:r w:rsidR="00023D16" w:rsidRPr="009A4DCA">
        <w:rPr>
          <w:iCs/>
        </w:rPr>
        <w:instrText xml:space="preserve"> REF _Ref175594182 \h </w:instrText>
      </w:r>
      <w:r w:rsidR="00023D16" w:rsidRPr="009A4DCA">
        <w:rPr>
          <w:iCs/>
        </w:rPr>
      </w:r>
      <w:r w:rsidR="00023D16" w:rsidRPr="009A4DCA">
        <w:rPr>
          <w:iCs/>
        </w:rPr>
        <w:fldChar w:fldCharType="separate"/>
      </w:r>
      <w:r w:rsidR="007B2F50" w:rsidRPr="009A4DCA">
        <w:t xml:space="preserve">Table </w:t>
      </w:r>
      <w:r w:rsidR="007B2F50">
        <w:rPr>
          <w:noProof/>
        </w:rPr>
        <w:t>8</w:t>
      </w:r>
      <w:r w:rsidR="00023D16" w:rsidRPr="009A4DCA">
        <w:rPr>
          <w:iCs/>
        </w:rPr>
        <w:fldChar w:fldCharType="end"/>
      </w:r>
      <w:r w:rsidR="00023D16" w:rsidRPr="009A4DCA">
        <w:rPr>
          <w:rFonts w:cstheme="minorHAnsi"/>
        </w:rPr>
        <w:t>)</w:t>
      </w:r>
      <w:r w:rsidRPr="009A4DCA">
        <w:rPr>
          <w:rFonts w:cstheme="minorHAnsi"/>
        </w:rPr>
        <w:t xml:space="preserve">; however, the </w:t>
      </w:r>
      <w:r w:rsidR="009D4FA1" w:rsidRPr="009A4DCA">
        <w:rPr>
          <w:rFonts w:cstheme="minorHAnsi"/>
        </w:rPr>
        <w:t xml:space="preserve">confidence interval </w:t>
      </w:r>
      <w:r w:rsidRPr="009A4DCA">
        <w:rPr>
          <w:rFonts w:cstheme="minorHAnsi"/>
        </w:rPr>
        <w:t>for adults aged ≥75 years crosses zero</w:t>
      </w:r>
      <w:r w:rsidR="00C259C2" w:rsidRPr="009A4DCA">
        <w:rPr>
          <w:rFonts w:cstheme="minorHAnsi"/>
        </w:rPr>
        <w:t xml:space="preserve"> (</w:t>
      </w:r>
      <w:r w:rsidR="00C259C2" w:rsidRPr="009A4DCA">
        <w:rPr>
          <w:rFonts w:cstheme="minorHAnsi"/>
        </w:rPr>
        <w:fldChar w:fldCharType="begin"/>
      </w:r>
      <w:r w:rsidR="00C259C2" w:rsidRPr="009A4DCA">
        <w:rPr>
          <w:rFonts w:cstheme="minorHAnsi"/>
        </w:rPr>
        <w:instrText xml:space="preserve"> REF _Ref175592888 \h </w:instrText>
      </w:r>
      <w:r w:rsidR="00C259C2" w:rsidRPr="009A4DCA">
        <w:rPr>
          <w:rFonts w:cstheme="minorHAnsi"/>
        </w:rPr>
      </w:r>
      <w:r w:rsidR="00C259C2" w:rsidRPr="009A4DCA">
        <w:rPr>
          <w:rFonts w:cstheme="minorHAnsi"/>
        </w:rPr>
        <w:fldChar w:fldCharType="separate"/>
      </w:r>
      <w:r w:rsidR="007B2F50" w:rsidRPr="009A4DCA">
        <w:t xml:space="preserve">Table </w:t>
      </w:r>
      <w:r w:rsidR="007B2F50">
        <w:rPr>
          <w:noProof/>
        </w:rPr>
        <w:t>9</w:t>
      </w:r>
      <w:r w:rsidR="00C259C2" w:rsidRPr="009A4DCA">
        <w:rPr>
          <w:rFonts w:cstheme="minorHAnsi"/>
        </w:rPr>
        <w:fldChar w:fldCharType="end"/>
      </w:r>
      <w:r w:rsidR="00C259C2" w:rsidRPr="009A4DCA">
        <w:rPr>
          <w:rFonts w:cstheme="minorHAnsi"/>
        </w:rPr>
        <w:t>)</w:t>
      </w:r>
      <w:r w:rsidRPr="009A4DCA">
        <w:rPr>
          <w:rFonts w:cstheme="minorHAnsi"/>
        </w:rPr>
        <w:t xml:space="preserve">. </w:t>
      </w:r>
    </w:p>
    <w:p w14:paraId="3B6BB1C9" w14:textId="286A0C4F" w:rsidR="00DA50F1" w:rsidRPr="009A4DCA" w:rsidRDefault="00DA50F1" w:rsidP="003A0F9B">
      <w:pPr>
        <w:pStyle w:val="3-BodyText"/>
        <w:numPr>
          <w:ilvl w:val="1"/>
          <w:numId w:val="1"/>
        </w:numPr>
        <w:rPr>
          <w:iCs/>
          <w:color w:val="0066FF"/>
        </w:rPr>
      </w:pPr>
      <w:bookmarkStart w:id="65" w:name="_Ref183032198"/>
      <w:r w:rsidRPr="009A4DCA">
        <w:rPr>
          <w:iCs/>
        </w:rPr>
        <w:t>ATAGI stated (ATAGI response to PBAC post-submission questions, August 2024), that it is expected that older people, or people with a slightly lower mean age who are considered medically at-risk may have lower immune responses and thus a lower VE following an RSV vaccination. A lower VE may also be observed in Aboriginal and Torres Strait Islander peoples, due to higher rates of medical risk factors and comorbidities. The subgroup analysis by age from RENOIR indicated a lower VE point estimate for 60-</w:t>
      </w:r>
      <w:r w:rsidR="00F92526" w:rsidRPr="009A4DCA">
        <w:rPr>
          <w:iCs/>
        </w:rPr>
        <w:t xml:space="preserve">69 </w:t>
      </w:r>
      <w:r w:rsidRPr="009A4DCA">
        <w:rPr>
          <w:iCs/>
        </w:rPr>
        <w:t>years than 70-79 years and 80+ years (these latter age groups were similar), with wide and overlapping CIs</w:t>
      </w:r>
      <w:r w:rsidR="00190A7A" w:rsidRPr="009A4DCA">
        <w:rPr>
          <w:iCs/>
        </w:rPr>
        <w:t xml:space="preserve"> (</w:t>
      </w:r>
      <w:r w:rsidR="00EC1A21" w:rsidRPr="009A4DCA">
        <w:rPr>
          <w:iCs/>
        </w:rPr>
        <w:fldChar w:fldCharType="begin"/>
      </w:r>
      <w:r w:rsidR="00EC1A21" w:rsidRPr="009A4DCA">
        <w:rPr>
          <w:iCs/>
        </w:rPr>
        <w:instrText xml:space="preserve"> REF _Ref177223293 \h </w:instrText>
      </w:r>
      <w:r w:rsidR="00EC1A21" w:rsidRPr="009A4DCA">
        <w:rPr>
          <w:iCs/>
        </w:rPr>
      </w:r>
      <w:r w:rsidR="00EC1A21" w:rsidRPr="009A4DCA">
        <w:rPr>
          <w:iCs/>
        </w:rPr>
        <w:fldChar w:fldCharType="separate"/>
      </w:r>
      <w:r w:rsidR="007B2F50" w:rsidRPr="009A4DCA">
        <w:t xml:space="preserve">Table </w:t>
      </w:r>
      <w:r w:rsidR="007B2F50">
        <w:rPr>
          <w:noProof/>
        </w:rPr>
        <w:t>7</w:t>
      </w:r>
      <w:r w:rsidR="00EC1A21" w:rsidRPr="009A4DCA">
        <w:rPr>
          <w:iCs/>
        </w:rPr>
        <w:fldChar w:fldCharType="end"/>
      </w:r>
      <w:r w:rsidR="00EC1A21" w:rsidRPr="009A4DCA">
        <w:rPr>
          <w:iCs/>
        </w:rPr>
        <w:t>)</w:t>
      </w:r>
      <w:r w:rsidRPr="009A4DCA">
        <w:rPr>
          <w:iCs/>
        </w:rPr>
        <w:t>. Similarly, point estimates for those with ≥1 pre</w:t>
      </w:r>
      <w:r w:rsidR="007D72FE" w:rsidRPr="009A4DCA">
        <w:rPr>
          <w:iCs/>
        </w:rPr>
        <w:t>-</w:t>
      </w:r>
      <w:r w:rsidRPr="009A4DCA">
        <w:rPr>
          <w:iCs/>
        </w:rPr>
        <w:t>specified condition were slightly lower</w:t>
      </w:r>
      <w:r w:rsidR="00995777" w:rsidRPr="009A4DCA">
        <w:rPr>
          <w:iCs/>
        </w:rPr>
        <w:t xml:space="preserve"> </w:t>
      </w:r>
      <w:r w:rsidR="00AB7F00" w:rsidRPr="009A4DCA">
        <w:rPr>
          <w:iCs/>
        </w:rPr>
        <w:t xml:space="preserve">compared with the </w:t>
      </w:r>
      <w:r w:rsidR="00AB7F00" w:rsidRPr="009A4DCA">
        <w:rPr>
          <w:rFonts w:cstheme="minorHAnsi"/>
        </w:rPr>
        <w:t xml:space="preserve">evaluable efficacy population </w:t>
      </w:r>
      <w:r w:rsidR="00995777" w:rsidRPr="009A4DCA">
        <w:rPr>
          <w:iCs/>
        </w:rPr>
        <w:t>(</w:t>
      </w:r>
      <w:r w:rsidR="00995777" w:rsidRPr="009A4DCA">
        <w:rPr>
          <w:iCs/>
        </w:rPr>
        <w:fldChar w:fldCharType="begin"/>
      </w:r>
      <w:r w:rsidR="00995777" w:rsidRPr="009A4DCA">
        <w:rPr>
          <w:iCs/>
        </w:rPr>
        <w:instrText xml:space="preserve"> REF _Ref175594182 \h </w:instrText>
      </w:r>
      <w:r w:rsidR="00995777" w:rsidRPr="009A4DCA">
        <w:rPr>
          <w:iCs/>
        </w:rPr>
      </w:r>
      <w:r w:rsidR="00995777" w:rsidRPr="009A4DCA">
        <w:rPr>
          <w:iCs/>
        </w:rPr>
        <w:fldChar w:fldCharType="separate"/>
      </w:r>
      <w:r w:rsidR="007B2F50" w:rsidRPr="009A4DCA">
        <w:t xml:space="preserve">Table </w:t>
      </w:r>
      <w:r w:rsidR="007B2F50">
        <w:rPr>
          <w:noProof/>
        </w:rPr>
        <w:t>8</w:t>
      </w:r>
      <w:r w:rsidR="00995777" w:rsidRPr="009A4DCA">
        <w:rPr>
          <w:iCs/>
        </w:rPr>
        <w:fldChar w:fldCharType="end"/>
      </w:r>
      <w:r w:rsidR="00995777" w:rsidRPr="009A4DCA">
        <w:rPr>
          <w:iCs/>
        </w:rPr>
        <w:t>)</w:t>
      </w:r>
      <w:r w:rsidRPr="009A4DCA">
        <w:rPr>
          <w:iCs/>
        </w:rPr>
        <w:t xml:space="preserve">, and lower still for those with ≥1 chronic cardiopulmonary conditions. </w:t>
      </w:r>
      <w:r w:rsidR="008C7BF7" w:rsidRPr="009A4DCA">
        <w:rPr>
          <w:iCs/>
        </w:rPr>
        <w:t xml:space="preserve">The </w:t>
      </w:r>
      <w:r w:rsidRPr="009A4DCA">
        <w:rPr>
          <w:iCs/>
        </w:rPr>
        <w:t xml:space="preserve">ATAGI considered that in the absence of detailed evidence, it </w:t>
      </w:r>
      <w:r w:rsidR="00316DFC" w:rsidRPr="009A4DCA">
        <w:rPr>
          <w:iCs/>
        </w:rPr>
        <w:t>wa</w:t>
      </w:r>
      <w:r w:rsidRPr="009A4DCA">
        <w:rPr>
          <w:iCs/>
        </w:rPr>
        <w:t xml:space="preserve">s appropriate to use the values from </w:t>
      </w:r>
      <w:r w:rsidR="008C7BF7" w:rsidRPr="009A4DCA">
        <w:rPr>
          <w:iCs/>
        </w:rPr>
        <w:t xml:space="preserve">the </w:t>
      </w:r>
      <w:r w:rsidR="008C7BF7" w:rsidRPr="009A4DCA">
        <w:rPr>
          <w:rFonts w:cstheme="minorHAnsi"/>
        </w:rPr>
        <w:t xml:space="preserve">evaluable efficacy population </w:t>
      </w:r>
      <w:r w:rsidR="008C7BF7" w:rsidRPr="009A4DCA">
        <w:rPr>
          <w:iCs/>
        </w:rPr>
        <w:t xml:space="preserve">of </w:t>
      </w:r>
      <w:r w:rsidRPr="009A4DCA">
        <w:rPr>
          <w:iCs/>
        </w:rPr>
        <w:t>RENOIR as the base case VE for each of these groups. Sensitivity analyses using CIs would provide a potential range of impact for the vaccine in each population (ATAGI response to PBAC post-submission questions, August 2024).</w:t>
      </w:r>
      <w:r w:rsidR="006C7A5C" w:rsidRPr="009A4DCA">
        <w:rPr>
          <w:iCs/>
        </w:rPr>
        <w:t xml:space="preserve"> </w:t>
      </w:r>
      <w:r w:rsidR="006C7A5C" w:rsidRPr="009A4DCA">
        <w:rPr>
          <w:rFonts w:cstheme="minorHAnsi"/>
          <w:iCs/>
        </w:rPr>
        <w:t xml:space="preserve">The model results were not sensitive to the assumption for VE against RSV for outpatient and emergency </w:t>
      </w:r>
      <w:r w:rsidR="006C7A5C" w:rsidRPr="009A4DCA">
        <w:rPr>
          <w:rFonts w:cstheme="minorHAnsi"/>
          <w:iCs/>
        </w:rPr>
        <w:lastRenderedPageBreak/>
        <w:t>visits; however, the model results were sensitive to assumptions for VE against RSV hospitalisation.</w:t>
      </w:r>
      <w:bookmarkEnd w:id="65"/>
    </w:p>
    <w:p w14:paraId="2D903095" w14:textId="1816CAFF" w:rsidR="00DA50F1" w:rsidRPr="009A4DCA" w:rsidRDefault="00DA50F1" w:rsidP="00DA50F1">
      <w:pPr>
        <w:pStyle w:val="3-BodyText"/>
        <w:numPr>
          <w:ilvl w:val="1"/>
          <w:numId w:val="1"/>
        </w:numPr>
      </w:pPr>
      <w:r w:rsidRPr="009A4DCA">
        <w:t xml:space="preserve">Three </w:t>
      </w:r>
      <w:r w:rsidR="002D4EF3" w:rsidRPr="009A4DCA">
        <w:t xml:space="preserve">exploratory </w:t>
      </w:r>
      <w:r w:rsidRPr="009A4DCA">
        <w:t>outcomes from RENOIR were used to inform VE of RSVpreF in the model:</w:t>
      </w:r>
    </w:p>
    <w:p w14:paraId="0FA47F53" w14:textId="1B7EE77C" w:rsidR="00DA50F1" w:rsidRPr="009A4DCA" w:rsidRDefault="00DA50F1" w:rsidP="00C6762E">
      <w:pPr>
        <w:pStyle w:val="ListParagraph"/>
        <w:numPr>
          <w:ilvl w:val="0"/>
          <w:numId w:val="14"/>
        </w:numPr>
        <w:ind w:left="1134"/>
        <w:jc w:val="both"/>
        <w:rPr>
          <w:rFonts w:eastAsia="Calibri" w:cstheme="minorBidi"/>
          <w:snapToGrid/>
          <w:szCs w:val="22"/>
        </w:rPr>
      </w:pPr>
      <w:r w:rsidRPr="009A4DCA">
        <w:rPr>
          <w:rFonts w:eastAsia="Calibri" w:cstheme="minorBidi"/>
          <w:snapToGrid/>
          <w:szCs w:val="22"/>
        </w:rPr>
        <w:t xml:space="preserve">VE against RSV-outpatients visits was informed by VE against RSV-ARI that prompted a health care visit. ATAGI did not agree that use of this outcome was appropriate (ATAGI Pre-Submission Advice to PBAC, December 2023). This was largely </w:t>
      </w:r>
      <w:r w:rsidR="00526C79" w:rsidRPr="009A4DCA">
        <w:rPr>
          <w:rFonts w:eastAsia="Calibri" w:cstheme="minorBidi"/>
          <w:snapToGrid/>
          <w:szCs w:val="22"/>
        </w:rPr>
        <w:t xml:space="preserve">because </w:t>
      </w:r>
      <w:r w:rsidRPr="009A4DCA">
        <w:rPr>
          <w:rFonts w:eastAsia="Calibri" w:cstheme="minorBidi"/>
          <w:snapToGrid/>
          <w:szCs w:val="22"/>
        </w:rPr>
        <w:t xml:space="preserve">such use within the trial may reflect practice in the US that may differ from practice in Australia. The RENOIR </w:t>
      </w:r>
      <w:r w:rsidR="000742A2" w:rsidRPr="009A4DCA">
        <w:rPr>
          <w:rFonts w:eastAsia="Calibri" w:cstheme="minorBidi"/>
          <w:snapToGrid/>
          <w:szCs w:val="22"/>
        </w:rPr>
        <w:t>Clinical Study Report</w:t>
      </w:r>
      <w:r w:rsidRPr="009A4DCA">
        <w:rPr>
          <w:rFonts w:eastAsia="Calibri" w:cstheme="minorBidi"/>
          <w:snapToGrid/>
          <w:szCs w:val="22"/>
        </w:rPr>
        <w:t xml:space="preserve"> did not provide a breakdown of whether cases prompting a healthcare visit resulted in an inpatient or outpatient visit. ATAGI considered that VE against RSV-LRTI ≥</w:t>
      </w:r>
      <w:r w:rsidR="001F4FF1" w:rsidRPr="009A4DCA">
        <w:rPr>
          <w:rFonts w:eastAsia="Calibri" w:cstheme="minorBidi"/>
          <w:snapToGrid/>
          <w:szCs w:val="22"/>
        </w:rPr>
        <w:t>2</w:t>
      </w:r>
      <w:r w:rsidR="001F4FF1">
        <w:rPr>
          <w:rFonts w:eastAsia="Calibri" w:cstheme="minorBidi"/>
          <w:snapToGrid/>
          <w:szCs w:val="22"/>
        </w:rPr>
        <w:t> </w:t>
      </w:r>
      <w:r w:rsidRPr="009A4DCA">
        <w:rPr>
          <w:rFonts w:eastAsia="Calibri" w:cstheme="minorBidi"/>
          <w:snapToGrid/>
          <w:szCs w:val="22"/>
        </w:rPr>
        <w:t>symptoms for VE relating to outpatient visits (VE: 65.1%; based on 58 cases</w:t>
      </w:r>
      <w:r w:rsidR="00567F16" w:rsidRPr="009A4DCA">
        <w:rPr>
          <w:rFonts w:eastAsia="Calibri" w:cstheme="minorBidi"/>
          <w:snapToGrid/>
          <w:szCs w:val="22"/>
        </w:rPr>
        <w:t xml:space="preserve"> in Season 1</w:t>
      </w:r>
      <w:r w:rsidRPr="009A4DCA">
        <w:rPr>
          <w:rFonts w:eastAsia="Calibri" w:cstheme="minorBidi"/>
          <w:snapToGrid/>
          <w:szCs w:val="22"/>
        </w:rPr>
        <w:t xml:space="preserve">) should be used to inform this outcome in the model. </w:t>
      </w:r>
      <w:r w:rsidR="00526C79" w:rsidRPr="009A4DCA">
        <w:rPr>
          <w:rFonts w:eastAsia="Calibri" w:cstheme="minorBidi"/>
          <w:snapToGrid/>
          <w:szCs w:val="22"/>
        </w:rPr>
        <w:t>VE</w:t>
      </w:r>
      <w:r w:rsidR="00FE5DB5" w:rsidRPr="009A4DCA">
        <w:rPr>
          <w:rFonts w:eastAsia="Calibri" w:cstheme="minorBidi"/>
          <w:snapToGrid/>
          <w:szCs w:val="22"/>
        </w:rPr>
        <w:t xml:space="preserve"> results for the two outcomes were the same for Season 1</w:t>
      </w:r>
      <w:r w:rsidR="00526C79" w:rsidRPr="009A4DCA">
        <w:rPr>
          <w:rFonts w:eastAsia="Calibri" w:cstheme="minorBidi"/>
          <w:snapToGrid/>
          <w:szCs w:val="22"/>
        </w:rPr>
        <w:t xml:space="preserve">, </w:t>
      </w:r>
      <w:r w:rsidR="00FE5DB5" w:rsidRPr="009A4DCA">
        <w:rPr>
          <w:rFonts w:eastAsia="Calibri" w:cstheme="minorBidi"/>
          <w:snapToGrid/>
          <w:szCs w:val="22"/>
        </w:rPr>
        <w:t xml:space="preserve">i.e. </w:t>
      </w:r>
      <w:r w:rsidR="00526C79" w:rsidRPr="009A4DCA">
        <w:rPr>
          <w:rFonts w:eastAsia="Calibri" w:cstheme="minorBidi"/>
          <w:snapToGrid/>
          <w:szCs w:val="22"/>
        </w:rPr>
        <w:t xml:space="preserve">65.1% (95% CI, 35.9 to 82.0); however, VE results in Season 2 and across 2 seasons were lower for the outcome ‘RSV-ARI that prompted a healthcare visit’ compared to ‘RSV-LRTI with </w:t>
      </w:r>
      <w:r w:rsidR="00526C79" w:rsidRPr="009A4DCA">
        <w:rPr>
          <w:rFonts w:eastAsia="Calibri" w:cstheme="minorHAnsi"/>
          <w:snapToGrid/>
          <w:szCs w:val="22"/>
        </w:rPr>
        <w:t>≥</w:t>
      </w:r>
      <w:r w:rsidR="00526C79" w:rsidRPr="009A4DCA">
        <w:rPr>
          <w:rFonts w:eastAsia="Calibri" w:cstheme="minorBidi"/>
          <w:snapToGrid/>
          <w:szCs w:val="22"/>
        </w:rPr>
        <w:t>2</w:t>
      </w:r>
      <w:r w:rsidR="001F4FF1">
        <w:rPr>
          <w:rFonts w:eastAsia="Calibri" w:cstheme="minorBidi"/>
          <w:snapToGrid/>
          <w:szCs w:val="22"/>
        </w:rPr>
        <w:t> </w:t>
      </w:r>
      <w:r w:rsidR="00526C79" w:rsidRPr="009A4DCA">
        <w:rPr>
          <w:rFonts w:eastAsia="Calibri" w:cstheme="minorBidi"/>
          <w:snapToGrid/>
          <w:szCs w:val="22"/>
        </w:rPr>
        <w:t>symptoms for all cases’.</w:t>
      </w:r>
      <w:r w:rsidR="00791EB1" w:rsidRPr="009A4DCA">
        <w:rPr>
          <w:rFonts w:eastAsia="Calibri" w:cstheme="minorBidi"/>
          <w:snapToGrid/>
          <w:szCs w:val="22"/>
        </w:rPr>
        <w:t xml:space="preserve"> </w:t>
      </w:r>
      <w:r w:rsidR="00B27C6D" w:rsidRPr="009A4DCA">
        <w:rPr>
          <w:rFonts w:eastAsia="Calibri"/>
        </w:rPr>
        <w:t xml:space="preserve">The evaluation and the ESC noted that </w:t>
      </w:r>
      <w:r w:rsidR="00B27C6D" w:rsidRPr="009A4DCA">
        <w:rPr>
          <w:rFonts w:eastAsia="Calibri" w:cstheme="minorBidi"/>
          <w:snapToGrid/>
          <w:szCs w:val="22"/>
        </w:rPr>
        <w:t>a</w:t>
      </w:r>
      <w:r w:rsidR="00791EB1" w:rsidRPr="009A4DCA">
        <w:rPr>
          <w:rFonts w:eastAsia="Calibri" w:cstheme="minorBidi"/>
          <w:snapToGrid/>
          <w:szCs w:val="22"/>
        </w:rPr>
        <w:t>ssumptions pertaining to VE against RSV-outpatients visits were not a main driver in the model.</w:t>
      </w:r>
    </w:p>
    <w:p w14:paraId="34B559A9" w14:textId="3D534B36" w:rsidR="00DA50F1" w:rsidRPr="009A4DCA" w:rsidRDefault="00DA50F1" w:rsidP="00C6762E">
      <w:pPr>
        <w:pStyle w:val="ListParagraph"/>
        <w:numPr>
          <w:ilvl w:val="0"/>
          <w:numId w:val="14"/>
        </w:numPr>
        <w:ind w:left="1134"/>
        <w:jc w:val="both"/>
        <w:rPr>
          <w:rFonts w:eastAsia="Calibri"/>
        </w:rPr>
      </w:pPr>
      <w:r w:rsidRPr="009A4DCA">
        <w:rPr>
          <w:rFonts w:eastAsia="Calibri"/>
        </w:rPr>
        <w:t>VE against RSV-emergency was informed by VE against RSV-LRTI with ≥2</w:t>
      </w:r>
      <w:r w:rsidR="001F4FF1">
        <w:rPr>
          <w:rFonts w:eastAsia="Calibri"/>
        </w:rPr>
        <w:t> </w:t>
      </w:r>
      <w:r w:rsidRPr="009A4DCA">
        <w:rPr>
          <w:rFonts w:eastAsia="Calibri"/>
        </w:rPr>
        <w:t xml:space="preserve">symptoms that prompted a health care visit. </w:t>
      </w:r>
      <w:r w:rsidR="00704405" w:rsidRPr="009A4DCA">
        <w:rPr>
          <w:rFonts w:eastAsia="Calibri"/>
        </w:rPr>
        <w:t>The evaluation</w:t>
      </w:r>
      <w:r w:rsidR="00E24C9A" w:rsidRPr="009A4DCA">
        <w:rPr>
          <w:rFonts w:eastAsia="Calibri"/>
        </w:rPr>
        <w:t xml:space="preserve"> and the ESC</w:t>
      </w:r>
      <w:r w:rsidR="00704405" w:rsidRPr="009A4DCA">
        <w:rPr>
          <w:rFonts w:eastAsia="Calibri"/>
        </w:rPr>
        <w:t xml:space="preserve"> noted that t</w:t>
      </w:r>
      <w:r w:rsidR="00060B8F" w:rsidRPr="009A4DCA">
        <w:rPr>
          <w:rFonts w:eastAsia="Calibri"/>
        </w:rPr>
        <w:t xml:space="preserve">his </w:t>
      </w:r>
      <w:r w:rsidR="00035BAD" w:rsidRPr="009A4DCA">
        <w:rPr>
          <w:rFonts w:eastAsia="Calibri"/>
        </w:rPr>
        <w:t xml:space="preserve">was </w:t>
      </w:r>
      <w:r w:rsidR="00060B8F" w:rsidRPr="009A4DCA">
        <w:rPr>
          <w:rFonts w:eastAsia="Calibri"/>
        </w:rPr>
        <w:t xml:space="preserve">consistent with ATAGI </w:t>
      </w:r>
      <w:r w:rsidR="004F5FC4" w:rsidRPr="009A4DCA">
        <w:rPr>
          <w:rFonts w:eastAsia="Calibri"/>
        </w:rPr>
        <w:t xml:space="preserve">advice; </w:t>
      </w:r>
      <w:r w:rsidRPr="009A4DCA">
        <w:rPr>
          <w:rFonts w:eastAsia="Calibri"/>
        </w:rPr>
        <w:t xml:space="preserve">ATAGI considered that medically-attended RSV-LRTI with ≥2 symptoms could be applied to emergency cases (ATAGI Advice December 2023). </w:t>
      </w:r>
    </w:p>
    <w:p w14:paraId="2C3D7F50" w14:textId="3F79225F" w:rsidR="00DA50F1" w:rsidRPr="009A4DCA" w:rsidRDefault="00DA50F1" w:rsidP="00C6762E">
      <w:pPr>
        <w:pStyle w:val="ListParagraph"/>
        <w:numPr>
          <w:ilvl w:val="0"/>
          <w:numId w:val="14"/>
        </w:numPr>
        <w:ind w:left="1134"/>
        <w:jc w:val="both"/>
        <w:rPr>
          <w:rFonts w:eastAsia="Calibri"/>
        </w:rPr>
      </w:pPr>
      <w:r w:rsidRPr="009A4DCA">
        <w:rPr>
          <w:rFonts w:eastAsia="Calibri"/>
        </w:rPr>
        <w:t>VE against RSV-hospitalisation was informed by VE against RSV-LRTI with ≥</w:t>
      </w:r>
      <w:r w:rsidR="001F4FF1" w:rsidRPr="009A4DCA">
        <w:rPr>
          <w:rFonts w:eastAsia="Calibri"/>
        </w:rPr>
        <w:t>3</w:t>
      </w:r>
      <w:r w:rsidR="001F4FF1">
        <w:rPr>
          <w:rFonts w:eastAsia="Calibri"/>
        </w:rPr>
        <w:t> </w:t>
      </w:r>
      <w:r w:rsidRPr="009A4DCA">
        <w:rPr>
          <w:rFonts w:eastAsia="Calibri"/>
        </w:rPr>
        <w:t xml:space="preserve">symptoms that prompted a health care visit. </w:t>
      </w:r>
      <w:r w:rsidR="00E24C9A" w:rsidRPr="009A4DCA">
        <w:rPr>
          <w:rFonts w:eastAsia="Calibri"/>
        </w:rPr>
        <w:t>The evaluation and the ESC noted that t</w:t>
      </w:r>
      <w:r w:rsidR="004F5FC4" w:rsidRPr="009A4DCA">
        <w:rPr>
          <w:rFonts w:eastAsia="Calibri"/>
        </w:rPr>
        <w:t xml:space="preserve">his </w:t>
      </w:r>
      <w:r w:rsidR="00035BAD" w:rsidRPr="009A4DCA">
        <w:rPr>
          <w:rFonts w:eastAsia="Calibri"/>
        </w:rPr>
        <w:t xml:space="preserve">was </w:t>
      </w:r>
      <w:r w:rsidR="004F5FC4" w:rsidRPr="009A4DCA">
        <w:rPr>
          <w:rFonts w:eastAsia="Calibri"/>
        </w:rPr>
        <w:t xml:space="preserve">consistent with ATAGI advice; </w:t>
      </w:r>
      <w:r w:rsidRPr="009A4DCA">
        <w:rPr>
          <w:rFonts w:eastAsia="Calibri"/>
        </w:rPr>
        <w:t xml:space="preserve">ATAGI considered that the medically-attended RSV-LRTI with ≥3 symptoms could be applied to hospitalised cases. </w:t>
      </w:r>
    </w:p>
    <w:p w14:paraId="127C8E64" w14:textId="5F718BB1" w:rsidR="00E24C9A" w:rsidRPr="009A4DCA" w:rsidRDefault="00E24C9A" w:rsidP="00E24C9A">
      <w:pPr>
        <w:pStyle w:val="3-BodyText"/>
      </w:pPr>
      <w:r w:rsidRPr="009A4DCA">
        <w:t xml:space="preserve">The ESC noted that there were no adjustments made for regionality (US mainly), temporality (conducted during COVID), or seasonality (coinciding with the northern </w:t>
      </w:r>
      <w:r w:rsidR="007D72FE" w:rsidRPr="009A4DCA">
        <w:t>hemisphere</w:t>
      </w:r>
      <w:r w:rsidRPr="009A4DCA">
        <w:t xml:space="preserve"> RSV season). The ESC considered that the magnitude and direction of any bias associated with these factors is unclear. </w:t>
      </w:r>
    </w:p>
    <w:p w14:paraId="4E49EE83" w14:textId="2528627E" w:rsidR="00DA50F1" w:rsidRPr="009A4DCA" w:rsidRDefault="00DA50F1" w:rsidP="004E357D">
      <w:pPr>
        <w:pStyle w:val="3-BodyText"/>
        <w:numPr>
          <w:ilvl w:val="1"/>
          <w:numId w:val="1"/>
        </w:numPr>
        <w:rPr>
          <w:color w:val="0066FF"/>
        </w:rPr>
      </w:pPr>
      <w:bookmarkStart w:id="66" w:name="_Ref183634870"/>
      <w:r w:rsidRPr="009A4DCA">
        <w:t>The estimated VE of RSVpreF against medically-attended events was based on the evaluable efficacy population in RENOIR. The submission used results from the exploratory analyses to inform RSV medically-attended visits for EOS1 and EOS2. The ATAGI Pre-Submission Advice to PBAC (December 2023) stated that whilst the medically attended subgroup may have more severe illness than those that do not seek any medical attention, this may also be influenced by treatment seeking behaviour. Given that only two people met the s</w:t>
      </w:r>
      <w:r w:rsidR="004742DB" w:rsidRPr="009A4DCA">
        <w:t>RSV-LRTI</w:t>
      </w:r>
      <w:r w:rsidRPr="009A4DCA">
        <w:t xml:space="preserve"> criteria in RENOIR</w:t>
      </w:r>
      <w:r w:rsidR="00CB6235" w:rsidRPr="009A4DCA">
        <w:t xml:space="preserve"> </w:t>
      </w:r>
      <w:r w:rsidR="00D65CAC" w:rsidRPr="009A4DCA">
        <w:t>(</w:t>
      </w:r>
      <w:r w:rsidR="00957781" w:rsidRPr="009A4DCA">
        <w:t>EOS1</w:t>
      </w:r>
      <w:r w:rsidR="00D65CAC" w:rsidRPr="009A4DCA">
        <w:t>)</w:t>
      </w:r>
      <w:r w:rsidRPr="009A4DCA">
        <w:t xml:space="preserve"> (requiring hospitalisation, new/increased oxygen supplementation or new/increased mechanical ventilation), ATAGI noted that the remainder of the cases with RSV-LRTI </w:t>
      </w:r>
      <w:r w:rsidRPr="009A4DCA">
        <w:lastRenderedPageBreak/>
        <w:t>≥3 symptoms presumably only sought emergency or outpatient care or did not require increased care and may not be ‘severe’.</w:t>
      </w:r>
      <w:bookmarkEnd w:id="66"/>
    </w:p>
    <w:p w14:paraId="054FF840" w14:textId="5A2B6A66" w:rsidR="00DA50F1" w:rsidRPr="009A4DCA" w:rsidRDefault="00671265" w:rsidP="004E357D">
      <w:pPr>
        <w:pStyle w:val="3-BodyText"/>
        <w:numPr>
          <w:ilvl w:val="1"/>
          <w:numId w:val="1"/>
        </w:numPr>
        <w:rPr>
          <w:color w:val="0066FF"/>
        </w:rPr>
      </w:pPr>
      <w:bookmarkStart w:id="67" w:name="_Ref180486709"/>
      <w:r w:rsidRPr="009A4DCA">
        <w:t>The inputs for i</w:t>
      </w:r>
      <w:r w:rsidR="00DA50F1" w:rsidRPr="009A4DCA">
        <w:t xml:space="preserve">ncidence </w:t>
      </w:r>
      <w:r w:rsidR="00D17E99" w:rsidRPr="009A4DCA">
        <w:t xml:space="preserve">of hospitalisation </w:t>
      </w:r>
      <w:r w:rsidR="00DA50F1" w:rsidRPr="009A4DCA">
        <w:t xml:space="preserve">and mortality used in the model were </w:t>
      </w:r>
      <w:r w:rsidR="0031756C" w:rsidRPr="009A4DCA">
        <w:t xml:space="preserve">informed by </w:t>
      </w:r>
      <w:r w:rsidR="008907E6" w:rsidRPr="009A4DCA">
        <w:t>the Australian modelling study</w:t>
      </w:r>
      <w:r w:rsidR="001B533B" w:rsidRPr="009A4DCA">
        <w:t xml:space="preserve">, </w:t>
      </w:r>
      <w:r w:rsidR="00F0115B" w:rsidRPr="009A4DCA">
        <w:t xml:space="preserve">which </w:t>
      </w:r>
      <w:r w:rsidR="001B533B" w:rsidRPr="009A4DCA">
        <w:t>was</w:t>
      </w:r>
      <w:r w:rsidR="00DA50F1" w:rsidRPr="009A4DCA">
        <w:t xml:space="preserve"> a regression analysis of data from 2010 to 2019 from the Australian Institute of Health and Welfare (AIHW) National Hospital Morbidity Database (NHMD). This study follows the protocol outlined by Bruyndonckx et al (2024)</w:t>
      </w:r>
      <w:r w:rsidR="00DA50F1" w:rsidRPr="009A4DCA">
        <w:rPr>
          <w:rStyle w:val="FootnoteReference"/>
        </w:rPr>
        <w:footnoteReference w:id="10"/>
      </w:r>
      <w:r w:rsidR="00DA50F1" w:rsidRPr="009A4DCA">
        <w:t>.</w:t>
      </w:r>
      <w:bookmarkEnd w:id="67"/>
    </w:p>
    <w:p w14:paraId="37256534" w14:textId="7CC58E1C" w:rsidR="00DA50F1" w:rsidRPr="009A4DCA" w:rsidRDefault="00DA50F1" w:rsidP="007B7274">
      <w:pPr>
        <w:pStyle w:val="3-BodyText"/>
        <w:numPr>
          <w:ilvl w:val="1"/>
          <w:numId w:val="1"/>
        </w:numPr>
      </w:pPr>
      <w:bookmarkStart w:id="68" w:name="_Ref180486712"/>
      <w:r w:rsidRPr="009A4DCA">
        <w:t>The Australian modelling study was a retrospective database analysis</w:t>
      </w:r>
      <w:r w:rsidR="00C3304B" w:rsidRPr="009A4DCA">
        <w:t>. In this study,</w:t>
      </w:r>
      <w:r w:rsidRPr="009A4DCA">
        <w:t xml:space="preserve"> data </w:t>
      </w:r>
      <w:r w:rsidR="006E5E6D" w:rsidRPr="009A4DCA">
        <w:t xml:space="preserve">were </w:t>
      </w:r>
      <w:r w:rsidRPr="009A4DCA">
        <w:t xml:space="preserve">modelled </w:t>
      </w:r>
      <w:r w:rsidR="006E5E6D" w:rsidRPr="009A4DCA">
        <w:t xml:space="preserve">using </w:t>
      </w:r>
      <w:r w:rsidRPr="009A4DCA">
        <w:t xml:space="preserve">a time-series quasi-Poisson regression approach to estimate RSV-attributable cardiorespiratory, respiratory, and cardiovascular events by age group. </w:t>
      </w:r>
      <w:r w:rsidR="00A70338" w:rsidRPr="009A4DCA">
        <w:t xml:space="preserve">RSV and influenza proxies, hospitalisation and mortality data from the AIHW NHMD for people aged 18 years and older residing in Australia </w:t>
      </w:r>
      <w:r w:rsidR="009269F4" w:rsidRPr="009A4DCA">
        <w:t xml:space="preserve">were used </w:t>
      </w:r>
      <w:r w:rsidR="00A70338" w:rsidRPr="009A4DCA">
        <w:t xml:space="preserve">to inform the </w:t>
      </w:r>
      <w:r w:rsidR="009269F4" w:rsidRPr="009A4DCA">
        <w:t>regression</w:t>
      </w:r>
      <w:r w:rsidR="00A70338" w:rsidRPr="009A4DCA">
        <w:t xml:space="preserve">. </w:t>
      </w:r>
      <w:r w:rsidR="009269F4" w:rsidRPr="009A4DCA">
        <w:t xml:space="preserve">The manuscript stated </w:t>
      </w:r>
      <w:r w:rsidR="005907E6" w:rsidRPr="009A4DCA">
        <w:t>that</w:t>
      </w:r>
      <w:r w:rsidR="009269F4" w:rsidRPr="009A4DCA">
        <w:t xml:space="preserve"> an identity link function was used to reflect the most biologically plausible link between viral circulation and the occurrence of events. V</w:t>
      </w:r>
      <w:r w:rsidRPr="009A4DCA">
        <w:t>iral proxies for RSV</w:t>
      </w:r>
      <w:r w:rsidR="009269F4" w:rsidRPr="009A4DCA">
        <w:t xml:space="preserve"> used were</w:t>
      </w:r>
      <w:r w:rsidRPr="009A4DCA">
        <w:t xml:space="preserve"> </w:t>
      </w:r>
      <w:r w:rsidR="009269F4" w:rsidRPr="009A4DCA">
        <w:t>the</w:t>
      </w:r>
      <w:r w:rsidRPr="009A4DCA">
        <w:t xml:space="preserve"> weekly number of RSV hospitalisations in children &lt;2 years (with ICD-10-AM codes B97.4, J21.0, J12.1, J20.5, J21.9) and influenza specific hospitalisations (i.e., with ICD-10-AM codes J09, J10, J11) in adults aged 65 years and older. The study did not report results for other populations relevant for the NIP listing</w:t>
      </w:r>
      <w:r w:rsidR="00295C5B" w:rsidRPr="009A4DCA">
        <w:t>s</w:t>
      </w:r>
      <w:r w:rsidRPr="009A4DCA">
        <w:t xml:space="preserve"> sought, including Aboriginal and Torres Strait Islander or factors relating to risk-status, or consider these as stratifying variables in the analyses conducted, which the</w:t>
      </w:r>
      <w:r w:rsidR="00E25DB7" w:rsidRPr="009A4DCA">
        <w:t xml:space="preserve"> authors </w:t>
      </w:r>
      <w:r w:rsidRPr="009A4DCA">
        <w:t xml:space="preserve">stated </w:t>
      </w:r>
      <w:r w:rsidR="00E25DB7" w:rsidRPr="009A4DCA">
        <w:t>was</w:t>
      </w:r>
      <w:r w:rsidRPr="009A4DCA">
        <w:t xml:space="preserve"> due to data limitations. Results were presented by age groups: 16-64 years old, 65-74 years old, ≥75 years and ≥65 years.</w:t>
      </w:r>
      <w:r w:rsidR="004D60A7" w:rsidRPr="009A4DCA">
        <w:t xml:space="preserve"> The PSCR stated that the Australian modelling study provides more robust and contemporary estimates of RSV hospitalisation and mortality rates among older Australian adults than the approach proposed by ATAGI, using AIHW data with a nominal multiplier. The PSCR noted these data were not available at the time the ATAGI advice request was submitted.</w:t>
      </w:r>
      <w:bookmarkEnd w:id="68"/>
    </w:p>
    <w:p w14:paraId="7D091641" w14:textId="4F14F288" w:rsidR="00DA50F1" w:rsidRPr="009A4DCA" w:rsidRDefault="00DA50F1" w:rsidP="00DA50F1">
      <w:pPr>
        <w:pStyle w:val="3-BodyText"/>
        <w:numPr>
          <w:ilvl w:val="1"/>
          <w:numId w:val="1"/>
        </w:numPr>
      </w:pPr>
      <w:r w:rsidRPr="009A4DCA">
        <w:fldChar w:fldCharType="begin"/>
      </w:r>
      <w:r w:rsidRPr="009A4DCA">
        <w:instrText xml:space="preserve"> REF _Ref175665213 \h  \* MERGEFORMAT </w:instrText>
      </w:r>
      <w:r w:rsidRPr="009A4DCA">
        <w:fldChar w:fldCharType="separate"/>
      </w:r>
      <w:r w:rsidR="007B2F50" w:rsidRPr="009A4DCA">
        <w:t xml:space="preserve">Table </w:t>
      </w:r>
      <w:r w:rsidR="007B2F50">
        <w:t>12</w:t>
      </w:r>
      <w:r w:rsidRPr="009A4DCA">
        <w:fldChar w:fldCharType="end"/>
      </w:r>
      <w:r w:rsidRPr="009A4DCA">
        <w:t xml:space="preserve"> present</w:t>
      </w:r>
      <w:r w:rsidR="00201B86" w:rsidRPr="009A4DCA">
        <w:t>s</w:t>
      </w:r>
      <w:r w:rsidRPr="009A4DCA">
        <w:t xml:space="preserve"> results for three different methods for estimating RSV hospitalisation including: crude estimates (AIHW NHMD 2016-2019); Multiplier method (NZ Shivers 2012-2015; McLaughlin 2022); and modelling methods (Nazareno 2022; Australian modelling study 2010-2019).</w:t>
      </w:r>
    </w:p>
    <w:p w14:paraId="60A7AEB4" w14:textId="53B53C6A" w:rsidR="00DA50F1" w:rsidRPr="009A4DCA" w:rsidRDefault="00DA50F1" w:rsidP="00D470A3">
      <w:pPr>
        <w:pStyle w:val="Caption"/>
        <w:jc w:val="left"/>
        <w:rPr>
          <w:iCs/>
          <w:szCs w:val="24"/>
        </w:rPr>
      </w:pPr>
      <w:bookmarkStart w:id="69" w:name="_Ref175665213"/>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12</w:t>
      </w:r>
      <w:r w:rsidR="00491347">
        <w:fldChar w:fldCharType="end"/>
      </w:r>
      <w:bookmarkEnd w:id="69"/>
      <w:r w:rsidRPr="009A4DCA">
        <w:t>:</w:t>
      </w:r>
      <w:r w:rsidRPr="009A4DCA">
        <w:rPr>
          <w:rStyle w:val="CommentReference"/>
          <w:b/>
          <w:szCs w:val="24"/>
        </w:rPr>
        <w:t xml:space="preserve"> </w:t>
      </w:r>
      <w:r w:rsidRPr="009A4DCA">
        <w:rPr>
          <w:iCs/>
        </w:rPr>
        <w:t>Comparison of estimates of RSV hospitalisation rates per 100,000 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414"/>
        <w:gridCol w:w="1760"/>
        <w:gridCol w:w="1360"/>
        <w:gridCol w:w="1273"/>
        <w:gridCol w:w="662"/>
        <w:gridCol w:w="851"/>
        <w:gridCol w:w="849"/>
        <w:gridCol w:w="848"/>
      </w:tblGrid>
      <w:tr w:rsidR="00DA50F1" w:rsidRPr="009A4DCA" w14:paraId="37C1D271" w14:textId="77777777" w:rsidTr="00973287">
        <w:trPr>
          <w:tblHeader/>
        </w:trPr>
        <w:tc>
          <w:tcPr>
            <w:tcW w:w="784" w:type="pct"/>
            <w:tcBorders>
              <w:right w:val="single" w:sz="4" w:space="0" w:color="auto"/>
            </w:tcBorders>
          </w:tcPr>
          <w:p w14:paraId="1BE6093B" w14:textId="77777777" w:rsidR="00DA50F1" w:rsidRPr="00421004" w:rsidRDefault="00DA50F1" w:rsidP="00E76F4F">
            <w:pPr>
              <w:pStyle w:val="TableText0"/>
            </w:pPr>
            <w:r w:rsidRPr="00421004">
              <w:t>Data / Study</w:t>
            </w:r>
          </w:p>
        </w:tc>
        <w:tc>
          <w:tcPr>
            <w:tcW w:w="976" w:type="pct"/>
            <w:tcBorders>
              <w:left w:val="single" w:sz="4" w:space="0" w:color="auto"/>
            </w:tcBorders>
          </w:tcPr>
          <w:p w14:paraId="62FCEE1B" w14:textId="77777777" w:rsidR="00DA50F1" w:rsidRPr="00421004" w:rsidRDefault="00DA50F1" w:rsidP="00E76F4F">
            <w:pPr>
              <w:pStyle w:val="TableText0"/>
            </w:pPr>
            <w:r w:rsidRPr="00421004">
              <w:t xml:space="preserve">Outcome, </w:t>
            </w:r>
            <w:r w:rsidRPr="00421004">
              <w:br/>
              <w:t>mean (95% CI)</w:t>
            </w:r>
          </w:p>
        </w:tc>
        <w:tc>
          <w:tcPr>
            <w:tcW w:w="754" w:type="pct"/>
            <w:tcBorders>
              <w:right w:val="single" w:sz="4" w:space="0" w:color="auto"/>
            </w:tcBorders>
          </w:tcPr>
          <w:p w14:paraId="1C475B33" w14:textId="77777777" w:rsidR="00DA50F1" w:rsidRPr="00421004" w:rsidRDefault="00DA50F1" w:rsidP="00E76F4F">
            <w:pPr>
              <w:pStyle w:val="TableText0"/>
            </w:pPr>
            <w:r w:rsidRPr="00421004">
              <w:t>Adjusted factors (multiplier)</w:t>
            </w:r>
          </w:p>
        </w:tc>
        <w:tc>
          <w:tcPr>
            <w:tcW w:w="706" w:type="pct"/>
            <w:tcBorders>
              <w:left w:val="single" w:sz="4" w:space="0" w:color="auto"/>
            </w:tcBorders>
          </w:tcPr>
          <w:p w14:paraId="788281C0" w14:textId="77777777" w:rsidR="00DA50F1" w:rsidRPr="00421004" w:rsidRDefault="00DA50F1" w:rsidP="00E76F4F">
            <w:pPr>
              <w:pStyle w:val="TableText0"/>
            </w:pPr>
          </w:p>
          <w:p w14:paraId="41B894DE" w14:textId="77777777" w:rsidR="00DA50F1" w:rsidRPr="00421004" w:rsidRDefault="00DA50F1" w:rsidP="00E76F4F">
            <w:pPr>
              <w:pStyle w:val="TableText0"/>
            </w:pPr>
            <w:r w:rsidRPr="00421004">
              <w:t>50-64</w:t>
            </w:r>
          </w:p>
        </w:tc>
        <w:tc>
          <w:tcPr>
            <w:tcW w:w="367" w:type="pct"/>
          </w:tcPr>
          <w:p w14:paraId="6133D4B3" w14:textId="77777777" w:rsidR="00DA50F1" w:rsidRPr="00421004" w:rsidRDefault="00DA50F1" w:rsidP="00E76F4F">
            <w:pPr>
              <w:pStyle w:val="TableText0"/>
            </w:pPr>
          </w:p>
          <w:p w14:paraId="1C73BEE1" w14:textId="77777777" w:rsidR="00DA50F1" w:rsidRPr="00421004" w:rsidRDefault="00DA50F1" w:rsidP="00E76F4F">
            <w:pPr>
              <w:pStyle w:val="TableText0"/>
            </w:pPr>
            <w:r w:rsidRPr="00421004">
              <w:t>65-69</w:t>
            </w:r>
          </w:p>
        </w:tc>
        <w:tc>
          <w:tcPr>
            <w:tcW w:w="472" w:type="pct"/>
          </w:tcPr>
          <w:p w14:paraId="1F6E8E23" w14:textId="77777777" w:rsidR="00DA50F1" w:rsidRPr="00421004" w:rsidRDefault="00DA50F1" w:rsidP="00E76F4F">
            <w:pPr>
              <w:pStyle w:val="TableText0"/>
            </w:pPr>
          </w:p>
          <w:p w14:paraId="6F4FAABB" w14:textId="77777777" w:rsidR="00DA50F1" w:rsidRPr="00421004" w:rsidRDefault="00DA50F1" w:rsidP="00E76F4F">
            <w:pPr>
              <w:pStyle w:val="TableText0"/>
            </w:pPr>
            <w:r w:rsidRPr="00421004">
              <w:t>70-74</w:t>
            </w:r>
          </w:p>
        </w:tc>
        <w:tc>
          <w:tcPr>
            <w:tcW w:w="471" w:type="pct"/>
          </w:tcPr>
          <w:p w14:paraId="5E55B5DA" w14:textId="77777777" w:rsidR="00DA50F1" w:rsidRPr="00421004" w:rsidRDefault="00DA50F1" w:rsidP="00E76F4F">
            <w:pPr>
              <w:pStyle w:val="TableText0"/>
            </w:pPr>
          </w:p>
          <w:p w14:paraId="192E5805" w14:textId="77777777" w:rsidR="00DA50F1" w:rsidRPr="00421004" w:rsidRDefault="00DA50F1" w:rsidP="00E76F4F">
            <w:pPr>
              <w:pStyle w:val="TableText0"/>
            </w:pPr>
            <w:r w:rsidRPr="00421004">
              <w:t>75-79</w:t>
            </w:r>
          </w:p>
        </w:tc>
        <w:tc>
          <w:tcPr>
            <w:tcW w:w="470" w:type="pct"/>
          </w:tcPr>
          <w:p w14:paraId="21F379E8" w14:textId="77777777" w:rsidR="00DA50F1" w:rsidRPr="00421004" w:rsidRDefault="00DA50F1" w:rsidP="00E76F4F">
            <w:pPr>
              <w:pStyle w:val="TableText0"/>
            </w:pPr>
          </w:p>
          <w:p w14:paraId="149874B4" w14:textId="77777777" w:rsidR="00DA50F1" w:rsidRPr="00421004" w:rsidRDefault="00DA50F1" w:rsidP="00E76F4F">
            <w:pPr>
              <w:pStyle w:val="TableText0"/>
            </w:pPr>
            <w:r w:rsidRPr="00421004">
              <w:t>80+</w:t>
            </w:r>
          </w:p>
        </w:tc>
      </w:tr>
      <w:tr w:rsidR="00DA50F1" w:rsidRPr="009A4DCA" w14:paraId="6B9E20E1" w14:textId="77777777" w:rsidTr="00BD45C5">
        <w:tc>
          <w:tcPr>
            <w:tcW w:w="5000" w:type="pct"/>
            <w:gridSpan w:val="8"/>
            <w:shd w:val="clear" w:color="auto" w:fill="D9D9D9" w:themeFill="background1" w:themeFillShade="D9"/>
          </w:tcPr>
          <w:p w14:paraId="21B3039B" w14:textId="77777777" w:rsidR="00DA50F1" w:rsidRPr="00421004" w:rsidRDefault="00DA50F1" w:rsidP="00E76F4F">
            <w:pPr>
              <w:pStyle w:val="TableText0"/>
            </w:pPr>
            <w:r w:rsidRPr="00421004">
              <w:t>Crude estimates</w:t>
            </w:r>
          </w:p>
        </w:tc>
      </w:tr>
      <w:tr w:rsidR="00DA50F1" w:rsidRPr="009A4DCA" w14:paraId="019D17AD" w14:textId="77777777" w:rsidTr="00973287">
        <w:tc>
          <w:tcPr>
            <w:tcW w:w="784" w:type="pct"/>
            <w:vMerge w:val="restart"/>
            <w:tcBorders>
              <w:top w:val="single" w:sz="4" w:space="0" w:color="auto"/>
              <w:right w:val="single" w:sz="4" w:space="0" w:color="auto"/>
            </w:tcBorders>
            <w:shd w:val="clear" w:color="auto" w:fill="auto"/>
          </w:tcPr>
          <w:p w14:paraId="2C605432" w14:textId="77777777" w:rsidR="00DA50F1" w:rsidRPr="00421004" w:rsidRDefault="00DA50F1" w:rsidP="00E76F4F">
            <w:pPr>
              <w:pStyle w:val="TableText0"/>
            </w:pPr>
            <w:r w:rsidRPr="00421004">
              <w:t xml:space="preserve">AIHW NHMD </w:t>
            </w:r>
            <w:r w:rsidRPr="00421004">
              <w:br/>
              <w:t>2016-2019</w:t>
            </w:r>
          </w:p>
          <w:p w14:paraId="068AD0C5" w14:textId="77777777" w:rsidR="00DA50F1" w:rsidRPr="00421004" w:rsidRDefault="00DA50F1" w:rsidP="00E76F4F">
            <w:pPr>
              <w:pStyle w:val="TableText0"/>
            </w:pPr>
            <w:r w:rsidRPr="00421004">
              <w:t>Australia</w:t>
            </w:r>
          </w:p>
        </w:tc>
        <w:tc>
          <w:tcPr>
            <w:tcW w:w="976" w:type="pct"/>
            <w:vMerge w:val="restart"/>
            <w:tcBorders>
              <w:top w:val="single" w:sz="4" w:space="0" w:color="auto"/>
              <w:left w:val="single" w:sz="4" w:space="0" w:color="auto"/>
            </w:tcBorders>
            <w:shd w:val="clear" w:color="auto" w:fill="auto"/>
          </w:tcPr>
          <w:p w14:paraId="1677B770" w14:textId="77777777" w:rsidR="00DA50F1" w:rsidRPr="009A4DCA" w:rsidRDefault="00DA50F1" w:rsidP="00E76F4F">
            <w:pPr>
              <w:pStyle w:val="TableText0"/>
            </w:pPr>
            <w:r w:rsidRPr="009A4DCA">
              <w:t xml:space="preserve">RSV-coded </w:t>
            </w:r>
            <w:r w:rsidRPr="009A4DCA">
              <w:br/>
              <w:t xml:space="preserve">hospitalisations </w:t>
            </w:r>
            <w:r w:rsidRPr="009A4DCA">
              <w:br/>
              <w:t>(principal diagnosis only)</w:t>
            </w:r>
          </w:p>
        </w:tc>
        <w:tc>
          <w:tcPr>
            <w:tcW w:w="754" w:type="pct"/>
            <w:vMerge w:val="restart"/>
            <w:tcBorders>
              <w:top w:val="single" w:sz="4" w:space="0" w:color="auto"/>
              <w:right w:val="single" w:sz="4" w:space="0" w:color="auto"/>
            </w:tcBorders>
            <w:shd w:val="clear" w:color="auto" w:fill="auto"/>
          </w:tcPr>
          <w:p w14:paraId="09C4FB10" w14:textId="77777777" w:rsidR="00DA50F1" w:rsidRPr="009A4DCA" w:rsidRDefault="00DA50F1" w:rsidP="00E76F4F">
            <w:pPr>
              <w:pStyle w:val="TableText0"/>
            </w:pPr>
          </w:p>
          <w:p w14:paraId="64E05134" w14:textId="77777777" w:rsidR="00DA50F1" w:rsidRPr="009A4DCA" w:rsidRDefault="00DA50F1" w:rsidP="00E76F4F">
            <w:pPr>
              <w:pStyle w:val="TableText0"/>
            </w:pPr>
            <w:r w:rsidRPr="009A4DCA">
              <w:t>N/A</w:t>
            </w:r>
          </w:p>
        </w:tc>
        <w:tc>
          <w:tcPr>
            <w:tcW w:w="706" w:type="pct"/>
            <w:vMerge w:val="restart"/>
            <w:tcBorders>
              <w:top w:val="single" w:sz="4" w:space="0" w:color="auto"/>
              <w:left w:val="single" w:sz="4" w:space="0" w:color="auto"/>
            </w:tcBorders>
            <w:shd w:val="clear" w:color="auto" w:fill="auto"/>
          </w:tcPr>
          <w:p w14:paraId="0C98212B" w14:textId="77777777" w:rsidR="00DA50F1" w:rsidRPr="009A4DCA" w:rsidRDefault="00DA50F1" w:rsidP="00E76F4F">
            <w:pPr>
              <w:pStyle w:val="TableText0"/>
            </w:pPr>
          </w:p>
          <w:p w14:paraId="433D29F7" w14:textId="77777777" w:rsidR="00DA50F1" w:rsidRPr="009A4DCA" w:rsidRDefault="00DA50F1" w:rsidP="00E76F4F">
            <w:pPr>
              <w:pStyle w:val="TableText0"/>
            </w:pPr>
            <w:r w:rsidRPr="009A4DCA">
              <w:t>7</w:t>
            </w:r>
          </w:p>
          <w:p w14:paraId="1C7FBD2D" w14:textId="77777777" w:rsidR="00DA50F1" w:rsidRPr="009A4DCA" w:rsidRDefault="00DA50F1" w:rsidP="00E76F4F">
            <w:pPr>
              <w:pStyle w:val="TableText0"/>
            </w:pPr>
            <w:r w:rsidRPr="009A4DCA">
              <w:t>(5 – 10)</w:t>
            </w:r>
          </w:p>
        </w:tc>
        <w:tc>
          <w:tcPr>
            <w:tcW w:w="367" w:type="pct"/>
            <w:tcBorders>
              <w:top w:val="single" w:sz="4" w:space="0" w:color="auto"/>
            </w:tcBorders>
            <w:shd w:val="clear" w:color="auto" w:fill="auto"/>
          </w:tcPr>
          <w:p w14:paraId="6B893605" w14:textId="77777777" w:rsidR="00DA50F1" w:rsidRPr="009A4DCA" w:rsidRDefault="00DA50F1" w:rsidP="00E76F4F">
            <w:pPr>
              <w:pStyle w:val="TableText0"/>
            </w:pPr>
            <w:r w:rsidRPr="009A4DCA">
              <w:t>19</w:t>
            </w:r>
          </w:p>
          <w:p w14:paraId="09EA5362" w14:textId="77777777" w:rsidR="00DA50F1" w:rsidRPr="009A4DCA" w:rsidRDefault="00DA50F1" w:rsidP="00E76F4F">
            <w:pPr>
              <w:pStyle w:val="TableText0"/>
            </w:pPr>
            <w:r w:rsidRPr="009A4DCA">
              <w:t>(44–62)</w:t>
            </w:r>
          </w:p>
        </w:tc>
        <w:tc>
          <w:tcPr>
            <w:tcW w:w="472" w:type="pct"/>
            <w:tcBorders>
              <w:top w:val="single" w:sz="4" w:space="0" w:color="auto"/>
            </w:tcBorders>
            <w:shd w:val="clear" w:color="auto" w:fill="auto"/>
          </w:tcPr>
          <w:p w14:paraId="7D8D89ED" w14:textId="77777777" w:rsidR="00DA50F1" w:rsidRPr="009A4DCA" w:rsidRDefault="00DA50F1" w:rsidP="00E76F4F">
            <w:pPr>
              <w:pStyle w:val="TableText0"/>
            </w:pPr>
            <w:r w:rsidRPr="009A4DCA">
              <w:t>29</w:t>
            </w:r>
          </w:p>
          <w:p w14:paraId="39F13332" w14:textId="77777777" w:rsidR="00DA50F1" w:rsidRPr="009A4DCA" w:rsidRDefault="00DA50F1" w:rsidP="00E76F4F">
            <w:pPr>
              <w:pStyle w:val="TableText0"/>
            </w:pPr>
            <w:r w:rsidRPr="009A4DCA">
              <w:t>(17–40)</w:t>
            </w:r>
          </w:p>
        </w:tc>
        <w:tc>
          <w:tcPr>
            <w:tcW w:w="471" w:type="pct"/>
            <w:tcBorders>
              <w:top w:val="single" w:sz="4" w:space="0" w:color="auto"/>
            </w:tcBorders>
            <w:shd w:val="clear" w:color="auto" w:fill="auto"/>
          </w:tcPr>
          <w:p w14:paraId="7545E6CB" w14:textId="77777777" w:rsidR="00DA50F1" w:rsidRPr="009A4DCA" w:rsidRDefault="00DA50F1" w:rsidP="00E76F4F">
            <w:pPr>
              <w:pStyle w:val="TableText0"/>
            </w:pPr>
            <w:r w:rsidRPr="009A4DCA">
              <w:t>41</w:t>
            </w:r>
          </w:p>
          <w:p w14:paraId="15B3ED97" w14:textId="77777777" w:rsidR="00DA50F1" w:rsidRPr="009A4DCA" w:rsidRDefault="00DA50F1" w:rsidP="00E76F4F">
            <w:pPr>
              <w:pStyle w:val="TableText0"/>
            </w:pPr>
            <w:r w:rsidRPr="009A4DCA">
              <w:t>(27–55)</w:t>
            </w:r>
          </w:p>
        </w:tc>
        <w:tc>
          <w:tcPr>
            <w:tcW w:w="470" w:type="pct"/>
            <w:tcBorders>
              <w:top w:val="single" w:sz="4" w:space="0" w:color="auto"/>
            </w:tcBorders>
            <w:shd w:val="clear" w:color="auto" w:fill="auto"/>
          </w:tcPr>
          <w:p w14:paraId="32AE6670" w14:textId="77777777" w:rsidR="00DA50F1" w:rsidRPr="009A4DCA" w:rsidRDefault="00DA50F1" w:rsidP="00E76F4F">
            <w:pPr>
              <w:pStyle w:val="TableText0"/>
            </w:pPr>
            <w:r w:rsidRPr="009A4DCA">
              <w:t>110</w:t>
            </w:r>
          </w:p>
          <w:p w14:paraId="679CB372" w14:textId="77777777" w:rsidR="00DA50F1" w:rsidRPr="009A4DCA" w:rsidRDefault="00DA50F1" w:rsidP="00E76F4F">
            <w:pPr>
              <w:pStyle w:val="TableText0"/>
            </w:pPr>
            <w:r w:rsidRPr="009A4DCA">
              <w:t>(55–166)</w:t>
            </w:r>
          </w:p>
        </w:tc>
      </w:tr>
      <w:tr w:rsidR="00DA50F1" w:rsidRPr="009A4DCA" w14:paraId="08677364" w14:textId="77777777" w:rsidTr="00973287">
        <w:tc>
          <w:tcPr>
            <w:tcW w:w="784" w:type="pct"/>
            <w:vMerge/>
            <w:tcBorders>
              <w:right w:val="single" w:sz="4" w:space="0" w:color="auto"/>
            </w:tcBorders>
            <w:shd w:val="clear" w:color="auto" w:fill="auto"/>
          </w:tcPr>
          <w:p w14:paraId="02A1F39C" w14:textId="77777777" w:rsidR="00DA50F1" w:rsidRPr="00421004" w:rsidRDefault="00DA50F1" w:rsidP="00E76F4F">
            <w:pPr>
              <w:pStyle w:val="TableText0"/>
            </w:pPr>
          </w:p>
        </w:tc>
        <w:tc>
          <w:tcPr>
            <w:tcW w:w="976" w:type="pct"/>
            <w:vMerge/>
            <w:tcBorders>
              <w:left w:val="single" w:sz="4" w:space="0" w:color="auto"/>
            </w:tcBorders>
            <w:shd w:val="clear" w:color="auto" w:fill="auto"/>
          </w:tcPr>
          <w:p w14:paraId="1A0B5E26" w14:textId="77777777" w:rsidR="00DA50F1" w:rsidRPr="009A4DCA" w:rsidRDefault="00DA50F1" w:rsidP="00E76F4F">
            <w:pPr>
              <w:pStyle w:val="TableText0"/>
            </w:pPr>
          </w:p>
        </w:tc>
        <w:tc>
          <w:tcPr>
            <w:tcW w:w="754" w:type="pct"/>
            <w:vMerge/>
            <w:tcBorders>
              <w:right w:val="single" w:sz="4" w:space="0" w:color="auto"/>
            </w:tcBorders>
            <w:shd w:val="clear" w:color="auto" w:fill="auto"/>
          </w:tcPr>
          <w:p w14:paraId="412798CE" w14:textId="77777777" w:rsidR="00DA50F1" w:rsidRPr="009A4DCA" w:rsidRDefault="00DA50F1" w:rsidP="00E76F4F">
            <w:pPr>
              <w:pStyle w:val="TableText0"/>
            </w:pPr>
          </w:p>
        </w:tc>
        <w:tc>
          <w:tcPr>
            <w:tcW w:w="706" w:type="pct"/>
            <w:vMerge/>
            <w:tcBorders>
              <w:left w:val="single" w:sz="4" w:space="0" w:color="auto"/>
            </w:tcBorders>
            <w:shd w:val="clear" w:color="auto" w:fill="auto"/>
          </w:tcPr>
          <w:p w14:paraId="271DDC7C" w14:textId="77777777" w:rsidR="00DA50F1" w:rsidRPr="009A4DCA" w:rsidRDefault="00DA50F1" w:rsidP="00E76F4F">
            <w:pPr>
              <w:pStyle w:val="TableText0"/>
            </w:pPr>
          </w:p>
        </w:tc>
        <w:tc>
          <w:tcPr>
            <w:tcW w:w="1780" w:type="pct"/>
            <w:gridSpan w:val="4"/>
            <w:shd w:val="clear" w:color="auto" w:fill="auto"/>
          </w:tcPr>
          <w:p w14:paraId="3FA04156" w14:textId="77777777" w:rsidR="00DA50F1" w:rsidRPr="009A4DCA" w:rsidRDefault="00DA50F1" w:rsidP="00E76F4F">
            <w:pPr>
              <w:pStyle w:val="TableText0"/>
            </w:pPr>
            <w:r w:rsidRPr="009A4DCA">
              <w:t>48</w:t>
            </w:r>
          </w:p>
          <w:p w14:paraId="01F7543E" w14:textId="77777777" w:rsidR="00DA50F1" w:rsidRPr="009A4DCA" w:rsidRDefault="00DA50F1" w:rsidP="00E76F4F">
            <w:pPr>
              <w:pStyle w:val="TableText0"/>
            </w:pPr>
            <w:r w:rsidRPr="009A4DCA">
              <w:t>(27–70)</w:t>
            </w:r>
          </w:p>
        </w:tc>
      </w:tr>
      <w:tr w:rsidR="00DA50F1" w:rsidRPr="009A4DCA" w14:paraId="212FD723" w14:textId="77777777" w:rsidTr="00973287">
        <w:tc>
          <w:tcPr>
            <w:tcW w:w="784" w:type="pct"/>
            <w:vMerge w:val="restart"/>
            <w:tcBorders>
              <w:right w:val="single" w:sz="4" w:space="0" w:color="auto"/>
            </w:tcBorders>
            <w:shd w:val="clear" w:color="auto" w:fill="auto"/>
          </w:tcPr>
          <w:p w14:paraId="03C284E6" w14:textId="77777777" w:rsidR="00DA50F1" w:rsidRPr="00421004" w:rsidRDefault="00DA50F1" w:rsidP="00E76F4F">
            <w:pPr>
              <w:pStyle w:val="TableText0"/>
            </w:pPr>
            <w:r w:rsidRPr="00421004">
              <w:t xml:space="preserve">AIHW NHMD </w:t>
            </w:r>
            <w:r w:rsidRPr="00421004">
              <w:br/>
              <w:t>2016-2019</w:t>
            </w:r>
          </w:p>
          <w:p w14:paraId="58710D30" w14:textId="77777777" w:rsidR="00DA50F1" w:rsidRPr="00421004" w:rsidRDefault="00DA50F1" w:rsidP="00E76F4F">
            <w:pPr>
              <w:pStyle w:val="TableText0"/>
            </w:pPr>
            <w:r w:rsidRPr="00421004">
              <w:t>Australia</w:t>
            </w:r>
          </w:p>
        </w:tc>
        <w:tc>
          <w:tcPr>
            <w:tcW w:w="976" w:type="pct"/>
            <w:vMerge w:val="restart"/>
            <w:tcBorders>
              <w:left w:val="single" w:sz="4" w:space="0" w:color="auto"/>
            </w:tcBorders>
            <w:shd w:val="clear" w:color="auto" w:fill="auto"/>
          </w:tcPr>
          <w:p w14:paraId="0413CA61" w14:textId="77777777" w:rsidR="00DA50F1" w:rsidRPr="009A4DCA" w:rsidRDefault="00DA50F1" w:rsidP="00E76F4F">
            <w:pPr>
              <w:pStyle w:val="TableText0"/>
            </w:pPr>
            <w:r w:rsidRPr="009A4DCA">
              <w:t xml:space="preserve">RSV-coded </w:t>
            </w:r>
            <w:r w:rsidRPr="009A4DCA">
              <w:br/>
              <w:t>hospitalisations</w:t>
            </w:r>
          </w:p>
          <w:p w14:paraId="064792F4" w14:textId="77777777" w:rsidR="00DA50F1" w:rsidRPr="009A4DCA" w:rsidRDefault="00DA50F1" w:rsidP="00E76F4F">
            <w:pPr>
              <w:pStyle w:val="TableText0"/>
            </w:pPr>
            <w:r w:rsidRPr="009A4DCA">
              <w:t>(any diagnosis fields)</w:t>
            </w:r>
          </w:p>
        </w:tc>
        <w:tc>
          <w:tcPr>
            <w:tcW w:w="754" w:type="pct"/>
            <w:vMerge w:val="restart"/>
            <w:tcBorders>
              <w:right w:val="single" w:sz="4" w:space="0" w:color="auto"/>
            </w:tcBorders>
            <w:shd w:val="clear" w:color="auto" w:fill="auto"/>
          </w:tcPr>
          <w:p w14:paraId="02DD5876" w14:textId="77777777" w:rsidR="00DA50F1" w:rsidRPr="009A4DCA" w:rsidRDefault="00DA50F1" w:rsidP="00E76F4F">
            <w:pPr>
              <w:pStyle w:val="TableText0"/>
            </w:pPr>
          </w:p>
          <w:p w14:paraId="009754BA" w14:textId="77777777" w:rsidR="00DA50F1" w:rsidRPr="009A4DCA" w:rsidRDefault="00DA50F1" w:rsidP="00E76F4F">
            <w:pPr>
              <w:pStyle w:val="TableText0"/>
            </w:pPr>
            <w:r w:rsidRPr="009A4DCA">
              <w:t>N/A</w:t>
            </w:r>
          </w:p>
        </w:tc>
        <w:tc>
          <w:tcPr>
            <w:tcW w:w="706" w:type="pct"/>
            <w:vMerge w:val="restart"/>
            <w:tcBorders>
              <w:left w:val="single" w:sz="4" w:space="0" w:color="auto"/>
            </w:tcBorders>
            <w:shd w:val="clear" w:color="auto" w:fill="auto"/>
          </w:tcPr>
          <w:p w14:paraId="489A1D58" w14:textId="77777777" w:rsidR="00DA50F1" w:rsidRPr="009A4DCA" w:rsidRDefault="00DA50F1" w:rsidP="00E76F4F">
            <w:pPr>
              <w:pStyle w:val="TableText0"/>
            </w:pPr>
          </w:p>
          <w:p w14:paraId="5B64852A" w14:textId="77777777" w:rsidR="00DA50F1" w:rsidRPr="009A4DCA" w:rsidRDefault="00DA50F1" w:rsidP="00E76F4F">
            <w:pPr>
              <w:pStyle w:val="TableText0"/>
            </w:pPr>
            <w:r w:rsidRPr="009A4DCA">
              <w:t>26</w:t>
            </w:r>
          </w:p>
          <w:p w14:paraId="3A557EF0" w14:textId="77777777" w:rsidR="00DA50F1" w:rsidRPr="009A4DCA" w:rsidRDefault="00DA50F1" w:rsidP="00E76F4F">
            <w:pPr>
              <w:pStyle w:val="TableText0"/>
            </w:pPr>
            <w:r w:rsidRPr="009A4DCA">
              <w:t>(16 – 32)</w:t>
            </w:r>
          </w:p>
        </w:tc>
        <w:tc>
          <w:tcPr>
            <w:tcW w:w="367" w:type="pct"/>
            <w:shd w:val="clear" w:color="auto" w:fill="auto"/>
          </w:tcPr>
          <w:p w14:paraId="7CF39F7D" w14:textId="77777777" w:rsidR="00DA50F1" w:rsidRPr="009A4DCA" w:rsidRDefault="00DA50F1" w:rsidP="00E76F4F">
            <w:pPr>
              <w:pStyle w:val="TableText0"/>
            </w:pPr>
            <w:r w:rsidRPr="009A4DCA">
              <w:t>53</w:t>
            </w:r>
          </w:p>
          <w:p w14:paraId="293A8A9A" w14:textId="77777777" w:rsidR="00DA50F1" w:rsidRPr="009A4DCA" w:rsidRDefault="00DA50F1" w:rsidP="00E76F4F">
            <w:pPr>
              <w:pStyle w:val="TableText0"/>
            </w:pPr>
            <w:r w:rsidRPr="009A4DCA">
              <w:t>(44–62)</w:t>
            </w:r>
          </w:p>
        </w:tc>
        <w:tc>
          <w:tcPr>
            <w:tcW w:w="472" w:type="pct"/>
            <w:shd w:val="clear" w:color="auto" w:fill="auto"/>
          </w:tcPr>
          <w:p w14:paraId="45E40A17" w14:textId="77777777" w:rsidR="00DA50F1" w:rsidRPr="009A4DCA" w:rsidRDefault="00DA50F1" w:rsidP="00E76F4F">
            <w:pPr>
              <w:pStyle w:val="TableText0"/>
            </w:pPr>
            <w:r w:rsidRPr="009A4DCA">
              <w:t>80</w:t>
            </w:r>
          </w:p>
          <w:p w14:paraId="5863ED85" w14:textId="77777777" w:rsidR="00DA50F1" w:rsidRPr="009A4DCA" w:rsidRDefault="00DA50F1" w:rsidP="00E76F4F">
            <w:pPr>
              <w:pStyle w:val="TableText0"/>
            </w:pPr>
            <w:r w:rsidRPr="009A4DCA">
              <w:t>(53–106)</w:t>
            </w:r>
          </w:p>
        </w:tc>
        <w:tc>
          <w:tcPr>
            <w:tcW w:w="471" w:type="pct"/>
            <w:shd w:val="clear" w:color="auto" w:fill="auto"/>
          </w:tcPr>
          <w:p w14:paraId="0C9BE701" w14:textId="77777777" w:rsidR="00DA50F1" w:rsidRPr="009A4DCA" w:rsidRDefault="00DA50F1" w:rsidP="00E76F4F">
            <w:pPr>
              <w:pStyle w:val="TableText0"/>
            </w:pPr>
            <w:r w:rsidRPr="009A4DCA">
              <w:t>121</w:t>
            </w:r>
          </w:p>
          <w:p w14:paraId="53F9C31D" w14:textId="77777777" w:rsidR="00DA50F1" w:rsidRPr="009A4DCA" w:rsidRDefault="00DA50F1" w:rsidP="00E76F4F">
            <w:pPr>
              <w:pStyle w:val="TableText0"/>
            </w:pPr>
            <w:r w:rsidRPr="009A4DCA">
              <w:t>(77–163)</w:t>
            </w:r>
          </w:p>
        </w:tc>
        <w:tc>
          <w:tcPr>
            <w:tcW w:w="470" w:type="pct"/>
            <w:shd w:val="clear" w:color="auto" w:fill="auto"/>
          </w:tcPr>
          <w:p w14:paraId="2FBF20C1" w14:textId="77777777" w:rsidR="00DA50F1" w:rsidRPr="009A4DCA" w:rsidRDefault="00DA50F1" w:rsidP="00E76F4F">
            <w:pPr>
              <w:pStyle w:val="TableText0"/>
            </w:pPr>
            <w:r w:rsidRPr="009A4DCA">
              <w:t>250</w:t>
            </w:r>
          </w:p>
          <w:p w14:paraId="52585132" w14:textId="77777777" w:rsidR="00DA50F1" w:rsidRPr="009A4DCA" w:rsidRDefault="00DA50F1" w:rsidP="00E76F4F">
            <w:pPr>
              <w:pStyle w:val="TableText0"/>
            </w:pPr>
            <w:r w:rsidRPr="009A4DCA">
              <w:t>(132–363)</w:t>
            </w:r>
          </w:p>
        </w:tc>
      </w:tr>
      <w:tr w:rsidR="00DA50F1" w:rsidRPr="009A4DCA" w14:paraId="6EF81CE0" w14:textId="77777777" w:rsidTr="00973287">
        <w:tc>
          <w:tcPr>
            <w:tcW w:w="784" w:type="pct"/>
            <w:vMerge/>
            <w:tcBorders>
              <w:bottom w:val="single" w:sz="4" w:space="0" w:color="000000"/>
              <w:right w:val="single" w:sz="4" w:space="0" w:color="auto"/>
            </w:tcBorders>
            <w:shd w:val="clear" w:color="auto" w:fill="auto"/>
          </w:tcPr>
          <w:p w14:paraId="435D29BD" w14:textId="77777777" w:rsidR="00DA50F1" w:rsidRPr="00421004" w:rsidRDefault="00DA50F1" w:rsidP="00E76F4F">
            <w:pPr>
              <w:pStyle w:val="TableText0"/>
            </w:pPr>
          </w:p>
        </w:tc>
        <w:tc>
          <w:tcPr>
            <w:tcW w:w="976" w:type="pct"/>
            <w:vMerge/>
            <w:tcBorders>
              <w:left w:val="single" w:sz="4" w:space="0" w:color="auto"/>
              <w:bottom w:val="single" w:sz="4" w:space="0" w:color="000000"/>
            </w:tcBorders>
            <w:shd w:val="clear" w:color="auto" w:fill="auto"/>
          </w:tcPr>
          <w:p w14:paraId="68171133" w14:textId="77777777" w:rsidR="00DA50F1" w:rsidRPr="009A4DCA" w:rsidRDefault="00DA50F1" w:rsidP="00E76F4F">
            <w:pPr>
              <w:pStyle w:val="TableText0"/>
            </w:pPr>
          </w:p>
        </w:tc>
        <w:tc>
          <w:tcPr>
            <w:tcW w:w="754" w:type="pct"/>
            <w:vMerge/>
            <w:tcBorders>
              <w:bottom w:val="single" w:sz="4" w:space="0" w:color="000000"/>
              <w:right w:val="single" w:sz="4" w:space="0" w:color="auto"/>
            </w:tcBorders>
            <w:shd w:val="clear" w:color="auto" w:fill="auto"/>
          </w:tcPr>
          <w:p w14:paraId="57FBADB0" w14:textId="77777777" w:rsidR="00DA50F1" w:rsidRPr="009A4DCA" w:rsidRDefault="00DA50F1" w:rsidP="00E76F4F">
            <w:pPr>
              <w:pStyle w:val="TableText0"/>
            </w:pPr>
          </w:p>
        </w:tc>
        <w:tc>
          <w:tcPr>
            <w:tcW w:w="706" w:type="pct"/>
            <w:vMerge/>
            <w:tcBorders>
              <w:left w:val="single" w:sz="4" w:space="0" w:color="auto"/>
              <w:bottom w:val="single" w:sz="4" w:space="0" w:color="000000"/>
            </w:tcBorders>
            <w:shd w:val="clear" w:color="auto" w:fill="auto"/>
          </w:tcPr>
          <w:p w14:paraId="6D4322CF" w14:textId="77777777" w:rsidR="00DA50F1" w:rsidRPr="009A4DCA" w:rsidRDefault="00DA50F1" w:rsidP="00E76F4F">
            <w:pPr>
              <w:pStyle w:val="TableText0"/>
            </w:pPr>
          </w:p>
        </w:tc>
        <w:tc>
          <w:tcPr>
            <w:tcW w:w="1780" w:type="pct"/>
            <w:gridSpan w:val="4"/>
            <w:tcBorders>
              <w:bottom w:val="single" w:sz="4" w:space="0" w:color="000000"/>
            </w:tcBorders>
            <w:shd w:val="clear" w:color="auto" w:fill="auto"/>
          </w:tcPr>
          <w:p w14:paraId="439B524A" w14:textId="77777777" w:rsidR="00DA50F1" w:rsidRPr="009A4DCA" w:rsidRDefault="00DA50F1" w:rsidP="00E76F4F">
            <w:pPr>
              <w:pStyle w:val="TableText0"/>
            </w:pPr>
            <w:r w:rsidRPr="009A4DCA">
              <w:t>123</w:t>
            </w:r>
          </w:p>
          <w:p w14:paraId="38B0BAB9" w14:textId="77777777" w:rsidR="00DA50F1" w:rsidRPr="009A4DCA" w:rsidRDefault="00DA50F1" w:rsidP="00E76F4F">
            <w:pPr>
              <w:pStyle w:val="TableText0"/>
            </w:pPr>
            <w:r w:rsidRPr="009A4DCA">
              <w:t>(84 – 189)</w:t>
            </w:r>
          </w:p>
        </w:tc>
      </w:tr>
      <w:tr w:rsidR="00DA50F1" w:rsidRPr="009A4DCA" w14:paraId="0F600E9B" w14:textId="77777777" w:rsidTr="00BD45C5">
        <w:tc>
          <w:tcPr>
            <w:tcW w:w="2514" w:type="pct"/>
            <w:gridSpan w:val="3"/>
            <w:tcBorders>
              <w:right w:val="nil"/>
            </w:tcBorders>
            <w:shd w:val="clear" w:color="auto" w:fill="D9D9D9" w:themeFill="background1" w:themeFillShade="D9"/>
          </w:tcPr>
          <w:p w14:paraId="3F78BD21" w14:textId="77777777" w:rsidR="00DA50F1" w:rsidRPr="00421004" w:rsidRDefault="00DA50F1" w:rsidP="00E76F4F">
            <w:pPr>
              <w:pStyle w:val="TableText0"/>
            </w:pPr>
            <w:r w:rsidRPr="00421004">
              <w:t>Multiplier method</w:t>
            </w:r>
          </w:p>
        </w:tc>
        <w:tc>
          <w:tcPr>
            <w:tcW w:w="2486" w:type="pct"/>
            <w:gridSpan w:val="5"/>
            <w:tcBorders>
              <w:left w:val="nil"/>
            </w:tcBorders>
            <w:shd w:val="clear" w:color="auto" w:fill="D9D9D9" w:themeFill="background1" w:themeFillShade="D9"/>
          </w:tcPr>
          <w:p w14:paraId="15FC694B" w14:textId="77777777" w:rsidR="00DA50F1" w:rsidRPr="009A4DCA" w:rsidRDefault="00DA50F1" w:rsidP="00E76F4F">
            <w:pPr>
              <w:pStyle w:val="TableText0"/>
            </w:pPr>
          </w:p>
        </w:tc>
      </w:tr>
      <w:tr w:rsidR="00DA50F1" w:rsidRPr="009A4DCA" w14:paraId="2B345A0E" w14:textId="77777777" w:rsidTr="00973287">
        <w:tc>
          <w:tcPr>
            <w:tcW w:w="784" w:type="pct"/>
            <w:tcBorders>
              <w:right w:val="single" w:sz="4" w:space="0" w:color="auto"/>
            </w:tcBorders>
            <w:shd w:val="clear" w:color="auto" w:fill="auto"/>
          </w:tcPr>
          <w:p w14:paraId="731D1829" w14:textId="77777777" w:rsidR="00DA50F1" w:rsidRPr="00421004" w:rsidRDefault="00DA50F1" w:rsidP="00E76F4F">
            <w:pPr>
              <w:pStyle w:val="TableText0"/>
            </w:pPr>
            <w:r w:rsidRPr="00421004">
              <w:t xml:space="preserve">NZ SHIVERS </w:t>
            </w:r>
            <w:r w:rsidRPr="00421004">
              <w:br/>
              <w:t>2012–2015</w:t>
            </w:r>
          </w:p>
          <w:p w14:paraId="3E34E484" w14:textId="77777777" w:rsidR="00DA50F1" w:rsidRPr="00421004" w:rsidRDefault="00DA50F1" w:rsidP="00E76F4F">
            <w:pPr>
              <w:pStyle w:val="TableText0"/>
            </w:pPr>
            <w:r w:rsidRPr="00421004">
              <w:t>New Zealand</w:t>
            </w:r>
          </w:p>
        </w:tc>
        <w:tc>
          <w:tcPr>
            <w:tcW w:w="976" w:type="pct"/>
            <w:tcBorders>
              <w:left w:val="single" w:sz="4" w:space="0" w:color="auto"/>
            </w:tcBorders>
            <w:shd w:val="clear" w:color="auto" w:fill="auto"/>
          </w:tcPr>
          <w:p w14:paraId="0E2F6D1B" w14:textId="77777777" w:rsidR="00DA50F1" w:rsidRPr="009A4DCA" w:rsidRDefault="00DA50F1" w:rsidP="00E76F4F">
            <w:pPr>
              <w:pStyle w:val="TableText0"/>
            </w:pPr>
            <w:r w:rsidRPr="009A4DCA">
              <w:t>Lab-confirmed hospitalisations</w:t>
            </w:r>
          </w:p>
        </w:tc>
        <w:tc>
          <w:tcPr>
            <w:tcW w:w="754" w:type="pct"/>
            <w:tcBorders>
              <w:right w:val="single" w:sz="4" w:space="0" w:color="auto"/>
            </w:tcBorders>
            <w:shd w:val="clear" w:color="auto" w:fill="auto"/>
          </w:tcPr>
          <w:p w14:paraId="4C794D6B" w14:textId="77777777" w:rsidR="00DA50F1" w:rsidRPr="009A4DCA" w:rsidRDefault="00DA50F1" w:rsidP="00E76F4F">
            <w:pPr>
              <w:pStyle w:val="TableText0"/>
            </w:pPr>
            <w:r w:rsidRPr="009A4DCA">
              <w:t>Tested patient %</w:t>
            </w:r>
          </w:p>
          <w:p w14:paraId="649BECF1" w14:textId="77777777" w:rsidR="00DA50F1" w:rsidRPr="009A4DCA" w:rsidRDefault="00DA50F1" w:rsidP="00E76F4F">
            <w:pPr>
              <w:pStyle w:val="TableText0"/>
            </w:pPr>
            <w:r w:rsidRPr="009A4DCA">
              <w:t>(est. 1.5-2.5)</w:t>
            </w:r>
          </w:p>
        </w:tc>
        <w:tc>
          <w:tcPr>
            <w:tcW w:w="706" w:type="pct"/>
            <w:tcBorders>
              <w:left w:val="single" w:sz="4" w:space="0" w:color="auto"/>
            </w:tcBorders>
            <w:shd w:val="clear" w:color="auto" w:fill="auto"/>
          </w:tcPr>
          <w:p w14:paraId="4CDDC90B" w14:textId="77777777" w:rsidR="00DA50F1" w:rsidRPr="009A4DCA" w:rsidRDefault="00DA50F1" w:rsidP="00E76F4F">
            <w:pPr>
              <w:pStyle w:val="TableText0"/>
            </w:pPr>
            <w:r w:rsidRPr="009A4DCA">
              <w:t>25</w:t>
            </w:r>
          </w:p>
          <w:p w14:paraId="73768F9F" w14:textId="77777777" w:rsidR="00DA50F1" w:rsidRPr="009A4DCA" w:rsidRDefault="00DA50F1" w:rsidP="00E76F4F">
            <w:pPr>
              <w:pStyle w:val="TableText0"/>
            </w:pPr>
            <w:r w:rsidRPr="009A4DCA">
              <w:t>(21–29)</w:t>
            </w:r>
          </w:p>
        </w:tc>
        <w:tc>
          <w:tcPr>
            <w:tcW w:w="1310" w:type="pct"/>
            <w:gridSpan w:val="3"/>
            <w:shd w:val="clear" w:color="auto" w:fill="auto"/>
          </w:tcPr>
          <w:p w14:paraId="2670C4CB" w14:textId="77777777" w:rsidR="00DA50F1" w:rsidRPr="009A4DCA" w:rsidRDefault="00DA50F1" w:rsidP="00E76F4F">
            <w:pPr>
              <w:pStyle w:val="TableText0"/>
            </w:pPr>
            <w:r w:rsidRPr="009A4DCA">
              <w:t>74</w:t>
            </w:r>
          </w:p>
          <w:p w14:paraId="4F3A674D" w14:textId="77777777" w:rsidR="00DA50F1" w:rsidRPr="009A4DCA" w:rsidRDefault="00DA50F1" w:rsidP="00E76F4F">
            <w:pPr>
              <w:pStyle w:val="TableText0"/>
            </w:pPr>
            <w:r w:rsidRPr="009A4DCA">
              <w:t>(65–84)</w:t>
            </w:r>
          </w:p>
        </w:tc>
        <w:tc>
          <w:tcPr>
            <w:tcW w:w="470" w:type="pct"/>
            <w:shd w:val="clear" w:color="auto" w:fill="auto"/>
          </w:tcPr>
          <w:p w14:paraId="0E99E0B9" w14:textId="77777777" w:rsidR="00DA50F1" w:rsidRPr="009A4DCA" w:rsidRDefault="00DA50F1" w:rsidP="00E76F4F">
            <w:pPr>
              <w:pStyle w:val="TableText0"/>
            </w:pPr>
            <w:r w:rsidRPr="009A4DCA">
              <w:t>184</w:t>
            </w:r>
          </w:p>
          <w:p w14:paraId="404ED453" w14:textId="77777777" w:rsidR="00DA50F1" w:rsidRPr="009A4DCA" w:rsidRDefault="00DA50F1" w:rsidP="00E76F4F">
            <w:pPr>
              <w:pStyle w:val="TableText0"/>
            </w:pPr>
            <w:r w:rsidRPr="009A4DCA">
              <w:t>(159-213)</w:t>
            </w:r>
          </w:p>
        </w:tc>
      </w:tr>
      <w:tr w:rsidR="00DA50F1" w:rsidRPr="009A4DCA" w14:paraId="66428D96" w14:textId="77777777" w:rsidTr="00973287">
        <w:tc>
          <w:tcPr>
            <w:tcW w:w="784" w:type="pct"/>
            <w:tcBorders>
              <w:bottom w:val="single" w:sz="4" w:space="0" w:color="000000"/>
              <w:right w:val="single" w:sz="4" w:space="0" w:color="auto"/>
            </w:tcBorders>
            <w:shd w:val="clear" w:color="auto" w:fill="auto"/>
          </w:tcPr>
          <w:p w14:paraId="126FA620" w14:textId="77777777" w:rsidR="00DA50F1" w:rsidRPr="00421004" w:rsidRDefault="00DA50F1" w:rsidP="00E76F4F">
            <w:pPr>
              <w:pStyle w:val="TableText0"/>
            </w:pPr>
            <w:r w:rsidRPr="00421004">
              <w:t>McLaughlin 2022</w:t>
            </w:r>
          </w:p>
          <w:p w14:paraId="6044E7B3" w14:textId="77777777" w:rsidR="00DA50F1" w:rsidRPr="00421004" w:rsidRDefault="00DA50F1" w:rsidP="00E76F4F">
            <w:pPr>
              <w:pStyle w:val="TableText0"/>
            </w:pPr>
            <w:r w:rsidRPr="00421004">
              <w:t>Systematic</w:t>
            </w:r>
          </w:p>
          <w:p w14:paraId="4E79A235" w14:textId="77777777" w:rsidR="00DA50F1" w:rsidRPr="00421004" w:rsidRDefault="00DA50F1" w:rsidP="00E76F4F">
            <w:pPr>
              <w:pStyle w:val="TableText0"/>
            </w:pPr>
            <w:r w:rsidRPr="00421004">
              <w:t>Review</w:t>
            </w:r>
          </w:p>
          <w:p w14:paraId="2B509F7A" w14:textId="77777777" w:rsidR="00DA50F1" w:rsidRPr="00421004" w:rsidRDefault="00DA50F1" w:rsidP="00E76F4F">
            <w:pPr>
              <w:pStyle w:val="TableText0"/>
            </w:pPr>
            <w:r w:rsidRPr="00421004">
              <w:t>USA</w:t>
            </w:r>
          </w:p>
        </w:tc>
        <w:tc>
          <w:tcPr>
            <w:tcW w:w="976" w:type="pct"/>
            <w:tcBorders>
              <w:left w:val="single" w:sz="4" w:space="0" w:color="auto"/>
              <w:bottom w:val="single" w:sz="4" w:space="0" w:color="000000"/>
            </w:tcBorders>
            <w:shd w:val="clear" w:color="auto" w:fill="auto"/>
          </w:tcPr>
          <w:p w14:paraId="4F02C517" w14:textId="77777777" w:rsidR="00DA50F1" w:rsidRPr="009A4DCA" w:rsidRDefault="00DA50F1" w:rsidP="00E76F4F">
            <w:pPr>
              <w:pStyle w:val="TableText0"/>
            </w:pPr>
            <w:r w:rsidRPr="009A4DCA">
              <w:t>Lab-confirmed (PCR only) hospitalisations in US</w:t>
            </w:r>
          </w:p>
        </w:tc>
        <w:tc>
          <w:tcPr>
            <w:tcW w:w="754" w:type="pct"/>
            <w:tcBorders>
              <w:bottom w:val="single" w:sz="4" w:space="0" w:color="000000"/>
              <w:right w:val="single" w:sz="4" w:space="0" w:color="auto"/>
            </w:tcBorders>
            <w:shd w:val="clear" w:color="auto" w:fill="auto"/>
          </w:tcPr>
          <w:p w14:paraId="384FDEEB" w14:textId="77777777" w:rsidR="00DA50F1" w:rsidRPr="009A4DCA" w:rsidRDefault="00DA50F1" w:rsidP="00E76F4F">
            <w:pPr>
              <w:pStyle w:val="TableText0"/>
            </w:pPr>
            <w:r w:rsidRPr="009A4DCA">
              <w:t xml:space="preserve">Sensitivity of </w:t>
            </w:r>
            <w:r w:rsidRPr="009A4DCA">
              <w:br/>
              <w:t>lab tests</w:t>
            </w:r>
          </w:p>
          <w:p w14:paraId="6B27B5DC" w14:textId="77777777" w:rsidR="00DA50F1" w:rsidRPr="009A4DCA" w:rsidRDefault="00DA50F1" w:rsidP="00E76F4F">
            <w:pPr>
              <w:pStyle w:val="TableText0"/>
            </w:pPr>
            <w:r w:rsidRPr="009A4DCA">
              <w:t>(1.5)</w:t>
            </w:r>
          </w:p>
        </w:tc>
        <w:tc>
          <w:tcPr>
            <w:tcW w:w="706" w:type="pct"/>
            <w:tcBorders>
              <w:left w:val="single" w:sz="4" w:space="0" w:color="auto"/>
              <w:bottom w:val="single" w:sz="4" w:space="0" w:color="000000"/>
            </w:tcBorders>
            <w:shd w:val="clear" w:color="auto" w:fill="auto"/>
          </w:tcPr>
          <w:p w14:paraId="6D78A69D" w14:textId="77777777" w:rsidR="00DA50F1" w:rsidRPr="009A4DCA" w:rsidRDefault="00DA50F1" w:rsidP="00E76F4F">
            <w:pPr>
              <w:pStyle w:val="TableText0"/>
            </w:pPr>
          </w:p>
          <w:p w14:paraId="489CD23D" w14:textId="77777777" w:rsidR="00DA50F1" w:rsidRPr="009A4DCA" w:rsidRDefault="00DA50F1" w:rsidP="00E76F4F">
            <w:pPr>
              <w:pStyle w:val="TableText0"/>
            </w:pPr>
            <w:r w:rsidRPr="009A4DCA">
              <w:t>67</w:t>
            </w:r>
          </w:p>
          <w:p w14:paraId="433A5C15" w14:textId="77777777" w:rsidR="00DA50F1" w:rsidRPr="009A4DCA" w:rsidRDefault="00DA50F1" w:rsidP="00E76F4F">
            <w:pPr>
              <w:pStyle w:val="TableText0"/>
            </w:pPr>
            <w:r w:rsidRPr="009A4DCA">
              <w:t>(40 – 94)</w:t>
            </w:r>
          </w:p>
        </w:tc>
        <w:tc>
          <w:tcPr>
            <w:tcW w:w="1780" w:type="pct"/>
            <w:gridSpan w:val="4"/>
            <w:tcBorders>
              <w:bottom w:val="single" w:sz="4" w:space="0" w:color="000000"/>
            </w:tcBorders>
            <w:shd w:val="clear" w:color="auto" w:fill="auto"/>
          </w:tcPr>
          <w:p w14:paraId="30EB5704" w14:textId="77777777" w:rsidR="00DA50F1" w:rsidRPr="009A4DCA" w:rsidRDefault="00DA50F1" w:rsidP="00E76F4F">
            <w:pPr>
              <w:pStyle w:val="TableText0"/>
            </w:pPr>
          </w:p>
          <w:p w14:paraId="4F75EF92" w14:textId="77777777" w:rsidR="00DA50F1" w:rsidRPr="009A4DCA" w:rsidRDefault="00DA50F1" w:rsidP="00E76F4F">
            <w:pPr>
              <w:pStyle w:val="TableText0"/>
            </w:pPr>
            <w:r w:rsidRPr="009A4DCA">
              <w:t>267</w:t>
            </w:r>
          </w:p>
          <w:p w14:paraId="7A7499F0" w14:textId="77777777" w:rsidR="00DA50F1" w:rsidRPr="009A4DCA" w:rsidRDefault="00DA50F1" w:rsidP="00E76F4F">
            <w:pPr>
              <w:pStyle w:val="TableText0"/>
            </w:pPr>
            <w:r w:rsidRPr="009A4DCA">
              <w:t>(228–306)</w:t>
            </w:r>
          </w:p>
        </w:tc>
      </w:tr>
      <w:tr w:rsidR="00DA50F1" w:rsidRPr="009A4DCA" w14:paraId="5C9F86B0" w14:textId="77777777" w:rsidTr="00BD45C5">
        <w:tc>
          <w:tcPr>
            <w:tcW w:w="2514" w:type="pct"/>
            <w:gridSpan w:val="3"/>
            <w:tcBorders>
              <w:right w:val="nil"/>
            </w:tcBorders>
            <w:shd w:val="clear" w:color="auto" w:fill="D9D9D9" w:themeFill="background1" w:themeFillShade="D9"/>
          </w:tcPr>
          <w:p w14:paraId="223EA802" w14:textId="77777777" w:rsidR="00DA50F1" w:rsidRPr="00421004" w:rsidRDefault="00DA50F1" w:rsidP="00E76F4F">
            <w:pPr>
              <w:pStyle w:val="TableText0"/>
            </w:pPr>
            <w:r w:rsidRPr="00421004">
              <w:t>Modelling method</w:t>
            </w:r>
          </w:p>
        </w:tc>
        <w:tc>
          <w:tcPr>
            <w:tcW w:w="2486" w:type="pct"/>
            <w:gridSpan w:val="5"/>
            <w:tcBorders>
              <w:left w:val="nil"/>
            </w:tcBorders>
            <w:shd w:val="clear" w:color="auto" w:fill="D9D9D9" w:themeFill="background1" w:themeFillShade="D9"/>
          </w:tcPr>
          <w:p w14:paraId="58C01982" w14:textId="77777777" w:rsidR="00DA50F1" w:rsidRPr="009A4DCA" w:rsidRDefault="00DA50F1" w:rsidP="00E76F4F">
            <w:pPr>
              <w:pStyle w:val="TableText0"/>
            </w:pPr>
          </w:p>
        </w:tc>
      </w:tr>
      <w:tr w:rsidR="00DA50F1" w:rsidRPr="009A4DCA" w14:paraId="031A0530" w14:textId="77777777" w:rsidTr="00973287">
        <w:tc>
          <w:tcPr>
            <w:tcW w:w="784" w:type="pct"/>
            <w:vMerge w:val="restart"/>
            <w:tcBorders>
              <w:right w:val="single" w:sz="4" w:space="0" w:color="auto"/>
            </w:tcBorders>
            <w:shd w:val="clear" w:color="auto" w:fill="auto"/>
          </w:tcPr>
          <w:p w14:paraId="6EFEEE71" w14:textId="77777777" w:rsidR="00DA50F1" w:rsidRPr="00421004" w:rsidRDefault="00DA50F1" w:rsidP="00E76F4F">
            <w:pPr>
              <w:pStyle w:val="TableText0"/>
            </w:pPr>
            <w:r w:rsidRPr="00421004">
              <w:t>Nazareno 2022</w:t>
            </w:r>
          </w:p>
          <w:p w14:paraId="450E6374" w14:textId="77777777" w:rsidR="00DA50F1" w:rsidRPr="00421004" w:rsidRDefault="00DA50F1" w:rsidP="00E76F4F">
            <w:pPr>
              <w:pStyle w:val="TableText0"/>
            </w:pPr>
            <w:r w:rsidRPr="00421004">
              <w:t>AIHW NHMD 2009-2017</w:t>
            </w:r>
          </w:p>
          <w:p w14:paraId="540A4377" w14:textId="77777777" w:rsidR="00DA50F1" w:rsidRPr="00421004" w:rsidRDefault="00DA50F1" w:rsidP="00E76F4F">
            <w:pPr>
              <w:pStyle w:val="TableText0"/>
            </w:pPr>
            <w:r w:rsidRPr="00421004">
              <w:t>Australia</w:t>
            </w:r>
          </w:p>
        </w:tc>
        <w:tc>
          <w:tcPr>
            <w:tcW w:w="976" w:type="pct"/>
            <w:tcBorders>
              <w:left w:val="single" w:sz="4" w:space="0" w:color="auto"/>
            </w:tcBorders>
            <w:shd w:val="clear" w:color="auto" w:fill="auto"/>
          </w:tcPr>
          <w:p w14:paraId="28CAFC68" w14:textId="77777777" w:rsidR="00DA50F1" w:rsidRPr="009A4DCA" w:rsidRDefault="00DA50F1" w:rsidP="00E76F4F">
            <w:pPr>
              <w:pStyle w:val="TableText0"/>
            </w:pPr>
            <w:r w:rsidRPr="009A4DCA">
              <w:t>Excess ARI (J00-22,44)</w:t>
            </w:r>
          </w:p>
          <w:p w14:paraId="0E41E2E6" w14:textId="77777777" w:rsidR="00DA50F1" w:rsidRPr="009A4DCA" w:rsidRDefault="00DA50F1" w:rsidP="00E76F4F">
            <w:pPr>
              <w:pStyle w:val="TableText0"/>
            </w:pPr>
            <w:r w:rsidRPr="009A4DCA">
              <w:t xml:space="preserve">hospitalisations </w:t>
            </w:r>
            <w:r w:rsidRPr="009A4DCA">
              <w:br/>
              <w:t>associated with RSV</w:t>
            </w:r>
          </w:p>
        </w:tc>
        <w:tc>
          <w:tcPr>
            <w:tcW w:w="754" w:type="pct"/>
            <w:tcBorders>
              <w:bottom w:val="nil"/>
              <w:right w:val="single" w:sz="4" w:space="0" w:color="auto"/>
            </w:tcBorders>
            <w:shd w:val="clear" w:color="auto" w:fill="auto"/>
          </w:tcPr>
          <w:p w14:paraId="10AA3F1D" w14:textId="77777777" w:rsidR="00DA50F1" w:rsidRPr="009A4DCA" w:rsidRDefault="00DA50F1" w:rsidP="00E76F4F">
            <w:pPr>
              <w:pStyle w:val="TableText0"/>
            </w:pPr>
            <w:r w:rsidRPr="009A4DCA">
              <w:t>Influenza hospitalisations (N/A)</w:t>
            </w:r>
          </w:p>
        </w:tc>
        <w:tc>
          <w:tcPr>
            <w:tcW w:w="706" w:type="pct"/>
            <w:tcBorders>
              <w:left w:val="single" w:sz="4" w:space="0" w:color="auto"/>
            </w:tcBorders>
            <w:shd w:val="clear" w:color="auto" w:fill="auto"/>
          </w:tcPr>
          <w:p w14:paraId="6E43FFCB" w14:textId="77777777" w:rsidR="00DA50F1" w:rsidRPr="009A4DCA" w:rsidRDefault="00DA50F1" w:rsidP="00E76F4F">
            <w:pPr>
              <w:pStyle w:val="TableText0"/>
            </w:pPr>
            <w:r w:rsidRPr="009A4DCA">
              <w:t>45-64y:</w:t>
            </w:r>
          </w:p>
          <w:p w14:paraId="41B8FACB" w14:textId="77777777" w:rsidR="00DA50F1" w:rsidRPr="009A4DCA" w:rsidRDefault="00DA50F1" w:rsidP="00E76F4F">
            <w:pPr>
              <w:pStyle w:val="TableText0"/>
            </w:pPr>
            <w:r w:rsidRPr="009A4DCA">
              <w:t>199</w:t>
            </w:r>
          </w:p>
          <w:p w14:paraId="707A14E3" w14:textId="77777777" w:rsidR="00DA50F1" w:rsidRPr="009A4DCA" w:rsidRDefault="00DA50F1" w:rsidP="00E76F4F">
            <w:pPr>
              <w:pStyle w:val="TableText0"/>
            </w:pPr>
            <w:r w:rsidRPr="009A4DCA">
              <w:t>(-1,013 – 1,357)</w:t>
            </w:r>
          </w:p>
        </w:tc>
        <w:tc>
          <w:tcPr>
            <w:tcW w:w="839" w:type="pct"/>
            <w:gridSpan w:val="2"/>
            <w:shd w:val="clear" w:color="auto" w:fill="auto"/>
          </w:tcPr>
          <w:p w14:paraId="16802BD3" w14:textId="77777777" w:rsidR="00DA50F1" w:rsidRPr="009A4DCA" w:rsidRDefault="00DA50F1" w:rsidP="00E76F4F">
            <w:pPr>
              <w:pStyle w:val="TableText0"/>
            </w:pPr>
          </w:p>
          <w:p w14:paraId="4E1DEBBC" w14:textId="77777777" w:rsidR="00DA50F1" w:rsidRPr="009A4DCA" w:rsidRDefault="00DA50F1" w:rsidP="00E76F4F">
            <w:pPr>
              <w:pStyle w:val="TableText0"/>
            </w:pPr>
            <w:r w:rsidRPr="009A4DCA">
              <w:t>33.5</w:t>
            </w:r>
          </w:p>
          <w:p w14:paraId="6CE959F8" w14:textId="77777777" w:rsidR="00DA50F1" w:rsidRPr="009A4DCA" w:rsidRDefault="00DA50F1" w:rsidP="00E76F4F">
            <w:pPr>
              <w:pStyle w:val="TableText0"/>
            </w:pPr>
            <w:r w:rsidRPr="009A4DCA">
              <w:t>(-32 – 104)</w:t>
            </w:r>
          </w:p>
        </w:tc>
        <w:tc>
          <w:tcPr>
            <w:tcW w:w="941" w:type="pct"/>
            <w:gridSpan w:val="2"/>
            <w:shd w:val="clear" w:color="auto" w:fill="auto"/>
          </w:tcPr>
          <w:p w14:paraId="4F2D74A8" w14:textId="77777777" w:rsidR="00DA50F1" w:rsidRPr="009A4DCA" w:rsidRDefault="00DA50F1" w:rsidP="00E76F4F">
            <w:pPr>
              <w:pStyle w:val="TableText0"/>
            </w:pPr>
          </w:p>
          <w:p w14:paraId="1DE12AB9" w14:textId="77777777" w:rsidR="00DA50F1" w:rsidRPr="009A4DCA" w:rsidRDefault="00DA50F1" w:rsidP="00E76F4F">
            <w:pPr>
              <w:pStyle w:val="TableText0"/>
            </w:pPr>
            <w:r w:rsidRPr="009A4DCA">
              <w:t>256</w:t>
            </w:r>
          </w:p>
          <w:p w14:paraId="6230BEF1" w14:textId="77777777" w:rsidR="00DA50F1" w:rsidRPr="009A4DCA" w:rsidRDefault="00DA50F1" w:rsidP="00E76F4F">
            <w:pPr>
              <w:pStyle w:val="TableText0"/>
            </w:pPr>
            <w:r w:rsidRPr="009A4DCA">
              <w:t>(5 – 487)</w:t>
            </w:r>
          </w:p>
        </w:tc>
      </w:tr>
      <w:tr w:rsidR="00DA50F1" w:rsidRPr="009A4DCA" w14:paraId="07291C66" w14:textId="77777777" w:rsidTr="00973287">
        <w:tc>
          <w:tcPr>
            <w:tcW w:w="784" w:type="pct"/>
            <w:vMerge/>
            <w:tcBorders>
              <w:top w:val="nil"/>
              <w:bottom w:val="single" w:sz="4" w:space="0" w:color="auto"/>
              <w:right w:val="single" w:sz="4" w:space="0" w:color="auto"/>
            </w:tcBorders>
            <w:shd w:val="clear" w:color="auto" w:fill="auto"/>
          </w:tcPr>
          <w:p w14:paraId="1845A98E" w14:textId="77777777" w:rsidR="00DA50F1" w:rsidRPr="00421004" w:rsidRDefault="00DA50F1" w:rsidP="00E76F4F">
            <w:pPr>
              <w:pStyle w:val="TableText0"/>
            </w:pPr>
          </w:p>
        </w:tc>
        <w:tc>
          <w:tcPr>
            <w:tcW w:w="976" w:type="pct"/>
            <w:tcBorders>
              <w:left w:val="single" w:sz="4" w:space="0" w:color="auto"/>
            </w:tcBorders>
            <w:shd w:val="clear" w:color="auto" w:fill="auto"/>
          </w:tcPr>
          <w:p w14:paraId="43865905" w14:textId="045677D2" w:rsidR="00DA50F1" w:rsidRPr="009A4DCA" w:rsidRDefault="00DA50F1" w:rsidP="00E76F4F">
            <w:pPr>
              <w:pStyle w:val="TableText0"/>
            </w:pPr>
            <w:r w:rsidRPr="009A4DCA">
              <w:t xml:space="preserve">Excess respiratory </w:t>
            </w:r>
            <w:r w:rsidRPr="009A4DCA">
              <w:br/>
              <w:t>(J00-J99) hospitalisations associated with RSV</w:t>
            </w:r>
          </w:p>
        </w:tc>
        <w:tc>
          <w:tcPr>
            <w:tcW w:w="754" w:type="pct"/>
            <w:tcBorders>
              <w:top w:val="nil"/>
              <w:right w:val="single" w:sz="4" w:space="0" w:color="auto"/>
            </w:tcBorders>
            <w:shd w:val="clear" w:color="auto" w:fill="auto"/>
          </w:tcPr>
          <w:p w14:paraId="1411FAA6" w14:textId="77777777" w:rsidR="00DA50F1" w:rsidRPr="009A4DCA" w:rsidRDefault="00DA50F1" w:rsidP="00E76F4F">
            <w:pPr>
              <w:pStyle w:val="TableText0"/>
            </w:pPr>
          </w:p>
          <w:p w14:paraId="10C96004" w14:textId="77777777" w:rsidR="00DA50F1" w:rsidRPr="009A4DCA" w:rsidRDefault="00DA50F1" w:rsidP="00E76F4F">
            <w:pPr>
              <w:pStyle w:val="TableText0"/>
            </w:pPr>
          </w:p>
        </w:tc>
        <w:tc>
          <w:tcPr>
            <w:tcW w:w="706" w:type="pct"/>
            <w:tcBorders>
              <w:left w:val="single" w:sz="4" w:space="0" w:color="auto"/>
            </w:tcBorders>
            <w:shd w:val="clear" w:color="auto" w:fill="auto"/>
          </w:tcPr>
          <w:p w14:paraId="1875254A" w14:textId="77777777" w:rsidR="00DA50F1" w:rsidRPr="009A4DCA" w:rsidRDefault="00DA50F1" w:rsidP="00E76F4F">
            <w:pPr>
              <w:pStyle w:val="TableText0"/>
            </w:pPr>
            <w:r w:rsidRPr="009A4DCA">
              <w:t>45-64y:</w:t>
            </w:r>
          </w:p>
          <w:p w14:paraId="61244553" w14:textId="77777777" w:rsidR="00DA50F1" w:rsidRPr="009A4DCA" w:rsidRDefault="00DA50F1" w:rsidP="00E76F4F">
            <w:pPr>
              <w:pStyle w:val="TableText0"/>
            </w:pPr>
            <w:r w:rsidRPr="009A4DCA">
              <w:t>505</w:t>
            </w:r>
          </w:p>
          <w:p w14:paraId="478458E5" w14:textId="77777777" w:rsidR="00DA50F1" w:rsidRPr="009A4DCA" w:rsidRDefault="00DA50F1" w:rsidP="00E76F4F">
            <w:pPr>
              <w:pStyle w:val="TableText0"/>
            </w:pPr>
            <w:r w:rsidRPr="009A4DCA">
              <w:t>(-1,253 – 2,183)</w:t>
            </w:r>
          </w:p>
        </w:tc>
        <w:tc>
          <w:tcPr>
            <w:tcW w:w="839" w:type="pct"/>
            <w:gridSpan w:val="2"/>
            <w:shd w:val="clear" w:color="auto" w:fill="auto"/>
          </w:tcPr>
          <w:p w14:paraId="3B531791" w14:textId="77777777" w:rsidR="00DA50F1" w:rsidRPr="009A4DCA" w:rsidRDefault="00DA50F1" w:rsidP="00E76F4F">
            <w:pPr>
              <w:pStyle w:val="TableText0"/>
            </w:pPr>
          </w:p>
          <w:p w14:paraId="7DBBEF5D" w14:textId="77777777" w:rsidR="00DA50F1" w:rsidRPr="009A4DCA" w:rsidRDefault="00DA50F1" w:rsidP="00E76F4F">
            <w:pPr>
              <w:pStyle w:val="TableText0"/>
            </w:pPr>
            <w:r w:rsidRPr="009A4DCA">
              <w:t>64</w:t>
            </w:r>
          </w:p>
          <w:p w14:paraId="2DDAACE3" w14:textId="77777777" w:rsidR="00DA50F1" w:rsidRPr="009A4DCA" w:rsidRDefault="00DA50F1" w:rsidP="00E76F4F">
            <w:pPr>
              <w:pStyle w:val="TableText0"/>
            </w:pPr>
            <w:r w:rsidRPr="009A4DCA">
              <w:t>(-17 – 154)</w:t>
            </w:r>
          </w:p>
        </w:tc>
        <w:tc>
          <w:tcPr>
            <w:tcW w:w="941" w:type="pct"/>
            <w:gridSpan w:val="2"/>
            <w:shd w:val="clear" w:color="auto" w:fill="auto"/>
          </w:tcPr>
          <w:p w14:paraId="39273BBC" w14:textId="77777777" w:rsidR="00DA50F1" w:rsidRPr="009A4DCA" w:rsidRDefault="00DA50F1" w:rsidP="00E76F4F">
            <w:pPr>
              <w:pStyle w:val="TableText0"/>
            </w:pPr>
          </w:p>
          <w:p w14:paraId="312B68C6" w14:textId="55A816C2" w:rsidR="00DA50F1" w:rsidRPr="009A4DCA" w:rsidRDefault="00DA50F1" w:rsidP="00E76F4F">
            <w:pPr>
              <w:pStyle w:val="TableText0"/>
            </w:pPr>
            <w:r w:rsidRPr="009A4DCA">
              <w:t>360</w:t>
            </w:r>
            <w:r w:rsidR="00635E99" w:rsidRPr="009A4DCA">
              <w:rPr>
                <w:vertAlign w:val="superscript"/>
              </w:rPr>
              <w:t>b</w:t>
            </w:r>
          </w:p>
          <w:p w14:paraId="695F46B9" w14:textId="77777777" w:rsidR="00DA50F1" w:rsidRPr="009A4DCA" w:rsidRDefault="00DA50F1" w:rsidP="00E76F4F">
            <w:pPr>
              <w:pStyle w:val="TableText0"/>
            </w:pPr>
            <w:r w:rsidRPr="009A4DCA">
              <w:t>(79 – 628)</w:t>
            </w:r>
          </w:p>
        </w:tc>
      </w:tr>
      <w:tr w:rsidR="00DA50F1" w:rsidRPr="009A4DCA" w14:paraId="785E06A2" w14:textId="77777777" w:rsidTr="00973287">
        <w:tc>
          <w:tcPr>
            <w:tcW w:w="784" w:type="pct"/>
            <w:tcBorders>
              <w:top w:val="single" w:sz="4" w:space="0" w:color="auto"/>
              <w:right w:val="single" w:sz="4" w:space="0" w:color="auto"/>
            </w:tcBorders>
            <w:shd w:val="clear" w:color="auto" w:fill="auto"/>
          </w:tcPr>
          <w:p w14:paraId="4F332BD4" w14:textId="77777777" w:rsidR="00DA50F1" w:rsidRPr="00421004" w:rsidRDefault="00DA50F1" w:rsidP="00E76F4F">
            <w:pPr>
              <w:pStyle w:val="TableText0"/>
            </w:pPr>
            <w:r w:rsidRPr="00421004">
              <w:t xml:space="preserve">Australian </w:t>
            </w:r>
            <w:r w:rsidRPr="00421004">
              <w:br/>
              <w:t>modelling study</w:t>
            </w:r>
          </w:p>
          <w:p w14:paraId="79253562" w14:textId="77777777" w:rsidR="00DA50F1" w:rsidRPr="00421004" w:rsidRDefault="00DA50F1" w:rsidP="00E76F4F">
            <w:pPr>
              <w:pStyle w:val="TableText0"/>
            </w:pPr>
            <w:r w:rsidRPr="00421004">
              <w:t>2010-2019</w:t>
            </w:r>
          </w:p>
          <w:p w14:paraId="237DFAD9" w14:textId="77777777" w:rsidR="00DA50F1" w:rsidRPr="00421004" w:rsidRDefault="00DA50F1" w:rsidP="00E76F4F">
            <w:pPr>
              <w:pStyle w:val="TableText0"/>
            </w:pPr>
            <w:r w:rsidRPr="00421004">
              <w:t>Australia</w:t>
            </w:r>
          </w:p>
        </w:tc>
        <w:tc>
          <w:tcPr>
            <w:tcW w:w="976" w:type="pct"/>
            <w:tcBorders>
              <w:left w:val="single" w:sz="4" w:space="0" w:color="auto"/>
            </w:tcBorders>
            <w:shd w:val="clear" w:color="auto" w:fill="auto"/>
          </w:tcPr>
          <w:p w14:paraId="330D0F41" w14:textId="77777777" w:rsidR="00DA50F1" w:rsidRPr="009A4DCA" w:rsidRDefault="00DA50F1" w:rsidP="00E76F4F">
            <w:pPr>
              <w:pStyle w:val="TableText0"/>
            </w:pPr>
            <w:r w:rsidRPr="009A4DCA">
              <w:t xml:space="preserve">RSV-coded </w:t>
            </w:r>
            <w:r w:rsidRPr="009A4DCA">
              <w:br/>
              <w:t>hospitalisations</w:t>
            </w:r>
            <w:r w:rsidRPr="009A4DCA">
              <w:br/>
              <w:t>(J00-J99)</w:t>
            </w:r>
          </w:p>
        </w:tc>
        <w:tc>
          <w:tcPr>
            <w:tcW w:w="754" w:type="pct"/>
            <w:tcBorders>
              <w:right w:val="single" w:sz="4" w:space="0" w:color="auto"/>
            </w:tcBorders>
            <w:shd w:val="clear" w:color="auto" w:fill="auto"/>
          </w:tcPr>
          <w:p w14:paraId="170F01D7" w14:textId="043F57B5" w:rsidR="00DA50F1" w:rsidRPr="009A4DCA" w:rsidRDefault="00DA50F1" w:rsidP="00E76F4F">
            <w:pPr>
              <w:pStyle w:val="TableText0"/>
            </w:pPr>
            <w:r w:rsidRPr="009A4DCA">
              <w:t>Viral proxies: RSV hospitalisations children aged</w:t>
            </w:r>
            <w:r w:rsidR="00371DB0" w:rsidRPr="009A4DCA">
              <w:t xml:space="preserve"> </w:t>
            </w:r>
            <w:r w:rsidRPr="009A4DCA">
              <w:t>&lt;2y; Influenza adults aged</w:t>
            </w:r>
            <w:r w:rsidR="00371DB0" w:rsidRPr="009A4DCA">
              <w:t xml:space="preserve"> </w:t>
            </w:r>
            <w:r w:rsidRPr="009A4DCA">
              <w:t>&gt;65y (N/A)</w:t>
            </w:r>
          </w:p>
        </w:tc>
        <w:tc>
          <w:tcPr>
            <w:tcW w:w="706" w:type="pct"/>
            <w:tcBorders>
              <w:left w:val="single" w:sz="4" w:space="0" w:color="auto"/>
            </w:tcBorders>
            <w:shd w:val="clear" w:color="auto" w:fill="auto"/>
          </w:tcPr>
          <w:p w14:paraId="35C644B0" w14:textId="13BBD506" w:rsidR="00DA50F1" w:rsidRPr="009A4DCA" w:rsidRDefault="00DA50F1" w:rsidP="00E76F4F">
            <w:pPr>
              <w:pStyle w:val="TableText0"/>
            </w:pPr>
            <w:r w:rsidRPr="009A4DCA">
              <w:t>Reported for age groups: 18-64y, but not extracted during the evaluation.</w:t>
            </w:r>
          </w:p>
        </w:tc>
        <w:tc>
          <w:tcPr>
            <w:tcW w:w="839" w:type="pct"/>
            <w:gridSpan w:val="2"/>
            <w:shd w:val="clear" w:color="auto" w:fill="auto"/>
          </w:tcPr>
          <w:p w14:paraId="1245D487" w14:textId="77777777" w:rsidR="00DA50F1" w:rsidRPr="009A4DCA" w:rsidRDefault="00DA50F1" w:rsidP="00E76F4F">
            <w:pPr>
              <w:pStyle w:val="TableText0"/>
            </w:pPr>
            <w:r w:rsidRPr="009A4DCA">
              <w:t>107</w:t>
            </w:r>
            <w:r w:rsidRPr="009A4DCA">
              <w:br/>
              <w:t>(0 – 247.8))</w:t>
            </w:r>
          </w:p>
          <w:p w14:paraId="1BF7088D" w14:textId="77777777" w:rsidR="00DA50F1" w:rsidRPr="009A4DCA" w:rsidRDefault="00DA50F1" w:rsidP="00E76F4F">
            <w:pPr>
              <w:pStyle w:val="TableText0"/>
            </w:pPr>
          </w:p>
          <w:p w14:paraId="6F0FC3F7" w14:textId="0D1478DF" w:rsidR="00DA50F1" w:rsidRPr="009A4DCA" w:rsidRDefault="00DA50F1" w:rsidP="00E76F4F">
            <w:pPr>
              <w:pStyle w:val="TableText0"/>
            </w:pPr>
            <w:r w:rsidRPr="009A4DCA">
              <w:t>Age </w:t>
            </w:r>
            <w:r w:rsidRPr="009A4DCA">
              <w:rPr>
                <w:rFonts w:cs="Calibri"/>
              </w:rPr>
              <w:t>≥65y</w:t>
            </w:r>
            <w:r w:rsidRPr="009A4DCA">
              <w:t>: 236.4</w:t>
            </w:r>
          </w:p>
        </w:tc>
        <w:tc>
          <w:tcPr>
            <w:tcW w:w="941" w:type="pct"/>
            <w:gridSpan w:val="2"/>
            <w:shd w:val="clear" w:color="auto" w:fill="auto"/>
          </w:tcPr>
          <w:p w14:paraId="4ADDC427" w14:textId="3BE1EFA7" w:rsidR="00DA50F1" w:rsidRPr="009A4DCA" w:rsidRDefault="00DA50F1" w:rsidP="00E76F4F">
            <w:pPr>
              <w:pStyle w:val="TableText0"/>
            </w:pPr>
            <w:r w:rsidRPr="009A4DCA">
              <w:t>398</w:t>
            </w:r>
            <w:r w:rsidR="007D3827" w:rsidRPr="009A4DCA">
              <w:rPr>
                <w:vertAlign w:val="superscript"/>
              </w:rPr>
              <w:t>a</w:t>
            </w:r>
            <w:r w:rsidRPr="009A4DCA">
              <w:br/>
              <w:t>(50.4 – 775.5)</w:t>
            </w:r>
          </w:p>
          <w:p w14:paraId="38BAFBE3" w14:textId="7FA5C1E5" w:rsidR="00DA50F1" w:rsidRPr="009A4DCA" w:rsidRDefault="00DA50F1" w:rsidP="00E76F4F">
            <w:pPr>
              <w:pStyle w:val="TableText0"/>
            </w:pPr>
          </w:p>
        </w:tc>
      </w:tr>
    </w:tbl>
    <w:p w14:paraId="4A316684" w14:textId="77777777" w:rsidR="00DA50F1" w:rsidRPr="009A4DCA" w:rsidRDefault="00DA50F1" w:rsidP="00D470A3">
      <w:pPr>
        <w:pStyle w:val="FooterTableFigure"/>
        <w:keepNext/>
        <w:keepLines/>
        <w:rPr>
          <w:iCs/>
        </w:rPr>
      </w:pPr>
      <w:r w:rsidRPr="009A4DCA">
        <w:rPr>
          <w:iCs/>
        </w:rPr>
        <w:t>Source: ATAGI Advice December 2023 Table 5.2.-1 p51; Attachment 3 of the submission Table 1 pp18-21, Table 2 pp22-24</w:t>
      </w:r>
    </w:p>
    <w:p w14:paraId="3D175EBF" w14:textId="150C67CE" w:rsidR="003C2375" w:rsidRPr="009A4DCA" w:rsidRDefault="003C2375" w:rsidP="00D470A3">
      <w:pPr>
        <w:pStyle w:val="FooterTableFigure"/>
        <w:keepNext/>
        <w:keepLines/>
        <w:rPr>
          <w:rFonts w:eastAsia="Calibri"/>
        </w:rPr>
      </w:pPr>
      <w:r w:rsidRPr="009A4DCA">
        <w:t>AIHW=Australian Institute of Health and Welfare; ARI = acute respiratory i</w:t>
      </w:r>
      <w:r w:rsidR="00D635C6" w:rsidRPr="009A4DCA">
        <w:t>llness</w:t>
      </w:r>
      <w:r w:rsidRPr="009A4DCA">
        <w:t>; CI=confidence interval; N/A = not available; NCIRS=</w:t>
      </w:r>
      <w:r w:rsidRPr="009A4DCA">
        <w:rPr>
          <w:rFonts w:eastAsia="Calibri"/>
        </w:rPr>
        <w:t xml:space="preserve"> National Centre for Immunisation Research and Surveillance; NHMD=National Hospital Morbidity Database; PCR = polymerase chain reaction; RSV = respiratory syncytial virus; y = years.</w:t>
      </w:r>
    </w:p>
    <w:p w14:paraId="184EE2BD" w14:textId="338A875C" w:rsidR="00635E99" w:rsidRPr="009A4DCA" w:rsidRDefault="00361FFB" w:rsidP="00D470A3">
      <w:pPr>
        <w:pStyle w:val="FooterTableFigure"/>
        <w:keepNext/>
        <w:keepLines/>
        <w:rPr>
          <w:rFonts w:eastAsia="Calibri"/>
        </w:rPr>
      </w:pPr>
      <w:r w:rsidRPr="009A4DCA">
        <w:rPr>
          <w:rFonts w:eastAsia="Calibri"/>
        </w:rPr>
        <w:t xml:space="preserve">a </w:t>
      </w:r>
      <w:r w:rsidR="007D3827" w:rsidRPr="009A4DCA">
        <w:rPr>
          <w:rFonts w:eastAsia="Calibri"/>
        </w:rPr>
        <w:t>Value used to inform modelling in the base case</w:t>
      </w:r>
      <w:r w:rsidR="00201B86" w:rsidRPr="009A4DCA">
        <w:rPr>
          <w:rFonts w:eastAsia="Calibri"/>
        </w:rPr>
        <w:t xml:space="preserve"> (value of 398)</w:t>
      </w:r>
      <w:r w:rsidR="00D65CAC" w:rsidRPr="009A4DCA">
        <w:rPr>
          <w:rFonts w:eastAsia="Calibri"/>
        </w:rPr>
        <w:t xml:space="preserve">; </w:t>
      </w:r>
    </w:p>
    <w:p w14:paraId="53E87689" w14:textId="41680F62" w:rsidR="003C2375" w:rsidRPr="00B53AEB" w:rsidRDefault="00635E99" w:rsidP="00D470A3">
      <w:pPr>
        <w:pStyle w:val="FooterTableFigure"/>
        <w:keepLines/>
        <w:rPr>
          <w:rFonts w:eastAsia="Calibri"/>
        </w:rPr>
      </w:pPr>
      <w:r w:rsidRPr="009A4DCA">
        <w:rPr>
          <w:rFonts w:eastAsia="Calibri"/>
        </w:rPr>
        <w:t xml:space="preserve">b </w:t>
      </w:r>
      <w:r w:rsidR="004512DC" w:rsidRPr="009A4DCA">
        <w:rPr>
          <w:rFonts w:eastAsia="Calibri"/>
        </w:rPr>
        <w:t xml:space="preserve">Submission </w:t>
      </w:r>
      <w:r w:rsidR="00D65CAC" w:rsidRPr="009A4DCA">
        <w:rPr>
          <w:rFonts w:eastAsia="Calibri"/>
        </w:rPr>
        <w:t>sensitivity analyses</w:t>
      </w:r>
      <w:r w:rsidR="004512DC" w:rsidRPr="009A4DCA">
        <w:rPr>
          <w:rFonts w:eastAsia="Calibri"/>
        </w:rPr>
        <w:t xml:space="preserve"> used value 384</w:t>
      </w:r>
      <w:r w:rsidR="00A268DF" w:rsidRPr="009A4DCA">
        <w:rPr>
          <w:rFonts w:eastAsia="Calibri"/>
        </w:rPr>
        <w:t xml:space="preserve">, </w:t>
      </w:r>
      <w:r w:rsidR="001D5522" w:rsidRPr="009A4DCA">
        <w:rPr>
          <w:rFonts w:eastAsia="Calibri"/>
        </w:rPr>
        <w:t xml:space="preserve">see </w:t>
      </w:r>
      <w:r w:rsidR="001D5522" w:rsidRPr="009A4DCA">
        <w:t xml:space="preserve">“ABRYSVO_Older Adults_CEA_July2024”, worksheet ‘Hosp’. </w:t>
      </w:r>
      <w:r w:rsidR="001D5522" w:rsidRPr="009A4DCA">
        <w:rPr>
          <w:rFonts w:eastAsia="Calibri"/>
        </w:rPr>
        <w:t xml:space="preserve"> </w:t>
      </w:r>
      <w:r w:rsidR="0006025D" w:rsidRPr="009A4DCA">
        <w:rPr>
          <w:rFonts w:eastAsia="Calibri"/>
        </w:rPr>
        <w:t>C</w:t>
      </w:r>
      <w:r w:rsidR="001D5522" w:rsidRPr="009A4DCA">
        <w:rPr>
          <w:rFonts w:eastAsia="Calibri"/>
        </w:rPr>
        <w:t>alculation was</w:t>
      </w:r>
      <w:r w:rsidR="00AD5AE1" w:rsidRPr="009A4DCA">
        <w:rPr>
          <w:rFonts w:eastAsia="Calibri"/>
        </w:rPr>
        <w:t xml:space="preserve"> based on 121</w:t>
      </w:r>
      <w:r w:rsidR="00B677CB" w:rsidRPr="009A4DCA">
        <w:rPr>
          <w:rFonts w:eastAsia="Calibri"/>
        </w:rPr>
        <w:t xml:space="preserve"> in the 75-79 age group, 250 in the 80-84 age group, and 250 in the 85+ age group, and using a multiplier of 2. </w:t>
      </w:r>
      <w:r w:rsidR="00A268DF" w:rsidRPr="009A4DCA">
        <w:rPr>
          <w:rFonts w:eastAsia="Calibri"/>
        </w:rPr>
        <w:t xml:space="preserve"> </w:t>
      </w:r>
      <w:r w:rsidR="00B677CB" w:rsidRPr="009A4DCA">
        <w:rPr>
          <w:rFonts w:eastAsia="Calibri"/>
        </w:rPr>
        <w:t xml:space="preserve">Calculation was </w:t>
      </w:r>
      <w:r w:rsidR="00A268DF" w:rsidRPr="009A4DCA">
        <w:rPr>
          <w:rFonts w:eastAsia="Calibri"/>
        </w:rPr>
        <w:t xml:space="preserve">weighted </w:t>
      </w:r>
      <w:r w:rsidR="001D5522" w:rsidRPr="009A4DCA">
        <w:rPr>
          <w:rFonts w:eastAsia="Calibri"/>
        </w:rPr>
        <w:t>by age group.</w:t>
      </w:r>
    </w:p>
    <w:p w14:paraId="590AB1D4" w14:textId="19909AEA" w:rsidR="002C422F" w:rsidRPr="009A4DCA" w:rsidRDefault="003747FB" w:rsidP="008C1CDB">
      <w:pPr>
        <w:pStyle w:val="3-BodyText"/>
        <w:numPr>
          <w:ilvl w:val="1"/>
          <w:numId w:val="1"/>
        </w:numPr>
        <w:rPr>
          <w:iCs/>
        </w:rPr>
      </w:pPr>
      <w:r w:rsidRPr="009A4DCA">
        <w:rPr>
          <w:iCs/>
        </w:rPr>
        <w:t xml:space="preserve">The Australian modelling study </w:t>
      </w:r>
      <w:r w:rsidRPr="009A4DCA">
        <w:rPr>
          <w:rFonts w:eastAsia="Calibri"/>
          <w:iCs/>
        </w:rPr>
        <w:t>estimated</w:t>
      </w:r>
      <w:r w:rsidRPr="009A4DCA">
        <w:rPr>
          <w:iCs/>
        </w:rPr>
        <w:t xml:space="preserve"> a higher rate of RSV hospitalisation per 100,000 population compared with the results presented by Nazareno (2022)</w:t>
      </w:r>
      <w:r w:rsidRPr="009A4DCA">
        <w:rPr>
          <w:rFonts w:cs="Calibri"/>
          <w:iCs/>
        </w:rPr>
        <w:t xml:space="preserve"> </w:t>
      </w:r>
      <w:r w:rsidR="00631A10" w:rsidRPr="009A4DCA">
        <w:rPr>
          <w:rFonts w:cs="Calibri"/>
          <w:iCs/>
        </w:rPr>
        <w:t>(</w:t>
      </w:r>
      <w:r w:rsidRPr="009A4DCA">
        <w:rPr>
          <w:rFonts w:cs="Calibri"/>
          <w:iCs/>
        </w:rPr>
        <w:t>398 vs. 360)</w:t>
      </w:r>
      <w:r w:rsidRPr="009A4DCA">
        <w:rPr>
          <w:iCs/>
        </w:rPr>
        <w:t>.</w:t>
      </w:r>
      <w:r w:rsidR="000F606A" w:rsidRPr="009A4DCA">
        <w:rPr>
          <w:iCs/>
        </w:rPr>
        <w:t xml:space="preserve"> The incidence of RSV reported on the National Notifiable Diseases Surveillance System (NNDSS) from 2021 to 2023 is significantly higher in children aged from 0 to </w:t>
      </w:r>
      <w:r w:rsidR="00D470A3" w:rsidRPr="009A4DCA">
        <w:rPr>
          <w:iCs/>
        </w:rPr>
        <w:t>4</w:t>
      </w:r>
      <w:r w:rsidR="00D470A3">
        <w:rPr>
          <w:iCs/>
        </w:rPr>
        <w:t> </w:t>
      </w:r>
      <w:r w:rsidR="000F606A" w:rsidRPr="009A4DCA">
        <w:rPr>
          <w:iCs/>
        </w:rPr>
        <w:t>years compared with all other age groups. The</w:t>
      </w:r>
      <w:r w:rsidR="00C07A33" w:rsidRPr="009A4DCA">
        <w:rPr>
          <w:iCs/>
        </w:rPr>
        <w:t xml:space="preserve"> evaluation noted that the</w:t>
      </w:r>
      <w:r w:rsidR="000F606A" w:rsidRPr="009A4DCA">
        <w:rPr>
          <w:iCs/>
        </w:rPr>
        <w:t xml:space="preserve"> Australian modelling study used RSV in children aged &lt;2 years as a viral proxy, which may explain the higher estimates for hospitalisation and deaths derived from the Australian modelling study compared with Nazareno (2022).</w:t>
      </w:r>
      <w:r w:rsidR="00201B86" w:rsidRPr="009A4DCA">
        <w:rPr>
          <w:iCs/>
        </w:rPr>
        <w:t xml:space="preserve"> </w:t>
      </w:r>
      <w:r w:rsidR="003F14A1" w:rsidRPr="009A4DCA">
        <w:rPr>
          <w:iCs/>
        </w:rPr>
        <w:t xml:space="preserve">A sensitivity analysis was also presented in the submission based on ATAGI’s advice to apply a multiplier of 2 to the </w:t>
      </w:r>
      <w:r w:rsidR="003F14A1" w:rsidRPr="009A4DCA">
        <w:rPr>
          <w:iCs/>
        </w:rPr>
        <w:lastRenderedPageBreak/>
        <w:t xml:space="preserve">2016-2019 AIHW data for incidence, resulting in an estimate of 384 per 100,000 person-years for </w:t>
      </w:r>
      <w:r w:rsidR="003F14A1" w:rsidRPr="00D470A3">
        <w:rPr>
          <w:iCs/>
          <w:u w:val="single"/>
        </w:rPr>
        <w:t>a</w:t>
      </w:r>
      <w:r w:rsidR="003F14A1" w:rsidRPr="009A4DCA">
        <w:rPr>
          <w:u w:val="single"/>
        </w:rPr>
        <w:t>dults aged ≥75 years</w:t>
      </w:r>
      <w:r w:rsidR="003F14A1" w:rsidRPr="009A4DCA">
        <w:rPr>
          <w:iCs/>
        </w:rPr>
        <w:t>.</w:t>
      </w:r>
    </w:p>
    <w:p w14:paraId="0EF69BC0" w14:textId="2F833489" w:rsidR="00DA50F1" w:rsidRPr="009A4DCA" w:rsidRDefault="00DA50F1" w:rsidP="00382835">
      <w:pPr>
        <w:pStyle w:val="3-BodyText"/>
        <w:numPr>
          <w:ilvl w:val="1"/>
          <w:numId w:val="1"/>
        </w:numPr>
      </w:pPr>
      <w:r w:rsidRPr="009A4DCA">
        <w:t xml:space="preserve">The RSV incidence and mortality used in the model is summarised in </w:t>
      </w:r>
      <w:r w:rsidRPr="009A4DCA">
        <w:fldChar w:fldCharType="begin"/>
      </w:r>
      <w:r w:rsidRPr="009A4DCA">
        <w:instrText xml:space="preserve"> REF _Ref175665548 \h </w:instrText>
      </w:r>
      <w:r w:rsidRPr="009A4DCA">
        <w:fldChar w:fldCharType="separate"/>
      </w:r>
      <w:r w:rsidR="007B2F50" w:rsidRPr="009A4DCA">
        <w:t xml:space="preserve">Table </w:t>
      </w:r>
      <w:r w:rsidR="007B2F50">
        <w:rPr>
          <w:noProof/>
        </w:rPr>
        <w:t>13</w:t>
      </w:r>
      <w:r w:rsidRPr="009A4DCA">
        <w:fldChar w:fldCharType="end"/>
      </w:r>
      <w:r w:rsidRPr="009A4DCA">
        <w:t xml:space="preserve">. Estimates from the Australian modelling study </w:t>
      </w:r>
      <w:r w:rsidR="00635E99" w:rsidRPr="009A4DCA">
        <w:t>were</w:t>
      </w:r>
      <w:r w:rsidRPr="009A4DCA">
        <w:t xml:space="preserve"> used for the base case analysis. </w:t>
      </w:r>
      <w:r w:rsidR="00B1779A" w:rsidRPr="009A4DCA">
        <w:t>Alternative estimates were available for sensitivity analyses including hCFR of 4.22% (Adults aged ≥75 years) and 3.83% (Adults aged ≥60 years).</w:t>
      </w:r>
    </w:p>
    <w:p w14:paraId="25C1BEA3" w14:textId="11CCD074" w:rsidR="00DA50F1" w:rsidRPr="009A4DCA" w:rsidRDefault="00DA50F1" w:rsidP="00D470A3">
      <w:pPr>
        <w:pStyle w:val="TableFigureHeading"/>
        <w:keepLines/>
      </w:pPr>
      <w:bookmarkStart w:id="70" w:name="_Ref175665548"/>
      <w:r w:rsidRPr="009A4DCA">
        <w:t xml:space="preserve">Table </w:t>
      </w:r>
      <w:r w:rsidR="00491347">
        <w:fldChar w:fldCharType="begin"/>
      </w:r>
      <w:r w:rsidR="00491347">
        <w:instrText xml:space="preserve"> SEQ Table \* ARABIC </w:instrText>
      </w:r>
      <w:r w:rsidR="00491347">
        <w:fldChar w:fldCharType="separate"/>
      </w:r>
      <w:r w:rsidR="007B2F50">
        <w:rPr>
          <w:noProof/>
        </w:rPr>
        <w:t>13</w:t>
      </w:r>
      <w:r w:rsidR="00491347">
        <w:fldChar w:fldCharType="end"/>
      </w:r>
      <w:bookmarkEnd w:id="70"/>
      <w:r w:rsidRPr="009A4DCA">
        <w:t>:</w:t>
      </w:r>
      <w:r w:rsidRPr="009A4DCA">
        <w:rPr>
          <w:rStyle w:val="CommentReference"/>
          <w:b/>
          <w:szCs w:val="24"/>
        </w:rPr>
        <w:t xml:space="preserve"> </w:t>
      </w:r>
      <w:r w:rsidRPr="009A4DCA">
        <w:t>Estimated RSV incidence and mortality by target subgroup</w:t>
      </w:r>
    </w:p>
    <w:tbl>
      <w:tblPr>
        <w:tblStyle w:val="TableGrid1"/>
        <w:tblW w:w="5000" w:type="pct"/>
        <w:tblLayout w:type="fixed"/>
        <w:tblLook w:val="04A0" w:firstRow="1" w:lastRow="0" w:firstColumn="1" w:lastColumn="0" w:noHBand="0" w:noVBand="1"/>
      </w:tblPr>
      <w:tblGrid>
        <w:gridCol w:w="3115"/>
        <w:gridCol w:w="1475"/>
        <w:gridCol w:w="1475"/>
        <w:gridCol w:w="1475"/>
        <w:gridCol w:w="1477"/>
      </w:tblGrid>
      <w:tr w:rsidR="00DA50F1" w:rsidRPr="009A4DCA" w14:paraId="11095AC8" w14:textId="77777777" w:rsidTr="00973287">
        <w:trPr>
          <w:trHeight w:val="256"/>
          <w:tblHeader/>
        </w:trPr>
        <w:tc>
          <w:tcPr>
            <w:tcW w:w="1727" w:type="pct"/>
            <w:tcBorders>
              <w:bottom w:val="nil"/>
            </w:tcBorders>
            <w:shd w:val="clear" w:color="auto" w:fill="auto"/>
          </w:tcPr>
          <w:p w14:paraId="14BB3B4D" w14:textId="77777777" w:rsidR="00DA50F1" w:rsidRPr="009A4DCA" w:rsidRDefault="00DA50F1" w:rsidP="00D470A3">
            <w:pPr>
              <w:keepNext/>
              <w:keepLines/>
              <w:spacing w:before="40" w:after="40"/>
              <w:jc w:val="left"/>
              <w:rPr>
                <w:rFonts w:ascii="Arial Narrow" w:hAnsi="Arial Narrow" w:cs="Arial Narrow"/>
                <w:b/>
                <w:bCs/>
                <w:snapToGrid w:val="0"/>
                <w:sz w:val="20"/>
                <w:lang w:val="en-AU"/>
              </w:rPr>
            </w:pPr>
            <w:r w:rsidRPr="009A4DCA">
              <w:rPr>
                <w:rFonts w:ascii="Arial Narrow" w:hAnsi="Arial Narrow" w:cs="Arial Narrow"/>
                <w:b/>
                <w:bCs/>
                <w:snapToGrid w:val="0"/>
                <w:sz w:val="20"/>
                <w:lang w:val="en-AU"/>
              </w:rPr>
              <w:t>Population</w:t>
            </w:r>
          </w:p>
        </w:tc>
        <w:tc>
          <w:tcPr>
            <w:tcW w:w="3273" w:type="pct"/>
            <w:gridSpan w:val="4"/>
            <w:shd w:val="clear" w:color="auto" w:fill="auto"/>
            <w:noWrap/>
          </w:tcPr>
          <w:p w14:paraId="6DDEA268" w14:textId="76B2C17C" w:rsidR="00DA50F1" w:rsidRPr="009A4DCA" w:rsidRDefault="00DA50F1" w:rsidP="00D470A3">
            <w:pPr>
              <w:keepNext/>
              <w:keepLines/>
              <w:spacing w:before="40" w:after="40"/>
              <w:jc w:val="center"/>
              <w:rPr>
                <w:rFonts w:ascii="Arial Narrow" w:hAnsi="Arial Narrow" w:cs="Arial Narrow"/>
                <w:b/>
                <w:bCs/>
                <w:snapToGrid w:val="0"/>
                <w:sz w:val="20"/>
                <w:lang w:val="en-AU"/>
              </w:rPr>
            </w:pPr>
            <w:r w:rsidRPr="009A4DCA">
              <w:rPr>
                <w:rFonts w:ascii="Arial Narrow" w:hAnsi="Arial Narrow" w:cs="Arial Narrow"/>
                <w:b/>
                <w:bCs/>
                <w:snapToGrid w:val="0"/>
                <w:sz w:val="20"/>
                <w:lang w:val="en-AU"/>
              </w:rPr>
              <w:t>Rate per 100,000 person</w:t>
            </w:r>
            <w:r w:rsidR="00F06304" w:rsidRPr="009A4DCA">
              <w:rPr>
                <w:rFonts w:ascii="Arial Narrow" w:hAnsi="Arial Narrow" w:cs="Arial Narrow"/>
                <w:b/>
                <w:bCs/>
                <w:snapToGrid w:val="0"/>
                <w:sz w:val="20"/>
                <w:lang w:val="en-AU"/>
              </w:rPr>
              <w:t>-</w:t>
            </w:r>
            <w:r w:rsidRPr="009A4DCA">
              <w:rPr>
                <w:rFonts w:ascii="Arial Narrow" w:hAnsi="Arial Narrow" w:cs="Arial Narrow"/>
                <w:b/>
                <w:bCs/>
                <w:snapToGrid w:val="0"/>
                <w:sz w:val="20"/>
                <w:lang w:val="en-AU"/>
              </w:rPr>
              <w:t>years</w:t>
            </w:r>
          </w:p>
        </w:tc>
      </w:tr>
      <w:tr w:rsidR="00DA50F1" w:rsidRPr="009A4DCA" w14:paraId="6EB76325" w14:textId="77777777" w:rsidTr="00973287">
        <w:trPr>
          <w:trHeight w:val="256"/>
          <w:tblHeader/>
        </w:trPr>
        <w:tc>
          <w:tcPr>
            <w:tcW w:w="1727" w:type="pct"/>
            <w:tcBorders>
              <w:top w:val="nil"/>
            </w:tcBorders>
            <w:shd w:val="clear" w:color="auto" w:fill="auto"/>
          </w:tcPr>
          <w:p w14:paraId="2EEC6CD2"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p>
        </w:tc>
        <w:tc>
          <w:tcPr>
            <w:tcW w:w="818" w:type="pct"/>
            <w:shd w:val="clear" w:color="auto" w:fill="auto"/>
            <w:noWrap/>
            <w:vAlign w:val="center"/>
            <w:hideMark/>
          </w:tcPr>
          <w:p w14:paraId="3F1776AD"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Hospitalised</w:t>
            </w:r>
          </w:p>
        </w:tc>
        <w:tc>
          <w:tcPr>
            <w:tcW w:w="818" w:type="pct"/>
            <w:shd w:val="clear" w:color="auto" w:fill="auto"/>
            <w:noWrap/>
            <w:hideMark/>
          </w:tcPr>
          <w:p w14:paraId="0230A225"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Emergency</w:t>
            </w:r>
          </w:p>
        </w:tc>
        <w:tc>
          <w:tcPr>
            <w:tcW w:w="818" w:type="pct"/>
          </w:tcPr>
          <w:p w14:paraId="1EC90A02"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Outpatient</w:t>
            </w:r>
          </w:p>
        </w:tc>
        <w:tc>
          <w:tcPr>
            <w:tcW w:w="819" w:type="pct"/>
          </w:tcPr>
          <w:p w14:paraId="2191BAC9"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Mortality</w:t>
            </w:r>
          </w:p>
        </w:tc>
      </w:tr>
      <w:tr w:rsidR="00DA50F1" w:rsidRPr="009A4DCA" w14:paraId="3FE885DE" w14:textId="77777777" w:rsidTr="00973287">
        <w:trPr>
          <w:trHeight w:val="256"/>
          <w:tblHeader/>
        </w:trPr>
        <w:tc>
          <w:tcPr>
            <w:tcW w:w="1727" w:type="pct"/>
            <w:tcBorders>
              <w:top w:val="nil"/>
              <w:bottom w:val="single" w:sz="4" w:space="0" w:color="000000" w:themeColor="text1"/>
            </w:tcBorders>
            <w:shd w:val="clear" w:color="auto" w:fill="auto"/>
          </w:tcPr>
          <w:p w14:paraId="0C637024"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Base case</w:t>
            </w:r>
          </w:p>
        </w:tc>
        <w:tc>
          <w:tcPr>
            <w:tcW w:w="818" w:type="pct"/>
            <w:tcBorders>
              <w:bottom w:val="single" w:sz="4" w:space="0" w:color="000000" w:themeColor="text1"/>
            </w:tcBorders>
            <w:shd w:val="clear" w:color="auto" w:fill="auto"/>
            <w:noWrap/>
            <w:vAlign w:val="center"/>
          </w:tcPr>
          <w:p w14:paraId="5DD1C58E"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AUS Model- based study</w:t>
            </w:r>
          </w:p>
        </w:tc>
        <w:tc>
          <w:tcPr>
            <w:tcW w:w="818" w:type="pct"/>
            <w:tcBorders>
              <w:bottom w:val="single" w:sz="4" w:space="0" w:color="000000" w:themeColor="text1"/>
            </w:tcBorders>
            <w:shd w:val="clear" w:color="auto" w:fill="auto"/>
            <w:noWrap/>
          </w:tcPr>
          <w:p w14:paraId="5394C66E"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0.75 fold difference</w:t>
            </w:r>
            <w:r w:rsidRPr="009A4DCA">
              <w:rPr>
                <w:rFonts w:ascii="Arial Narrow" w:eastAsiaTheme="majorEastAsia" w:hAnsi="Arial Narrow" w:cstheme="majorBidi"/>
                <w:b/>
                <w:sz w:val="20"/>
                <w:vertAlign w:val="superscript"/>
                <w:lang w:val="en-AU"/>
              </w:rPr>
              <w:t>a</w:t>
            </w:r>
          </w:p>
        </w:tc>
        <w:tc>
          <w:tcPr>
            <w:tcW w:w="818" w:type="pct"/>
            <w:tcBorders>
              <w:bottom w:val="single" w:sz="4" w:space="0" w:color="000000" w:themeColor="text1"/>
            </w:tcBorders>
          </w:tcPr>
          <w:p w14:paraId="0D8D4EBE"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8.6 fold difference</w:t>
            </w:r>
            <w:r w:rsidRPr="009A4DCA">
              <w:rPr>
                <w:rFonts w:ascii="Arial Narrow" w:eastAsiaTheme="majorEastAsia" w:hAnsi="Arial Narrow" w:cstheme="majorBidi"/>
                <w:b/>
                <w:sz w:val="20"/>
                <w:vertAlign w:val="superscript"/>
                <w:lang w:val="en-AU"/>
              </w:rPr>
              <w:t>a</w:t>
            </w:r>
          </w:p>
        </w:tc>
        <w:tc>
          <w:tcPr>
            <w:tcW w:w="819" w:type="pct"/>
            <w:tcBorders>
              <w:bottom w:val="single" w:sz="4" w:space="0" w:color="000000" w:themeColor="text1"/>
            </w:tcBorders>
          </w:tcPr>
          <w:p w14:paraId="01128E44" w14:textId="77777777"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AUS Model- based study</w:t>
            </w:r>
          </w:p>
        </w:tc>
      </w:tr>
      <w:tr w:rsidR="00DA50F1" w:rsidRPr="009A4DCA" w14:paraId="6578265D" w14:textId="77777777" w:rsidTr="00973287">
        <w:trPr>
          <w:trHeight w:val="256"/>
        </w:trPr>
        <w:tc>
          <w:tcPr>
            <w:tcW w:w="1727" w:type="pct"/>
            <w:shd w:val="clear" w:color="auto" w:fill="auto"/>
          </w:tcPr>
          <w:p w14:paraId="56647435" w14:textId="00A6F78D"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Adults aged ≥75 years</w:t>
            </w:r>
          </w:p>
        </w:tc>
        <w:tc>
          <w:tcPr>
            <w:tcW w:w="818" w:type="pct"/>
            <w:shd w:val="clear" w:color="auto" w:fill="auto"/>
            <w:noWrap/>
            <w:vAlign w:val="center"/>
          </w:tcPr>
          <w:p w14:paraId="66CB0365" w14:textId="03778BF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398</w:t>
            </w:r>
            <w:r w:rsidR="00A87B1B" w:rsidRPr="009A4DCA">
              <w:rPr>
                <w:rFonts w:ascii="Arial Narrow" w:eastAsiaTheme="majorEastAsia" w:hAnsi="Arial Narrow" w:cstheme="majorBidi"/>
                <w:bCs/>
                <w:sz w:val="20"/>
                <w:lang w:val="en-AU"/>
              </w:rPr>
              <w:t xml:space="preserve"> [A]</w:t>
            </w:r>
          </w:p>
        </w:tc>
        <w:tc>
          <w:tcPr>
            <w:tcW w:w="818" w:type="pct"/>
            <w:shd w:val="clear" w:color="auto" w:fill="auto"/>
            <w:noWrap/>
            <w:vAlign w:val="center"/>
          </w:tcPr>
          <w:p w14:paraId="154E3A59" w14:textId="6586D823"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299</w:t>
            </w:r>
            <w:r w:rsidR="00A87B1B" w:rsidRPr="009A4DCA">
              <w:rPr>
                <w:rFonts w:ascii="Arial Narrow" w:eastAsiaTheme="majorEastAsia" w:hAnsi="Arial Narrow" w:cstheme="majorBidi"/>
                <w:bCs/>
                <w:sz w:val="20"/>
                <w:lang w:val="en-AU"/>
              </w:rPr>
              <w:t xml:space="preserve"> [= A x 0.75]</w:t>
            </w:r>
          </w:p>
        </w:tc>
        <w:tc>
          <w:tcPr>
            <w:tcW w:w="818" w:type="pct"/>
            <w:vAlign w:val="center"/>
          </w:tcPr>
          <w:p w14:paraId="75211716" w14:textId="4F55BE4E"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3,423</w:t>
            </w:r>
            <w:r w:rsidR="00A87B1B" w:rsidRPr="009A4DCA">
              <w:rPr>
                <w:rFonts w:ascii="Arial Narrow" w:eastAsiaTheme="majorEastAsia" w:hAnsi="Arial Narrow" w:cstheme="majorBidi"/>
                <w:bCs/>
                <w:sz w:val="20"/>
                <w:lang w:val="en-AU"/>
              </w:rPr>
              <w:t xml:space="preserve"> [</w:t>
            </w:r>
            <w:r w:rsidR="003859AA" w:rsidRPr="009A4DCA">
              <w:rPr>
                <w:rFonts w:ascii="Arial Narrow" w:eastAsiaTheme="majorEastAsia" w:hAnsi="Arial Narrow" w:cstheme="majorBidi"/>
                <w:bCs/>
                <w:sz w:val="20"/>
                <w:lang w:val="en-AU"/>
              </w:rPr>
              <w:t>=A x 8.6]</w:t>
            </w:r>
          </w:p>
        </w:tc>
        <w:tc>
          <w:tcPr>
            <w:tcW w:w="819" w:type="pct"/>
            <w:vAlign w:val="center"/>
          </w:tcPr>
          <w:p w14:paraId="117F8E06"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43</w:t>
            </w:r>
            <w:r w:rsidRPr="009A4DCA">
              <w:rPr>
                <w:rFonts w:ascii="Arial Narrow" w:eastAsiaTheme="majorEastAsia" w:hAnsi="Arial Narrow" w:cstheme="majorBidi"/>
                <w:bCs/>
                <w:sz w:val="20"/>
                <w:vertAlign w:val="superscript"/>
                <w:lang w:val="en-AU"/>
              </w:rPr>
              <w:t>b</w:t>
            </w:r>
          </w:p>
        </w:tc>
      </w:tr>
      <w:tr w:rsidR="00DA50F1" w:rsidRPr="009A4DCA" w14:paraId="3F831C80" w14:textId="77777777" w:rsidTr="00973287">
        <w:trPr>
          <w:trHeight w:val="256"/>
        </w:trPr>
        <w:tc>
          <w:tcPr>
            <w:tcW w:w="1727" w:type="pct"/>
            <w:shd w:val="clear" w:color="auto" w:fill="auto"/>
          </w:tcPr>
          <w:p w14:paraId="4D64A1BD" w14:textId="39993404" w:rsidR="00DA50F1" w:rsidRPr="009A4DCA" w:rsidRDefault="003F14A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Aboriginal and Torres Strait Islander adults aged 60 to 74 years</w:t>
            </w:r>
          </w:p>
        </w:tc>
        <w:tc>
          <w:tcPr>
            <w:tcW w:w="818" w:type="pct"/>
            <w:shd w:val="clear" w:color="auto" w:fill="auto"/>
            <w:noWrap/>
            <w:vAlign w:val="center"/>
          </w:tcPr>
          <w:p w14:paraId="289DB557"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597</w:t>
            </w:r>
          </w:p>
        </w:tc>
        <w:tc>
          <w:tcPr>
            <w:tcW w:w="818" w:type="pct"/>
            <w:shd w:val="clear" w:color="auto" w:fill="auto"/>
            <w:noWrap/>
            <w:vAlign w:val="center"/>
          </w:tcPr>
          <w:p w14:paraId="454290BD"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448</w:t>
            </w:r>
          </w:p>
        </w:tc>
        <w:tc>
          <w:tcPr>
            <w:tcW w:w="818" w:type="pct"/>
            <w:vAlign w:val="center"/>
          </w:tcPr>
          <w:p w14:paraId="25B77D1A"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5,134</w:t>
            </w:r>
          </w:p>
        </w:tc>
        <w:tc>
          <w:tcPr>
            <w:tcW w:w="819" w:type="pct"/>
            <w:vAlign w:val="center"/>
          </w:tcPr>
          <w:p w14:paraId="0B470B24"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43</w:t>
            </w:r>
            <w:r w:rsidRPr="009A4DCA">
              <w:rPr>
                <w:rFonts w:ascii="Arial Narrow" w:eastAsiaTheme="majorEastAsia" w:hAnsi="Arial Narrow" w:cstheme="majorBidi"/>
                <w:bCs/>
                <w:sz w:val="20"/>
                <w:vertAlign w:val="superscript"/>
                <w:lang w:val="en-AU"/>
              </w:rPr>
              <w:t>b</w:t>
            </w:r>
          </w:p>
        </w:tc>
      </w:tr>
      <w:tr w:rsidR="00DA50F1" w:rsidRPr="009A4DCA" w14:paraId="02E33F50" w14:textId="77777777" w:rsidTr="00973287">
        <w:trPr>
          <w:trHeight w:val="256"/>
        </w:trPr>
        <w:tc>
          <w:tcPr>
            <w:tcW w:w="1727" w:type="pct"/>
            <w:tcBorders>
              <w:bottom w:val="single" w:sz="4" w:space="0" w:color="000000" w:themeColor="text1"/>
            </w:tcBorders>
            <w:shd w:val="clear" w:color="auto" w:fill="auto"/>
          </w:tcPr>
          <w:p w14:paraId="23E92BB9" w14:textId="4D6A8B1B" w:rsidR="003F14A1" w:rsidRPr="009A4DCA" w:rsidRDefault="003F14A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Adults at high-risk aged 60-74 years</w:t>
            </w:r>
          </w:p>
        </w:tc>
        <w:tc>
          <w:tcPr>
            <w:tcW w:w="818" w:type="pct"/>
            <w:tcBorders>
              <w:bottom w:val="single" w:sz="4" w:space="0" w:color="000000" w:themeColor="text1"/>
            </w:tcBorders>
            <w:shd w:val="clear" w:color="auto" w:fill="auto"/>
            <w:noWrap/>
            <w:vAlign w:val="center"/>
          </w:tcPr>
          <w:p w14:paraId="433F2E26"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398</w:t>
            </w:r>
          </w:p>
        </w:tc>
        <w:tc>
          <w:tcPr>
            <w:tcW w:w="818" w:type="pct"/>
            <w:tcBorders>
              <w:bottom w:val="single" w:sz="4" w:space="0" w:color="000000" w:themeColor="text1"/>
            </w:tcBorders>
            <w:shd w:val="clear" w:color="auto" w:fill="auto"/>
            <w:noWrap/>
            <w:vAlign w:val="center"/>
          </w:tcPr>
          <w:p w14:paraId="69DA4EC1"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299</w:t>
            </w:r>
          </w:p>
        </w:tc>
        <w:tc>
          <w:tcPr>
            <w:tcW w:w="818" w:type="pct"/>
            <w:tcBorders>
              <w:bottom w:val="single" w:sz="4" w:space="0" w:color="000000" w:themeColor="text1"/>
            </w:tcBorders>
            <w:vAlign w:val="center"/>
          </w:tcPr>
          <w:p w14:paraId="770C31FA"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3,423</w:t>
            </w:r>
          </w:p>
        </w:tc>
        <w:tc>
          <w:tcPr>
            <w:tcW w:w="819" w:type="pct"/>
            <w:tcBorders>
              <w:bottom w:val="single" w:sz="4" w:space="0" w:color="000000" w:themeColor="text1"/>
            </w:tcBorders>
            <w:vAlign w:val="center"/>
          </w:tcPr>
          <w:p w14:paraId="29E64B4B"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43</w:t>
            </w:r>
            <w:r w:rsidRPr="009A4DCA">
              <w:rPr>
                <w:rFonts w:ascii="Arial Narrow" w:eastAsiaTheme="majorEastAsia" w:hAnsi="Arial Narrow" w:cstheme="majorBidi"/>
                <w:bCs/>
                <w:sz w:val="20"/>
                <w:vertAlign w:val="superscript"/>
                <w:lang w:val="en-AU"/>
              </w:rPr>
              <w:t>b</w:t>
            </w:r>
          </w:p>
        </w:tc>
      </w:tr>
      <w:tr w:rsidR="00DA50F1" w:rsidRPr="009A4DCA" w14:paraId="37464FC4" w14:textId="77777777" w:rsidTr="00973287">
        <w:trPr>
          <w:trHeight w:val="256"/>
        </w:trPr>
        <w:tc>
          <w:tcPr>
            <w:tcW w:w="1727" w:type="pct"/>
            <w:tcBorders>
              <w:right w:val="nil"/>
            </w:tcBorders>
            <w:shd w:val="clear" w:color="auto" w:fill="auto"/>
          </w:tcPr>
          <w:p w14:paraId="630082FA" w14:textId="54A08756" w:rsidR="00DA50F1" w:rsidRPr="009A4DCA" w:rsidRDefault="00DA50F1" w:rsidP="00D470A3">
            <w:pPr>
              <w:keepNext/>
              <w:keepLines/>
              <w:ind w:right="-159"/>
              <w:jc w:val="left"/>
              <w:rPr>
                <w:rFonts w:ascii="Arial Narrow" w:eastAsiaTheme="majorEastAsia" w:hAnsi="Arial Narrow" w:cstheme="majorBidi"/>
                <w:b/>
                <w:sz w:val="20"/>
                <w:lang w:val="en-AU"/>
              </w:rPr>
            </w:pPr>
            <w:r w:rsidRPr="009A4DCA">
              <w:rPr>
                <w:rFonts w:ascii="Arial Narrow" w:eastAsiaTheme="majorEastAsia" w:hAnsi="Arial Narrow" w:cstheme="majorBidi"/>
                <w:b/>
                <w:sz w:val="20"/>
                <w:lang w:val="en-AU"/>
              </w:rPr>
              <w:t>Sensitivity analysis</w:t>
            </w:r>
            <w:r w:rsidR="0091016E" w:rsidRPr="009A4DCA">
              <w:rPr>
                <w:rFonts w:ascii="Arial Narrow" w:eastAsiaTheme="majorEastAsia" w:hAnsi="Arial Narrow" w:cstheme="majorBidi"/>
                <w:b/>
                <w:sz w:val="20"/>
                <w:lang w:val="en-AU"/>
              </w:rPr>
              <w:t xml:space="preserve"> </w:t>
            </w:r>
          </w:p>
        </w:tc>
        <w:tc>
          <w:tcPr>
            <w:tcW w:w="818" w:type="pct"/>
            <w:tcBorders>
              <w:left w:val="nil"/>
              <w:right w:val="nil"/>
            </w:tcBorders>
            <w:shd w:val="clear" w:color="auto" w:fill="auto"/>
            <w:noWrap/>
            <w:vAlign w:val="center"/>
          </w:tcPr>
          <w:p w14:paraId="25ADA364" w14:textId="77777777" w:rsidR="00DA50F1" w:rsidRPr="009A4DCA" w:rsidRDefault="00DA50F1" w:rsidP="00D470A3">
            <w:pPr>
              <w:keepNext/>
              <w:keepLines/>
              <w:ind w:right="-159"/>
              <w:jc w:val="left"/>
              <w:rPr>
                <w:rFonts w:ascii="Arial Narrow" w:eastAsiaTheme="majorEastAsia" w:hAnsi="Arial Narrow" w:cstheme="majorBidi"/>
                <w:b/>
                <w:sz w:val="20"/>
                <w:lang w:val="en-AU"/>
              </w:rPr>
            </w:pPr>
          </w:p>
        </w:tc>
        <w:tc>
          <w:tcPr>
            <w:tcW w:w="818" w:type="pct"/>
            <w:tcBorders>
              <w:left w:val="nil"/>
              <w:right w:val="nil"/>
            </w:tcBorders>
            <w:shd w:val="clear" w:color="auto" w:fill="auto"/>
            <w:noWrap/>
            <w:vAlign w:val="center"/>
          </w:tcPr>
          <w:p w14:paraId="1161F365" w14:textId="77777777" w:rsidR="00DA50F1" w:rsidRPr="009A4DCA" w:rsidRDefault="00DA50F1" w:rsidP="00D470A3">
            <w:pPr>
              <w:keepNext/>
              <w:keepLines/>
              <w:ind w:right="-159"/>
              <w:jc w:val="left"/>
              <w:rPr>
                <w:rFonts w:ascii="Arial Narrow" w:eastAsiaTheme="majorEastAsia" w:hAnsi="Arial Narrow" w:cstheme="majorBidi"/>
                <w:b/>
                <w:sz w:val="20"/>
                <w:lang w:val="en-AU"/>
              </w:rPr>
            </w:pPr>
          </w:p>
        </w:tc>
        <w:tc>
          <w:tcPr>
            <w:tcW w:w="818" w:type="pct"/>
            <w:tcBorders>
              <w:left w:val="nil"/>
              <w:right w:val="nil"/>
            </w:tcBorders>
            <w:vAlign w:val="center"/>
          </w:tcPr>
          <w:p w14:paraId="75C328C7" w14:textId="77777777" w:rsidR="00DA50F1" w:rsidRPr="009A4DCA" w:rsidRDefault="00DA50F1" w:rsidP="00D470A3">
            <w:pPr>
              <w:keepNext/>
              <w:keepLines/>
              <w:ind w:right="-159"/>
              <w:jc w:val="left"/>
              <w:rPr>
                <w:rFonts w:ascii="Arial Narrow" w:eastAsiaTheme="majorEastAsia" w:hAnsi="Arial Narrow" w:cstheme="majorBidi"/>
                <w:b/>
                <w:sz w:val="20"/>
                <w:lang w:val="en-AU"/>
              </w:rPr>
            </w:pPr>
          </w:p>
        </w:tc>
        <w:tc>
          <w:tcPr>
            <w:tcW w:w="819" w:type="pct"/>
            <w:tcBorders>
              <w:left w:val="nil"/>
            </w:tcBorders>
            <w:vAlign w:val="center"/>
          </w:tcPr>
          <w:p w14:paraId="5B00583F" w14:textId="77777777" w:rsidR="00DA50F1" w:rsidRPr="009A4DCA" w:rsidRDefault="00DA50F1" w:rsidP="00D470A3">
            <w:pPr>
              <w:keepNext/>
              <w:keepLines/>
              <w:ind w:right="-159"/>
              <w:jc w:val="left"/>
              <w:rPr>
                <w:rFonts w:ascii="Arial Narrow" w:eastAsiaTheme="majorEastAsia" w:hAnsi="Arial Narrow" w:cstheme="majorBidi"/>
                <w:b/>
                <w:sz w:val="20"/>
                <w:lang w:val="en-AU"/>
              </w:rPr>
            </w:pPr>
          </w:p>
        </w:tc>
      </w:tr>
      <w:tr w:rsidR="00DA50F1" w:rsidRPr="009A4DCA" w14:paraId="150143ED" w14:textId="77777777" w:rsidTr="00973287">
        <w:trPr>
          <w:trHeight w:val="256"/>
        </w:trPr>
        <w:tc>
          <w:tcPr>
            <w:tcW w:w="1727" w:type="pct"/>
            <w:shd w:val="clear" w:color="auto" w:fill="auto"/>
          </w:tcPr>
          <w:p w14:paraId="1F6ED4BE" w14:textId="20738044"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Adults aged ≥75 years</w:t>
            </w:r>
          </w:p>
        </w:tc>
        <w:tc>
          <w:tcPr>
            <w:tcW w:w="818" w:type="pct"/>
            <w:shd w:val="clear" w:color="auto" w:fill="auto"/>
            <w:noWrap/>
            <w:vAlign w:val="center"/>
          </w:tcPr>
          <w:p w14:paraId="79E43BE3"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384</w:t>
            </w:r>
          </w:p>
        </w:tc>
        <w:tc>
          <w:tcPr>
            <w:tcW w:w="818" w:type="pct"/>
            <w:shd w:val="clear" w:color="auto" w:fill="auto"/>
            <w:noWrap/>
            <w:vAlign w:val="center"/>
          </w:tcPr>
          <w:p w14:paraId="43DA5C84"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288</w:t>
            </w:r>
          </w:p>
        </w:tc>
        <w:tc>
          <w:tcPr>
            <w:tcW w:w="818" w:type="pct"/>
            <w:vAlign w:val="center"/>
          </w:tcPr>
          <w:p w14:paraId="2B1C00E8"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3,302</w:t>
            </w:r>
          </w:p>
        </w:tc>
        <w:tc>
          <w:tcPr>
            <w:tcW w:w="819" w:type="pct"/>
            <w:vAlign w:val="center"/>
          </w:tcPr>
          <w:p w14:paraId="6C5B8CA9" w14:textId="489A5F7E"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hCFR: 4.22%</w:t>
            </w:r>
            <w:r w:rsidR="00DA41D8" w:rsidRPr="009A4DCA">
              <w:rPr>
                <w:rFonts w:ascii="Arial Narrow" w:eastAsiaTheme="majorEastAsia" w:hAnsi="Arial Narrow" w:cstheme="majorBidi"/>
                <w:bCs/>
                <w:sz w:val="20"/>
                <w:lang w:val="en-AU"/>
              </w:rPr>
              <w:t xml:space="preserve"> (</w:t>
            </w:r>
            <w:r w:rsidR="003C671D" w:rsidRPr="009A4DCA">
              <w:rPr>
                <w:rFonts w:ascii="Arial Narrow" w:eastAsiaTheme="majorEastAsia" w:hAnsi="Arial Narrow" w:cstheme="majorBidi"/>
                <w:bCs/>
                <w:sz w:val="20"/>
                <w:lang w:val="en-AU"/>
              </w:rPr>
              <w:t>3.92%-4.54%</w:t>
            </w:r>
            <w:r w:rsidR="00DA41D8" w:rsidRPr="009A4DCA">
              <w:rPr>
                <w:rFonts w:ascii="Arial Narrow" w:eastAsiaTheme="majorEastAsia" w:hAnsi="Arial Narrow" w:cstheme="majorBidi"/>
                <w:bCs/>
                <w:sz w:val="20"/>
                <w:lang w:val="en-AU"/>
              </w:rPr>
              <w:t>)</w:t>
            </w:r>
          </w:p>
          <w:p w14:paraId="0F301B12" w14:textId="0C54F0E3"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 xml:space="preserve">ATAGI </w:t>
            </w:r>
            <w:r w:rsidR="003C671D" w:rsidRPr="009A4DCA">
              <w:rPr>
                <w:rFonts w:ascii="Arial Narrow" w:eastAsiaTheme="majorEastAsia" w:hAnsi="Arial Narrow" w:cstheme="majorBidi"/>
                <w:bCs/>
                <w:sz w:val="20"/>
                <w:lang w:val="en-AU"/>
              </w:rPr>
              <w:t>advice:</w:t>
            </w:r>
          </w:p>
          <w:p w14:paraId="438B35C4"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Lower: 1%</w:t>
            </w:r>
          </w:p>
          <w:p w14:paraId="4E9A6AD5"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Upper 8%</w:t>
            </w:r>
          </w:p>
        </w:tc>
      </w:tr>
      <w:tr w:rsidR="00D8761F" w:rsidRPr="009A4DCA" w14:paraId="2D066213" w14:textId="77777777" w:rsidTr="00973287">
        <w:trPr>
          <w:trHeight w:val="256"/>
        </w:trPr>
        <w:tc>
          <w:tcPr>
            <w:tcW w:w="1727" w:type="pct"/>
            <w:shd w:val="clear" w:color="auto" w:fill="auto"/>
          </w:tcPr>
          <w:p w14:paraId="2F341482" w14:textId="1C69CA80" w:rsidR="009C6BB2" w:rsidRPr="009A4DCA" w:rsidRDefault="009C6BB2"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Adults aged ≥60 years</w:t>
            </w:r>
          </w:p>
        </w:tc>
        <w:tc>
          <w:tcPr>
            <w:tcW w:w="818" w:type="pct"/>
            <w:shd w:val="clear" w:color="auto" w:fill="auto"/>
            <w:noWrap/>
            <w:vAlign w:val="center"/>
          </w:tcPr>
          <w:p w14:paraId="7C039C6F" w14:textId="77777777" w:rsidR="009C6BB2" w:rsidRPr="009A4DCA" w:rsidRDefault="009C6BB2" w:rsidP="00D470A3">
            <w:pPr>
              <w:keepNext/>
              <w:keepLines/>
              <w:ind w:right="-159"/>
              <w:jc w:val="left"/>
              <w:rPr>
                <w:rFonts w:ascii="Arial Narrow" w:eastAsiaTheme="majorEastAsia" w:hAnsi="Arial Narrow" w:cstheme="majorBidi"/>
                <w:bCs/>
                <w:sz w:val="20"/>
                <w:lang w:val="en-AU"/>
              </w:rPr>
            </w:pPr>
          </w:p>
        </w:tc>
        <w:tc>
          <w:tcPr>
            <w:tcW w:w="818" w:type="pct"/>
            <w:shd w:val="clear" w:color="auto" w:fill="auto"/>
            <w:noWrap/>
            <w:vAlign w:val="center"/>
          </w:tcPr>
          <w:p w14:paraId="31954D07" w14:textId="77777777" w:rsidR="009C6BB2" w:rsidRPr="009A4DCA" w:rsidRDefault="009C6BB2" w:rsidP="00D470A3">
            <w:pPr>
              <w:keepNext/>
              <w:keepLines/>
              <w:ind w:right="-159"/>
              <w:jc w:val="left"/>
              <w:rPr>
                <w:rFonts w:ascii="Arial Narrow" w:eastAsiaTheme="majorEastAsia" w:hAnsi="Arial Narrow" w:cstheme="majorBidi"/>
                <w:bCs/>
                <w:sz w:val="20"/>
                <w:lang w:val="en-AU"/>
              </w:rPr>
            </w:pPr>
          </w:p>
        </w:tc>
        <w:tc>
          <w:tcPr>
            <w:tcW w:w="818" w:type="pct"/>
            <w:vAlign w:val="center"/>
          </w:tcPr>
          <w:p w14:paraId="47B8E560" w14:textId="77777777" w:rsidR="009C6BB2" w:rsidRPr="009A4DCA" w:rsidRDefault="009C6BB2" w:rsidP="00D470A3">
            <w:pPr>
              <w:keepNext/>
              <w:keepLines/>
              <w:ind w:right="-159"/>
              <w:jc w:val="left"/>
              <w:rPr>
                <w:rFonts w:ascii="Arial Narrow" w:eastAsiaTheme="majorEastAsia" w:hAnsi="Arial Narrow" w:cstheme="majorBidi"/>
                <w:bCs/>
                <w:sz w:val="20"/>
                <w:lang w:val="en-AU"/>
              </w:rPr>
            </w:pPr>
          </w:p>
        </w:tc>
        <w:tc>
          <w:tcPr>
            <w:tcW w:w="819" w:type="pct"/>
            <w:vAlign w:val="center"/>
          </w:tcPr>
          <w:p w14:paraId="1B4479EE" w14:textId="1F97DB73" w:rsidR="009C6BB2" w:rsidRPr="009A4DCA" w:rsidRDefault="009C6BB2"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hCFR: 3.83%</w:t>
            </w:r>
          </w:p>
        </w:tc>
      </w:tr>
      <w:tr w:rsidR="00DA50F1" w:rsidRPr="009A4DCA" w14:paraId="3EA3D196" w14:textId="77777777" w:rsidTr="00973287">
        <w:trPr>
          <w:trHeight w:val="256"/>
        </w:trPr>
        <w:tc>
          <w:tcPr>
            <w:tcW w:w="1727" w:type="pct"/>
            <w:shd w:val="clear" w:color="auto" w:fill="auto"/>
          </w:tcPr>
          <w:p w14:paraId="6C9786B4" w14:textId="0A0C7258"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Adults aged ≥65 years</w:t>
            </w:r>
          </w:p>
        </w:tc>
        <w:tc>
          <w:tcPr>
            <w:tcW w:w="818" w:type="pct"/>
            <w:shd w:val="clear" w:color="auto" w:fill="auto"/>
            <w:noWrap/>
            <w:vAlign w:val="center"/>
          </w:tcPr>
          <w:p w14:paraId="0C179CA8"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w:t>
            </w:r>
          </w:p>
        </w:tc>
        <w:tc>
          <w:tcPr>
            <w:tcW w:w="818" w:type="pct"/>
            <w:shd w:val="clear" w:color="auto" w:fill="auto"/>
            <w:noWrap/>
            <w:vAlign w:val="center"/>
          </w:tcPr>
          <w:p w14:paraId="00E196DA"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w:t>
            </w:r>
          </w:p>
        </w:tc>
        <w:tc>
          <w:tcPr>
            <w:tcW w:w="818" w:type="pct"/>
            <w:vAlign w:val="center"/>
          </w:tcPr>
          <w:p w14:paraId="6964D70D"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w:t>
            </w:r>
          </w:p>
        </w:tc>
        <w:tc>
          <w:tcPr>
            <w:tcW w:w="819" w:type="pct"/>
            <w:vAlign w:val="center"/>
          </w:tcPr>
          <w:p w14:paraId="5C9AEDDB"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hCFR: 3.98%</w:t>
            </w:r>
          </w:p>
        </w:tc>
      </w:tr>
      <w:tr w:rsidR="00DA50F1" w:rsidRPr="009A4DCA" w14:paraId="48A91143" w14:textId="77777777" w:rsidTr="00973287">
        <w:trPr>
          <w:trHeight w:val="256"/>
        </w:trPr>
        <w:tc>
          <w:tcPr>
            <w:tcW w:w="1727" w:type="pct"/>
            <w:shd w:val="clear" w:color="auto" w:fill="auto"/>
          </w:tcPr>
          <w:p w14:paraId="2DAC37F7" w14:textId="1A8B5D72"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Adults aged ≥80 years</w:t>
            </w:r>
          </w:p>
        </w:tc>
        <w:tc>
          <w:tcPr>
            <w:tcW w:w="818" w:type="pct"/>
            <w:shd w:val="clear" w:color="auto" w:fill="auto"/>
            <w:noWrap/>
            <w:vAlign w:val="center"/>
          </w:tcPr>
          <w:p w14:paraId="42EBDBB7"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w:t>
            </w:r>
          </w:p>
        </w:tc>
        <w:tc>
          <w:tcPr>
            <w:tcW w:w="818" w:type="pct"/>
            <w:shd w:val="clear" w:color="auto" w:fill="auto"/>
            <w:noWrap/>
            <w:vAlign w:val="center"/>
          </w:tcPr>
          <w:p w14:paraId="6D58E547"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w:t>
            </w:r>
          </w:p>
        </w:tc>
        <w:tc>
          <w:tcPr>
            <w:tcW w:w="818" w:type="pct"/>
            <w:vAlign w:val="center"/>
          </w:tcPr>
          <w:p w14:paraId="0660C0EB"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w:t>
            </w:r>
          </w:p>
        </w:tc>
        <w:tc>
          <w:tcPr>
            <w:tcW w:w="819" w:type="pct"/>
            <w:vAlign w:val="center"/>
          </w:tcPr>
          <w:p w14:paraId="48D5AF0B" w14:textId="77777777" w:rsidR="00DA50F1" w:rsidRPr="009A4DCA" w:rsidRDefault="00DA50F1" w:rsidP="00D470A3">
            <w:pPr>
              <w:keepNext/>
              <w:keepLines/>
              <w:ind w:right="-159"/>
              <w:jc w:val="left"/>
              <w:rPr>
                <w:rFonts w:ascii="Arial Narrow" w:eastAsiaTheme="majorEastAsia" w:hAnsi="Arial Narrow" w:cstheme="majorBidi"/>
                <w:bCs/>
                <w:sz w:val="20"/>
                <w:lang w:val="en-AU"/>
              </w:rPr>
            </w:pPr>
            <w:r w:rsidRPr="009A4DCA">
              <w:rPr>
                <w:rFonts w:ascii="Arial Narrow" w:eastAsiaTheme="majorEastAsia" w:hAnsi="Arial Narrow" w:cstheme="majorBidi"/>
                <w:bCs/>
                <w:sz w:val="20"/>
                <w:lang w:val="en-AU"/>
              </w:rPr>
              <w:t>hCFR: 4.55%</w:t>
            </w:r>
          </w:p>
        </w:tc>
      </w:tr>
    </w:tbl>
    <w:p w14:paraId="19081022" w14:textId="77777777" w:rsidR="00DA50F1" w:rsidRPr="009A4DCA" w:rsidRDefault="00DA50F1" w:rsidP="00D470A3">
      <w:pPr>
        <w:pStyle w:val="FooterTableFigure"/>
        <w:keepNext/>
        <w:keepLines/>
      </w:pPr>
      <w:r w:rsidRPr="009A4DCA">
        <w:t xml:space="preserve">Source: Table 3.4.1 p109 of the submission; ATAGI Advice December 2023 Table 5.2-3 p52. </w:t>
      </w:r>
    </w:p>
    <w:p w14:paraId="2DFA58B3" w14:textId="2A2F2F4B" w:rsidR="00A62378" w:rsidRPr="009A4DCA" w:rsidRDefault="00A62378" w:rsidP="00D470A3">
      <w:pPr>
        <w:pStyle w:val="FooterTableFigure"/>
        <w:keepNext/>
        <w:keepLines/>
        <w:rPr>
          <w:iCs/>
        </w:rPr>
      </w:pPr>
      <w:r w:rsidRPr="009A4DCA">
        <w:t>AIHW=Australian Institute of Health and Welfare</w:t>
      </w:r>
      <w:r w:rsidRPr="009A4DCA">
        <w:rPr>
          <w:i/>
        </w:rPr>
        <w:t xml:space="preserve">; </w:t>
      </w:r>
      <w:r w:rsidRPr="009A4DCA">
        <w:rPr>
          <w:iCs/>
        </w:rPr>
        <w:t>ATAGI = Australian Technical Advisory Group on immunisation; AUS = Australia; CEA = cost effectiveness analysis; hCFR = hospital case fatality ratio; PBAC = Pharmaceutical Benefit Advisory Board; RSV = respiratory syncytial virus</w:t>
      </w:r>
      <w:r w:rsidR="00481415" w:rsidRPr="009A4DCA">
        <w:rPr>
          <w:iCs/>
        </w:rPr>
        <w:t>.</w:t>
      </w:r>
      <w:r w:rsidRPr="009A4DCA">
        <w:rPr>
          <w:iCs/>
        </w:rPr>
        <w:t xml:space="preserve"> </w:t>
      </w:r>
    </w:p>
    <w:p w14:paraId="655FA531" w14:textId="77777777" w:rsidR="00DA50F1" w:rsidRPr="009A4DCA" w:rsidRDefault="00DA50F1" w:rsidP="00D470A3">
      <w:pPr>
        <w:pStyle w:val="FooterTableFigure"/>
        <w:keepNext/>
        <w:keepLines/>
        <w:rPr>
          <w:iCs/>
        </w:rPr>
      </w:pPr>
      <w:r w:rsidRPr="009A4DCA">
        <w:t xml:space="preserve">Economic evaluation workbook ABRYSVO_Older Adults_CEA_July 2024, sheet ‘Variables’; </w:t>
      </w:r>
      <w:r w:rsidRPr="009A4DCA">
        <w:rPr>
          <w:iCs/>
        </w:rPr>
        <w:t xml:space="preserve">Table 5.2-3 p52 ATAGI pre-submission advice to PBAC December 2023. </w:t>
      </w:r>
    </w:p>
    <w:p w14:paraId="21513586" w14:textId="77777777" w:rsidR="00DA50F1" w:rsidRPr="009A4DCA" w:rsidRDefault="00DA50F1" w:rsidP="00D470A3">
      <w:pPr>
        <w:pStyle w:val="FooterTableFigure"/>
        <w:keepNext/>
        <w:keepLines/>
        <w:rPr>
          <w:iCs/>
        </w:rPr>
      </w:pPr>
      <w:r w:rsidRPr="009A4DCA">
        <w:rPr>
          <w:iCs/>
        </w:rPr>
        <w:t>a Fold difference from McLaughlin et al., 2022 applied to hospitalisation rate in Australian model-based study to estimate emergency and outpatient rates, as advised by ATAGI (December 2023).</w:t>
      </w:r>
    </w:p>
    <w:p w14:paraId="437F1EA9" w14:textId="49A70ED3" w:rsidR="00DA50F1" w:rsidRPr="009A4DCA" w:rsidRDefault="00DA50F1" w:rsidP="00DA50F1">
      <w:pPr>
        <w:pStyle w:val="FooterTableFigure"/>
        <w:rPr>
          <w:iCs/>
        </w:rPr>
      </w:pPr>
      <w:r w:rsidRPr="009A4DCA">
        <w:rPr>
          <w:iCs/>
        </w:rPr>
        <w:t>b Value input of 43 per 100,000 person</w:t>
      </w:r>
      <w:r w:rsidR="00F06304" w:rsidRPr="009A4DCA">
        <w:rPr>
          <w:iCs/>
        </w:rPr>
        <w:t>-</w:t>
      </w:r>
      <w:r w:rsidRPr="009A4DCA">
        <w:rPr>
          <w:iCs/>
        </w:rPr>
        <w:t xml:space="preserve">years is equivalent to a mortality rate of 10.8% of hospitalisations each month in the model. </w:t>
      </w:r>
    </w:p>
    <w:p w14:paraId="05559394" w14:textId="77777777" w:rsidR="00DA50F1" w:rsidRPr="009A4DCA" w:rsidRDefault="00DA50F1" w:rsidP="00DA50F1">
      <w:pPr>
        <w:pStyle w:val="3-BodyText"/>
        <w:numPr>
          <w:ilvl w:val="1"/>
          <w:numId w:val="1"/>
        </w:numPr>
      </w:pPr>
      <w:bookmarkStart w:id="71" w:name="_Ref183016887"/>
      <w:r w:rsidRPr="009A4DCA">
        <w:t>The submission derived hospitalisation rates for each population as follows:</w:t>
      </w:r>
      <w:bookmarkEnd w:id="71"/>
      <w:r w:rsidRPr="009A4DCA">
        <w:t xml:space="preserve"> </w:t>
      </w:r>
    </w:p>
    <w:p w14:paraId="3F0B5342" w14:textId="456D4C6D" w:rsidR="00DA50F1" w:rsidRPr="009A4DCA" w:rsidRDefault="00DA50F1" w:rsidP="00B53AEB">
      <w:pPr>
        <w:pStyle w:val="ListParagraph"/>
        <w:numPr>
          <w:ilvl w:val="0"/>
          <w:numId w:val="17"/>
        </w:numPr>
        <w:ind w:left="1134"/>
        <w:jc w:val="both"/>
      </w:pPr>
      <w:r w:rsidRPr="009A4DCA">
        <w:rPr>
          <w:u w:val="single"/>
        </w:rPr>
        <w:t>Adults aged ≥75 years</w:t>
      </w:r>
      <w:r w:rsidRPr="009A4DCA">
        <w:t>: The base case used data from the Australian modelling study</w:t>
      </w:r>
      <w:r w:rsidR="009E13C0" w:rsidRPr="009A4DCA">
        <w:t xml:space="preserve"> (2010-2019)</w:t>
      </w:r>
      <w:r w:rsidRPr="009A4DCA">
        <w:t xml:space="preserve"> to estimate the hospitalisation rate (398 per 100,000 person-years). T</w:t>
      </w:r>
      <w:r w:rsidR="00DD4D7A" w:rsidRPr="009A4DCA">
        <w:t>he evaluation noted that</w:t>
      </w:r>
      <w:r w:rsidR="00DD4D7A" w:rsidRPr="009A4DCA">
        <w:rPr>
          <w:i/>
          <w:iCs/>
        </w:rPr>
        <w:t xml:space="preserve"> </w:t>
      </w:r>
      <w:r w:rsidR="00DD4D7A" w:rsidRPr="009A4DCA">
        <w:t>t</w:t>
      </w:r>
      <w:r w:rsidRPr="009A4DCA">
        <w:t xml:space="preserve">his is not consistent with Advice from ATAGI, </w:t>
      </w:r>
      <w:r w:rsidR="00DD4D7A" w:rsidRPr="009A4DCA">
        <w:t xml:space="preserve">which </w:t>
      </w:r>
      <w:r w:rsidRPr="009A4DCA">
        <w:t>considered that applying a multiplier of 2 to the 2016-2019 AIHW data would be reasonable</w:t>
      </w:r>
      <w:r w:rsidR="00B677CB" w:rsidRPr="009A4DCA">
        <w:t>, which results in a rate of 384 per 100,000 person</w:t>
      </w:r>
      <w:r w:rsidR="00F06304" w:rsidRPr="009A4DCA">
        <w:t>-</w:t>
      </w:r>
      <w:r w:rsidR="00B677CB" w:rsidRPr="009A4DCA">
        <w:t>years</w:t>
      </w:r>
      <w:r w:rsidRPr="009A4DCA">
        <w:t xml:space="preserve">. </w:t>
      </w:r>
      <w:r w:rsidR="009E13C0" w:rsidRPr="009A4DCA">
        <w:t xml:space="preserve">The PSCR </w:t>
      </w:r>
      <w:r w:rsidR="007516CF" w:rsidRPr="009A4DCA">
        <w:t xml:space="preserve">and pre-PBAC response </w:t>
      </w:r>
      <w:r w:rsidR="009E13C0" w:rsidRPr="009A4DCA">
        <w:t>maintained that data from the Australian modelling study should be used to inform the base case. Both methods use AIHW data with an overlapping time period i.e., over 2016 to 2019.</w:t>
      </w:r>
      <w:r w:rsidR="009E6A7D" w:rsidRPr="009A4DCA">
        <w:t xml:space="preserve"> The pre-PBAC response </w:t>
      </w:r>
      <w:r w:rsidR="0063209E" w:rsidRPr="009A4DCA">
        <w:t xml:space="preserve">noted that results from the Australian modelling study became available only after the </w:t>
      </w:r>
      <w:r w:rsidR="007E6D45" w:rsidRPr="009A4DCA">
        <w:t>s</w:t>
      </w:r>
      <w:r w:rsidR="0063209E" w:rsidRPr="009A4DCA">
        <w:t>ponsor’s Request for ATAGI Advice was made</w:t>
      </w:r>
      <w:r w:rsidR="00D44A63" w:rsidRPr="009A4DCA">
        <w:t xml:space="preserve"> and the timing should not preclude their consideration by PBAC</w:t>
      </w:r>
      <w:r w:rsidR="0063209E" w:rsidRPr="009A4DCA">
        <w:t>.</w:t>
      </w:r>
    </w:p>
    <w:p w14:paraId="4AF43D08" w14:textId="34337B9E" w:rsidR="00D96526" w:rsidRPr="009A4DCA" w:rsidRDefault="00D96526" w:rsidP="00B53AEB">
      <w:pPr>
        <w:pStyle w:val="ListParagraph"/>
        <w:numPr>
          <w:ilvl w:val="0"/>
          <w:numId w:val="18"/>
        </w:numPr>
        <w:ind w:left="1134" w:hanging="370"/>
        <w:jc w:val="both"/>
        <w:rPr>
          <w:rFonts w:ascii="Calibri" w:hAnsi="Calibri" w:cs="Calibri"/>
          <w:iCs/>
          <w:snapToGrid/>
          <w:color w:val="000000"/>
        </w:rPr>
      </w:pPr>
      <w:r w:rsidRPr="009A4DCA">
        <w:rPr>
          <w:u w:val="single"/>
        </w:rPr>
        <w:lastRenderedPageBreak/>
        <w:t>Aboriginal and Torres Strait Islander adults aged 60 to 74 years</w:t>
      </w:r>
      <w:r w:rsidRPr="009A4DCA">
        <w:t xml:space="preserve">: </w:t>
      </w:r>
      <w:bookmarkStart w:id="72" w:name="_Hlk183601096"/>
      <w:r w:rsidRPr="009A4DCA">
        <w:rPr>
          <w:rFonts w:ascii="Calibri" w:hAnsi="Calibri" w:cs="Calibri"/>
          <w:snapToGrid/>
          <w:color w:val="000000"/>
        </w:rPr>
        <w:t xml:space="preserve">For this population, a risk ratio of 1.5 relative to the hospitalisation rate in the general Australian population aged ≥75 years was used. </w:t>
      </w:r>
      <w:r w:rsidRPr="009A4DCA">
        <w:rPr>
          <w:iCs/>
        </w:rPr>
        <w:t>The value used was calculated by multiplying the value for adults aged </w:t>
      </w:r>
      <w:r w:rsidRPr="009A4DCA">
        <w:rPr>
          <w:rFonts w:cstheme="minorHAnsi"/>
          <w:iCs/>
        </w:rPr>
        <w:t>≥</w:t>
      </w:r>
      <w:r w:rsidRPr="009A4DCA">
        <w:rPr>
          <w:iCs/>
        </w:rPr>
        <w:t>75 years by 1.5 (i.e., 398 x 1.5 = 597 per 100,000 person-years)</w:t>
      </w:r>
      <w:r w:rsidRPr="009A4DCA">
        <w:rPr>
          <w:rStyle w:val="FootnoteReference"/>
          <w:iCs/>
        </w:rPr>
        <w:footnoteReference w:id="11"/>
      </w:r>
      <w:r w:rsidRPr="009A4DCA">
        <w:rPr>
          <w:iCs/>
        </w:rPr>
        <w:t xml:space="preserve">. ATAGI Advice (December 2023) stated that for Aboriginal and Torres Strait Islanders, an increase in risk could be used from the base case (i.e., </w:t>
      </w:r>
      <w:r w:rsidR="00323670" w:rsidRPr="009A4DCA">
        <w:rPr>
          <w:iCs/>
        </w:rPr>
        <w:t xml:space="preserve">apply </w:t>
      </w:r>
      <w:r w:rsidRPr="009A4DCA">
        <w:rPr>
          <w:iCs/>
        </w:rPr>
        <w:t xml:space="preserve">1.5 times </w:t>
      </w:r>
      <w:r w:rsidR="00323670" w:rsidRPr="009A4DCA">
        <w:rPr>
          <w:iCs/>
        </w:rPr>
        <w:t xml:space="preserve">the </w:t>
      </w:r>
      <w:r w:rsidR="00323670" w:rsidRPr="009A4DCA">
        <w:rPr>
          <w:rFonts w:ascii="Calibri" w:hAnsi="Calibri" w:cs="Calibri"/>
          <w:iCs/>
          <w:snapToGrid/>
          <w:color w:val="000000"/>
        </w:rPr>
        <w:t>hospitalisation rate for the general Australian population aged ≥ 75 years</w:t>
      </w:r>
      <w:r w:rsidRPr="009A4DCA">
        <w:rPr>
          <w:iCs/>
        </w:rPr>
        <w:t>), with sensitivity analyses using lower and upper bounds of the 95% CI</w:t>
      </w:r>
      <w:r w:rsidR="009246F5" w:rsidRPr="009A4DCA">
        <w:rPr>
          <w:iCs/>
        </w:rPr>
        <w:t xml:space="preserve"> of the estimated </w:t>
      </w:r>
      <w:r w:rsidR="009246F5" w:rsidRPr="009A4DCA">
        <w:rPr>
          <w:rFonts w:ascii="Calibri" w:hAnsi="Calibri" w:cs="Calibri"/>
          <w:iCs/>
          <w:snapToGrid/>
          <w:color w:val="000000"/>
        </w:rPr>
        <w:t>hospitalisation rate</w:t>
      </w:r>
      <w:r w:rsidRPr="009A4DCA">
        <w:rPr>
          <w:iCs/>
        </w:rPr>
        <w:t xml:space="preserve">. </w:t>
      </w:r>
      <w:r w:rsidR="00B05A50" w:rsidRPr="009A4DCA">
        <w:rPr>
          <w:iCs/>
        </w:rPr>
        <w:t>When the rate for adults aged </w:t>
      </w:r>
      <w:r w:rsidR="00B05A50" w:rsidRPr="009A4DCA">
        <w:rPr>
          <w:rFonts w:cstheme="minorHAnsi"/>
          <w:iCs/>
        </w:rPr>
        <w:t>≥</w:t>
      </w:r>
      <w:r w:rsidR="00B05A50" w:rsidRPr="009A4DCA">
        <w:rPr>
          <w:iCs/>
        </w:rPr>
        <w:t>75 years is adjusted to 384 per 100,000</w:t>
      </w:r>
      <w:r w:rsidR="00675A6C" w:rsidRPr="009A4DCA">
        <w:rPr>
          <w:iCs/>
        </w:rPr>
        <w:t xml:space="preserve"> as described above</w:t>
      </w:r>
      <w:r w:rsidR="00F06304" w:rsidRPr="009A4DCA">
        <w:rPr>
          <w:iCs/>
        </w:rPr>
        <w:t xml:space="preserve">, the corresponding rate for </w:t>
      </w:r>
      <w:r w:rsidR="00F06304" w:rsidRPr="009A4DCA">
        <w:t xml:space="preserve">Aboriginal and Torres Strait Islander adults aged 60 to </w:t>
      </w:r>
      <w:r w:rsidR="003E3A91" w:rsidRPr="009A4DCA">
        <w:t>74</w:t>
      </w:r>
      <w:r w:rsidR="003E3A91">
        <w:t> </w:t>
      </w:r>
      <w:r w:rsidR="00F06304" w:rsidRPr="009A4DCA">
        <w:t>years is 576</w:t>
      </w:r>
      <w:r w:rsidR="00F06304" w:rsidRPr="009A4DCA">
        <w:rPr>
          <w:iCs/>
        </w:rPr>
        <w:t xml:space="preserve"> per 100,000 person-years.</w:t>
      </w:r>
    </w:p>
    <w:bookmarkEnd w:id="72"/>
    <w:p w14:paraId="3085D130" w14:textId="4DBEF401" w:rsidR="00DA50F1" w:rsidRPr="009A4DCA" w:rsidRDefault="00DA50F1" w:rsidP="00B53AEB">
      <w:pPr>
        <w:pStyle w:val="ListParagraph"/>
        <w:numPr>
          <w:ilvl w:val="0"/>
          <w:numId w:val="18"/>
        </w:numPr>
        <w:ind w:left="1134" w:hanging="370"/>
        <w:jc w:val="both"/>
      </w:pPr>
      <w:r w:rsidRPr="009A4DCA">
        <w:rPr>
          <w:u w:val="single"/>
        </w:rPr>
        <w:t>Adults with at least on</w:t>
      </w:r>
      <w:r w:rsidR="0089716D" w:rsidRPr="009A4DCA">
        <w:rPr>
          <w:u w:val="single"/>
        </w:rPr>
        <w:t>e</w:t>
      </w:r>
      <w:r w:rsidRPr="009A4DCA">
        <w:rPr>
          <w:u w:val="single"/>
        </w:rPr>
        <w:t xml:space="preserve"> risk factor aged 60 to 74 years</w:t>
      </w:r>
      <w:r w:rsidRPr="009A4DCA">
        <w:t xml:space="preserve">: The value applied was the same as for adults aged </w:t>
      </w:r>
      <w:r w:rsidR="007F7E16" w:rsidRPr="009A4DCA">
        <w:t>≥</w:t>
      </w:r>
      <w:r w:rsidRPr="009A4DCA">
        <w:t xml:space="preserve">75 years. The submission stated that this value was consistent with ATAGI recommendations. </w:t>
      </w:r>
      <w:r w:rsidR="0089716D" w:rsidRPr="009A4DCA">
        <w:t>However, t</w:t>
      </w:r>
      <w:r w:rsidR="00DD4D7A" w:rsidRPr="009A4DCA">
        <w:t>he evaluation noted</w:t>
      </w:r>
      <w:r w:rsidR="00DD4D7A" w:rsidRPr="009A4DCA">
        <w:rPr>
          <w:i/>
          <w:iCs/>
        </w:rPr>
        <w:t xml:space="preserve"> </w:t>
      </w:r>
      <w:r w:rsidR="00DD4D7A" w:rsidRPr="009A4DCA">
        <w:t>that t</w:t>
      </w:r>
      <w:r w:rsidRPr="009A4DCA">
        <w:t xml:space="preserve">his </w:t>
      </w:r>
      <w:r w:rsidR="0089716D" w:rsidRPr="009A4DCA">
        <w:t xml:space="preserve">was </w:t>
      </w:r>
      <w:r w:rsidRPr="009A4DCA">
        <w:t>not consistent with ATAGI’s advice</w:t>
      </w:r>
      <w:r w:rsidR="00382835" w:rsidRPr="009A4DCA">
        <w:t>,</w:t>
      </w:r>
      <w:r w:rsidRPr="009A4DCA">
        <w:t xml:space="preserve"> </w:t>
      </w:r>
      <w:r w:rsidR="005F10C0" w:rsidRPr="009A4DCA">
        <w:t xml:space="preserve">which considered that in the absence of robust data on hospitalisation rates for adults at high-risk aged 60-74 years, it may be appropriate to assume the same incidence for all at-risk groups </w:t>
      </w:r>
      <w:r w:rsidR="008C7A64" w:rsidRPr="009A4DCA">
        <w:rPr>
          <w:rFonts w:ascii="Calibri" w:hAnsi="Calibri" w:cs="Calibri"/>
          <w:szCs w:val="22"/>
        </w:rPr>
        <w:t xml:space="preserve">(those aged 75+, individuals 60+ with risk conditions and Aboriginal and Torres Strait Islander peoples) </w:t>
      </w:r>
      <w:r w:rsidR="005F10C0" w:rsidRPr="009A4DCA">
        <w:t>for the purposes of the cost-effectiveness analysis (ATAGI Advice December 2023), which would have resulted in a</w:t>
      </w:r>
      <w:r w:rsidR="001D367B" w:rsidRPr="009A4DCA">
        <w:t>n</w:t>
      </w:r>
      <w:r w:rsidR="00401283" w:rsidRPr="009A4DCA">
        <w:t xml:space="preserve"> </w:t>
      </w:r>
      <w:r w:rsidR="005F10C0" w:rsidRPr="009A4DCA">
        <w:t xml:space="preserve">estimate of hospitalisations based on </w:t>
      </w:r>
      <w:r w:rsidR="006E0A80" w:rsidRPr="009A4DCA">
        <w:t xml:space="preserve">a minimum </w:t>
      </w:r>
      <w:r w:rsidR="005F10C0" w:rsidRPr="009A4DCA">
        <w:t xml:space="preserve">age of 60 years (rather than 75 years as used by the submission). </w:t>
      </w:r>
      <w:r w:rsidR="00EC0C4D" w:rsidRPr="009A4DCA">
        <w:t>If 60 years was used as the lower limit of the analysis, then applying a multiplier of 2 to the 2016-2019 AIHW data as proposed by ATAGI (range 60</w:t>
      </w:r>
      <w:r w:rsidR="009B1435">
        <w:t> </w:t>
      </w:r>
      <w:r w:rsidR="00EC0C4D" w:rsidRPr="009A4DCA">
        <w:t xml:space="preserve">years to 85+) results in a rate of 197 per 100,000 person-years. </w:t>
      </w:r>
      <w:r w:rsidRPr="009A4DCA">
        <w:t>Further to this, estimates from the Australian modelling study were reported for adults aged 60</w:t>
      </w:r>
      <w:r w:rsidR="009B1435">
        <w:t> </w:t>
      </w:r>
      <w:r w:rsidRPr="009A4DCA">
        <w:t xml:space="preserve">to 74 years; although the analyses did not include risk-status as a stratifying variable, it is likely that the population modelled would have included people with risk-factors in this age category. The results presented for the lower CI across all years </w:t>
      </w:r>
      <w:r w:rsidR="00401283" w:rsidRPr="009A4DCA">
        <w:t>were</w:t>
      </w:r>
      <w:r w:rsidRPr="009A4DCA">
        <w:t xml:space="preserve"> bound by zero for both hospitalisations and mortality outcomes. The </w:t>
      </w:r>
      <w:r w:rsidR="007F7E16" w:rsidRPr="009A4DCA">
        <w:t xml:space="preserve">incidence </w:t>
      </w:r>
      <w:r w:rsidRPr="009A4DCA">
        <w:t xml:space="preserve">per 100,000 person-years for RSV-attributable hospitalisations across years 2010 to 2019 was lower </w:t>
      </w:r>
      <w:r w:rsidR="00401283" w:rsidRPr="009A4DCA">
        <w:t>in th</w:t>
      </w:r>
      <w:r w:rsidR="00186AF2" w:rsidRPr="009A4DCA">
        <w:t xml:space="preserve">e 60-74 years </w:t>
      </w:r>
      <w:r w:rsidR="00401283" w:rsidRPr="009A4DCA">
        <w:t xml:space="preserve">age-group </w:t>
      </w:r>
      <w:r w:rsidRPr="009A4DCA">
        <w:t>(mean:</w:t>
      </w:r>
      <w:r w:rsidR="00401283" w:rsidRPr="009A4DCA">
        <w:t> </w:t>
      </w:r>
      <w:r w:rsidRPr="009A4DCA">
        <w:t xml:space="preserve">107) than for adults aged </w:t>
      </w:r>
      <w:r w:rsidRPr="009A4DCA">
        <w:rPr>
          <w:rFonts w:cstheme="minorHAnsi"/>
        </w:rPr>
        <w:t>≥</w:t>
      </w:r>
      <w:r w:rsidR="00186AF2" w:rsidRPr="009A4DCA">
        <w:rPr>
          <w:rFonts w:cstheme="minorHAnsi"/>
        </w:rPr>
        <w:t>75 </w:t>
      </w:r>
      <w:r w:rsidRPr="009A4DCA">
        <w:rPr>
          <w:rFonts w:cstheme="minorHAnsi"/>
        </w:rPr>
        <w:t>years (</w:t>
      </w:r>
      <w:r w:rsidRPr="009A4DCA">
        <w:t xml:space="preserve">mean: 398). </w:t>
      </w:r>
    </w:p>
    <w:p w14:paraId="39C2229E" w14:textId="3D8A95BC" w:rsidR="00DA50F1" w:rsidRPr="009A4DCA" w:rsidRDefault="00EC0BCE" w:rsidP="00B53AEB">
      <w:pPr>
        <w:ind w:left="709"/>
        <w:rPr>
          <w:rFonts w:cs="Calibri"/>
          <w:iCs/>
          <w:color w:val="000000"/>
        </w:rPr>
      </w:pPr>
      <w:r w:rsidRPr="009A4DCA">
        <w:rPr>
          <w:rFonts w:cs="Calibri"/>
          <w:iCs/>
          <w:color w:val="000000"/>
        </w:rPr>
        <w:t>The evaluation noted that</w:t>
      </w:r>
      <w:r w:rsidRPr="009A4DCA">
        <w:rPr>
          <w:rFonts w:cs="Calibri"/>
          <w:i/>
          <w:color w:val="000000"/>
        </w:rPr>
        <w:t xml:space="preserve"> </w:t>
      </w:r>
      <w:r w:rsidRPr="009A4DCA">
        <w:rPr>
          <w:rFonts w:cs="Calibri"/>
          <w:iCs/>
          <w:color w:val="000000"/>
        </w:rPr>
        <w:t>r</w:t>
      </w:r>
      <w:r w:rsidR="00DA50F1" w:rsidRPr="009A4DCA">
        <w:rPr>
          <w:rFonts w:cs="Calibri"/>
          <w:iCs/>
          <w:color w:val="000000"/>
        </w:rPr>
        <w:t>esults of sensitivity analyses indicate the model was highly sensitive to assumptions about hospitalisations.</w:t>
      </w:r>
    </w:p>
    <w:p w14:paraId="67B6E68E" w14:textId="31A3A82D" w:rsidR="00DA50F1" w:rsidRPr="009A4DCA" w:rsidRDefault="00DA50F1" w:rsidP="004E357D">
      <w:pPr>
        <w:pStyle w:val="3-BodyText"/>
        <w:numPr>
          <w:ilvl w:val="1"/>
          <w:numId w:val="1"/>
        </w:numPr>
      </w:pPr>
      <w:r w:rsidRPr="009A4DCA">
        <w:t>Emergency and outpatient visits were derived by applying a fold-estimate for emergency room visits (fold-estimate value, 0.75) and outpatient visits (fold-estimate value, 8.6) to the rate of assumed rate of hospitalisation for each population based</w:t>
      </w:r>
      <w:r w:rsidR="008A3F53" w:rsidRPr="009A4DCA">
        <w:t xml:space="preserve"> on</w:t>
      </w:r>
      <w:r w:rsidRPr="009A4DCA">
        <w:t xml:space="preserve"> </w:t>
      </w:r>
      <w:r w:rsidRPr="009A4DCA">
        <w:lastRenderedPageBreak/>
        <w:t>McLauglin (2022). The submission stated the fold-estimates applied were based on ATAGI Advice (December 2023).</w:t>
      </w:r>
    </w:p>
    <w:p w14:paraId="6EB7C9A6" w14:textId="1C50AB84" w:rsidR="00DA50F1" w:rsidRPr="009A4DCA" w:rsidRDefault="00DA50F1" w:rsidP="004E357D">
      <w:pPr>
        <w:pStyle w:val="3-BodyText"/>
        <w:numPr>
          <w:ilvl w:val="1"/>
          <w:numId w:val="1"/>
        </w:numPr>
        <w:rPr>
          <w:iCs/>
        </w:rPr>
      </w:pPr>
      <w:r w:rsidRPr="009A4DCA">
        <w:t xml:space="preserve">The same </w:t>
      </w:r>
      <w:r w:rsidR="009246F5" w:rsidRPr="009A4DCA">
        <w:t xml:space="preserve">RSV </w:t>
      </w:r>
      <w:r w:rsidRPr="009A4DCA">
        <w:t>mortality rate was assumed for all populations modelled i.e., adults aged ≥75 years, Aboriginal and Torres Strait Islander adults 60-74 years</w:t>
      </w:r>
      <w:r w:rsidR="00476019" w:rsidRPr="009A4DCA">
        <w:t>, and adults at high-risk aged 60-74 years</w:t>
      </w:r>
      <w:r w:rsidRPr="009A4DCA">
        <w:t xml:space="preserve">. The base case used data from the Australian modelling study to estimate the mortality rate (43 per 100,000 person-years). </w:t>
      </w:r>
      <w:r w:rsidRPr="009A4DCA">
        <w:rPr>
          <w:iCs/>
        </w:rPr>
        <w:t>The</w:t>
      </w:r>
      <w:r w:rsidR="00EC0BCE" w:rsidRPr="009A4DCA">
        <w:rPr>
          <w:iCs/>
        </w:rPr>
        <w:t xml:space="preserve"> evaluation noted that </w:t>
      </w:r>
      <w:r w:rsidR="001B66F4" w:rsidRPr="009A4DCA">
        <w:rPr>
          <w:iCs/>
        </w:rPr>
        <w:t xml:space="preserve">this </w:t>
      </w:r>
      <w:r w:rsidRPr="009A4DCA">
        <w:rPr>
          <w:iCs/>
        </w:rPr>
        <w:t xml:space="preserve">value </w:t>
      </w:r>
      <w:r w:rsidR="001B66F4" w:rsidRPr="009A4DCA">
        <w:rPr>
          <w:iCs/>
        </w:rPr>
        <w:t>wa</w:t>
      </w:r>
      <w:r w:rsidRPr="009A4DCA">
        <w:rPr>
          <w:iCs/>
        </w:rPr>
        <w:t xml:space="preserve">s not consistent with the ATAGI advice. The mortality rate used in the model </w:t>
      </w:r>
      <w:r w:rsidR="001B66F4" w:rsidRPr="009A4DCA">
        <w:rPr>
          <w:iCs/>
        </w:rPr>
        <w:t xml:space="preserve">was </w:t>
      </w:r>
      <w:r w:rsidRPr="009A4DCA">
        <w:rPr>
          <w:iCs/>
        </w:rPr>
        <w:t>equivalent to 10.8%</w:t>
      </w:r>
      <w:r w:rsidRPr="009A4DCA">
        <w:rPr>
          <w:rStyle w:val="FootnoteReference"/>
          <w:iCs/>
        </w:rPr>
        <w:footnoteReference w:id="12"/>
      </w:r>
      <w:r w:rsidRPr="009A4DCA">
        <w:rPr>
          <w:iCs/>
        </w:rPr>
        <w:t xml:space="preserve"> of hospitalisations each month, where variables for rates of hospitalisation and mortality were not linked in the economic model. The in-hospital case fatality rate proposed for the base case by ATAGI was 4.22% (95% CI 3.92 to 4.54) for adults age</w:t>
      </w:r>
      <w:r w:rsidR="00311EE6" w:rsidRPr="009A4DCA">
        <w:rPr>
          <w:iCs/>
        </w:rPr>
        <w:t>d</w:t>
      </w:r>
      <w:r w:rsidRPr="009A4DCA">
        <w:rPr>
          <w:iCs/>
        </w:rPr>
        <w:t xml:space="preserve"> ≥75 years (ATAGI Advice December</w:t>
      </w:r>
      <w:r w:rsidR="009A78F0">
        <w:rPr>
          <w:iCs/>
        </w:rPr>
        <w:t> </w:t>
      </w:r>
      <w:r w:rsidRPr="009A4DCA">
        <w:rPr>
          <w:iCs/>
        </w:rPr>
        <w:t xml:space="preserve">2024). ATAGI proposed sensitivity analyses be conducted for the in-hospital case fatality rate, with a lower bound of 1% (Leaver et al, 2022) and upper bound of 8% (as requested by the sponsor, based on Savic et al., 2022, Nyuyen-Van-Tam et al., 2022) (ATAGI Advice December 2023). </w:t>
      </w:r>
    </w:p>
    <w:p w14:paraId="45B5C970" w14:textId="296723CF" w:rsidR="003915FF" w:rsidRPr="009A4DCA" w:rsidRDefault="00622660" w:rsidP="004E357D">
      <w:pPr>
        <w:pStyle w:val="3-BodyText"/>
        <w:numPr>
          <w:ilvl w:val="1"/>
          <w:numId w:val="1"/>
        </w:numPr>
        <w:rPr>
          <w:iCs/>
        </w:rPr>
      </w:pPr>
      <w:r w:rsidRPr="009A4DCA">
        <w:t>The submission assumed t</w:t>
      </w:r>
      <w:r w:rsidR="00DA50F1" w:rsidRPr="009A4DCA">
        <w:t xml:space="preserve">he duration of VE of RSVpreF </w:t>
      </w:r>
      <w:r w:rsidR="001B19A8" w:rsidRPr="009A4DCA">
        <w:t>wa</w:t>
      </w:r>
      <w:r w:rsidR="00DA50F1" w:rsidRPr="009A4DCA">
        <w:t xml:space="preserve">s 4 years in the base case. Empirical data from RENOIR </w:t>
      </w:r>
      <w:r w:rsidR="002018CB" w:rsidRPr="009A4DCA">
        <w:t>were</w:t>
      </w:r>
      <w:r w:rsidR="00DA50F1" w:rsidRPr="009A4DCA">
        <w:t xml:space="preserve"> reported for a median follow up period of 16.4</w:t>
      </w:r>
      <w:r w:rsidR="00B915E3">
        <w:t> </w:t>
      </w:r>
      <w:r w:rsidR="00DA50F1" w:rsidRPr="009A4DCA">
        <w:t xml:space="preserve">months and were used to inform the extrapolation of the trial data to 4 years. The submission stated that truncation of VE at 48 months </w:t>
      </w:r>
      <w:r w:rsidRPr="009A4DCA">
        <w:t xml:space="preserve">was </w:t>
      </w:r>
      <w:r w:rsidR="00DA50F1" w:rsidRPr="009A4DCA">
        <w:t>consistent with an RSV vaccine modelling study for older adults projecting linear waning of protection through 4 seasons of follow-up post vaccination of near-market comparator, RSVPreF3 (Molnar 2024)</w:t>
      </w:r>
      <w:r w:rsidR="00DA50F1" w:rsidRPr="009A4DCA">
        <w:rPr>
          <w:rStyle w:val="FootnoteReference"/>
        </w:rPr>
        <w:footnoteReference w:id="13"/>
      </w:r>
      <w:r w:rsidR="00DA50F1" w:rsidRPr="009A4DCA">
        <w:t xml:space="preserve">. </w:t>
      </w:r>
      <w:r w:rsidR="00DA50F1" w:rsidRPr="009A4DCA">
        <w:rPr>
          <w:bCs/>
          <w:iCs/>
        </w:rPr>
        <w:t>The</w:t>
      </w:r>
      <w:r w:rsidR="00EC0BCE" w:rsidRPr="009A4DCA">
        <w:rPr>
          <w:bCs/>
          <w:iCs/>
        </w:rPr>
        <w:t xml:space="preserve"> evaluation</w:t>
      </w:r>
      <w:r w:rsidR="007F7E16" w:rsidRPr="009A4DCA">
        <w:rPr>
          <w:bCs/>
          <w:iCs/>
        </w:rPr>
        <w:t xml:space="preserve"> and the ESC</w:t>
      </w:r>
      <w:r w:rsidR="00EC0BCE" w:rsidRPr="009A4DCA">
        <w:rPr>
          <w:bCs/>
          <w:iCs/>
        </w:rPr>
        <w:t xml:space="preserve"> considered that</w:t>
      </w:r>
      <w:r w:rsidR="00DA50F1" w:rsidRPr="009A4DCA">
        <w:rPr>
          <w:bCs/>
          <w:iCs/>
        </w:rPr>
        <w:t xml:space="preserve"> data provided by the submission did not support VE/immunogenicity out to 4 years.</w:t>
      </w:r>
      <w:r w:rsidR="007F7E16" w:rsidRPr="009A4DCA">
        <w:rPr>
          <w:bCs/>
          <w:iCs/>
        </w:rPr>
        <w:t xml:space="preserve"> The PSCR maintained that extrapolation of VE out to 4 years was realistic and reasonable.</w:t>
      </w:r>
      <w:r w:rsidR="00FF4947" w:rsidRPr="009A4DCA">
        <w:rPr>
          <w:bCs/>
          <w:iCs/>
        </w:rPr>
        <w:t xml:space="preserve"> The pre-PBAC response stated</w:t>
      </w:r>
      <w:r w:rsidR="00D912A3" w:rsidRPr="009A4DCA">
        <w:rPr>
          <w:bCs/>
          <w:iCs/>
        </w:rPr>
        <w:t xml:space="preserve"> that </w:t>
      </w:r>
      <w:r w:rsidR="008A2AD9" w:rsidRPr="009A4DCA">
        <w:rPr>
          <w:bCs/>
          <w:iCs/>
        </w:rPr>
        <w:t>a sensitivity analysis of extrapolation to 3 years</w:t>
      </w:r>
      <w:r w:rsidR="001B40BF" w:rsidRPr="009A4DCA">
        <w:rPr>
          <w:bCs/>
          <w:iCs/>
        </w:rPr>
        <w:t xml:space="preserve"> could be considered</w:t>
      </w:r>
      <w:r w:rsidRPr="009A4DCA">
        <w:rPr>
          <w:bCs/>
          <w:iCs/>
        </w:rPr>
        <w:t xml:space="preserve">, and noted this was proposed in a </w:t>
      </w:r>
      <w:r w:rsidR="00F1290C" w:rsidRPr="009A4DCA">
        <w:rPr>
          <w:bCs/>
          <w:iCs/>
        </w:rPr>
        <w:t>meeting in</w:t>
      </w:r>
      <w:r w:rsidR="00AE6D75" w:rsidRPr="009A4DCA">
        <w:rPr>
          <w:bCs/>
          <w:iCs/>
        </w:rPr>
        <w:t xml:space="preserve"> the United States C</w:t>
      </w:r>
      <w:r w:rsidR="00F1290C" w:rsidRPr="009A4DCA">
        <w:rPr>
          <w:bCs/>
          <w:iCs/>
        </w:rPr>
        <w:t xml:space="preserve">enter for </w:t>
      </w:r>
      <w:r w:rsidR="00AE6D75" w:rsidRPr="009A4DCA">
        <w:rPr>
          <w:bCs/>
          <w:iCs/>
        </w:rPr>
        <w:t>D</w:t>
      </w:r>
      <w:r w:rsidR="00F1290C" w:rsidRPr="009A4DCA">
        <w:rPr>
          <w:bCs/>
          <w:iCs/>
        </w:rPr>
        <w:t xml:space="preserve">isease </w:t>
      </w:r>
      <w:r w:rsidR="00AE6D75" w:rsidRPr="009A4DCA">
        <w:rPr>
          <w:bCs/>
          <w:iCs/>
        </w:rPr>
        <w:t>C</w:t>
      </w:r>
      <w:r w:rsidR="00F1290C" w:rsidRPr="009A4DCA">
        <w:rPr>
          <w:bCs/>
          <w:iCs/>
        </w:rPr>
        <w:t>ontrol</w:t>
      </w:r>
      <w:r w:rsidR="00AE6D75" w:rsidRPr="009A4DCA">
        <w:rPr>
          <w:bCs/>
          <w:iCs/>
        </w:rPr>
        <w:t>’s Advisory Committee on Immunization Practices (ACIP) held on 24 October 2024</w:t>
      </w:r>
      <w:r w:rsidRPr="009A4DCA">
        <w:rPr>
          <w:rStyle w:val="FootnoteReference"/>
          <w:bCs/>
          <w:iCs/>
        </w:rPr>
        <w:footnoteReference w:id="14"/>
      </w:r>
      <w:r w:rsidRPr="009A4DCA">
        <w:rPr>
          <w:bCs/>
          <w:iCs/>
        </w:rPr>
        <w:t>, however the advice was general in nature and did not apply specifically to</w:t>
      </w:r>
      <w:r w:rsidR="003915FF" w:rsidRPr="009A4DCA">
        <w:rPr>
          <w:bCs/>
          <w:iCs/>
        </w:rPr>
        <w:t xml:space="preserve"> </w:t>
      </w:r>
      <w:r w:rsidR="003915FF" w:rsidRPr="009A4DCA">
        <w:t>RSVpreF</w:t>
      </w:r>
      <w:r w:rsidR="00893717" w:rsidRPr="009A4DCA">
        <w:rPr>
          <w:bCs/>
          <w:iCs/>
        </w:rPr>
        <w:t>.</w:t>
      </w:r>
      <w:r w:rsidR="00AF22A9" w:rsidRPr="009A4DCA">
        <w:rPr>
          <w:bCs/>
          <w:iCs/>
        </w:rPr>
        <w:t xml:space="preserve"> </w:t>
      </w:r>
    </w:p>
    <w:p w14:paraId="35FD77B3" w14:textId="227D8DCD" w:rsidR="00DA50F1" w:rsidRPr="009A4DCA" w:rsidRDefault="00DA50F1" w:rsidP="004E357D">
      <w:pPr>
        <w:pStyle w:val="3-BodyText"/>
        <w:numPr>
          <w:ilvl w:val="1"/>
          <w:numId w:val="1"/>
        </w:numPr>
        <w:rPr>
          <w:iCs/>
        </w:rPr>
      </w:pPr>
      <w:r w:rsidRPr="009A4DCA">
        <w:rPr>
          <w:iCs/>
        </w:rPr>
        <w:t xml:space="preserve">To estimate QALYs, the submission applied the Australian population utility weights from McCaffrey (2016) and Banham (2019) for the Aboriginal and Torres Strait Islander population. The model used a weighted average of utility values for males and females </w:t>
      </w:r>
      <w:r w:rsidRPr="009A4DCA">
        <w:rPr>
          <w:iCs/>
        </w:rPr>
        <w:lastRenderedPageBreak/>
        <w:t xml:space="preserve">using the life tables. </w:t>
      </w:r>
      <w:r w:rsidR="00EE7201" w:rsidRPr="009A4DCA">
        <w:rPr>
          <w:iCs/>
        </w:rPr>
        <w:t>While the evaluation considered that the published sources and utility values were</w:t>
      </w:r>
      <w:r w:rsidRPr="009A4DCA">
        <w:rPr>
          <w:iCs/>
        </w:rPr>
        <w:t xml:space="preserve"> reasonable</w:t>
      </w:r>
      <w:r w:rsidR="00EE7201" w:rsidRPr="009A4DCA">
        <w:rPr>
          <w:iCs/>
        </w:rPr>
        <w:t>, it noted that</w:t>
      </w:r>
      <w:r w:rsidRPr="009A4DCA">
        <w:rPr>
          <w:iCs/>
        </w:rPr>
        <w:t xml:space="preserve"> </w:t>
      </w:r>
      <w:r w:rsidR="00EE7201" w:rsidRPr="009A4DCA">
        <w:rPr>
          <w:iCs/>
        </w:rPr>
        <w:t xml:space="preserve">there </w:t>
      </w:r>
      <w:r w:rsidRPr="009A4DCA">
        <w:rPr>
          <w:iCs/>
        </w:rPr>
        <w:t>are updated utility values using an Australian algorithm for the EUROQoL EQ-5D-5L that have been published</w:t>
      </w:r>
      <w:r w:rsidR="00EE7201" w:rsidRPr="009A4DCA">
        <w:rPr>
          <w:iCs/>
        </w:rPr>
        <w:t xml:space="preserve"> and</w:t>
      </w:r>
      <w:r w:rsidRPr="009A4DCA">
        <w:rPr>
          <w:iCs/>
        </w:rPr>
        <w:t xml:space="preserve"> could have been used for alternative estimates.</w:t>
      </w:r>
      <w:r w:rsidR="00467F57" w:rsidRPr="009A4DCA">
        <w:rPr>
          <w:iCs/>
        </w:rPr>
        <w:t xml:space="preserve"> The PSCR included these </w:t>
      </w:r>
      <w:r w:rsidR="00307141" w:rsidRPr="009A4DCA">
        <w:rPr>
          <w:iCs/>
        </w:rPr>
        <w:t>alternative</w:t>
      </w:r>
      <w:r w:rsidR="00467F57" w:rsidRPr="009A4DCA">
        <w:rPr>
          <w:iCs/>
        </w:rPr>
        <w:t xml:space="preserve"> utility values in an updated version of the model. The PSCR stated that the differences between sources are marginal and results are not sensitive to the estimates used.</w:t>
      </w:r>
      <w:r w:rsidRPr="009A4DCA">
        <w:rPr>
          <w:iCs/>
        </w:rPr>
        <w:t xml:space="preserve"> </w:t>
      </w:r>
    </w:p>
    <w:p w14:paraId="57E5D4D5" w14:textId="77777777" w:rsidR="00DA50F1" w:rsidRPr="009A4DCA" w:rsidRDefault="00DA50F1" w:rsidP="004E357D">
      <w:pPr>
        <w:pStyle w:val="3-BodyText"/>
        <w:numPr>
          <w:ilvl w:val="1"/>
          <w:numId w:val="1"/>
        </w:numPr>
        <w:rPr>
          <w:iCs/>
          <w:color w:val="0066FF"/>
        </w:rPr>
      </w:pPr>
      <w:r w:rsidRPr="009A4DCA">
        <w:rPr>
          <w:iCs/>
        </w:rPr>
        <w:t>Disutility values were applied for RSV events for hospitalisation, emergency and outpatient visits. QALY decrements were deducted from accruals during each model cycle for these events. Values for such decrements (i.e., annual QALY loss due to RSV) were estimated using an area under the curve (AUC) approach with data from Falsey (2021)</w:t>
      </w:r>
      <w:r w:rsidRPr="009A4DCA">
        <w:rPr>
          <w:rStyle w:val="FootnoteReference"/>
          <w:iCs/>
        </w:rPr>
        <w:footnoteReference w:id="15"/>
      </w:r>
      <w:r w:rsidRPr="009A4DCA">
        <w:rPr>
          <w:iCs/>
        </w:rPr>
        <w:t xml:space="preserve"> and Mao (2022)</w:t>
      </w:r>
      <w:r w:rsidRPr="009A4DCA">
        <w:rPr>
          <w:rStyle w:val="FootnoteReference"/>
          <w:iCs/>
        </w:rPr>
        <w:footnoteReference w:id="16"/>
      </w:r>
      <w:r w:rsidRPr="009A4DCA">
        <w:rPr>
          <w:iCs/>
        </w:rPr>
        <w:t>. The application of the disutility for hospitalisation had a small impact on the ICER (3%), that for outpatients was slightly larger (5%), while that for emergency room visits was negligible (0.5%).</w:t>
      </w:r>
    </w:p>
    <w:p w14:paraId="2722E22C" w14:textId="77777777" w:rsidR="00DA50F1" w:rsidRPr="009A4DCA" w:rsidRDefault="00DA50F1" w:rsidP="00DA50F1">
      <w:pPr>
        <w:pStyle w:val="3-BodyText"/>
        <w:numPr>
          <w:ilvl w:val="1"/>
          <w:numId w:val="1"/>
        </w:numPr>
        <w:rPr>
          <w:iCs/>
          <w:color w:val="0066FF"/>
        </w:rPr>
      </w:pPr>
      <w:r w:rsidRPr="009A4DCA">
        <w:rPr>
          <w:iCs/>
        </w:rPr>
        <w:t xml:space="preserve">Direct healthcare costs were derived as follows: </w:t>
      </w:r>
    </w:p>
    <w:p w14:paraId="004B6FF4" w14:textId="6CF72A5F" w:rsidR="00DA50F1" w:rsidRPr="009A4DCA" w:rsidRDefault="00DA50F1" w:rsidP="00935AFB">
      <w:pPr>
        <w:pStyle w:val="ListParagraph"/>
        <w:numPr>
          <w:ilvl w:val="0"/>
          <w:numId w:val="19"/>
        </w:numPr>
        <w:ind w:left="1134" w:hanging="436"/>
        <w:jc w:val="both"/>
        <w:rPr>
          <w:iCs/>
        </w:rPr>
      </w:pPr>
      <w:r w:rsidRPr="009A4DCA">
        <w:rPr>
          <w:iCs/>
        </w:rPr>
        <w:t xml:space="preserve">Hospitalised cases were estimated using an average cost weight for AR-DRG items E62A and E62B from the NHCDC for 2020/21. Cost estimates for Q4 2020 were inflated to Q4 2023 values using the CPI Health Index. </w:t>
      </w:r>
      <w:r w:rsidR="00EE7201" w:rsidRPr="009A4DCA">
        <w:rPr>
          <w:iCs/>
        </w:rPr>
        <w:t>The evaluation considered that t</w:t>
      </w:r>
      <w:r w:rsidRPr="009A4DCA">
        <w:rPr>
          <w:iCs/>
        </w:rPr>
        <w:t>his was reasonable.</w:t>
      </w:r>
    </w:p>
    <w:p w14:paraId="69129F6E" w14:textId="61217486" w:rsidR="00DA50F1" w:rsidRPr="009A4DCA" w:rsidRDefault="00DA50F1" w:rsidP="00935AFB">
      <w:pPr>
        <w:pStyle w:val="ListParagraph"/>
        <w:numPr>
          <w:ilvl w:val="0"/>
          <w:numId w:val="19"/>
        </w:numPr>
        <w:ind w:left="1134" w:hanging="436"/>
        <w:jc w:val="both"/>
        <w:rPr>
          <w:iCs/>
        </w:rPr>
      </w:pPr>
      <w:r w:rsidRPr="009A4DCA">
        <w:rPr>
          <w:iCs/>
        </w:rPr>
        <w:t xml:space="preserve">Emergency department cases were estimated using an average cost weight for </w:t>
      </w:r>
      <w:r w:rsidRPr="009A4DCA">
        <w:rPr>
          <w:rFonts w:eastAsiaTheme="majorEastAsia"/>
          <w:iCs/>
        </w:rPr>
        <w:t>Australian Emergency Care Classification</w:t>
      </w:r>
      <w:r w:rsidRPr="009A4DCA">
        <w:rPr>
          <w:iCs/>
        </w:rPr>
        <w:t xml:space="preserve"> (AECC) items E0450A, E0450B, E0450C from the same collection (not specified in the submission). Cost estimates for Q4 2020 were inflated to Q4 2023 values using the CPI Health Index. </w:t>
      </w:r>
      <w:r w:rsidR="00EE7201" w:rsidRPr="009A4DCA">
        <w:rPr>
          <w:iCs/>
        </w:rPr>
        <w:t xml:space="preserve">The evaluation considered that this </w:t>
      </w:r>
      <w:r w:rsidRPr="009A4DCA">
        <w:rPr>
          <w:iCs/>
        </w:rPr>
        <w:t xml:space="preserve">was reasonable. </w:t>
      </w:r>
    </w:p>
    <w:p w14:paraId="0A7B3D38" w14:textId="51832545" w:rsidR="00DA50F1" w:rsidRPr="009A4DCA" w:rsidRDefault="00DA50F1" w:rsidP="00935AFB">
      <w:pPr>
        <w:pStyle w:val="ListParagraph"/>
        <w:numPr>
          <w:ilvl w:val="0"/>
          <w:numId w:val="19"/>
        </w:numPr>
        <w:ind w:left="1134" w:hanging="436"/>
        <w:jc w:val="both"/>
        <w:rPr>
          <w:iCs/>
        </w:rPr>
      </w:pPr>
      <w:r w:rsidRPr="009A4DCA">
        <w:rPr>
          <w:iCs/>
        </w:rPr>
        <w:t xml:space="preserve">Outpatient management costs assumed an average of 1.5 standard consultations were required using MBS schedule fee for Item 23. Although the application of an outpatient fee 1.5 times the standard amount was not justified in the submission, </w:t>
      </w:r>
      <w:r w:rsidR="00EE7201" w:rsidRPr="009A4DCA">
        <w:rPr>
          <w:iCs/>
        </w:rPr>
        <w:t xml:space="preserve">the evaluation considered that </w:t>
      </w:r>
      <w:r w:rsidRPr="009A4DCA">
        <w:rPr>
          <w:iCs/>
        </w:rPr>
        <w:t xml:space="preserve">it may be reasonable to assume more than one GP visit per medically attended RSV episode. The model was not sensitive to the assumed costs for outpatient visits.   </w:t>
      </w:r>
    </w:p>
    <w:p w14:paraId="4F924CDD" w14:textId="3F97A3EB" w:rsidR="00DA50F1" w:rsidRPr="009A4DCA" w:rsidRDefault="00DA50F1" w:rsidP="00D85248">
      <w:pPr>
        <w:pStyle w:val="3-BodyText"/>
        <w:numPr>
          <w:ilvl w:val="1"/>
          <w:numId w:val="1"/>
        </w:numPr>
        <w:rPr>
          <w:iCs/>
        </w:rPr>
      </w:pPr>
      <w:r w:rsidRPr="009A4DCA">
        <w:rPr>
          <w:iCs/>
        </w:rPr>
        <w:t xml:space="preserve">Healthcare resource items and costs applied in the model included vaccine costs and costs for the management of acute RSV events are provided in </w:t>
      </w:r>
      <w:r w:rsidRPr="009A4DCA">
        <w:rPr>
          <w:iCs/>
        </w:rPr>
        <w:fldChar w:fldCharType="begin"/>
      </w:r>
      <w:r w:rsidRPr="009A4DCA">
        <w:rPr>
          <w:iCs/>
        </w:rPr>
        <w:instrText xml:space="preserve"> REF _Ref175668124 \h </w:instrText>
      </w:r>
      <w:r w:rsidR="00672EF6" w:rsidRPr="009A4DCA">
        <w:rPr>
          <w:iCs/>
        </w:rPr>
        <w:instrText xml:space="preserve"> \* MERGEFORMAT </w:instrText>
      </w:r>
      <w:r w:rsidRPr="009A4DCA">
        <w:rPr>
          <w:iCs/>
        </w:rPr>
      </w:r>
      <w:r w:rsidRPr="009A4DCA">
        <w:rPr>
          <w:iCs/>
        </w:rPr>
        <w:fldChar w:fldCharType="separate"/>
      </w:r>
      <w:r w:rsidR="007B2F50" w:rsidRPr="007B2F50">
        <w:rPr>
          <w:iCs/>
        </w:rPr>
        <w:t>Table 14</w:t>
      </w:r>
      <w:r w:rsidRPr="009A4DCA">
        <w:rPr>
          <w:iCs/>
        </w:rPr>
        <w:fldChar w:fldCharType="end"/>
      </w:r>
      <w:r w:rsidRPr="009A4DCA">
        <w:rPr>
          <w:iCs/>
        </w:rPr>
        <w:t xml:space="preserve">. </w:t>
      </w:r>
    </w:p>
    <w:p w14:paraId="3A9B8D28" w14:textId="7FE4235E" w:rsidR="00DA50F1" w:rsidRPr="009A4DCA" w:rsidRDefault="00DA50F1" w:rsidP="00A927A1">
      <w:pPr>
        <w:pStyle w:val="TableFigureHeading"/>
        <w:keepLines/>
        <w:rPr>
          <w:rStyle w:val="CommentReference"/>
          <w:b/>
          <w:szCs w:val="24"/>
        </w:rPr>
      </w:pPr>
      <w:bookmarkStart w:id="73" w:name="_Ref175668124"/>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14</w:t>
      </w:r>
      <w:r w:rsidR="00491347">
        <w:fldChar w:fldCharType="end"/>
      </w:r>
      <w:bookmarkEnd w:id="73"/>
      <w:r w:rsidRPr="009A4DCA">
        <w:t>:</w:t>
      </w:r>
      <w:r w:rsidRPr="009A4DCA">
        <w:rPr>
          <w:rStyle w:val="CommentReference"/>
          <w:b/>
          <w:szCs w:val="24"/>
        </w:rPr>
        <w:t xml:space="preserve"> Health care resource items and unit costs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008"/>
        <w:gridCol w:w="1787"/>
        <w:gridCol w:w="2240"/>
        <w:gridCol w:w="2195"/>
      </w:tblGrid>
      <w:tr w:rsidR="00DA50F1" w:rsidRPr="009A4DCA" w14:paraId="60C54854" w14:textId="77777777" w:rsidTr="671D06A2">
        <w:trPr>
          <w:tblHeader/>
        </w:trPr>
        <w:tc>
          <w:tcPr>
            <w:tcW w:w="991" w:type="pct"/>
            <w:vMerge w:val="restart"/>
            <w:vAlign w:val="center"/>
          </w:tcPr>
          <w:p w14:paraId="7C830D52" w14:textId="77777777" w:rsidR="00DA50F1" w:rsidRPr="009A4DCA" w:rsidRDefault="00DA50F1" w:rsidP="00A927A1">
            <w:pPr>
              <w:pStyle w:val="In-tableHeading"/>
              <w:rPr>
                <w:lang w:val="en-AU"/>
              </w:rPr>
            </w:pPr>
            <w:r w:rsidRPr="009A4DCA">
              <w:rPr>
                <w:lang w:val="en-AU"/>
              </w:rPr>
              <w:t>Resource item</w:t>
            </w:r>
          </w:p>
        </w:tc>
        <w:tc>
          <w:tcPr>
            <w:tcW w:w="559" w:type="pct"/>
            <w:vMerge w:val="restart"/>
            <w:vAlign w:val="center"/>
          </w:tcPr>
          <w:p w14:paraId="4AA3022B" w14:textId="77777777" w:rsidR="00DA50F1" w:rsidRPr="009A4DCA" w:rsidRDefault="00DA50F1" w:rsidP="00A927A1">
            <w:pPr>
              <w:pStyle w:val="In-tableHeading"/>
              <w:rPr>
                <w:lang w:val="en-AU"/>
              </w:rPr>
            </w:pPr>
            <w:r w:rsidRPr="009A4DCA">
              <w:rPr>
                <w:lang w:val="en-AU"/>
              </w:rPr>
              <w:t>Unit cost</w:t>
            </w:r>
          </w:p>
        </w:tc>
        <w:tc>
          <w:tcPr>
            <w:tcW w:w="991" w:type="pct"/>
            <w:vMerge w:val="restart"/>
            <w:vAlign w:val="center"/>
          </w:tcPr>
          <w:p w14:paraId="6A96FD5E" w14:textId="77777777" w:rsidR="00DA50F1" w:rsidRPr="009A4DCA" w:rsidRDefault="00DA50F1" w:rsidP="00A927A1">
            <w:pPr>
              <w:pStyle w:val="In-tableHeading"/>
              <w:rPr>
                <w:lang w:val="en-AU"/>
              </w:rPr>
            </w:pPr>
            <w:r w:rsidRPr="009A4DCA">
              <w:rPr>
                <w:lang w:val="en-AU"/>
              </w:rPr>
              <w:t>Source of unit cost</w:t>
            </w:r>
          </w:p>
        </w:tc>
        <w:tc>
          <w:tcPr>
            <w:tcW w:w="2459" w:type="pct"/>
            <w:gridSpan w:val="2"/>
            <w:vAlign w:val="center"/>
          </w:tcPr>
          <w:p w14:paraId="3D82DF82" w14:textId="77777777" w:rsidR="00DA50F1" w:rsidRPr="009A4DCA" w:rsidRDefault="00DA50F1" w:rsidP="00A927A1">
            <w:pPr>
              <w:pStyle w:val="In-tableHeading"/>
              <w:rPr>
                <w:lang w:val="en-AU"/>
              </w:rPr>
            </w:pPr>
            <w:r w:rsidRPr="009A4DCA">
              <w:rPr>
                <w:lang w:val="en-AU"/>
              </w:rPr>
              <w:t>Usage in the economic evaluation</w:t>
            </w:r>
          </w:p>
        </w:tc>
      </w:tr>
      <w:tr w:rsidR="00DA50F1" w:rsidRPr="009A4DCA" w14:paraId="4C75D178" w14:textId="77777777" w:rsidTr="671D06A2">
        <w:trPr>
          <w:tblHeader/>
        </w:trPr>
        <w:tc>
          <w:tcPr>
            <w:tcW w:w="991" w:type="pct"/>
            <w:vMerge/>
            <w:vAlign w:val="center"/>
          </w:tcPr>
          <w:p w14:paraId="0B74B102" w14:textId="77777777" w:rsidR="00DA50F1" w:rsidRPr="009A4DCA" w:rsidRDefault="00DA50F1" w:rsidP="00A927A1">
            <w:pPr>
              <w:pStyle w:val="In-tableHeading"/>
              <w:rPr>
                <w:lang w:val="en-AU"/>
              </w:rPr>
            </w:pPr>
          </w:p>
        </w:tc>
        <w:tc>
          <w:tcPr>
            <w:tcW w:w="559" w:type="pct"/>
            <w:vMerge/>
            <w:vAlign w:val="center"/>
          </w:tcPr>
          <w:p w14:paraId="16B7622F" w14:textId="77777777" w:rsidR="00DA50F1" w:rsidRPr="009A4DCA" w:rsidRDefault="00DA50F1" w:rsidP="00A927A1">
            <w:pPr>
              <w:pStyle w:val="In-tableHeading"/>
              <w:rPr>
                <w:lang w:val="en-AU"/>
              </w:rPr>
            </w:pPr>
          </w:p>
        </w:tc>
        <w:tc>
          <w:tcPr>
            <w:tcW w:w="991" w:type="pct"/>
            <w:vMerge/>
            <w:vAlign w:val="center"/>
          </w:tcPr>
          <w:p w14:paraId="143E715B" w14:textId="77777777" w:rsidR="00DA50F1" w:rsidRPr="009A4DCA" w:rsidRDefault="00DA50F1" w:rsidP="00A927A1">
            <w:pPr>
              <w:pStyle w:val="In-tableHeading"/>
              <w:rPr>
                <w:lang w:val="en-AU"/>
              </w:rPr>
            </w:pPr>
          </w:p>
        </w:tc>
        <w:tc>
          <w:tcPr>
            <w:tcW w:w="1242" w:type="pct"/>
            <w:vAlign w:val="center"/>
          </w:tcPr>
          <w:p w14:paraId="3A8F6017" w14:textId="77777777" w:rsidR="00DA50F1" w:rsidRPr="009A4DCA" w:rsidRDefault="00DA50F1" w:rsidP="00A927A1">
            <w:pPr>
              <w:pStyle w:val="In-tableHeading"/>
              <w:rPr>
                <w:lang w:val="en-AU"/>
              </w:rPr>
            </w:pPr>
            <w:r w:rsidRPr="009A4DCA">
              <w:rPr>
                <w:lang w:val="en-AU"/>
              </w:rPr>
              <w:t>Proposed medicine</w:t>
            </w:r>
          </w:p>
        </w:tc>
        <w:tc>
          <w:tcPr>
            <w:tcW w:w="1216" w:type="pct"/>
            <w:vAlign w:val="center"/>
          </w:tcPr>
          <w:p w14:paraId="29661664" w14:textId="77777777" w:rsidR="00DA50F1" w:rsidRPr="009A4DCA" w:rsidRDefault="00DA50F1" w:rsidP="00A927A1">
            <w:pPr>
              <w:pStyle w:val="In-tableHeading"/>
              <w:rPr>
                <w:lang w:val="en-AU"/>
              </w:rPr>
            </w:pPr>
            <w:r w:rsidRPr="009A4DCA">
              <w:rPr>
                <w:lang w:val="en-AU"/>
              </w:rPr>
              <w:t>Comparator</w:t>
            </w:r>
          </w:p>
        </w:tc>
      </w:tr>
      <w:tr w:rsidR="00DA50F1" w:rsidRPr="009A4DCA" w14:paraId="7D29FD91" w14:textId="77777777" w:rsidTr="671D06A2">
        <w:tc>
          <w:tcPr>
            <w:tcW w:w="5000" w:type="pct"/>
            <w:gridSpan w:val="5"/>
            <w:vAlign w:val="center"/>
          </w:tcPr>
          <w:p w14:paraId="5EF1CBF2" w14:textId="77777777" w:rsidR="00DA50F1" w:rsidRPr="009A4DCA" w:rsidRDefault="00DA50F1" w:rsidP="00A927A1">
            <w:pPr>
              <w:pStyle w:val="In-tableHeading"/>
              <w:rPr>
                <w:lang w:val="en-AU"/>
              </w:rPr>
            </w:pPr>
            <w:r w:rsidRPr="009A4DCA">
              <w:rPr>
                <w:lang w:val="en-AU"/>
              </w:rPr>
              <w:t>Medicines</w:t>
            </w:r>
          </w:p>
        </w:tc>
      </w:tr>
      <w:tr w:rsidR="00DA50F1" w:rsidRPr="009A4DCA" w14:paraId="7A0C2ABE" w14:textId="77777777" w:rsidTr="671D06A2">
        <w:tc>
          <w:tcPr>
            <w:tcW w:w="991" w:type="pct"/>
            <w:vAlign w:val="center"/>
          </w:tcPr>
          <w:p w14:paraId="4EF1B124" w14:textId="77777777" w:rsidR="00DA50F1" w:rsidRPr="009A4DCA" w:rsidRDefault="00DA50F1" w:rsidP="00E76F4F">
            <w:pPr>
              <w:pStyle w:val="TableText0"/>
            </w:pPr>
            <w:r w:rsidRPr="009A4DCA">
              <w:t>RSVpreF</w:t>
            </w:r>
          </w:p>
        </w:tc>
        <w:tc>
          <w:tcPr>
            <w:tcW w:w="559" w:type="pct"/>
            <w:vAlign w:val="center"/>
          </w:tcPr>
          <w:p w14:paraId="29258985" w14:textId="6A21E636" w:rsidR="00DA50F1" w:rsidRPr="00C57B06" w:rsidRDefault="00DA50F1" w:rsidP="00E76F4F">
            <w:pPr>
              <w:pStyle w:val="TableText0"/>
              <w:rPr>
                <w:highlight w:val="darkGray"/>
              </w:rPr>
            </w:pPr>
            <w:r>
              <w:t>$</w:t>
            </w:r>
            <w:r w:rsidR="00E44A34" w:rsidRPr="00E44A34">
              <w:rPr>
                <w:color w:val="000000"/>
                <w:spacing w:val="54"/>
                <w:shd w:val="solid" w:color="000000" w:fill="000000"/>
                <w:fitText w:val="333" w:id="-762047742"/>
                <w14:textFill>
                  <w14:solidFill>
                    <w14:srgbClr w14:val="000000">
                      <w14:alpha w14:val="100000"/>
                    </w14:srgbClr>
                  </w14:solidFill>
                </w14:textFill>
              </w:rPr>
              <w:t>|||</w:t>
            </w:r>
            <w:r w:rsidR="00E44A34" w:rsidRPr="00E44A34">
              <w:rPr>
                <w:color w:val="000000"/>
                <w:spacing w:val="1"/>
                <w:shd w:val="solid" w:color="000000" w:fill="000000"/>
                <w:fitText w:val="333" w:id="-762047742"/>
                <w14:textFill>
                  <w14:solidFill>
                    <w14:srgbClr w14:val="000000">
                      <w14:alpha w14:val="100000"/>
                    </w14:srgbClr>
                  </w14:solidFill>
                </w14:textFill>
              </w:rPr>
              <w:t>|</w:t>
            </w:r>
            <w:r>
              <w:t xml:space="preserve"> </w:t>
            </w:r>
          </w:p>
        </w:tc>
        <w:tc>
          <w:tcPr>
            <w:tcW w:w="991" w:type="pct"/>
            <w:vAlign w:val="center"/>
          </w:tcPr>
          <w:p w14:paraId="20198C2F" w14:textId="77777777" w:rsidR="00DA50F1" w:rsidRPr="009A4DCA" w:rsidRDefault="00DA50F1" w:rsidP="00E76F4F">
            <w:pPr>
              <w:pStyle w:val="TableText0"/>
            </w:pPr>
            <w:r w:rsidRPr="009A4DCA">
              <w:t>Proposed NIP price, Pre-filled syringe 0.5 mL</w:t>
            </w:r>
          </w:p>
        </w:tc>
        <w:tc>
          <w:tcPr>
            <w:tcW w:w="1242" w:type="pct"/>
            <w:vAlign w:val="center"/>
          </w:tcPr>
          <w:p w14:paraId="0F23AAE3" w14:textId="77777777" w:rsidR="00DA50F1" w:rsidRPr="009A4DCA" w:rsidRDefault="00DA50F1" w:rsidP="00E76F4F">
            <w:pPr>
              <w:pStyle w:val="TableText0"/>
            </w:pPr>
            <w:r w:rsidRPr="009A4DCA">
              <w:t xml:space="preserve">One-off cost for cohort entering the model </w:t>
            </w:r>
          </w:p>
        </w:tc>
        <w:tc>
          <w:tcPr>
            <w:tcW w:w="1216" w:type="pct"/>
            <w:vAlign w:val="center"/>
          </w:tcPr>
          <w:p w14:paraId="665F88B3" w14:textId="77777777" w:rsidR="00DA50F1" w:rsidRPr="009A4DCA" w:rsidRDefault="00DA50F1" w:rsidP="00E76F4F">
            <w:pPr>
              <w:pStyle w:val="TableText0"/>
            </w:pPr>
            <w:r w:rsidRPr="009A4DCA">
              <w:t>No vaccination</w:t>
            </w:r>
          </w:p>
        </w:tc>
      </w:tr>
      <w:tr w:rsidR="00DA50F1" w:rsidRPr="009A4DCA" w14:paraId="44AB9D67" w14:textId="77777777" w:rsidTr="671D06A2">
        <w:tc>
          <w:tcPr>
            <w:tcW w:w="5000" w:type="pct"/>
            <w:gridSpan w:val="5"/>
            <w:vAlign w:val="center"/>
          </w:tcPr>
          <w:p w14:paraId="3FD0B48F" w14:textId="77777777" w:rsidR="00DA50F1" w:rsidRPr="009A4DCA" w:rsidRDefault="00DA50F1" w:rsidP="00A927A1">
            <w:pPr>
              <w:pStyle w:val="In-tableHeading"/>
              <w:rPr>
                <w:lang w:val="en-AU"/>
              </w:rPr>
            </w:pPr>
            <w:r w:rsidRPr="009A4DCA">
              <w:rPr>
                <w:lang w:val="en-AU"/>
              </w:rPr>
              <w:t>Medical services</w:t>
            </w:r>
          </w:p>
        </w:tc>
      </w:tr>
      <w:tr w:rsidR="00DA50F1" w:rsidRPr="009A4DCA" w14:paraId="448CD151" w14:textId="77777777" w:rsidTr="671D06A2">
        <w:tc>
          <w:tcPr>
            <w:tcW w:w="991" w:type="pct"/>
            <w:vAlign w:val="center"/>
          </w:tcPr>
          <w:p w14:paraId="06C24EE4" w14:textId="77777777" w:rsidR="00DA50F1" w:rsidRPr="009A4DCA" w:rsidRDefault="00DA50F1" w:rsidP="00E76F4F">
            <w:pPr>
              <w:pStyle w:val="TableText0"/>
            </w:pPr>
            <w:r w:rsidRPr="009A4DCA">
              <w:t>Administration cost</w:t>
            </w:r>
          </w:p>
        </w:tc>
        <w:tc>
          <w:tcPr>
            <w:tcW w:w="559" w:type="pct"/>
            <w:vAlign w:val="center"/>
          </w:tcPr>
          <w:p w14:paraId="67592577" w14:textId="77777777" w:rsidR="00DA50F1" w:rsidRPr="009A4DCA" w:rsidRDefault="00DA50F1" w:rsidP="00E76F4F">
            <w:pPr>
              <w:pStyle w:val="TableText0"/>
            </w:pPr>
            <w:r w:rsidRPr="00935AFB">
              <w:t>$7</w:t>
            </w:r>
            <w:r>
              <w:t xml:space="preserve"> </w:t>
            </w:r>
          </w:p>
        </w:tc>
        <w:tc>
          <w:tcPr>
            <w:tcW w:w="991" w:type="pct"/>
            <w:vAlign w:val="center"/>
          </w:tcPr>
          <w:p w14:paraId="61FF3F9D" w14:textId="77777777" w:rsidR="00DA50F1" w:rsidRPr="009A4DCA" w:rsidRDefault="00DA50F1" w:rsidP="00E76F4F">
            <w:pPr>
              <w:pStyle w:val="TableText0"/>
            </w:pPr>
            <w:r w:rsidRPr="009A4DCA">
              <w:t>Submission assumption</w:t>
            </w:r>
          </w:p>
        </w:tc>
        <w:tc>
          <w:tcPr>
            <w:tcW w:w="1242" w:type="pct"/>
            <w:vAlign w:val="center"/>
          </w:tcPr>
          <w:p w14:paraId="18384DC4" w14:textId="77777777" w:rsidR="00DA50F1" w:rsidRPr="009A4DCA" w:rsidRDefault="00DA50F1" w:rsidP="00E76F4F">
            <w:pPr>
              <w:pStyle w:val="TableText0"/>
            </w:pPr>
            <w:r w:rsidRPr="009A4DCA">
              <w:t>One-off cost for cohort entering the model. Added to cost of RSVpreF</w:t>
            </w:r>
          </w:p>
        </w:tc>
        <w:tc>
          <w:tcPr>
            <w:tcW w:w="1216" w:type="pct"/>
            <w:vAlign w:val="center"/>
          </w:tcPr>
          <w:p w14:paraId="430C28FA" w14:textId="77777777" w:rsidR="00DA50F1" w:rsidRPr="009A4DCA" w:rsidRDefault="00DA50F1" w:rsidP="00E76F4F">
            <w:pPr>
              <w:pStyle w:val="TableText0"/>
            </w:pPr>
            <w:r w:rsidRPr="009A4DCA">
              <w:t>NA</w:t>
            </w:r>
          </w:p>
        </w:tc>
      </w:tr>
      <w:tr w:rsidR="00DA50F1" w:rsidRPr="009A4DCA" w14:paraId="6B7BD18E" w14:textId="77777777" w:rsidTr="671D06A2">
        <w:tc>
          <w:tcPr>
            <w:tcW w:w="991" w:type="pct"/>
            <w:vAlign w:val="center"/>
          </w:tcPr>
          <w:p w14:paraId="6946E9BD" w14:textId="77777777" w:rsidR="00DA50F1" w:rsidRPr="009A4DCA" w:rsidRDefault="00DA50F1" w:rsidP="00E76F4F">
            <w:pPr>
              <w:pStyle w:val="TableText0"/>
            </w:pPr>
            <w:r w:rsidRPr="009A4DCA">
              <w:t>GP visit</w:t>
            </w:r>
          </w:p>
        </w:tc>
        <w:tc>
          <w:tcPr>
            <w:tcW w:w="559" w:type="pct"/>
            <w:vAlign w:val="center"/>
          </w:tcPr>
          <w:p w14:paraId="6081E547" w14:textId="77777777" w:rsidR="00DA50F1" w:rsidRPr="009A4DCA" w:rsidRDefault="00DA50F1" w:rsidP="00E76F4F">
            <w:pPr>
              <w:pStyle w:val="TableText0"/>
            </w:pPr>
            <w:r w:rsidRPr="009A4DCA">
              <w:t>$62.10</w:t>
            </w:r>
          </w:p>
        </w:tc>
        <w:tc>
          <w:tcPr>
            <w:tcW w:w="991" w:type="pct"/>
            <w:vAlign w:val="center"/>
          </w:tcPr>
          <w:p w14:paraId="7245CB07" w14:textId="77777777" w:rsidR="00DA50F1" w:rsidRPr="009A4DCA" w:rsidRDefault="00DA50F1" w:rsidP="00E76F4F">
            <w:pPr>
              <w:pStyle w:val="TableText0"/>
            </w:pPr>
            <w:r w:rsidRPr="009A4DCA">
              <w:t xml:space="preserve">MBS Item 23 </w:t>
            </w:r>
            <w:r w:rsidRPr="009A4DCA">
              <w:br/>
              <w:t>(Fee: 100%: $42.85</w:t>
            </w:r>
            <w:r w:rsidRPr="009A4DCA">
              <w:rPr>
                <w:vertAlign w:val="superscript"/>
              </w:rPr>
              <w:t>a</w:t>
            </w:r>
            <w:r w:rsidRPr="009A4DCA">
              <w:t>)</w:t>
            </w:r>
          </w:p>
        </w:tc>
        <w:tc>
          <w:tcPr>
            <w:tcW w:w="2459" w:type="pct"/>
            <w:gridSpan w:val="2"/>
            <w:vAlign w:val="center"/>
          </w:tcPr>
          <w:p w14:paraId="7A8ABD81" w14:textId="77777777" w:rsidR="00DA50F1" w:rsidRPr="009A4DCA" w:rsidRDefault="00DA50F1" w:rsidP="00E76F4F">
            <w:pPr>
              <w:pStyle w:val="TableText0"/>
            </w:pPr>
            <w:r w:rsidRPr="009A4DCA">
              <w:t xml:space="preserve">Applied to outpatient visits each cycle.  </w:t>
            </w:r>
          </w:p>
          <w:p w14:paraId="379508B5" w14:textId="77777777" w:rsidR="00DA50F1" w:rsidRPr="009A4DCA" w:rsidRDefault="00DA50F1" w:rsidP="00E76F4F">
            <w:pPr>
              <w:pStyle w:val="TableText0"/>
            </w:pPr>
            <w:r w:rsidRPr="009A4DCA">
              <w:t>Assumed cost is 1.5 times MBS fee (=41.4</w:t>
            </w:r>
            <w:r w:rsidRPr="009A4DCA">
              <w:rPr>
                <w:vertAlign w:val="superscript"/>
              </w:rPr>
              <w:t>a</w:t>
            </w:r>
            <w:r w:rsidRPr="009A4DCA">
              <w:t>*1.5=$62.10)</w:t>
            </w:r>
          </w:p>
        </w:tc>
      </w:tr>
      <w:tr w:rsidR="00DA50F1" w:rsidRPr="009A4DCA" w14:paraId="4A9D0955" w14:textId="77777777" w:rsidTr="671D06A2">
        <w:tc>
          <w:tcPr>
            <w:tcW w:w="991" w:type="pct"/>
            <w:vAlign w:val="center"/>
          </w:tcPr>
          <w:p w14:paraId="08233192" w14:textId="77777777" w:rsidR="00DA50F1" w:rsidRPr="009A4DCA" w:rsidRDefault="00DA50F1" w:rsidP="00E76F4F">
            <w:pPr>
              <w:pStyle w:val="TableText0"/>
            </w:pPr>
            <w:r w:rsidRPr="009A4DCA">
              <w:t>Emergency visit</w:t>
            </w:r>
          </w:p>
        </w:tc>
        <w:tc>
          <w:tcPr>
            <w:tcW w:w="559" w:type="pct"/>
            <w:vAlign w:val="center"/>
          </w:tcPr>
          <w:p w14:paraId="4931609E" w14:textId="77777777" w:rsidR="00DA50F1" w:rsidRPr="009A4DCA" w:rsidRDefault="00DA50F1" w:rsidP="00E76F4F">
            <w:pPr>
              <w:pStyle w:val="TableText0"/>
            </w:pPr>
            <w:r w:rsidRPr="009A4DCA">
              <w:t>$1,299.57</w:t>
            </w:r>
          </w:p>
        </w:tc>
        <w:tc>
          <w:tcPr>
            <w:tcW w:w="991" w:type="pct"/>
            <w:vAlign w:val="center"/>
          </w:tcPr>
          <w:p w14:paraId="0654582E" w14:textId="77777777" w:rsidR="00DA50F1" w:rsidRPr="009A4DCA" w:rsidRDefault="00DA50F1" w:rsidP="00E76F4F">
            <w:pPr>
              <w:pStyle w:val="TableText0"/>
            </w:pPr>
            <w:r w:rsidRPr="009A4DCA">
              <w:t>AECC items E0450A, E0450B, E0450C</w:t>
            </w:r>
          </w:p>
        </w:tc>
        <w:tc>
          <w:tcPr>
            <w:tcW w:w="2459" w:type="pct"/>
            <w:gridSpan w:val="2"/>
            <w:vAlign w:val="center"/>
          </w:tcPr>
          <w:p w14:paraId="6CC79AD3" w14:textId="77777777" w:rsidR="00DA50F1" w:rsidRPr="009A4DCA" w:rsidRDefault="00DA50F1" w:rsidP="00E76F4F">
            <w:pPr>
              <w:pStyle w:val="TableText0"/>
            </w:pPr>
            <w:r w:rsidRPr="009A4DCA">
              <w:t xml:space="preserve">Applied to emergency visits each cycle.  </w:t>
            </w:r>
          </w:p>
          <w:p w14:paraId="408B80BF" w14:textId="77777777" w:rsidR="00DA50F1" w:rsidRPr="009A4DCA" w:rsidRDefault="00DA50F1" w:rsidP="00E76F4F">
            <w:pPr>
              <w:pStyle w:val="TableText0"/>
            </w:pPr>
            <w:r w:rsidRPr="009A4DCA">
              <w:t xml:space="preserve">Average cost weight for AECC items. </w:t>
            </w:r>
          </w:p>
          <w:p w14:paraId="42D6EF09" w14:textId="77777777" w:rsidR="00DA50F1" w:rsidRPr="009A4DCA" w:rsidRDefault="00DA50F1" w:rsidP="00E76F4F">
            <w:pPr>
              <w:pStyle w:val="TableText0"/>
            </w:pPr>
            <w:r w:rsidRPr="009A4DCA">
              <w:t xml:space="preserve">Cost inflated $1,153 to $1,299.57.  </w:t>
            </w:r>
          </w:p>
        </w:tc>
      </w:tr>
      <w:tr w:rsidR="00DA50F1" w:rsidRPr="009A4DCA" w14:paraId="16A2AD9A" w14:textId="77777777" w:rsidTr="671D06A2">
        <w:tc>
          <w:tcPr>
            <w:tcW w:w="991" w:type="pct"/>
            <w:vAlign w:val="center"/>
          </w:tcPr>
          <w:p w14:paraId="057BCC49" w14:textId="77777777" w:rsidR="00DA50F1" w:rsidRPr="009A4DCA" w:rsidRDefault="00DA50F1" w:rsidP="00E76F4F">
            <w:pPr>
              <w:pStyle w:val="TableText0"/>
            </w:pPr>
            <w:r w:rsidRPr="009A4DCA">
              <w:t>Hospital admission</w:t>
            </w:r>
          </w:p>
        </w:tc>
        <w:tc>
          <w:tcPr>
            <w:tcW w:w="559" w:type="pct"/>
            <w:vAlign w:val="center"/>
          </w:tcPr>
          <w:p w14:paraId="7958CE27" w14:textId="77777777" w:rsidR="00DA50F1" w:rsidRPr="009A4DCA" w:rsidRDefault="00DA50F1" w:rsidP="00E76F4F">
            <w:pPr>
              <w:pStyle w:val="TableText0"/>
            </w:pPr>
            <w:r w:rsidRPr="009A4DCA">
              <w:t>$8,542,43</w:t>
            </w:r>
          </w:p>
        </w:tc>
        <w:tc>
          <w:tcPr>
            <w:tcW w:w="991" w:type="pct"/>
            <w:vAlign w:val="center"/>
          </w:tcPr>
          <w:p w14:paraId="5EE9B2DD" w14:textId="77777777" w:rsidR="00DA50F1" w:rsidRPr="009A4DCA" w:rsidRDefault="00DA50F1" w:rsidP="00E76F4F">
            <w:pPr>
              <w:pStyle w:val="TableText0"/>
            </w:pPr>
            <w:r w:rsidRPr="009A4DCA">
              <w:t>AR-DRG E62A and E62B, NHCDC 2020/21</w:t>
            </w:r>
          </w:p>
        </w:tc>
        <w:tc>
          <w:tcPr>
            <w:tcW w:w="2459" w:type="pct"/>
            <w:gridSpan w:val="2"/>
            <w:vAlign w:val="center"/>
          </w:tcPr>
          <w:p w14:paraId="467FBC80" w14:textId="1DB12805" w:rsidR="00DA50F1" w:rsidRPr="009A4DCA" w:rsidRDefault="00DA50F1" w:rsidP="00E76F4F">
            <w:pPr>
              <w:pStyle w:val="TableText0"/>
            </w:pPr>
            <w:r w:rsidRPr="009A4DCA">
              <w:t xml:space="preserve">Applied to hospital </w:t>
            </w:r>
            <w:r w:rsidR="00FD7C2B" w:rsidRPr="009A4DCA">
              <w:t xml:space="preserve">admission </w:t>
            </w:r>
            <w:r w:rsidRPr="009A4DCA">
              <w:t xml:space="preserve">each cycle.  </w:t>
            </w:r>
          </w:p>
          <w:p w14:paraId="2D6F49C7" w14:textId="77777777" w:rsidR="00DA50F1" w:rsidRPr="009A4DCA" w:rsidRDefault="00DA50F1" w:rsidP="00E76F4F">
            <w:pPr>
              <w:pStyle w:val="TableText0"/>
            </w:pPr>
            <w:r w:rsidRPr="009A4DCA">
              <w:t>Average cost weight for AR-DRG items.</w:t>
            </w:r>
          </w:p>
          <w:p w14:paraId="216E1184" w14:textId="77777777" w:rsidR="00DA50F1" w:rsidRPr="009A4DCA" w:rsidRDefault="00DA50F1" w:rsidP="00E76F4F">
            <w:pPr>
              <w:pStyle w:val="TableText0"/>
            </w:pPr>
            <w:r w:rsidRPr="009A4DCA">
              <w:t xml:space="preserve">Cost inflated to $7,579 to $8,542.43.   </w:t>
            </w:r>
          </w:p>
        </w:tc>
      </w:tr>
    </w:tbl>
    <w:p w14:paraId="79EAACB5" w14:textId="679CB368" w:rsidR="00DA50F1" w:rsidRPr="009A4DCA" w:rsidRDefault="00DA50F1" w:rsidP="00A927A1">
      <w:pPr>
        <w:pStyle w:val="FooterTableFigure"/>
        <w:keepNext/>
        <w:keepLines/>
      </w:pPr>
      <w:r w:rsidRPr="009A4DCA">
        <w:t xml:space="preserve">Source: </w:t>
      </w:r>
      <w:r w:rsidRPr="009A4DCA">
        <w:rPr>
          <w:iCs/>
        </w:rPr>
        <w:t>complied during the evaluation using</w:t>
      </w:r>
      <w:r w:rsidRPr="009A4DCA">
        <w:t xml:space="preserve"> Table 3.6.1 p115 of the submission;   </w:t>
      </w:r>
    </w:p>
    <w:p w14:paraId="3AF08BB3" w14:textId="3192A793" w:rsidR="00DA50F1" w:rsidRPr="009A4DCA" w:rsidRDefault="00DA50F1" w:rsidP="00A927A1">
      <w:pPr>
        <w:pStyle w:val="FooterTableFigure"/>
        <w:keepNext/>
        <w:keepLines/>
      </w:pPr>
      <w:r w:rsidRPr="009A4DCA">
        <w:rPr>
          <w:rFonts w:eastAsiaTheme="majorEastAsia"/>
        </w:rPr>
        <w:t>AECC = Australian Emergency Care Classification; AR-DRG = Australian Refined Diagnosis Related Groups;</w:t>
      </w:r>
      <w:r w:rsidR="00091D88" w:rsidRPr="009A4DCA">
        <w:rPr>
          <w:rFonts w:eastAsiaTheme="majorEastAsia"/>
        </w:rPr>
        <w:t xml:space="preserve"> GP</w:t>
      </w:r>
      <w:r w:rsidR="00481415" w:rsidRPr="009A4DCA">
        <w:rPr>
          <w:rFonts w:eastAsiaTheme="majorEastAsia"/>
        </w:rPr>
        <w:t xml:space="preserve"> </w:t>
      </w:r>
      <w:r w:rsidR="00091D88" w:rsidRPr="009A4DCA">
        <w:rPr>
          <w:rFonts w:eastAsiaTheme="majorEastAsia"/>
        </w:rPr>
        <w:t>=</w:t>
      </w:r>
      <w:r w:rsidR="00481415" w:rsidRPr="009A4DCA">
        <w:rPr>
          <w:rFonts w:eastAsiaTheme="majorEastAsia"/>
        </w:rPr>
        <w:t xml:space="preserve"> </w:t>
      </w:r>
      <w:r w:rsidR="00091D88" w:rsidRPr="009A4DCA">
        <w:rPr>
          <w:rFonts w:eastAsiaTheme="majorEastAsia"/>
        </w:rPr>
        <w:t xml:space="preserve">general practitioner; </w:t>
      </w:r>
      <w:r w:rsidR="005548B7" w:rsidRPr="009A4DCA">
        <w:rPr>
          <w:rFonts w:eastAsiaTheme="majorEastAsia"/>
        </w:rPr>
        <w:t>MBS</w:t>
      </w:r>
      <w:r w:rsidR="00481415" w:rsidRPr="009A4DCA">
        <w:rPr>
          <w:rFonts w:eastAsiaTheme="majorEastAsia"/>
        </w:rPr>
        <w:t xml:space="preserve"> </w:t>
      </w:r>
      <w:r w:rsidR="005548B7" w:rsidRPr="009A4DCA">
        <w:rPr>
          <w:rFonts w:eastAsiaTheme="majorEastAsia"/>
        </w:rPr>
        <w:t>=</w:t>
      </w:r>
      <w:r w:rsidR="00481415" w:rsidRPr="009A4DCA">
        <w:rPr>
          <w:rFonts w:eastAsiaTheme="majorEastAsia"/>
        </w:rPr>
        <w:t xml:space="preserve"> </w:t>
      </w:r>
      <w:r w:rsidR="009D0157" w:rsidRPr="009A4DCA">
        <w:rPr>
          <w:rFonts w:eastAsiaTheme="majorEastAsia"/>
        </w:rPr>
        <w:t>M</w:t>
      </w:r>
      <w:r w:rsidR="005548B7" w:rsidRPr="009A4DCA">
        <w:rPr>
          <w:rFonts w:eastAsiaTheme="majorEastAsia"/>
        </w:rPr>
        <w:t>edicare</w:t>
      </w:r>
      <w:r w:rsidR="009D0157" w:rsidRPr="009A4DCA">
        <w:rPr>
          <w:rFonts w:eastAsiaTheme="majorEastAsia"/>
        </w:rPr>
        <w:t xml:space="preserve"> Benefits Schedule;</w:t>
      </w:r>
      <w:r w:rsidRPr="009A4DCA">
        <w:rPr>
          <w:rFonts w:eastAsiaTheme="majorEastAsia"/>
        </w:rPr>
        <w:t xml:space="preserve"> </w:t>
      </w:r>
      <w:r w:rsidRPr="009A4DCA">
        <w:t>mL</w:t>
      </w:r>
      <w:r w:rsidR="00481415" w:rsidRPr="009A4DCA">
        <w:t xml:space="preserve"> </w:t>
      </w:r>
      <w:r w:rsidRPr="009A4DCA">
        <w:t>=</w:t>
      </w:r>
      <w:r w:rsidR="00481415" w:rsidRPr="009A4DCA">
        <w:t xml:space="preserve"> </w:t>
      </w:r>
      <w:r w:rsidRPr="009A4DCA">
        <w:t xml:space="preserve">millilitres; </w:t>
      </w:r>
      <w:r w:rsidR="00A80FFF" w:rsidRPr="009A4DCA">
        <w:t xml:space="preserve">NA=not applicable; </w:t>
      </w:r>
      <w:r w:rsidRPr="009A4DCA">
        <w:t>NIP</w:t>
      </w:r>
      <w:r w:rsidR="00481415" w:rsidRPr="009A4DCA">
        <w:t xml:space="preserve"> </w:t>
      </w:r>
      <w:r w:rsidRPr="009A4DCA">
        <w:t>=</w:t>
      </w:r>
      <w:r w:rsidR="00481415" w:rsidRPr="009A4DCA">
        <w:t xml:space="preserve"> </w:t>
      </w:r>
      <w:r w:rsidRPr="009A4DCA">
        <w:t>National Immunisation Program; NHCDC</w:t>
      </w:r>
      <w:r w:rsidR="00481415" w:rsidRPr="009A4DCA">
        <w:t xml:space="preserve"> </w:t>
      </w:r>
      <w:r w:rsidRPr="009A4DCA">
        <w:t>=</w:t>
      </w:r>
      <w:r w:rsidR="00481415" w:rsidRPr="009A4DCA">
        <w:t xml:space="preserve"> </w:t>
      </w:r>
      <w:r w:rsidRPr="009A4DCA">
        <w:t>National Hospital Cost Data Collection</w:t>
      </w:r>
      <w:r w:rsidR="00481415" w:rsidRPr="009A4DCA">
        <w:t>; RSVpreF = recombinant respiratory syncytial virus prefusion F protein vaccine</w:t>
      </w:r>
      <w:r w:rsidR="00482E62" w:rsidRPr="009A4DCA">
        <w:t>.</w:t>
      </w:r>
      <w:r w:rsidRPr="009A4DCA">
        <w:t xml:space="preserve">  </w:t>
      </w:r>
    </w:p>
    <w:p w14:paraId="3961D0FA" w14:textId="76ADF982" w:rsidR="00EF32DB" w:rsidRPr="00DE6D4C" w:rsidRDefault="00DA50F1" w:rsidP="00935AFB">
      <w:pPr>
        <w:pStyle w:val="FooterTableFigure"/>
        <w:keepLines/>
      </w:pPr>
      <w:r w:rsidRPr="009A4DCA">
        <w:t>a Value has changed to $42.85 ($42.85*1.5=$64.28</w:t>
      </w:r>
      <w:r w:rsidRPr="009A4DCA">
        <w:rPr>
          <w:vertAlign w:val="superscript"/>
        </w:rPr>
        <w:t>a</w:t>
      </w:r>
      <w:r w:rsidRPr="009A4DCA">
        <w:t xml:space="preserve">); however this was not updated during the evaluation. </w:t>
      </w:r>
    </w:p>
    <w:p w14:paraId="0E83872B" w14:textId="3226F3E8" w:rsidR="00DA50F1" w:rsidRPr="009A4DCA" w:rsidRDefault="00DA50F1" w:rsidP="00DA50F1">
      <w:pPr>
        <w:pStyle w:val="3-BodyText"/>
        <w:numPr>
          <w:ilvl w:val="1"/>
          <w:numId w:val="1"/>
        </w:numPr>
      </w:pPr>
      <w:r w:rsidRPr="009A4DCA">
        <w:t xml:space="preserve">Key drivers of the model are presented in </w:t>
      </w:r>
      <w:r w:rsidRPr="009A4DCA">
        <w:fldChar w:fldCharType="begin"/>
      </w:r>
      <w:r w:rsidRPr="009A4DCA">
        <w:instrText xml:space="preserve"> REF _Ref104805122 \h  \* MERGEFORMAT </w:instrText>
      </w:r>
      <w:r w:rsidRPr="009A4DCA">
        <w:fldChar w:fldCharType="separate"/>
      </w:r>
      <w:r w:rsidR="007B2F50" w:rsidRPr="009A4DCA">
        <w:t xml:space="preserve">Table </w:t>
      </w:r>
      <w:r w:rsidR="007B2F50">
        <w:t>15</w:t>
      </w:r>
      <w:r w:rsidRPr="009A4DCA">
        <w:fldChar w:fldCharType="end"/>
      </w:r>
      <w:r w:rsidRPr="009A4DCA">
        <w:t xml:space="preserve">. </w:t>
      </w:r>
    </w:p>
    <w:p w14:paraId="66E54620" w14:textId="061D5D99" w:rsidR="00DA50F1" w:rsidRPr="009A4DCA" w:rsidRDefault="00DA50F1" w:rsidP="006A235A">
      <w:pPr>
        <w:pStyle w:val="Caption"/>
        <w:jc w:val="left"/>
        <w:rPr>
          <w:rStyle w:val="CommentReference"/>
          <w:b/>
          <w:szCs w:val="24"/>
        </w:rPr>
      </w:pPr>
      <w:bookmarkStart w:id="74" w:name="_Ref104805122"/>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15</w:t>
      </w:r>
      <w:r w:rsidR="00491347">
        <w:fldChar w:fldCharType="end"/>
      </w:r>
      <w:bookmarkEnd w:id="74"/>
      <w:r w:rsidRPr="009A4DCA">
        <w:t>:</w:t>
      </w:r>
      <w:r w:rsidRPr="009A4DCA">
        <w:rPr>
          <w:rStyle w:val="CommentReference"/>
          <w:b/>
          <w:szCs w:val="24"/>
        </w:rPr>
        <w:t xml:space="preserve"> Key drivers of the model</w:t>
      </w:r>
      <w:r w:rsidR="006A235A" w:rsidRPr="009A4DCA">
        <w:rPr>
          <w:rStyle w:val="CommentReference"/>
          <w:b/>
          <w:szCs w:val="24"/>
        </w:rPr>
        <w:t xml:space="preserve"> </w:t>
      </w:r>
      <w:r w:rsidR="001D43A9" w:rsidRPr="009A4DCA">
        <w:rPr>
          <w:rStyle w:val="CommentReference"/>
          <w:b/>
          <w:szCs w:val="24"/>
        </w:rPr>
        <w:t>based on the</w:t>
      </w:r>
      <w:r w:rsidR="006A235A" w:rsidRPr="009A4DCA">
        <w:rPr>
          <w:rStyle w:val="CommentReference"/>
          <w:b/>
          <w:szCs w:val="24"/>
        </w:rPr>
        <w:t xml:space="preserve"> population </w:t>
      </w:r>
      <w:r w:rsidR="006A235A" w:rsidRPr="009A4DCA">
        <w:rPr>
          <w:color w:val="000000"/>
          <w:szCs w:val="20"/>
        </w:rPr>
        <w:t>aged ≥75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1558"/>
        <w:gridCol w:w="6045"/>
      </w:tblGrid>
      <w:tr w:rsidR="00DA50F1" w:rsidRPr="009A4DCA" w14:paraId="1E4AAEA5" w14:textId="77777777" w:rsidTr="006F5F86">
        <w:trPr>
          <w:tblHeader/>
        </w:trPr>
        <w:tc>
          <w:tcPr>
            <w:tcW w:w="784" w:type="pct"/>
            <w:shd w:val="clear" w:color="auto" w:fill="auto"/>
            <w:vAlign w:val="center"/>
          </w:tcPr>
          <w:p w14:paraId="04C01ABC" w14:textId="77777777" w:rsidR="00DA50F1" w:rsidRPr="009A4DCA" w:rsidRDefault="00DA50F1" w:rsidP="001B654C">
            <w:pPr>
              <w:pStyle w:val="In-tableHeading"/>
              <w:rPr>
                <w:lang w:val="en-AU"/>
              </w:rPr>
            </w:pPr>
            <w:r w:rsidRPr="009A4DCA">
              <w:rPr>
                <w:lang w:val="en-AU"/>
              </w:rPr>
              <w:t>Description</w:t>
            </w:r>
          </w:p>
        </w:tc>
        <w:tc>
          <w:tcPr>
            <w:tcW w:w="864" w:type="pct"/>
            <w:shd w:val="clear" w:color="auto" w:fill="auto"/>
            <w:vAlign w:val="center"/>
          </w:tcPr>
          <w:p w14:paraId="58CE615B" w14:textId="77777777" w:rsidR="00DA50F1" w:rsidRPr="009A4DCA" w:rsidRDefault="00DA50F1" w:rsidP="001B654C">
            <w:pPr>
              <w:pStyle w:val="In-tableHeading"/>
              <w:rPr>
                <w:lang w:val="en-AU"/>
              </w:rPr>
            </w:pPr>
            <w:r w:rsidRPr="009A4DCA">
              <w:rPr>
                <w:lang w:val="en-AU"/>
              </w:rPr>
              <w:t>Method/Value</w:t>
            </w:r>
          </w:p>
        </w:tc>
        <w:tc>
          <w:tcPr>
            <w:tcW w:w="3352" w:type="pct"/>
            <w:shd w:val="clear" w:color="auto" w:fill="auto"/>
            <w:vAlign w:val="center"/>
          </w:tcPr>
          <w:p w14:paraId="0079CFB5" w14:textId="77777777" w:rsidR="00DA50F1" w:rsidRPr="009A4DCA" w:rsidRDefault="00DA50F1" w:rsidP="001B654C">
            <w:pPr>
              <w:pStyle w:val="In-tableHeading"/>
              <w:rPr>
                <w:lang w:val="en-AU"/>
              </w:rPr>
            </w:pPr>
            <w:r w:rsidRPr="009A4DCA">
              <w:rPr>
                <w:lang w:val="en-AU"/>
              </w:rPr>
              <w:t>Impact</w:t>
            </w:r>
          </w:p>
          <w:p w14:paraId="383A514F" w14:textId="2B0E9D15" w:rsidR="00585A1F" w:rsidRPr="009A4DCA" w:rsidRDefault="00DA50F1" w:rsidP="001B654C">
            <w:pPr>
              <w:pStyle w:val="In-tableHeading"/>
              <w:rPr>
                <w:lang w:val="en-AU"/>
              </w:rPr>
            </w:pPr>
            <w:r w:rsidRPr="009A4DCA">
              <w:rPr>
                <w:lang w:val="en-AU"/>
              </w:rPr>
              <w:t>Base case</w:t>
            </w:r>
            <w:r w:rsidR="00AD0DB7" w:rsidRPr="009A4DCA">
              <w:rPr>
                <w:lang w:val="en-AU"/>
              </w:rPr>
              <w:t xml:space="preserve"> (ICER $ / QALY gained)</w:t>
            </w:r>
            <w:r w:rsidRPr="009A4DCA">
              <w:rPr>
                <w:lang w:val="en-AU"/>
              </w:rPr>
              <w:t xml:space="preserve">: </w:t>
            </w:r>
          </w:p>
          <w:p w14:paraId="7316FE7E" w14:textId="6C4D61E2" w:rsidR="00DA50F1" w:rsidRPr="009A4DCA" w:rsidRDefault="00585A1F" w:rsidP="00C6762E">
            <w:pPr>
              <w:pStyle w:val="In-tableHeading"/>
              <w:numPr>
                <w:ilvl w:val="0"/>
                <w:numId w:val="24"/>
              </w:numPr>
              <w:ind w:left="357" w:right="-51" w:hanging="357"/>
              <w:rPr>
                <w:lang w:val="en-AU"/>
              </w:rPr>
            </w:pPr>
            <w:r w:rsidRPr="009A4DCA">
              <w:rPr>
                <w:lang w:val="en-AU"/>
              </w:rPr>
              <w:t xml:space="preserve">Adults aged ≥75 years: </w:t>
            </w:r>
            <w:r w:rsidR="00DA50F1" w:rsidRPr="009A4DCA">
              <w:rPr>
                <w:lang w:val="en-AU"/>
              </w:rPr>
              <w:t>$</w:t>
            </w:r>
            <w:r w:rsidR="00E44A34" w:rsidRPr="00E44A34">
              <w:rPr>
                <w:color w:val="000000"/>
                <w:spacing w:val="58"/>
                <w:szCs w:val="20"/>
                <w:shd w:val="solid" w:color="000000" w:fill="000000"/>
                <w:fitText w:val="360" w:id="-762047741"/>
                <w:lang w:val="en-AU"/>
                <w14:textFill>
                  <w14:solidFill>
                    <w14:srgbClr w14:val="000000">
                      <w14:alpha w14:val="100000"/>
                    </w14:srgbClr>
                  </w14:solidFill>
                </w14:textFill>
              </w:rPr>
              <w:t>|||</w:t>
            </w:r>
            <w:r w:rsidR="00E44A34" w:rsidRPr="00E44A34">
              <w:rPr>
                <w:color w:val="000000"/>
                <w:spacing w:val="3"/>
                <w:szCs w:val="20"/>
                <w:shd w:val="solid" w:color="000000" w:fill="000000"/>
                <w:fitText w:val="360" w:id="-762047741"/>
                <w:lang w:val="en-AU"/>
                <w14:textFill>
                  <w14:solidFill>
                    <w14:srgbClr w14:val="000000">
                      <w14:alpha w14:val="100000"/>
                    </w14:srgbClr>
                  </w14:solidFill>
                </w14:textFill>
              </w:rPr>
              <w:t>|</w:t>
            </w:r>
            <w:r w:rsidR="00935AFB">
              <w:rPr>
                <w:color w:val="000000"/>
                <w:szCs w:val="20"/>
                <w:lang w:val="en-AU"/>
              </w:rPr>
              <w:t xml:space="preserve"> </w:t>
            </w:r>
            <w:r w:rsidR="00935AFB">
              <w:rPr>
                <w:color w:val="000000"/>
                <w:szCs w:val="20"/>
                <w:vertAlign w:val="superscript"/>
                <w:lang w:val="en-AU"/>
              </w:rPr>
              <w:t>1</w:t>
            </w:r>
            <w:r w:rsidR="00DA50F1" w:rsidRPr="009A4DCA">
              <w:rPr>
                <w:lang w:val="en-AU"/>
              </w:rPr>
              <w:t>.</w:t>
            </w:r>
          </w:p>
          <w:p w14:paraId="5AD8CB81" w14:textId="5E942435" w:rsidR="009B1394" w:rsidRPr="009A4DCA" w:rsidRDefault="00804231" w:rsidP="00C6762E">
            <w:pPr>
              <w:pStyle w:val="In-tableHeading"/>
              <w:numPr>
                <w:ilvl w:val="0"/>
                <w:numId w:val="24"/>
              </w:numPr>
              <w:ind w:left="357" w:right="-51" w:hanging="357"/>
              <w:rPr>
                <w:lang w:val="en-AU"/>
              </w:rPr>
            </w:pPr>
            <w:r w:rsidRPr="009A4DCA">
              <w:rPr>
                <w:lang w:val="en-AU"/>
              </w:rPr>
              <w:t>Aboriginal and Torres Strait Islander adults aged 60 to 74 years: $</w:t>
            </w:r>
            <w:r w:rsidR="00E44A34" w:rsidRPr="00E44A34">
              <w:rPr>
                <w:color w:val="000000"/>
                <w:spacing w:val="54"/>
                <w:shd w:val="solid" w:color="000000" w:fill="000000"/>
                <w:fitText w:val="347" w:id="-762047740"/>
                <w:lang w:val="en-AU"/>
                <w14:textFill>
                  <w14:solidFill>
                    <w14:srgbClr w14:val="000000">
                      <w14:alpha w14:val="100000"/>
                    </w14:srgbClr>
                  </w14:solidFill>
                </w14:textFill>
              </w:rPr>
              <w:t>|||</w:t>
            </w:r>
            <w:r w:rsidR="00E44A34" w:rsidRPr="00E44A34">
              <w:rPr>
                <w:color w:val="000000"/>
                <w:spacing w:val="2"/>
                <w:shd w:val="solid" w:color="000000" w:fill="000000"/>
                <w:fitText w:val="347" w:id="-762047740"/>
                <w:lang w:val="en-AU"/>
                <w14:textFill>
                  <w14:solidFill>
                    <w14:srgbClr w14:val="000000">
                      <w14:alpha w14:val="100000"/>
                    </w14:srgbClr>
                  </w14:solidFill>
                </w14:textFill>
              </w:rPr>
              <w:t>|</w:t>
            </w:r>
            <w:r w:rsidR="00935AFB">
              <w:rPr>
                <w:lang w:val="en-AU"/>
              </w:rPr>
              <w:t xml:space="preserve"> </w:t>
            </w:r>
            <w:r w:rsidR="00935AFB">
              <w:rPr>
                <w:vertAlign w:val="superscript"/>
                <w:lang w:val="en-AU"/>
              </w:rPr>
              <w:t>2</w:t>
            </w:r>
          </w:p>
          <w:p w14:paraId="5C21F897" w14:textId="48521944" w:rsidR="00667443" w:rsidRPr="009A4DCA" w:rsidRDefault="00667443" w:rsidP="00C6762E">
            <w:pPr>
              <w:pStyle w:val="In-tableHeading"/>
              <w:numPr>
                <w:ilvl w:val="0"/>
                <w:numId w:val="24"/>
              </w:numPr>
              <w:ind w:left="357" w:right="-51" w:hanging="357"/>
              <w:rPr>
                <w:lang w:val="en-AU"/>
              </w:rPr>
            </w:pPr>
            <w:r w:rsidRPr="009A4DCA">
              <w:rPr>
                <w:lang w:val="en-AU"/>
              </w:rPr>
              <w:t>Adults with at least one risk factor aged 60 to 74 years: $</w:t>
            </w:r>
            <w:r w:rsidR="00E44A34" w:rsidRPr="00E44A34">
              <w:rPr>
                <w:color w:val="000000"/>
                <w:spacing w:val="58"/>
                <w:shd w:val="solid" w:color="000000" w:fill="000000"/>
                <w:fitText w:val="360" w:id="-762047739"/>
                <w:lang w:val="en-AU"/>
                <w14:textFill>
                  <w14:solidFill>
                    <w14:srgbClr w14:val="000000">
                      <w14:alpha w14:val="100000"/>
                    </w14:srgbClr>
                  </w14:solidFill>
                </w14:textFill>
              </w:rPr>
              <w:t>|||</w:t>
            </w:r>
            <w:r w:rsidR="00E44A34" w:rsidRPr="00E44A34">
              <w:rPr>
                <w:color w:val="000000"/>
                <w:spacing w:val="3"/>
                <w:shd w:val="solid" w:color="000000" w:fill="000000"/>
                <w:fitText w:val="360" w:id="-762047739"/>
                <w:lang w:val="en-AU"/>
                <w14:textFill>
                  <w14:solidFill>
                    <w14:srgbClr w14:val="000000">
                      <w14:alpha w14:val="100000"/>
                    </w14:srgbClr>
                  </w14:solidFill>
                </w14:textFill>
              </w:rPr>
              <w:t>|</w:t>
            </w:r>
            <w:r w:rsidR="00310C45">
              <w:rPr>
                <w:lang w:val="en-AU"/>
              </w:rPr>
              <w:t xml:space="preserve"> </w:t>
            </w:r>
            <w:r w:rsidR="00310C45">
              <w:rPr>
                <w:vertAlign w:val="superscript"/>
                <w:lang w:val="en-AU"/>
              </w:rPr>
              <w:t>2</w:t>
            </w:r>
          </w:p>
        </w:tc>
      </w:tr>
      <w:tr w:rsidR="00DA50F1" w:rsidRPr="009A4DCA" w14:paraId="611FF1ED" w14:textId="77777777" w:rsidTr="006F5F86">
        <w:tc>
          <w:tcPr>
            <w:tcW w:w="784" w:type="pct"/>
            <w:shd w:val="clear" w:color="auto" w:fill="auto"/>
            <w:vAlign w:val="center"/>
          </w:tcPr>
          <w:p w14:paraId="321AC390" w14:textId="77777777" w:rsidR="00DA50F1" w:rsidRPr="009A4DCA" w:rsidRDefault="00DA50F1" w:rsidP="00E76F4F">
            <w:pPr>
              <w:pStyle w:val="TableText0"/>
            </w:pPr>
            <w:r w:rsidRPr="009A4DCA">
              <w:t>Maximum age</w:t>
            </w:r>
          </w:p>
        </w:tc>
        <w:tc>
          <w:tcPr>
            <w:tcW w:w="864" w:type="pct"/>
            <w:shd w:val="clear" w:color="auto" w:fill="auto"/>
            <w:vAlign w:val="center"/>
          </w:tcPr>
          <w:p w14:paraId="47CD3A10" w14:textId="77777777" w:rsidR="00DA50F1" w:rsidRPr="009A4DCA" w:rsidRDefault="00DA50F1" w:rsidP="00E76F4F">
            <w:pPr>
              <w:pStyle w:val="TableText0"/>
            </w:pPr>
            <w:r w:rsidRPr="009A4DCA">
              <w:t>100 years of age</w:t>
            </w:r>
          </w:p>
        </w:tc>
        <w:tc>
          <w:tcPr>
            <w:tcW w:w="3352" w:type="pct"/>
            <w:shd w:val="clear" w:color="auto" w:fill="auto"/>
            <w:vAlign w:val="center"/>
          </w:tcPr>
          <w:p w14:paraId="27394DFB" w14:textId="77777777" w:rsidR="00DA50F1" w:rsidRPr="009A4DCA" w:rsidRDefault="00DA50F1" w:rsidP="0089782B">
            <w:pPr>
              <w:pStyle w:val="Tabletext"/>
            </w:pPr>
            <w:r w:rsidRPr="009A4DCA">
              <w:t>High, favours RSVpreF</w:t>
            </w:r>
          </w:p>
          <w:p w14:paraId="32204C0D" w14:textId="6D8B0EDA" w:rsidR="00D45797" w:rsidRPr="009A4DCA" w:rsidRDefault="00DA50F1" w:rsidP="0089782B">
            <w:pPr>
              <w:pStyle w:val="Tabletext"/>
              <w:rPr>
                <w:b/>
              </w:rPr>
            </w:pPr>
            <w:r w:rsidRPr="009A4DCA">
              <w:t>Reducing the maximum age to 90 years of age increased the ICER to</w:t>
            </w:r>
            <w:r w:rsidR="00F37B45" w:rsidRPr="009A4DCA">
              <w:t>:</w:t>
            </w:r>
          </w:p>
          <w:p w14:paraId="5C716BAD" w14:textId="091902CC" w:rsidR="00DA50F1" w:rsidRPr="009A4DCA" w:rsidRDefault="003C4E63" w:rsidP="00C6762E">
            <w:pPr>
              <w:pStyle w:val="Tabletext"/>
              <w:numPr>
                <w:ilvl w:val="0"/>
                <w:numId w:val="39"/>
              </w:numPr>
              <w:ind w:left="357" w:hanging="357"/>
              <w:rPr>
                <w:b/>
              </w:rPr>
            </w:pPr>
            <w:r w:rsidRPr="009A4DCA">
              <w:t xml:space="preserve">Adults aged ≥75 years: </w:t>
            </w:r>
            <w:r w:rsidR="00DA50F1" w:rsidRPr="009A4DCA">
              <w:t xml:space="preserve"> $</w:t>
            </w:r>
            <w:r w:rsidR="00E44A34" w:rsidRPr="00E44A34">
              <w:rPr>
                <w:color w:val="000000"/>
                <w:spacing w:val="49"/>
                <w:shd w:val="solid" w:color="000000" w:fill="000000"/>
                <w:fitText w:val="320" w:id="-762047738"/>
                <w14:textFill>
                  <w14:solidFill>
                    <w14:srgbClr w14:val="000000">
                      <w14:alpha w14:val="100000"/>
                    </w14:srgbClr>
                  </w14:solidFill>
                </w14:textFill>
              </w:rPr>
              <w:t>|||</w:t>
            </w:r>
            <w:r w:rsidR="00E44A34" w:rsidRPr="00E44A34">
              <w:rPr>
                <w:color w:val="000000"/>
                <w:spacing w:val="3"/>
                <w:shd w:val="solid" w:color="000000" w:fill="000000"/>
                <w:fitText w:val="320" w:id="-762047738"/>
                <w14:textFill>
                  <w14:solidFill>
                    <w14:srgbClr w14:val="000000">
                      <w14:alpha w14:val="100000"/>
                    </w14:srgbClr>
                  </w14:solidFill>
                </w14:textFill>
              </w:rPr>
              <w:t>|</w:t>
            </w:r>
            <w:r w:rsidR="00310C45">
              <w:t xml:space="preserve"> </w:t>
            </w:r>
            <w:r w:rsidR="00310C45">
              <w:rPr>
                <w:vertAlign w:val="superscript"/>
              </w:rPr>
              <w:t>3</w:t>
            </w:r>
            <w:r w:rsidR="00DA50F1" w:rsidRPr="009A4DCA">
              <w:t xml:space="preserve">.  </w:t>
            </w:r>
          </w:p>
          <w:p w14:paraId="328100F2" w14:textId="58713611" w:rsidR="003C4E63" w:rsidRPr="009A4DCA" w:rsidRDefault="003C4E63" w:rsidP="00C6762E">
            <w:pPr>
              <w:pStyle w:val="Tabletext"/>
              <w:numPr>
                <w:ilvl w:val="0"/>
                <w:numId w:val="39"/>
              </w:numPr>
              <w:ind w:left="357" w:hanging="357"/>
              <w:rPr>
                <w:b/>
              </w:rPr>
            </w:pPr>
            <w:r w:rsidRPr="009A4DCA">
              <w:t xml:space="preserve">Aboriginal and Torres Strait Islander adults aged 60 to 74 years: </w:t>
            </w:r>
            <w:r w:rsidR="00AA25E2" w:rsidRPr="009A4DCA">
              <w:t>$</w:t>
            </w:r>
            <w:r w:rsidR="00E44A34" w:rsidRPr="00E44A34">
              <w:rPr>
                <w:color w:val="000000"/>
                <w:spacing w:val="54"/>
                <w:shd w:val="solid" w:color="000000" w:fill="000000"/>
                <w:fitText w:val="334" w:id="-762047737"/>
                <w14:textFill>
                  <w14:solidFill>
                    <w14:srgbClr w14:val="000000">
                      <w14:alpha w14:val="100000"/>
                    </w14:srgbClr>
                  </w14:solidFill>
                </w14:textFill>
              </w:rPr>
              <w:t>|||</w:t>
            </w:r>
            <w:r w:rsidR="00E44A34" w:rsidRPr="00E44A34">
              <w:rPr>
                <w:color w:val="000000"/>
                <w:spacing w:val="2"/>
                <w:shd w:val="solid" w:color="000000" w:fill="000000"/>
                <w:fitText w:val="334" w:id="-762047737"/>
                <w14:textFill>
                  <w14:solidFill>
                    <w14:srgbClr w14:val="000000">
                      <w14:alpha w14:val="100000"/>
                    </w14:srgbClr>
                  </w14:solidFill>
                </w14:textFill>
              </w:rPr>
              <w:t>|</w:t>
            </w:r>
            <w:r w:rsidR="00310C45">
              <w:t xml:space="preserve"> </w:t>
            </w:r>
            <w:r w:rsidR="00310C45">
              <w:rPr>
                <w:vertAlign w:val="superscript"/>
              </w:rPr>
              <w:t>2</w:t>
            </w:r>
          </w:p>
          <w:p w14:paraId="2A308528" w14:textId="3295BEA7" w:rsidR="006E5DD6" w:rsidRPr="009A4DCA" w:rsidRDefault="006E5DD6" w:rsidP="00C6762E">
            <w:pPr>
              <w:pStyle w:val="Tabletext"/>
              <w:numPr>
                <w:ilvl w:val="0"/>
                <w:numId w:val="39"/>
              </w:numPr>
              <w:ind w:left="357" w:hanging="357"/>
              <w:rPr>
                <w:b/>
              </w:rPr>
            </w:pPr>
            <w:r w:rsidRPr="009A4DCA">
              <w:t>Adults with at least one risk factor aged 60 to 74 years: $</w:t>
            </w:r>
            <w:r w:rsidR="00E44A34" w:rsidRPr="00E44A34">
              <w:rPr>
                <w:color w:val="000000"/>
                <w:spacing w:val="54"/>
                <w:shd w:val="solid" w:color="000000" w:fill="000000"/>
                <w:fitText w:val="333" w:id="-762047736"/>
                <w14:textFill>
                  <w14:solidFill>
                    <w14:srgbClr w14:val="000000">
                      <w14:alpha w14:val="100000"/>
                    </w14:srgbClr>
                  </w14:solidFill>
                </w14:textFill>
              </w:rPr>
              <w:t>|||</w:t>
            </w:r>
            <w:r w:rsidR="00E44A34" w:rsidRPr="00E44A34">
              <w:rPr>
                <w:color w:val="000000"/>
                <w:spacing w:val="1"/>
                <w:shd w:val="solid" w:color="000000" w:fill="000000"/>
                <w:fitText w:val="333" w:id="-762047736"/>
                <w14:textFill>
                  <w14:solidFill>
                    <w14:srgbClr w14:val="000000">
                      <w14:alpha w14:val="100000"/>
                    </w14:srgbClr>
                  </w14:solidFill>
                </w14:textFill>
              </w:rPr>
              <w:t>|</w:t>
            </w:r>
            <w:r w:rsidR="00310C45">
              <w:t xml:space="preserve"> </w:t>
            </w:r>
            <w:r w:rsidR="00310C45">
              <w:rPr>
                <w:vertAlign w:val="superscript"/>
              </w:rPr>
              <w:t>2</w:t>
            </w:r>
          </w:p>
          <w:p w14:paraId="7E7D5B9D" w14:textId="77777777" w:rsidR="006E5DD6" w:rsidRPr="009A4DCA" w:rsidRDefault="006E5DD6" w:rsidP="0089782B">
            <w:pPr>
              <w:pStyle w:val="Tabletext"/>
              <w:rPr>
                <w:b/>
              </w:rPr>
            </w:pPr>
          </w:p>
          <w:p w14:paraId="4C0D6BC6" w14:textId="74D57D89" w:rsidR="003C4E63" w:rsidRPr="009A4DCA" w:rsidRDefault="00DA50F1" w:rsidP="0089782B">
            <w:pPr>
              <w:pStyle w:val="Tabletext"/>
              <w:rPr>
                <w:b/>
              </w:rPr>
            </w:pPr>
            <w:r w:rsidRPr="009A4DCA">
              <w:t>Reducing the maximum age to end at 87 years (i.e., analysis assuming 48</w:t>
            </w:r>
            <w:r w:rsidR="00310C45">
              <w:t> </w:t>
            </w:r>
            <w:r w:rsidRPr="009A4DCA">
              <w:t>months; 83+4=87) increased the ICER to</w:t>
            </w:r>
            <w:r w:rsidR="00144503" w:rsidRPr="009A4DCA">
              <w:t>:</w:t>
            </w:r>
            <w:r w:rsidRPr="009A4DCA">
              <w:t xml:space="preserve"> </w:t>
            </w:r>
          </w:p>
          <w:p w14:paraId="3357703F" w14:textId="02DE136B" w:rsidR="00DA50F1" w:rsidRPr="009A4DCA" w:rsidRDefault="003C4E63" w:rsidP="00C6762E">
            <w:pPr>
              <w:pStyle w:val="Tabletext"/>
              <w:numPr>
                <w:ilvl w:val="0"/>
                <w:numId w:val="40"/>
              </w:numPr>
              <w:ind w:left="357" w:hanging="357"/>
              <w:rPr>
                <w:b/>
              </w:rPr>
            </w:pPr>
            <w:r w:rsidRPr="009A4DCA">
              <w:t xml:space="preserve">Adults aged ≥75 years: </w:t>
            </w:r>
            <w:r w:rsidR="00DA50F1" w:rsidRPr="009A4DCA">
              <w:t>$</w:t>
            </w:r>
            <w:r w:rsidR="00E44A34" w:rsidRPr="00E44A34">
              <w:rPr>
                <w:color w:val="000000"/>
                <w:spacing w:val="54"/>
                <w:shd w:val="solid" w:color="000000" w:fill="000000"/>
                <w:fitText w:val="334" w:id="-762047735"/>
                <w14:textFill>
                  <w14:solidFill>
                    <w14:srgbClr w14:val="000000">
                      <w14:alpha w14:val="100000"/>
                    </w14:srgbClr>
                  </w14:solidFill>
                </w14:textFill>
              </w:rPr>
              <w:t>|||</w:t>
            </w:r>
            <w:r w:rsidR="00E44A34" w:rsidRPr="00E44A34">
              <w:rPr>
                <w:color w:val="000000"/>
                <w:spacing w:val="2"/>
                <w:shd w:val="solid" w:color="000000" w:fill="000000"/>
                <w:fitText w:val="334" w:id="-762047735"/>
                <w14:textFill>
                  <w14:solidFill>
                    <w14:srgbClr w14:val="000000">
                      <w14:alpha w14:val="100000"/>
                    </w14:srgbClr>
                  </w14:solidFill>
                </w14:textFill>
              </w:rPr>
              <w:t>|</w:t>
            </w:r>
            <w:r w:rsidR="003B5853">
              <w:t xml:space="preserve"> </w:t>
            </w:r>
            <w:r w:rsidR="003B5853">
              <w:rPr>
                <w:vertAlign w:val="superscript"/>
              </w:rPr>
              <w:t>4</w:t>
            </w:r>
            <w:r w:rsidR="00DA50F1" w:rsidRPr="009A4DCA">
              <w:t xml:space="preserve">. </w:t>
            </w:r>
          </w:p>
          <w:p w14:paraId="321FFC2C" w14:textId="0FCB3B48" w:rsidR="003C4E63" w:rsidRPr="009A4DCA" w:rsidRDefault="003C4E63" w:rsidP="00C6762E">
            <w:pPr>
              <w:pStyle w:val="Tabletext"/>
              <w:numPr>
                <w:ilvl w:val="0"/>
                <w:numId w:val="40"/>
              </w:numPr>
              <w:ind w:left="357" w:hanging="357"/>
            </w:pPr>
            <w:r w:rsidRPr="009A4DCA">
              <w:t xml:space="preserve">Aboriginal and Torres Strait Islander adults aged 60 to 74 years: </w:t>
            </w:r>
            <w:r w:rsidR="008D734E" w:rsidRPr="009A4DCA">
              <w:t>$</w:t>
            </w:r>
            <w:r w:rsidR="00E44A34" w:rsidRPr="00E44A34">
              <w:rPr>
                <w:color w:val="000000"/>
                <w:spacing w:val="54"/>
                <w:shd w:val="solid" w:color="000000" w:fill="000000"/>
                <w:fitText w:val="334" w:id="-762047734"/>
                <w14:textFill>
                  <w14:solidFill>
                    <w14:srgbClr w14:val="000000">
                      <w14:alpha w14:val="100000"/>
                    </w14:srgbClr>
                  </w14:solidFill>
                </w14:textFill>
              </w:rPr>
              <w:t>|||</w:t>
            </w:r>
            <w:r w:rsidR="00E44A34" w:rsidRPr="00E44A34">
              <w:rPr>
                <w:color w:val="000000"/>
                <w:spacing w:val="2"/>
                <w:shd w:val="solid" w:color="000000" w:fill="000000"/>
                <w:fitText w:val="334" w:id="-762047734"/>
                <w14:textFill>
                  <w14:solidFill>
                    <w14:srgbClr w14:val="000000">
                      <w14:alpha w14:val="100000"/>
                    </w14:srgbClr>
                  </w14:solidFill>
                </w14:textFill>
              </w:rPr>
              <w:t>|</w:t>
            </w:r>
            <w:r w:rsidR="003B5853">
              <w:t xml:space="preserve"> </w:t>
            </w:r>
            <w:r w:rsidR="003B5853">
              <w:rPr>
                <w:vertAlign w:val="superscript"/>
              </w:rPr>
              <w:t>5</w:t>
            </w:r>
          </w:p>
          <w:p w14:paraId="063CAF5B" w14:textId="5954234A" w:rsidR="006E5DD6" w:rsidRPr="009A4DCA" w:rsidRDefault="006E5DD6" w:rsidP="00C6762E">
            <w:pPr>
              <w:pStyle w:val="Tabletext"/>
              <w:numPr>
                <w:ilvl w:val="0"/>
                <w:numId w:val="40"/>
              </w:numPr>
              <w:ind w:left="357" w:hanging="357"/>
              <w:rPr>
                <w:b/>
              </w:rPr>
            </w:pPr>
            <w:r w:rsidRPr="009A4DCA">
              <w:t>Adults with at least one risk factor aged 60 to 74 years: $</w:t>
            </w:r>
            <w:r w:rsidR="00E44A34" w:rsidRPr="00E44A34">
              <w:rPr>
                <w:color w:val="000000"/>
                <w:spacing w:val="54"/>
                <w:shd w:val="solid" w:color="000000" w:fill="000000"/>
                <w:fitText w:val="333" w:id="-762047733"/>
                <w14:textFill>
                  <w14:solidFill>
                    <w14:srgbClr w14:val="000000">
                      <w14:alpha w14:val="100000"/>
                    </w14:srgbClr>
                  </w14:solidFill>
                </w14:textFill>
              </w:rPr>
              <w:t>|||</w:t>
            </w:r>
            <w:r w:rsidR="00E44A34" w:rsidRPr="00E44A34">
              <w:rPr>
                <w:color w:val="000000"/>
                <w:spacing w:val="1"/>
                <w:shd w:val="solid" w:color="000000" w:fill="000000"/>
                <w:fitText w:val="333" w:id="-762047733"/>
                <w14:textFill>
                  <w14:solidFill>
                    <w14:srgbClr w14:val="000000">
                      <w14:alpha w14:val="100000"/>
                    </w14:srgbClr>
                  </w14:solidFill>
                </w14:textFill>
              </w:rPr>
              <w:t>|</w:t>
            </w:r>
            <w:r w:rsidR="003B5853">
              <w:t xml:space="preserve"> </w:t>
            </w:r>
            <w:r w:rsidR="003B5853">
              <w:rPr>
                <w:vertAlign w:val="superscript"/>
              </w:rPr>
              <w:t>6</w:t>
            </w:r>
          </w:p>
        </w:tc>
      </w:tr>
      <w:tr w:rsidR="00DA50F1" w:rsidRPr="009A4DCA" w14:paraId="68430A5B" w14:textId="77777777" w:rsidTr="006F5F86">
        <w:tc>
          <w:tcPr>
            <w:tcW w:w="784" w:type="pct"/>
            <w:shd w:val="clear" w:color="auto" w:fill="auto"/>
            <w:vAlign w:val="center"/>
          </w:tcPr>
          <w:p w14:paraId="2190EFF6" w14:textId="4606E7FA" w:rsidR="00DA50F1" w:rsidRPr="009A4DCA" w:rsidRDefault="00DA50F1" w:rsidP="00E76F4F">
            <w:pPr>
              <w:pStyle w:val="TableText0"/>
            </w:pPr>
            <w:r w:rsidRPr="009A4DCA">
              <w:t>Mortality rate</w:t>
            </w:r>
            <w:r w:rsidR="005C74B1" w:rsidRPr="009A4DCA">
              <w:t xml:space="preserve"> for RSV</w:t>
            </w:r>
          </w:p>
        </w:tc>
        <w:tc>
          <w:tcPr>
            <w:tcW w:w="864" w:type="pct"/>
            <w:shd w:val="clear" w:color="auto" w:fill="auto"/>
            <w:vAlign w:val="center"/>
          </w:tcPr>
          <w:p w14:paraId="50526232" w14:textId="77777777" w:rsidR="00DA50F1" w:rsidRPr="009A4DCA" w:rsidRDefault="00DA50F1" w:rsidP="00E76F4F">
            <w:pPr>
              <w:pStyle w:val="TableText0"/>
            </w:pPr>
            <w:r w:rsidRPr="009A4DCA">
              <w:t xml:space="preserve">43 per 100,000 person-years using the Australian modelling study. </w:t>
            </w:r>
          </w:p>
        </w:tc>
        <w:tc>
          <w:tcPr>
            <w:tcW w:w="3352" w:type="pct"/>
            <w:shd w:val="clear" w:color="auto" w:fill="auto"/>
            <w:vAlign w:val="center"/>
          </w:tcPr>
          <w:p w14:paraId="038DE9FD" w14:textId="77777777" w:rsidR="00DA50F1" w:rsidRPr="009A4DCA" w:rsidRDefault="00DA50F1" w:rsidP="0089782B">
            <w:pPr>
              <w:pStyle w:val="Tabletext"/>
              <w:rPr>
                <w:b/>
              </w:rPr>
            </w:pPr>
            <w:r w:rsidRPr="009A4DCA">
              <w:t>High, favours RSVpreF</w:t>
            </w:r>
          </w:p>
          <w:p w14:paraId="0B035E76" w14:textId="77777777" w:rsidR="00804231" w:rsidRPr="009A4DCA" w:rsidRDefault="00DA50F1" w:rsidP="0089782B">
            <w:pPr>
              <w:pStyle w:val="Tabletext"/>
              <w:rPr>
                <w:b/>
              </w:rPr>
            </w:pPr>
            <w:r w:rsidRPr="009A4DCA">
              <w:t>Reducing to lower CI reported in Australian modelling study (12.03 per 100,000 person-years) increased the ICER to</w:t>
            </w:r>
            <w:r w:rsidR="00804231" w:rsidRPr="009A4DCA">
              <w:t>:</w:t>
            </w:r>
          </w:p>
          <w:p w14:paraId="55CDCB6C" w14:textId="072048DD" w:rsidR="00592DB6" w:rsidRPr="009A4DCA" w:rsidRDefault="00592DB6" w:rsidP="00C6762E">
            <w:pPr>
              <w:pStyle w:val="Tabletext"/>
              <w:numPr>
                <w:ilvl w:val="0"/>
                <w:numId w:val="41"/>
              </w:numPr>
              <w:ind w:left="357" w:hanging="357"/>
              <w:rPr>
                <w:b/>
              </w:rPr>
            </w:pPr>
            <w:r w:rsidRPr="009A4DCA">
              <w:t xml:space="preserve">Adults aged ≥75 years: </w:t>
            </w:r>
            <w:r w:rsidR="00AD0DB7" w:rsidRPr="009A4DCA">
              <w:t>$</w:t>
            </w:r>
            <w:r w:rsidR="00E44A34" w:rsidRPr="00E44A34">
              <w:rPr>
                <w:color w:val="000000"/>
                <w:spacing w:val="54"/>
                <w:shd w:val="solid" w:color="000000" w:fill="000000"/>
                <w:fitText w:val="334" w:id="-762047732"/>
                <w14:textFill>
                  <w14:solidFill>
                    <w14:srgbClr w14:val="000000">
                      <w14:alpha w14:val="100000"/>
                    </w14:srgbClr>
                  </w14:solidFill>
                </w14:textFill>
              </w:rPr>
              <w:t>|||</w:t>
            </w:r>
            <w:r w:rsidR="00E44A34" w:rsidRPr="00E44A34">
              <w:rPr>
                <w:color w:val="000000"/>
                <w:spacing w:val="2"/>
                <w:shd w:val="solid" w:color="000000" w:fill="000000"/>
                <w:fitText w:val="334" w:id="-762047732"/>
                <w14:textFill>
                  <w14:solidFill>
                    <w14:srgbClr w14:val="000000">
                      <w14:alpha w14:val="100000"/>
                    </w14:srgbClr>
                  </w14:solidFill>
                </w14:textFill>
              </w:rPr>
              <w:t>|</w:t>
            </w:r>
            <w:r w:rsidR="003B5853">
              <w:t xml:space="preserve"> </w:t>
            </w:r>
            <w:r w:rsidR="003B5853">
              <w:rPr>
                <w:vertAlign w:val="superscript"/>
              </w:rPr>
              <w:t>4</w:t>
            </w:r>
          </w:p>
          <w:p w14:paraId="7C59C692" w14:textId="45DB0582" w:rsidR="00DA50F1" w:rsidRPr="009A4DCA" w:rsidRDefault="00592DB6" w:rsidP="00C6762E">
            <w:pPr>
              <w:pStyle w:val="Tabletext"/>
              <w:numPr>
                <w:ilvl w:val="0"/>
                <w:numId w:val="41"/>
              </w:numPr>
              <w:ind w:left="357" w:hanging="357"/>
              <w:rPr>
                <w:b/>
              </w:rPr>
            </w:pPr>
            <w:r w:rsidRPr="009A4DCA">
              <w:t xml:space="preserve">Aboriginal and Torres Strait Islander adults aged 60 to 74 years: </w:t>
            </w:r>
            <w:r w:rsidR="00E44A34" w:rsidRPr="00E44A34">
              <w:rPr>
                <w:color w:val="000000"/>
                <w:spacing w:val="54"/>
                <w:shd w:val="solid" w:color="000000" w:fill="000000"/>
                <w:fitText w:val="333" w:id="-762047731"/>
                <w14:textFill>
                  <w14:solidFill>
                    <w14:srgbClr w14:val="000000">
                      <w14:alpha w14:val="100000"/>
                    </w14:srgbClr>
                  </w14:solidFill>
                </w14:textFill>
              </w:rPr>
              <w:t>|||</w:t>
            </w:r>
            <w:r w:rsidR="00E44A34" w:rsidRPr="00E44A34">
              <w:rPr>
                <w:color w:val="000000"/>
                <w:spacing w:val="1"/>
                <w:shd w:val="solid" w:color="000000" w:fill="000000"/>
                <w:fitText w:val="333" w:id="-762047731"/>
                <w14:textFill>
                  <w14:solidFill>
                    <w14:srgbClr w14:val="000000">
                      <w14:alpha w14:val="100000"/>
                    </w14:srgbClr>
                  </w14:solidFill>
                </w14:textFill>
              </w:rPr>
              <w:t>|</w:t>
            </w:r>
            <w:r w:rsidR="003B5853">
              <w:t xml:space="preserve"> </w:t>
            </w:r>
            <w:r w:rsidR="003B5853">
              <w:rPr>
                <w:color w:val="000000"/>
                <w:szCs w:val="20"/>
                <w:vertAlign w:val="superscript"/>
              </w:rPr>
              <w:t>1</w:t>
            </w:r>
          </w:p>
          <w:p w14:paraId="635A0241" w14:textId="5BA1D7C8" w:rsidR="006E5DD6" w:rsidRPr="009A4DCA" w:rsidRDefault="006E5DD6" w:rsidP="00C6762E">
            <w:pPr>
              <w:pStyle w:val="Tabletext"/>
              <w:numPr>
                <w:ilvl w:val="0"/>
                <w:numId w:val="41"/>
              </w:numPr>
              <w:ind w:left="357" w:hanging="357"/>
              <w:rPr>
                <w:b/>
              </w:rPr>
            </w:pPr>
            <w:r w:rsidRPr="009A4DCA">
              <w:t>Adults with at least one risk factor aged 60 to 74 years: $</w:t>
            </w:r>
            <w:r w:rsidR="00E44A34" w:rsidRPr="00E44A34">
              <w:rPr>
                <w:color w:val="000000"/>
                <w:spacing w:val="54"/>
                <w:shd w:val="solid" w:color="000000" w:fill="000000"/>
                <w:fitText w:val="333" w:id="-762047730"/>
                <w14:textFill>
                  <w14:solidFill>
                    <w14:srgbClr w14:val="000000">
                      <w14:alpha w14:val="100000"/>
                    </w14:srgbClr>
                  </w14:solidFill>
                </w14:textFill>
              </w:rPr>
              <w:t>|||</w:t>
            </w:r>
            <w:r w:rsidR="00E44A34" w:rsidRPr="00E44A34">
              <w:rPr>
                <w:color w:val="000000"/>
                <w:spacing w:val="1"/>
                <w:shd w:val="solid" w:color="000000" w:fill="000000"/>
                <w:fitText w:val="333" w:id="-762047730"/>
                <w14:textFill>
                  <w14:solidFill>
                    <w14:srgbClr w14:val="000000">
                      <w14:alpha w14:val="100000"/>
                    </w14:srgbClr>
                  </w14:solidFill>
                </w14:textFill>
              </w:rPr>
              <w:t>|</w:t>
            </w:r>
            <w:r w:rsidR="003B5853">
              <w:rPr>
                <w:color w:val="000000"/>
                <w:szCs w:val="20"/>
              </w:rPr>
              <w:t xml:space="preserve"> </w:t>
            </w:r>
            <w:r w:rsidR="00891470">
              <w:rPr>
                <w:color w:val="000000"/>
                <w:szCs w:val="20"/>
                <w:vertAlign w:val="superscript"/>
              </w:rPr>
              <w:t>3</w:t>
            </w:r>
          </w:p>
          <w:p w14:paraId="27442C0F" w14:textId="77777777" w:rsidR="00BC0647" w:rsidRPr="009A4DCA" w:rsidRDefault="00BC0647" w:rsidP="0089782B">
            <w:pPr>
              <w:pStyle w:val="Tabletext"/>
              <w:rPr>
                <w:b/>
              </w:rPr>
            </w:pPr>
          </w:p>
          <w:p w14:paraId="50E2D8F5" w14:textId="6E61EBC5" w:rsidR="004F314B" w:rsidRPr="009A4DCA" w:rsidRDefault="00BC0647" w:rsidP="0089782B">
            <w:pPr>
              <w:pStyle w:val="Tabletext"/>
              <w:rPr>
                <w:b/>
              </w:rPr>
            </w:pPr>
            <w:r w:rsidRPr="009A4DCA">
              <w:t xml:space="preserve">Using ATAGI Advice: hCFR </w:t>
            </w:r>
            <w:r w:rsidR="0045463A" w:rsidRPr="009A4DCA">
              <w:t xml:space="preserve">4.22% increased the ICER to: </w:t>
            </w:r>
          </w:p>
          <w:p w14:paraId="728C2F1F" w14:textId="09472BC7" w:rsidR="0045463A" w:rsidRPr="009A4DCA" w:rsidRDefault="0045463A" w:rsidP="00C6762E">
            <w:pPr>
              <w:pStyle w:val="Tabletext"/>
              <w:numPr>
                <w:ilvl w:val="0"/>
                <w:numId w:val="42"/>
              </w:numPr>
              <w:ind w:left="357" w:hanging="357"/>
              <w:rPr>
                <w:b/>
              </w:rPr>
            </w:pPr>
            <w:r w:rsidRPr="009A4DCA">
              <w:t>Adults aged ≥75 years: $</w:t>
            </w:r>
            <w:r w:rsidR="00E44A34" w:rsidRPr="00E44A34">
              <w:rPr>
                <w:color w:val="000000"/>
                <w:spacing w:val="54"/>
                <w:shd w:val="solid" w:color="000000" w:fill="000000"/>
                <w:fitText w:val="334" w:id="-762047729"/>
                <w14:textFill>
                  <w14:solidFill>
                    <w14:srgbClr w14:val="000000">
                      <w14:alpha w14:val="100000"/>
                    </w14:srgbClr>
                  </w14:solidFill>
                </w14:textFill>
              </w:rPr>
              <w:t>|||</w:t>
            </w:r>
            <w:r w:rsidR="00E44A34" w:rsidRPr="00E44A34">
              <w:rPr>
                <w:color w:val="000000"/>
                <w:spacing w:val="2"/>
                <w:shd w:val="solid" w:color="000000" w:fill="000000"/>
                <w:fitText w:val="334" w:id="-762047729"/>
                <w14:textFill>
                  <w14:solidFill>
                    <w14:srgbClr w14:val="000000">
                      <w14:alpha w14:val="100000"/>
                    </w14:srgbClr>
                  </w14:solidFill>
                </w14:textFill>
              </w:rPr>
              <w:t>|</w:t>
            </w:r>
            <w:r w:rsidR="00891470">
              <w:rPr>
                <w:color w:val="000000"/>
                <w:szCs w:val="20"/>
              </w:rPr>
              <w:t xml:space="preserve"> </w:t>
            </w:r>
            <w:r w:rsidR="00891470">
              <w:rPr>
                <w:color w:val="000000"/>
                <w:szCs w:val="20"/>
                <w:vertAlign w:val="superscript"/>
              </w:rPr>
              <w:t>6</w:t>
            </w:r>
          </w:p>
          <w:p w14:paraId="1CC3B7BF" w14:textId="7098D92F" w:rsidR="0045463A" w:rsidRPr="009A4DCA" w:rsidRDefault="0045463A" w:rsidP="00C6762E">
            <w:pPr>
              <w:pStyle w:val="Tabletext"/>
              <w:numPr>
                <w:ilvl w:val="0"/>
                <w:numId w:val="42"/>
              </w:numPr>
              <w:ind w:left="357" w:hanging="357"/>
            </w:pPr>
            <w:r w:rsidRPr="009A4DCA">
              <w:t xml:space="preserve">Aboriginal and Torres Strait Islander adults aged 60 to 74 years: </w:t>
            </w:r>
            <w:r w:rsidR="00871563" w:rsidRPr="009A4DCA">
              <w:t>$</w:t>
            </w:r>
            <w:r w:rsidR="00E44A34" w:rsidRPr="00E44A34">
              <w:rPr>
                <w:color w:val="000000"/>
                <w:spacing w:val="54"/>
                <w:shd w:val="solid" w:color="000000" w:fill="000000"/>
                <w:fitText w:val="334" w:id="-762047728"/>
                <w14:textFill>
                  <w14:solidFill>
                    <w14:srgbClr w14:val="000000">
                      <w14:alpha w14:val="100000"/>
                    </w14:srgbClr>
                  </w14:solidFill>
                </w14:textFill>
              </w:rPr>
              <w:t>|||</w:t>
            </w:r>
            <w:r w:rsidR="00E44A34" w:rsidRPr="00E44A34">
              <w:rPr>
                <w:color w:val="000000"/>
                <w:spacing w:val="2"/>
                <w:shd w:val="solid" w:color="000000" w:fill="000000"/>
                <w:fitText w:val="334" w:id="-762047728"/>
                <w14:textFill>
                  <w14:solidFill>
                    <w14:srgbClr w14:val="000000">
                      <w14:alpha w14:val="100000"/>
                    </w14:srgbClr>
                  </w14:solidFill>
                </w14:textFill>
              </w:rPr>
              <w:t>|</w:t>
            </w:r>
            <w:r w:rsidR="00696CF6">
              <w:rPr>
                <w:color w:val="000000"/>
                <w:szCs w:val="20"/>
              </w:rPr>
              <w:t xml:space="preserve"> </w:t>
            </w:r>
            <w:r w:rsidR="00696CF6">
              <w:rPr>
                <w:color w:val="000000"/>
                <w:szCs w:val="20"/>
                <w:vertAlign w:val="superscript"/>
              </w:rPr>
              <w:t>2</w:t>
            </w:r>
          </w:p>
          <w:p w14:paraId="76564FDF" w14:textId="5DC33B07" w:rsidR="006E5DD6" w:rsidRPr="009A4DCA" w:rsidRDefault="006E5DD6" w:rsidP="00C6762E">
            <w:pPr>
              <w:pStyle w:val="Tabletext"/>
              <w:numPr>
                <w:ilvl w:val="0"/>
                <w:numId w:val="42"/>
              </w:numPr>
              <w:ind w:left="357" w:hanging="357"/>
              <w:rPr>
                <w:b/>
              </w:rPr>
            </w:pPr>
            <w:r w:rsidRPr="009A4DCA">
              <w:t>Adults with at least one risk factor aged 60 to 74 years: $</w:t>
            </w:r>
            <w:r w:rsidR="00E44A34" w:rsidRPr="00E44A34">
              <w:rPr>
                <w:color w:val="000000"/>
                <w:spacing w:val="54"/>
                <w:shd w:val="solid" w:color="000000" w:fill="000000"/>
                <w:fitText w:val="333" w:id="-762047744"/>
                <w14:textFill>
                  <w14:solidFill>
                    <w14:srgbClr w14:val="000000">
                      <w14:alpha w14:val="100000"/>
                    </w14:srgbClr>
                  </w14:solidFill>
                </w14:textFill>
              </w:rPr>
              <w:t>|||</w:t>
            </w:r>
            <w:r w:rsidR="00E44A34" w:rsidRPr="00E44A34">
              <w:rPr>
                <w:color w:val="000000"/>
                <w:spacing w:val="1"/>
                <w:shd w:val="solid" w:color="000000" w:fill="000000"/>
                <w:fitText w:val="333" w:id="-762047744"/>
                <w14:textFill>
                  <w14:solidFill>
                    <w14:srgbClr w14:val="000000">
                      <w14:alpha w14:val="100000"/>
                    </w14:srgbClr>
                  </w14:solidFill>
                </w14:textFill>
              </w:rPr>
              <w:t>|</w:t>
            </w:r>
            <w:r w:rsidR="00696CF6">
              <w:rPr>
                <w:color w:val="000000"/>
                <w:szCs w:val="20"/>
              </w:rPr>
              <w:t xml:space="preserve"> </w:t>
            </w:r>
            <w:r w:rsidR="00696CF6">
              <w:rPr>
                <w:color w:val="000000"/>
                <w:szCs w:val="20"/>
                <w:vertAlign w:val="superscript"/>
              </w:rPr>
              <w:t>5</w:t>
            </w:r>
          </w:p>
        </w:tc>
      </w:tr>
      <w:tr w:rsidR="00DA50F1" w:rsidRPr="009A4DCA" w14:paraId="67D18BEE" w14:textId="77777777" w:rsidTr="006F5F86">
        <w:tc>
          <w:tcPr>
            <w:tcW w:w="784" w:type="pct"/>
            <w:shd w:val="clear" w:color="auto" w:fill="auto"/>
            <w:vAlign w:val="center"/>
          </w:tcPr>
          <w:p w14:paraId="186AE8FB" w14:textId="77777777" w:rsidR="00DA50F1" w:rsidRPr="009A4DCA" w:rsidRDefault="00DA50F1" w:rsidP="00E76F4F">
            <w:pPr>
              <w:pStyle w:val="TableText0"/>
            </w:pPr>
            <w:r w:rsidRPr="009A4DCA">
              <w:t>VE peak for hospitalisation</w:t>
            </w:r>
          </w:p>
        </w:tc>
        <w:tc>
          <w:tcPr>
            <w:tcW w:w="864" w:type="pct"/>
            <w:shd w:val="clear" w:color="auto" w:fill="auto"/>
            <w:vAlign w:val="center"/>
          </w:tcPr>
          <w:p w14:paraId="5878AF36" w14:textId="77777777" w:rsidR="00DA50F1" w:rsidRPr="009A4DCA" w:rsidRDefault="00DA50F1" w:rsidP="00E76F4F">
            <w:pPr>
              <w:pStyle w:val="TableText0"/>
            </w:pPr>
            <w:r w:rsidRPr="009A4DCA">
              <w:t>84.6%</w:t>
            </w:r>
          </w:p>
        </w:tc>
        <w:tc>
          <w:tcPr>
            <w:tcW w:w="3352" w:type="pct"/>
            <w:shd w:val="clear" w:color="auto" w:fill="auto"/>
            <w:vAlign w:val="center"/>
          </w:tcPr>
          <w:p w14:paraId="28E69624" w14:textId="77777777" w:rsidR="00DA50F1" w:rsidRPr="009A4DCA" w:rsidRDefault="00DA50F1" w:rsidP="0089782B">
            <w:pPr>
              <w:pStyle w:val="Tabletext"/>
            </w:pPr>
            <w:r w:rsidRPr="009A4DCA">
              <w:t>High, favours RSVpreF</w:t>
            </w:r>
          </w:p>
          <w:p w14:paraId="12004B49" w14:textId="27EF6F0A" w:rsidR="00DA50F1" w:rsidRPr="009A4DCA" w:rsidRDefault="00DA50F1" w:rsidP="0089782B">
            <w:pPr>
              <w:pStyle w:val="Tabletext"/>
            </w:pPr>
            <w:r w:rsidRPr="009A4DCA">
              <w:t>Reducing to 50% increased the ICER to</w:t>
            </w:r>
            <w:r w:rsidR="000375A1" w:rsidRPr="009A4DCA">
              <w:t xml:space="preserve">: </w:t>
            </w:r>
          </w:p>
          <w:p w14:paraId="7AE01399" w14:textId="54D44A03" w:rsidR="000375A1" w:rsidRPr="009A4DCA" w:rsidRDefault="000375A1" w:rsidP="00C6762E">
            <w:pPr>
              <w:pStyle w:val="Tabletext"/>
              <w:numPr>
                <w:ilvl w:val="0"/>
                <w:numId w:val="43"/>
              </w:numPr>
              <w:ind w:left="0"/>
              <w:rPr>
                <w:b/>
              </w:rPr>
            </w:pPr>
            <w:r w:rsidRPr="009A4DCA">
              <w:t>Adults aged ≥75 years: $</w:t>
            </w:r>
            <w:r w:rsidR="00E44A34" w:rsidRPr="00E44A34">
              <w:rPr>
                <w:color w:val="000000"/>
                <w:spacing w:val="28"/>
                <w:shd w:val="solid" w:color="000000" w:fill="000000"/>
                <w:fitText w:val="680" w:id="-762047743"/>
                <w14:textFill>
                  <w14:solidFill>
                    <w14:srgbClr w14:val="000000">
                      <w14:alpha w14:val="100000"/>
                    </w14:srgbClr>
                  </w14:solidFill>
                </w14:textFill>
              </w:rPr>
              <w:t>|||||||||</w:t>
            </w:r>
            <w:r w:rsidR="00E44A34" w:rsidRPr="00E44A34">
              <w:rPr>
                <w:color w:val="000000"/>
                <w:spacing w:val="3"/>
                <w:shd w:val="solid" w:color="000000" w:fill="000000"/>
                <w:fitText w:val="680" w:id="-762047743"/>
                <w14:textFill>
                  <w14:solidFill>
                    <w14:srgbClr w14:val="000000">
                      <w14:alpha w14:val="100000"/>
                    </w14:srgbClr>
                  </w14:solidFill>
                </w14:textFill>
              </w:rPr>
              <w:t>|</w:t>
            </w:r>
            <w:r w:rsidR="003B5853">
              <w:t xml:space="preserve"> </w:t>
            </w:r>
            <w:r w:rsidR="003B5853">
              <w:rPr>
                <w:vertAlign w:val="superscript"/>
              </w:rPr>
              <w:t>4</w:t>
            </w:r>
          </w:p>
          <w:p w14:paraId="1049DFB0" w14:textId="7D7CAE20" w:rsidR="000375A1" w:rsidRPr="009A4DCA" w:rsidRDefault="000375A1" w:rsidP="00C6762E">
            <w:pPr>
              <w:pStyle w:val="Tabletext"/>
              <w:numPr>
                <w:ilvl w:val="0"/>
                <w:numId w:val="43"/>
              </w:numPr>
              <w:ind w:left="0"/>
            </w:pPr>
            <w:r w:rsidRPr="009A4DCA">
              <w:t>Aboriginal and Torres Strait Islander adults aged 60 to 74 years:</w:t>
            </w:r>
            <w:r w:rsidR="00560DC3" w:rsidRPr="009A4DCA">
              <w:t xml:space="preserve"> $</w:t>
            </w:r>
            <w:r w:rsidR="00E44A34" w:rsidRPr="00E44A34">
              <w:rPr>
                <w:color w:val="000000"/>
                <w:spacing w:val="29"/>
                <w:shd w:val="solid" w:color="000000" w:fill="000000"/>
                <w:fitText w:val="694" w:id="-762047742"/>
                <w14:textFill>
                  <w14:solidFill>
                    <w14:srgbClr w14:val="000000">
                      <w14:alpha w14:val="100000"/>
                    </w14:srgbClr>
                  </w14:solidFill>
                </w14:textFill>
              </w:rPr>
              <w:t>|||||||||</w:t>
            </w:r>
            <w:r w:rsidR="00E44A34" w:rsidRPr="00E44A34">
              <w:rPr>
                <w:color w:val="000000"/>
                <w:spacing w:val="8"/>
                <w:shd w:val="solid" w:color="000000" w:fill="000000"/>
                <w:fitText w:val="694" w:id="-762047742"/>
                <w14:textFill>
                  <w14:solidFill>
                    <w14:srgbClr w14:val="000000">
                      <w14:alpha w14:val="100000"/>
                    </w14:srgbClr>
                  </w14:solidFill>
                </w14:textFill>
              </w:rPr>
              <w:t>|</w:t>
            </w:r>
            <w:r w:rsidR="00696CF6">
              <w:rPr>
                <w:color w:val="000000"/>
                <w:szCs w:val="20"/>
              </w:rPr>
              <w:t xml:space="preserve"> </w:t>
            </w:r>
            <w:r w:rsidR="00696CF6">
              <w:rPr>
                <w:color w:val="000000"/>
                <w:szCs w:val="20"/>
                <w:vertAlign w:val="superscript"/>
              </w:rPr>
              <w:t>5</w:t>
            </w:r>
          </w:p>
          <w:p w14:paraId="311AAFA8" w14:textId="5168790D" w:rsidR="006E5DD6" w:rsidRPr="009A4DCA" w:rsidRDefault="006E5DD6" w:rsidP="0089782B">
            <w:pPr>
              <w:pStyle w:val="Tabletext"/>
            </w:pPr>
            <w:r w:rsidRPr="009A4DCA">
              <w:t>Adults with at least one risk factor aged 60 to 74 years: $</w:t>
            </w:r>
            <w:r w:rsidR="00E44A34" w:rsidRPr="00E44A34">
              <w:rPr>
                <w:color w:val="000000"/>
                <w:spacing w:val="54"/>
                <w:shd w:val="solid" w:color="000000" w:fill="000000"/>
                <w:fitText w:val="333" w:id="-762047741"/>
                <w14:textFill>
                  <w14:solidFill>
                    <w14:srgbClr w14:val="000000">
                      <w14:alpha w14:val="100000"/>
                    </w14:srgbClr>
                  </w14:solidFill>
                </w14:textFill>
              </w:rPr>
              <w:t>|||</w:t>
            </w:r>
            <w:r w:rsidR="00E44A34" w:rsidRPr="00E44A34">
              <w:rPr>
                <w:color w:val="000000"/>
                <w:spacing w:val="1"/>
                <w:shd w:val="solid" w:color="000000" w:fill="000000"/>
                <w:fitText w:val="333" w:id="-762047741"/>
                <w14:textFill>
                  <w14:solidFill>
                    <w14:srgbClr w14:val="000000">
                      <w14:alpha w14:val="100000"/>
                    </w14:srgbClr>
                  </w14:solidFill>
                </w14:textFill>
              </w:rPr>
              <w:t>|</w:t>
            </w:r>
            <w:r w:rsidR="00696CF6">
              <w:rPr>
                <w:color w:val="000000"/>
                <w:szCs w:val="20"/>
              </w:rPr>
              <w:t xml:space="preserve"> </w:t>
            </w:r>
            <w:r w:rsidR="00696CF6">
              <w:rPr>
                <w:color w:val="000000"/>
                <w:szCs w:val="20"/>
                <w:vertAlign w:val="superscript"/>
              </w:rPr>
              <w:t>5</w:t>
            </w:r>
          </w:p>
        </w:tc>
      </w:tr>
      <w:tr w:rsidR="00DA50F1" w:rsidRPr="009A4DCA" w14:paraId="6FF2F9E5" w14:textId="77777777" w:rsidTr="006F5F86">
        <w:tc>
          <w:tcPr>
            <w:tcW w:w="784" w:type="pct"/>
            <w:shd w:val="clear" w:color="auto" w:fill="auto"/>
            <w:vAlign w:val="center"/>
          </w:tcPr>
          <w:p w14:paraId="6CF229BC" w14:textId="77777777" w:rsidR="00DA50F1" w:rsidRPr="009A4DCA" w:rsidRDefault="00DA50F1" w:rsidP="00E76F4F">
            <w:pPr>
              <w:pStyle w:val="TableText0"/>
            </w:pPr>
            <w:r w:rsidRPr="009A4DCA">
              <w:t>Truncation of VE</w:t>
            </w:r>
          </w:p>
        </w:tc>
        <w:tc>
          <w:tcPr>
            <w:tcW w:w="864" w:type="pct"/>
            <w:shd w:val="clear" w:color="auto" w:fill="auto"/>
            <w:vAlign w:val="center"/>
          </w:tcPr>
          <w:p w14:paraId="2138104D" w14:textId="77777777" w:rsidR="00DA50F1" w:rsidRPr="009A4DCA" w:rsidRDefault="00DA50F1" w:rsidP="00E76F4F">
            <w:pPr>
              <w:pStyle w:val="TableText0"/>
            </w:pPr>
            <w:r w:rsidRPr="009A4DCA">
              <w:t>48 months</w:t>
            </w:r>
          </w:p>
        </w:tc>
        <w:tc>
          <w:tcPr>
            <w:tcW w:w="3352" w:type="pct"/>
            <w:shd w:val="clear" w:color="auto" w:fill="auto"/>
            <w:vAlign w:val="center"/>
          </w:tcPr>
          <w:p w14:paraId="7ED62F50" w14:textId="77777777" w:rsidR="00DA50F1" w:rsidRPr="009A4DCA" w:rsidRDefault="00DA50F1" w:rsidP="0089782B">
            <w:pPr>
              <w:pStyle w:val="Tabletext"/>
            </w:pPr>
            <w:r w:rsidRPr="009A4DCA">
              <w:t>High, favours RSVpreF</w:t>
            </w:r>
          </w:p>
          <w:p w14:paraId="67936A03" w14:textId="2783A8A7" w:rsidR="00B80343" w:rsidRPr="009A4DCA" w:rsidRDefault="00DA50F1" w:rsidP="0089782B">
            <w:pPr>
              <w:pStyle w:val="Tabletext"/>
            </w:pPr>
            <w:r w:rsidRPr="009A4DCA">
              <w:t>Reducing to 24 months increased the ICER to</w:t>
            </w:r>
            <w:r w:rsidR="00B80343" w:rsidRPr="009A4DCA">
              <w:t xml:space="preserve">: </w:t>
            </w:r>
          </w:p>
          <w:p w14:paraId="1A49D8B0" w14:textId="3B442144" w:rsidR="00B80343" w:rsidRPr="009A4DCA" w:rsidRDefault="00B80343" w:rsidP="00C6762E">
            <w:pPr>
              <w:pStyle w:val="Tabletext"/>
              <w:numPr>
                <w:ilvl w:val="0"/>
                <w:numId w:val="43"/>
              </w:numPr>
              <w:ind w:left="0"/>
              <w:rPr>
                <w:b/>
              </w:rPr>
            </w:pPr>
            <w:r w:rsidRPr="009A4DCA">
              <w:t>Adults aged ≥75 years: $</w:t>
            </w:r>
            <w:r w:rsidR="00E44A34" w:rsidRPr="00E44A34">
              <w:rPr>
                <w:color w:val="000000"/>
                <w:spacing w:val="28"/>
                <w:shd w:val="solid" w:color="000000" w:fill="000000"/>
                <w:fitText w:val="680" w:id="-762047740"/>
                <w14:textFill>
                  <w14:solidFill>
                    <w14:srgbClr w14:val="000000">
                      <w14:alpha w14:val="100000"/>
                    </w14:srgbClr>
                  </w14:solidFill>
                </w14:textFill>
              </w:rPr>
              <w:t>|||||||||</w:t>
            </w:r>
            <w:r w:rsidR="00E44A34" w:rsidRPr="00E44A34">
              <w:rPr>
                <w:color w:val="000000"/>
                <w:spacing w:val="3"/>
                <w:shd w:val="solid" w:color="000000" w:fill="000000"/>
                <w:fitText w:val="680" w:id="-762047740"/>
                <w14:textFill>
                  <w14:solidFill>
                    <w14:srgbClr w14:val="000000">
                      <w14:alpha w14:val="100000"/>
                    </w14:srgbClr>
                  </w14:solidFill>
                </w14:textFill>
              </w:rPr>
              <w:t>|</w:t>
            </w:r>
            <w:r w:rsidR="00696CF6">
              <w:t xml:space="preserve"> </w:t>
            </w:r>
            <w:r w:rsidR="00F54E66">
              <w:rPr>
                <w:color w:val="000000"/>
                <w:szCs w:val="20"/>
                <w:vertAlign w:val="superscript"/>
              </w:rPr>
              <w:t>3</w:t>
            </w:r>
          </w:p>
          <w:p w14:paraId="68A68CAE" w14:textId="40CD3646" w:rsidR="00DA50F1" w:rsidRPr="009A4DCA" w:rsidRDefault="00B80343" w:rsidP="00C6762E">
            <w:pPr>
              <w:pStyle w:val="Tabletext"/>
              <w:numPr>
                <w:ilvl w:val="0"/>
                <w:numId w:val="43"/>
              </w:numPr>
              <w:ind w:left="0"/>
            </w:pPr>
            <w:r w:rsidRPr="009A4DCA">
              <w:t xml:space="preserve">Aboriginal and Torres Strait Islander adults aged 60 to 74 years: </w:t>
            </w:r>
            <w:r w:rsidR="00CC79AD" w:rsidRPr="009A4DCA">
              <w:t>$</w:t>
            </w:r>
            <w:r w:rsidR="00E44A34" w:rsidRPr="00E44A34">
              <w:rPr>
                <w:color w:val="000000"/>
                <w:spacing w:val="29"/>
                <w:shd w:val="solid" w:color="000000" w:fill="000000"/>
                <w:fitText w:val="694" w:id="-762047739"/>
                <w14:textFill>
                  <w14:solidFill>
                    <w14:srgbClr w14:val="000000">
                      <w14:alpha w14:val="100000"/>
                    </w14:srgbClr>
                  </w14:solidFill>
                </w14:textFill>
              </w:rPr>
              <w:t>|||||||||</w:t>
            </w:r>
            <w:r w:rsidR="00E44A34" w:rsidRPr="00E44A34">
              <w:rPr>
                <w:color w:val="000000"/>
                <w:spacing w:val="8"/>
                <w:shd w:val="solid" w:color="000000" w:fill="000000"/>
                <w:fitText w:val="694" w:id="-762047739"/>
                <w14:textFill>
                  <w14:solidFill>
                    <w14:srgbClr w14:val="000000">
                      <w14:alpha w14:val="100000"/>
                    </w14:srgbClr>
                  </w14:solidFill>
                </w14:textFill>
              </w:rPr>
              <w:t>|</w:t>
            </w:r>
            <w:r w:rsidR="00696CF6">
              <w:t xml:space="preserve"> </w:t>
            </w:r>
            <w:r w:rsidR="00696CF6">
              <w:rPr>
                <w:color w:val="000000"/>
                <w:szCs w:val="20"/>
                <w:vertAlign w:val="superscript"/>
              </w:rPr>
              <w:t>1</w:t>
            </w:r>
          </w:p>
          <w:p w14:paraId="79E20BFE" w14:textId="4720BAE5" w:rsidR="006E5DD6" w:rsidRPr="009A4DCA" w:rsidRDefault="006E5DD6" w:rsidP="0089782B">
            <w:pPr>
              <w:pStyle w:val="Tabletext"/>
            </w:pPr>
            <w:r w:rsidRPr="009A4DCA">
              <w:t>Adults with at least one risk factor aged 60 to 74 years: $</w:t>
            </w:r>
            <w:r w:rsidR="00E44A34" w:rsidRPr="00E44A34">
              <w:rPr>
                <w:color w:val="000000"/>
                <w:spacing w:val="54"/>
                <w:shd w:val="solid" w:color="000000" w:fill="000000"/>
                <w:fitText w:val="333" w:id="-762047738"/>
                <w14:textFill>
                  <w14:solidFill>
                    <w14:srgbClr w14:val="000000">
                      <w14:alpha w14:val="100000"/>
                    </w14:srgbClr>
                  </w14:solidFill>
                </w14:textFill>
              </w:rPr>
              <w:t>|||</w:t>
            </w:r>
            <w:r w:rsidR="00E44A34" w:rsidRPr="00E44A34">
              <w:rPr>
                <w:color w:val="000000"/>
                <w:spacing w:val="1"/>
                <w:shd w:val="solid" w:color="000000" w:fill="000000"/>
                <w:fitText w:val="333" w:id="-762047738"/>
                <w14:textFill>
                  <w14:solidFill>
                    <w14:srgbClr w14:val="000000">
                      <w14:alpha w14:val="100000"/>
                    </w14:srgbClr>
                  </w14:solidFill>
                </w14:textFill>
              </w:rPr>
              <w:t>|</w:t>
            </w:r>
            <w:r w:rsidR="00696CF6">
              <w:t xml:space="preserve"> </w:t>
            </w:r>
            <w:r w:rsidR="00696CF6">
              <w:rPr>
                <w:color w:val="000000"/>
                <w:szCs w:val="20"/>
                <w:vertAlign w:val="superscript"/>
              </w:rPr>
              <w:t>1</w:t>
            </w:r>
          </w:p>
        </w:tc>
      </w:tr>
    </w:tbl>
    <w:p w14:paraId="5769B250" w14:textId="63C8660D" w:rsidR="00DA50F1" w:rsidRPr="009A4DCA" w:rsidRDefault="00DA50F1" w:rsidP="006A235A">
      <w:pPr>
        <w:pStyle w:val="FooterTableFigure"/>
        <w:keepNext/>
        <w:keepLines/>
      </w:pPr>
      <w:r w:rsidRPr="009A4DCA">
        <w:t xml:space="preserve">Source: </w:t>
      </w:r>
      <w:r w:rsidR="009D0157" w:rsidRPr="009A4DCA">
        <w:t xml:space="preserve">Compiled during the evaluation. </w:t>
      </w:r>
    </w:p>
    <w:p w14:paraId="6D96E0CF" w14:textId="71CB2DE0" w:rsidR="00481415" w:rsidRPr="009A4DCA" w:rsidRDefault="00481415" w:rsidP="006A235A">
      <w:pPr>
        <w:pStyle w:val="FooterTableFigure"/>
        <w:keepNext/>
        <w:keepLines/>
      </w:pPr>
      <w:r w:rsidRPr="009A4DCA">
        <w:t>ATAGI = Australian Technical Advisory Group on Immunisation; CI = confidence interval; hCFR = hospital case fatality ratio; ICER = incremental cost effectiveness ratio; QALY = quality adjusted life years; RSVpreF = recombinant respiratory syncytial virus prefusion F protein vaccine; VE = vaccine efficacy.</w:t>
      </w:r>
    </w:p>
    <w:p w14:paraId="0CEA851A" w14:textId="6D804604" w:rsidR="00DA50F1" w:rsidRDefault="00DA50F1" w:rsidP="004B1120">
      <w:pPr>
        <w:pStyle w:val="FooterTableFigure"/>
        <w:keepNext/>
        <w:keepLines/>
        <w:spacing w:after="0"/>
      </w:pPr>
      <w:r w:rsidRPr="009A4DCA">
        <w:t xml:space="preserve">Table is based on adults aged ≥75 years, and not other populations. </w:t>
      </w:r>
    </w:p>
    <w:p w14:paraId="390C757D" w14:textId="77777777" w:rsidR="004B1120" w:rsidRPr="009A6D58" w:rsidRDefault="004B1120" w:rsidP="004B112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E041C18" w14:textId="70BDF971" w:rsidR="004B1120" w:rsidRPr="009A6D58" w:rsidRDefault="004B1120" w:rsidP="004B112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0C697A" w:rsidRPr="000C697A">
        <w:rPr>
          <w:rFonts w:ascii="Arial Narrow" w:hAnsi="Arial Narrow"/>
          <w:i/>
          <w:sz w:val="18"/>
          <w:szCs w:val="18"/>
        </w:rPr>
        <w:t>$15,000 to &lt; $25,000</w:t>
      </w:r>
    </w:p>
    <w:p w14:paraId="6EB69CD5" w14:textId="4A1E62DE" w:rsidR="004B1120" w:rsidRPr="009A6D58" w:rsidRDefault="004B1120" w:rsidP="004B112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3564DB" w:rsidRPr="003564DB">
        <w:rPr>
          <w:rFonts w:ascii="Arial Narrow" w:hAnsi="Arial Narrow"/>
          <w:i/>
          <w:sz w:val="18"/>
          <w:szCs w:val="18"/>
        </w:rPr>
        <w:t>$5,000 to &lt; $15,000</w:t>
      </w:r>
    </w:p>
    <w:p w14:paraId="6EAB8898" w14:textId="7F53B36A" w:rsidR="004B1120" w:rsidRDefault="004B1120" w:rsidP="004B1120">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47C49" w:rsidRPr="00647C49">
        <w:rPr>
          <w:rFonts w:ascii="Arial Narrow" w:hAnsi="Arial Narrow"/>
          <w:i/>
          <w:sz w:val="18"/>
          <w:szCs w:val="18"/>
        </w:rPr>
        <w:t>$35,000 to &lt; $45,000</w:t>
      </w:r>
    </w:p>
    <w:p w14:paraId="45A41ABE" w14:textId="47834DB3" w:rsidR="004B1120" w:rsidRDefault="004B1120" w:rsidP="004B1120">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CE1F54" w:rsidRPr="00CE1F54">
        <w:rPr>
          <w:rFonts w:ascii="Arial Narrow" w:hAnsi="Arial Narrow"/>
          <w:i/>
          <w:sz w:val="18"/>
          <w:szCs w:val="18"/>
        </w:rPr>
        <w:t>$55,000 to &lt; $75,000</w:t>
      </w:r>
    </w:p>
    <w:p w14:paraId="43A2B7AD" w14:textId="50DC6537" w:rsidR="004B1120" w:rsidRDefault="004B1120" w:rsidP="004B1120">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3C124E" w:rsidRPr="003C124E">
        <w:rPr>
          <w:rFonts w:ascii="Arial Narrow" w:hAnsi="Arial Narrow"/>
          <w:i/>
          <w:sz w:val="18"/>
          <w:szCs w:val="18"/>
        </w:rPr>
        <w:t>$25,000 to &lt; $35,000</w:t>
      </w:r>
    </w:p>
    <w:p w14:paraId="3B04A5BA" w14:textId="128C2462" w:rsidR="004B1120" w:rsidRPr="004B1120" w:rsidRDefault="004B1120" w:rsidP="004B1120">
      <w:pPr>
        <w:spacing w:after="12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4125C7" w:rsidRPr="004125C7">
        <w:rPr>
          <w:rFonts w:ascii="Arial Narrow" w:hAnsi="Arial Narrow"/>
          <w:i/>
          <w:sz w:val="18"/>
          <w:szCs w:val="18"/>
        </w:rPr>
        <w:t>$45,000 to &lt; $55,000</w:t>
      </w:r>
    </w:p>
    <w:p w14:paraId="1C00E85A" w14:textId="5D59D87B" w:rsidR="00DA50F1" w:rsidRPr="009A4DCA" w:rsidRDefault="00DA50F1" w:rsidP="00DA50F1">
      <w:pPr>
        <w:pStyle w:val="3-BodyText"/>
        <w:numPr>
          <w:ilvl w:val="1"/>
          <w:numId w:val="1"/>
        </w:numPr>
        <w:spacing w:before="0"/>
      </w:pPr>
      <w:r w:rsidRPr="009A4DCA">
        <w:t xml:space="preserve">Results of the economic evaluation are provided in </w:t>
      </w:r>
      <w:r w:rsidRPr="009A4DCA">
        <w:fldChar w:fldCharType="begin"/>
      </w:r>
      <w:r w:rsidRPr="009A4DCA">
        <w:instrText xml:space="preserve"> REF _Ref175668574 \h </w:instrText>
      </w:r>
      <w:r w:rsidRPr="009A4DCA">
        <w:fldChar w:fldCharType="separate"/>
      </w:r>
      <w:r w:rsidR="007B2F50" w:rsidRPr="009A4DCA">
        <w:t xml:space="preserve">Table </w:t>
      </w:r>
      <w:r w:rsidR="007B2F50">
        <w:rPr>
          <w:noProof/>
        </w:rPr>
        <w:t>16</w:t>
      </w:r>
      <w:r w:rsidRPr="009A4DCA">
        <w:fldChar w:fldCharType="end"/>
      </w:r>
      <w:r w:rsidRPr="009A4DCA">
        <w:t>.</w:t>
      </w:r>
    </w:p>
    <w:p w14:paraId="69DE771F" w14:textId="393E5432" w:rsidR="00DA50F1" w:rsidRPr="009A4DCA" w:rsidRDefault="00DA50F1" w:rsidP="00BE2884">
      <w:pPr>
        <w:pStyle w:val="TableFigureHeading"/>
        <w:keepLines/>
        <w:rPr>
          <w:rStyle w:val="CommentReference"/>
          <w:b/>
          <w:szCs w:val="24"/>
        </w:rPr>
      </w:pPr>
      <w:bookmarkStart w:id="75" w:name="_Ref175668574"/>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16</w:t>
      </w:r>
      <w:r w:rsidR="00491347">
        <w:fldChar w:fldCharType="end"/>
      </w:r>
      <w:bookmarkEnd w:id="75"/>
      <w:r w:rsidRPr="009A4DCA">
        <w:t>:</w:t>
      </w:r>
      <w:r w:rsidRPr="009A4DCA">
        <w:rPr>
          <w:rStyle w:val="CommentReference"/>
          <w:b/>
          <w:szCs w:val="24"/>
        </w:rPr>
        <w:t xml:space="preserve"> Results of the econom</w:t>
      </w:r>
      <w:r w:rsidRPr="009A4DCA">
        <w:t>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1843"/>
        <w:gridCol w:w="1843"/>
        <w:gridCol w:w="1650"/>
      </w:tblGrid>
      <w:tr w:rsidR="00DA50F1" w:rsidRPr="009A4DCA" w14:paraId="24E1DD0D" w14:textId="77777777" w:rsidTr="00FF3011">
        <w:trPr>
          <w:tblHeader/>
        </w:trPr>
        <w:tc>
          <w:tcPr>
            <w:tcW w:w="2041" w:type="pct"/>
            <w:vAlign w:val="center"/>
          </w:tcPr>
          <w:p w14:paraId="168CC378" w14:textId="77777777" w:rsidR="00DA50F1" w:rsidRPr="009A4DCA" w:rsidRDefault="00DA50F1" w:rsidP="00BE2884">
            <w:pPr>
              <w:keepNext/>
              <w:keepLines/>
              <w:jc w:val="left"/>
              <w:rPr>
                <w:rFonts w:ascii="Arial Narrow" w:hAnsi="Arial Narrow"/>
                <w:b/>
                <w:bCs/>
                <w:sz w:val="20"/>
                <w:szCs w:val="20"/>
              </w:rPr>
            </w:pPr>
          </w:p>
        </w:tc>
        <w:tc>
          <w:tcPr>
            <w:tcW w:w="1022" w:type="pct"/>
            <w:vAlign w:val="center"/>
          </w:tcPr>
          <w:p w14:paraId="313398F4" w14:textId="77777777" w:rsidR="00DA50F1" w:rsidRPr="009A4DCA" w:rsidRDefault="00DA50F1" w:rsidP="00BE2884">
            <w:pPr>
              <w:keepNext/>
              <w:keepLines/>
              <w:jc w:val="center"/>
              <w:rPr>
                <w:rFonts w:ascii="Arial Narrow" w:hAnsi="Arial Narrow"/>
                <w:b/>
                <w:bCs/>
                <w:sz w:val="20"/>
                <w:szCs w:val="20"/>
              </w:rPr>
            </w:pPr>
            <w:r w:rsidRPr="009A4DCA">
              <w:rPr>
                <w:rFonts w:ascii="Arial Narrow" w:hAnsi="Arial Narrow"/>
                <w:b/>
                <w:bCs/>
                <w:sz w:val="20"/>
                <w:szCs w:val="20"/>
              </w:rPr>
              <w:t>RSVpreF</w:t>
            </w:r>
          </w:p>
        </w:tc>
        <w:tc>
          <w:tcPr>
            <w:tcW w:w="1022" w:type="pct"/>
            <w:vAlign w:val="center"/>
          </w:tcPr>
          <w:p w14:paraId="237F919F" w14:textId="77777777" w:rsidR="00DA50F1" w:rsidRPr="009A4DCA" w:rsidRDefault="00DA50F1" w:rsidP="00BE2884">
            <w:pPr>
              <w:keepNext/>
              <w:keepLines/>
              <w:jc w:val="center"/>
              <w:rPr>
                <w:rFonts w:ascii="Arial Narrow" w:hAnsi="Arial Narrow"/>
                <w:b/>
                <w:bCs/>
                <w:sz w:val="20"/>
                <w:szCs w:val="20"/>
              </w:rPr>
            </w:pPr>
            <w:r w:rsidRPr="009A4DCA">
              <w:rPr>
                <w:rFonts w:ascii="Arial Narrow" w:hAnsi="Arial Narrow"/>
                <w:b/>
                <w:bCs/>
                <w:sz w:val="20"/>
                <w:szCs w:val="20"/>
              </w:rPr>
              <w:t>No Vaccination</w:t>
            </w:r>
          </w:p>
        </w:tc>
        <w:tc>
          <w:tcPr>
            <w:tcW w:w="915" w:type="pct"/>
            <w:vAlign w:val="center"/>
          </w:tcPr>
          <w:p w14:paraId="70025773" w14:textId="77777777" w:rsidR="00DA50F1" w:rsidRPr="009A4DCA" w:rsidRDefault="00DA50F1" w:rsidP="00BE2884">
            <w:pPr>
              <w:keepNext/>
              <w:keepLines/>
              <w:jc w:val="center"/>
              <w:rPr>
                <w:rFonts w:ascii="Arial Narrow" w:hAnsi="Arial Narrow"/>
                <w:b/>
                <w:bCs/>
                <w:sz w:val="20"/>
                <w:szCs w:val="20"/>
              </w:rPr>
            </w:pPr>
            <w:r w:rsidRPr="009A4DCA">
              <w:rPr>
                <w:rFonts w:ascii="Arial Narrow" w:hAnsi="Arial Narrow"/>
                <w:b/>
                <w:bCs/>
                <w:sz w:val="20"/>
                <w:szCs w:val="20"/>
              </w:rPr>
              <w:t>Increment</w:t>
            </w:r>
          </w:p>
        </w:tc>
      </w:tr>
      <w:tr w:rsidR="00DA50F1" w:rsidRPr="009A4DCA" w14:paraId="30A4CFDF" w14:textId="77777777" w:rsidTr="00E6468C">
        <w:tc>
          <w:tcPr>
            <w:tcW w:w="5000" w:type="pct"/>
            <w:gridSpan w:val="4"/>
            <w:vAlign w:val="center"/>
          </w:tcPr>
          <w:p w14:paraId="01A84D29" w14:textId="5971A013" w:rsidR="00DA50F1" w:rsidRPr="009A4DCA" w:rsidRDefault="00DA50F1" w:rsidP="00BE2884">
            <w:pPr>
              <w:keepNext/>
              <w:keepLines/>
              <w:jc w:val="left"/>
              <w:rPr>
                <w:rFonts w:ascii="Arial Narrow" w:hAnsi="Arial Narrow"/>
                <w:b/>
                <w:bCs/>
                <w:sz w:val="20"/>
                <w:szCs w:val="20"/>
              </w:rPr>
            </w:pPr>
            <w:r w:rsidRPr="009A4DCA">
              <w:rPr>
                <w:rFonts w:ascii="Arial Narrow" w:hAnsi="Arial Narrow"/>
                <w:b/>
                <w:bCs/>
                <w:sz w:val="20"/>
                <w:szCs w:val="20"/>
              </w:rPr>
              <w:t>Discounted (5%): aged ≥75 years</w:t>
            </w:r>
          </w:p>
        </w:tc>
      </w:tr>
      <w:tr w:rsidR="00DA50F1" w:rsidRPr="009A4DCA" w14:paraId="26AD9FE6" w14:textId="77777777" w:rsidTr="00E6468C">
        <w:tc>
          <w:tcPr>
            <w:tcW w:w="2041" w:type="pct"/>
            <w:vAlign w:val="center"/>
          </w:tcPr>
          <w:p w14:paraId="3DC77DC6"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Costs</w:t>
            </w:r>
          </w:p>
        </w:tc>
        <w:tc>
          <w:tcPr>
            <w:tcW w:w="1022" w:type="pct"/>
            <w:vAlign w:val="center"/>
          </w:tcPr>
          <w:p w14:paraId="2930D927" w14:textId="2E02383F"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22" w:type="pct"/>
            <w:vAlign w:val="center"/>
          </w:tcPr>
          <w:p w14:paraId="52078296"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$266.76</w:t>
            </w:r>
          </w:p>
        </w:tc>
        <w:tc>
          <w:tcPr>
            <w:tcW w:w="915" w:type="pct"/>
            <w:vAlign w:val="center"/>
          </w:tcPr>
          <w:p w14:paraId="05299108" w14:textId="126BBE83"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p>
        </w:tc>
      </w:tr>
      <w:tr w:rsidR="00DA50F1" w:rsidRPr="009A4DCA" w14:paraId="6D9B0441" w14:textId="77777777" w:rsidTr="00E6468C">
        <w:tc>
          <w:tcPr>
            <w:tcW w:w="2041" w:type="pct"/>
            <w:vAlign w:val="center"/>
          </w:tcPr>
          <w:p w14:paraId="6DDBF2AC"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QALYs</w:t>
            </w:r>
          </w:p>
        </w:tc>
        <w:tc>
          <w:tcPr>
            <w:tcW w:w="1022" w:type="pct"/>
            <w:vAlign w:val="center"/>
          </w:tcPr>
          <w:p w14:paraId="29F9B290"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5.5567</w:t>
            </w:r>
          </w:p>
        </w:tc>
        <w:tc>
          <w:tcPr>
            <w:tcW w:w="1022" w:type="pct"/>
            <w:vAlign w:val="center"/>
          </w:tcPr>
          <w:p w14:paraId="6B43FE60"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5.5516</w:t>
            </w:r>
          </w:p>
        </w:tc>
        <w:tc>
          <w:tcPr>
            <w:tcW w:w="915" w:type="pct"/>
            <w:vAlign w:val="center"/>
          </w:tcPr>
          <w:p w14:paraId="2A828E54"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0.0051</w:t>
            </w:r>
          </w:p>
        </w:tc>
      </w:tr>
      <w:tr w:rsidR="00DA50F1" w:rsidRPr="009A4DCA" w14:paraId="3BD96D84" w14:textId="77777777" w:rsidTr="00E6468C">
        <w:tc>
          <w:tcPr>
            <w:tcW w:w="4085" w:type="pct"/>
            <w:gridSpan w:val="3"/>
            <w:vAlign w:val="center"/>
          </w:tcPr>
          <w:p w14:paraId="6EFF2659"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Incremental cost/ QALY gained</w:t>
            </w:r>
          </w:p>
        </w:tc>
        <w:tc>
          <w:tcPr>
            <w:tcW w:w="915" w:type="pct"/>
            <w:vAlign w:val="center"/>
          </w:tcPr>
          <w:p w14:paraId="4D6F2489" w14:textId="68F86211" w:rsidR="00DA50F1" w:rsidRPr="00FD0B3E" w:rsidRDefault="00DA50F1" w:rsidP="00BE2884">
            <w:pPr>
              <w:keepNext/>
              <w:keepLines/>
              <w:jc w:val="center"/>
              <w:rPr>
                <w:rFonts w:ascii="Arial Narrow" w:hAnsi="Arial Narrow"/>
                <w:i/>
                <w:sz w:val="20"/>
                <w:szCs w:val="20"/>
                <w:vertAlign w:val="superscript"/>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r w:rsidR="00FD0B3E">
              <w:rPr>
                <w:rFonts w:ascii="Arial Narrow" w:hAnsi="Arial Narrow"/>
                <w:sz w:val="20"/>
                <w:szCs w:val="20"/>
              </w:rPr>
              <w:t xml:space="preserve"> </w:t>
            </w:r>
            <w:r w:rsidR="00FD0B3E">
              <w:rPr>
                <w:rFonts w:ascii="Arial Narrow" w:hAnsi="Arial Narrow"/>
                <w:sz w:val="20"/>
                <w:szCs w:val="20"/>
                <w:vertAlign w:val="superscript"/>
              </w:rPr>
              <w:t>1</w:t>
            </w:r>
          </w:p>
        </w:tc>
      </w:tr>
      <w:tr w:rsidR="00DA50F1" w:rsidRPr="009A4DCA" w14:paraId="78ADE41C" w14:textId="77777777" w:rsidTr="00E6468C">
        <w:tc>
          <w:tcPr>
            <w:tcW w:w="5000" w:type="pct"/>
            <w:gridSpan w:val="4"/>
            <w:vAlign w:val="center"/>
          </w:tcPr>
          <w:p w14:paraId="3E37AB28" w14:textId="464102BE" w:rsidR="00DA50F1" w:rsidRPr="009A4DCA" w:rsidRDefault="00DA50F1" w:rsidP="00BE2884">
            <w:pPr>
              <w:keepNext/>
              <w:keepLines/>
              <w:jc w:val="left"/>
              <w:rPr>
                <w:rFonts w:ascii="Arial Narrow" w:hAnsi="Arial Narrow"/>
                <w:b/>
                <w:bCs/>
                <w:sz w:val="20"/>
                <w:szCs w:val="20"/>
              </w:rPr>
            </w:pPr>
            <w:r w:rsidRPr="009A4DCA">
              <w:rPr>
                <w:rFonts w:ascii="Arial Narrow" w:hAnsi="Arial Narrow"/>
                <w:b/>
                <w:bCs/>
                <w:sz w:val="20"/>
                <w:szCs w:val="20"/>
              </w:rPr>
              <w:t>Discounted (5%): Aboriginal or Torres Strait Islander, aged 60</w:t>
            </w:r>
            <w:r w:rsidR="00CF1E75" w:rsidRPr="009A4DCA">
              <w:rPr>
                <w:rFonts w:ascii="Arial Narrow" w:hAnsi="Arial Narrow"/>
                <w:b/>
                <w:bCs/>
                <w:sz w:val="20"/>
                <w:szCs w:val="20"/>
              </w:rPr>
              <w:t xml:space="preserve"> to </w:t>
            </w:r>
            <w:r w:rsidRPr="009A4DCA">
              <w:rPr>
                <w:rFonts w:ascii="Arial Narrow" w:hAnsi="Arial Narrow"/>
                <w:b/>
                <w:bCs/>
                <w:sz w:val="20"/>
                <w:szCs w:val="20"/>
              </w:rPr>
              <w:t>74 years</w:t>
            </w:r>
          </w:p>
        </w:tc>
      </w:tr>
      <w:tr w:rsidR="00DA50F1" w:rsidRPr="009A4DCA" w14:paraId="6E48E133" w14:textId="77777777" w:rsidTr="00E6468C">
        <w:tc>
          <w:tcPr>
            <w:tcW w:w="2041" w:type="pct"/>
            <w:vAlign w:val="center"/>
          </w:tcPr>
          <w:p w14:paraId="42150A6C"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Costs</w:t>
            </w:r>
          </w:p>
        </w:tc>
        <w:tc>
          <w:tcPr>
            <w:tcW w:w="1022" w:type="pct"/>
            <w:vAlign w:val="center"/>
          </w:tcPr>
          <w:p w14:paraId="3C3D9BA4" w14:textId="1B79CA5D"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22" w:type="pct"/>
            <w:vAlign w:val="center"/>
          </w:tcPr>
          <w:p w14:paraId="2288A438"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$661.63</w:t>
            </w:r>
          </w:p>
        </w:tc>
        <w:tc>
          <w:tcPr>
            <w:tcW w:w="915" w:type="pct"/>
            <w:vAlign w:val="center"/>
          </w:tcPr>
          <w:p w14:paraId="6F10B050" w14:textId="1794F051"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p>
        </w:tc>
      </w:tr>
      <w:tr w:rsidR="00DA50F1" w:rsidRPr="009A4DCA" w14:paraId="03D9E202" w14:textId="77777777" w:rsidTr="00E6468C">
        <w:tc>
          <w:tcPr>
            <w:tcW w:w="2041" w:type="pct"/>
            <w:vAlign w:val="center"/>
          </w:tcPr>
          <w:p w14:paraId="7CF45058"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QALYs</w:t>
            </w:r>
          </w:p>
        </w:tc>
        <w:tc>
          <w:tcPr>
            <w:tcW w:w="1022" w:type="pct"/>
            <w:vAlign w:val="center"/>
          </w:tcPr>
          <w:p w14:paraId="43BB32AF"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9.4299</w:t>
            </w:r>
          </w:p>
        </w:tc>
        <w:tc>
          <w:tcPr>
            <w:tcW w:w="1022" w:type="pct"/>
            <w:vAlign w:val="center"/>
          </w:tcPr>
          <w:p w14:paraId="7F944102"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9.4204</w:t>
            </w:r>
          </w:p>
        </w:tc>
        <w:tc>
          <w:tcPr>
            <w:tcW w:w="915" w:type="pct"/>
            <w:vAlign w:val="center"/>
          </w:tcPr>
          <w:p w14:paraId="758ED6F8"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0.0095</w:t>
            </w:r>
          </w:p>
        </w:tc>
      </w:tr>
      <w:tr w:rsidR="00DA50F1" w:rsidRPr="009A4DCA" w14:paraId="06CA3DF2" w14:textId="77777777" w:rsidTr="00E6468C">
        <w:tc>
          <w:tcPr>
            <w:tcW w:w="4085" w:type="pct"/>
            <w:gridSpan w:val="3"/>
            <w:vAlign w:val="center"/>
          </w:tcPr>
          <w:p w14:paraId="58C00838"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Incremental cost/ QALY gained</w:t>
            </w:r>
          </w:p>
        </w:tc>
        <w:tc>
          <w:tcPr>
            <w:tcW w:w="915" w:type="pct"/>
            <w:vAlign w:val="center"/>
          </w:tcPr>
          <w:p w14:paraId="5A082D99" w14:textId="68D1BC68"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r w:rsidR="00FD0B3E">
              <w:rPr>
                <w:rFonts w:ascii="Arial Narrow" w:hAnsi="Arial Narrow"/>
                <w:sz w:val="20"/>
                <w:szCs w:val="20"/>
              </w:rPr>
              <w:t xml:space="preserve"> </w:t>
            </w:r>
            <w:r w:rsidR="00FD0B3E">
              <w:rPr>
                <w:rFonts w:ascii="Arial Narrow" w:hAnsi="Arial Narrow"/>
                <w:sz w:val="20"/>
                <w:szCs w:val="20"/>
                <w:vertAlign w:val="superscript"/>
              </w:rPr>
              <w:t>2</w:t>
            </w:r>
          </w:p>
        </w:tc>
      </w:tr>
      <w:tr w:rsidR="00DA50F1" w:rsidRPr="009A4DCA" w14:paraId="63733A16" w14:textId="77777777" w:rsidTr="00E6468C">
        <w:tc>
          <w:tcPr>
            <w:tcW w:w="5000" w:type="pct"/>
            <w:gridSpan w:val="4"/>
            <w:vAlign w:val="center"/>
          </w:tcPr>
          <w:p w14:paraId="64C48D72" w14:textId="0D262B2A" w:rsidR="00DA50F1" w:rsidRPr="009A4DCA" w:rsidRDefault="00DA50F1" w:rsidP="00BE2884">
            <w:pPr>
              <w:keepNext/>
              <w:keepLines/>
              <w:jc w:val="left"/>
              <w:rPr>
                <w:rFonts w:ascii="Arial Narrow" w:hAnsi="Arial Narrow"/>
                <w:b/>
                <w:bCs/>
                <w:sz w:val="20"/>
                <w:szCs w:val="20"/>
              </w:rPr>
            </w:pPr>
            <w:r w:rsidRPr="009A4DCA">
              <w:rPr>
                <w:rFonts w:ascii="Arial Narrow" w:hAnsi="Arial Narrow"/>
                <w:b/>
                <w:bCs/>
                <w:sz w:val="20"/>
                <w:szCs w:val="20"/>
              </w:rPr>
              <w:t>Discounted (5%): aged 60</w:t>
            </w:r>
            <w:r w:rsidR="00CF1E75" w:rsidRPr="009A4DCA">
              <w:rPr>
                <w:rFonts w:ascii="Arial Narrow" w:hAnsi="Arial Narrow"/>
                <w:b/>
                <w:bCs/>
                <w:sz w:val="20"/>
                <w:szCs w:val="20"/>
              </w:rPr>
              <w:t xml:space="preserve"> to </w:t>
            </w:r>
            <w:r w:rsidRPr="009A4DCA">
              <w:rPr>
                <w:rFonts w:ascii="Arial Narrow" w:hAnsi="Arial Narrow"/>
                <w:b/>
                <w:bCs/>
                <w:sz w:val="20"/>
                <w:szCs w:val="20"/>
              </w:rPr>
              <w:t>74 HR</w:t>
            </w:r>
          </w:p>
        </w:tc>
      </w:tr>
      <w:tr w:rsidR="00DA50F1" w:rsidRPr="009A4DCA" w14:paraId="2CC828EA" w14:textId="77777777" w:rsidTr="00E6468C">
        <w:tc>
          <w:tcPr>
            <w:tcW w:w="2041" w:type="pct"/>
            <w:vAlign w:val="center"/>
          </w:tcPr>
          <w:p w14:paraId="56883881"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Costs</w:t>
            </w:r>
          </w:p>
        </w:tc>
        <w:tc>
          <w:tcPr>
            <w:tcW w:w="1022" w:type="pct"/>
            <w:vAlign w:val="center"/>
          </w:tcPr>
          <w:p w14:paraId="42EC96E3" w14:textId="0245ACB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22" w:type="pct"/>
            <w:vAlign w:val="center"/>
          </w:tcPr>
          <w:p w14:paraId="09655D22"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$499.23</w:t>
            </w:r>
          </w:p>
        </w:tc>
        <w:tc>
          <w:tcPr>
            <w:tcW w:w="915" w:type="pct"/>
            <w:vAlign w:val="center"/>
          </w:tcPr>
          <w:p w14:paraId="10B28C97" w14:textId="74A3AF4E"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p>
        </w:tc>
      </w:tr>
      <w:tr w:rsidR="00DA50F1" w:rsidRPr="009A4DCA" w14:paraId="45693FF5" w14:textId="77777777" w:rsidTr="00E6468C">
        <w:tc>
          <w:tcPr>
            <w:tcW w:w="2041" w:type="pct"/>
            <w:vAlign w:val="center"/>
          </w:tcPr>
          <w:p w14:paraId="15D66B5B"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QALYs</w:t>
            </w:r>
          </w:p>
        </w:tc>
        <w:tc>
          <w:tcPr>
            <w:tcW w:w="1022" w:type="pct"/>
            <w:vAlign w:val="center"/>
          </w:tcPr>
          <w:p w14:paraId="5DE14D6F"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10.6546</w:t>
            </w:r>
          </w:p>
        </w:tc>
        <w:tc>
          <w:tcPr>
            <w:tcW w:w="1022" w:type="pct"/>
            <w:vAlign w:val="center"/>
          </w:tcPr>
          <w:p w14:paraId="27649130"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10.6440</w:t>
            </w:r>
          </w:p>
        </w:tc>
        <w:tc>
          <w:tcPr>
            <w:tcW w:w="915" w:type="pct"/>
            <w:vAlign w:val="center"/>
          </w:tcPr>
          <w:p w14:paraId="5822AD90" w14:textId="77777777"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0.0107</w:t>
            </w:r>
          </w:p>
        </w:tc>
      </w:tr>
      <w:tr w:rsidR="00DA50F1" w:rsidRPr="009A4DCA" w14:paraId="2D5903F9" w14:textId="77777777" w:rsidTr="00E6468C">
        <w:tc>
          <w:tcPr>
            <w:tcW w:w="4085" w:type="pct"/>
            <w:gridSpan w:val="3"/>
            <w:vAlign w:val="center"/>
          </w:tcPr>
          <w:p w14:paraId="71C78141" w14:textId="77777777" w:rsidR="00DA50F1" w:rsidRPr="009A4DCA" w:rsidRDefault="00DA50F1" w:rsidP="00BE2884">
            <w:pPr>
              <w:keepNext/>
              <w:keepLines/>
              <w:jc w:val="left"/>
              <w:rPr>
                <w:rFonts w:ascii="Arial Narrow" w:hAnsi="Arial Narrow"/>
                <w:i/>
                <w:sz w:val="20"/>
                <w:szCs w:val="20"/>
              </w:rPr>
            </w:pPr>
            <w:r w:rsidRPr="009A4DCA">
              <w:rPr>
                <w:rFonts w:ascii="Arial Narrow" w:hAnsi="Arial Narrow"/>
                <w:sz w:val="20"/>
                <w:szCs w:val="20"/>
              </w:rPr>
              <w:t>Incremental cost/ QALY gained</w:t>
            </w:r>
          </w:p>
        </w:tc>
        <w:tc>
          <w:tcPr>
            <w:tcW w:w="915" w:type="pct"/>
            <w:vAlign w:val="center"/>
          </w:tcPr>
          <w:p w14:paraId="0DB67FFF" w14:textId="1CA64BE1" w:rsidR="00DA50F1" w:rsidRPr="009A4DCA" w:rsidRDefault="00DA50F1" w:rsidP="00BE2884">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z w:val="20"/>
                <w:szCs w:val="20"/>
                <w:shd w:val="solid" w:color="000000" w:fill="000000"/>
                <w14:textFill>
                  <w14:solidFill>
                    <w14:srgbClr w14:val="000000">
                      <w14:alpha w14:val="100000"/>
                    </w14:srgbClr>
                  </w14:solidFill>
                </w14:textFill>
              </w:rPr>
              <w:t>|</w:t>
            </w:r>
            <w:r w:rsidR="00FD0B3E">
              <w:rPr>
                <w:rFonts w:ascii="Arial Narrow" w:hAnsi="Arial Narrow"/>
                <w:sz w:val="20"/>
                <w:szCs w:val="20"/>
              </w:rPr>
              <w:t xml:space="preserve"> </w:t>
            </w:r>
            <w:r w:rsidR="00FD0B3E">
              <w:rPr>
                <w:rFonts w:ascii="Arial Narrow" w:hAnsi="Arial Narrow"/>
                <w:sz w:val="20"/>
                <w:szCs w:val="20"/>
                <w:vertAlign w:val="superscript"/>
              </w:rPr>
              <w:t>2</w:t>
            </w:r>
          </w:p>
        </w:tc>
      </w:tr>
    </w:tbl>
    <w:p w14:paraId="4AFA32FC" w14:textId="77777777" w:rsidR="00DA50F1" w:rsidRPr="009A4DCA" w:rsidRDefault="00DA50F1" w:rsidP="00BE2884">
      <w:pPr>
        <w:pStyle w:val="FooterTableFigure"/>
        <w:keepNext/>
        <w:keepLines/>
      </w:pPr>
      <w:r w:rsidRPr="009A4DCA">
        <w:t>Source: Table 3.8.10, p122 of the submission.</w:t>
      </w:r>
    </w:p>
    <w:p w14:paraId="7B82CAFB" w14:textId="06903A92" w:rsidR="00DA50F1" w:rsidRDefault="00DA50F1" w:rsidP="00FD0B3E">
      <w:pPr>
        <w:pStyle w:val="FooterTableFigure"/>
        <w:keepNext/>
        <w:keepLines/>
        <w:spacing w:after="0"/>
      </w:pPr>
      <w:r w:rsidRPr="009A4DCA">
        <w:t>QALYs = quality-adjusted life years. HR = high risk</w:t>
      </w:r>
      <w:r w:rsidR="00481415" w:rsidRPr="009A4DCA">
        <w:t>; RSVpreF = recombinant respiratory syncytial virus prefusion F protein vaccine</w:t>
      </w:r>
      <w:r w:rsidR="00CF1E75" w:rsidRPr="009A4DCA">
        <w:t xml:space="preserve">. </w:t>
      </w:r>
    </w:p>
    <w:p w14:paraId="066471AE" w14:textId="77777777" w:rsidR="00FD0B3E" w:rsidRPr="009A6D58" w:rsidRDefault="00FD0B3E" w:rsidP="00FD0B3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669E5AB" w14:textId="77777777" w:rsidR="00FD0B3E" w:rsidRPr="009A6D58" w:rsidRDefault="00FD0B3E" w:rsidP="00FD0B3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C697A">
        <w:rPr>
          <w:rFonts w:ascii="Arial Narrow" w:hAnsi="Arial Narrow"/>
          <w:i/>
          <w:sz w:val="18"/>
          <w:szCs w:val="18"/>
        </w:rPr>
        <w:t>$15,000 to &lt; $25,000</w:t>
      </w:r>
    </w:p>
    <w:p w14:paraId="2FB56B72" w14:textId="5C8A33DB" w:rsidR="00FD0B3E" w:rsidRPr="00FD0B3E" w:rsidRDefault="00FD0B3E" w:rsidP="00FD0B3E">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564DB">
        <w:rPr>
          <w:rFonts w:ascii="Arial Narrow" w:hAnsi="Arial Narrow"/>
          <w:i/>
          <w:sz w:val="18"/>
          <w:szCs w:val="18"/>
        </w:rPr>
        <w:t>$5,000 to &lt; $15,000</w:t>
      </w:r>
    </w:p>
    <w:p w14:paraId="3BC80B82" w14:textId="36C3DFDE" w:rsidR="00DA50F1" w:rsidRPr="009A4DCA" w:rsidRDefault="00DA50F1">
      <w:pPr>
        <w:pStyle w:val="3-BodyText"/>
        <w:numPr>
          <w:ilvl w:val="1"/>
          <w:numId w:val="1"/>
        </w:numPr>
        <w:spacing w:before="0"/>
      </w:pPr>
      <w:bookmarkStart w:id="76" w:name="_Hlk180497623"/>
      <w:r w:rsidRPr="009A4DCA">
        <w:t xml:space="preserve">Results of the weighted economic evaluation are provided in </w:t>
      </w:r>
      <w:r w:rsidRPr="009A4DCA">
        <w:fldChar w:fldCharType="begin"/>
      </w:r>
      <w:r w:rsidRPr="009A4DCA">
        <w:instrText xml:space="preserve"> REF _Ref175677908 \h </w:instrText>
      </w:r>
      <w:r w:rsidRPr="009A4DCA">
        <w:fldChar w:fldCharType="separate"/>
      </w:r>
      <w:r w:rsidR="007B2F50" w:rsidRPr="009A4DCA">
        <w:t xml:space="preserve">Table </w:t>
      </w:r>
      <w:r w:rsidR="007B2F50">
        <w:rPr>
          <w:noProof/>
        </w:rPr>
        <w:t>17</w:t>
      </w:r>
      <w:r w:rsidRPr="009A4DCA">
        <w:fldChar w:fldCharType="end"/>
      </w:r>
      <w:r w:rsidRPr="009A4DCA">
        <w:t>.</w:t>
      </w:r>
      <w:r w:rsidR="00A47C1C" w:rsidRPr="009A4DCA">
        <w:t xml:space="preserve"> This includes the results presented in the submission, the PSCR </w:t>
      </w:r>
      <w:r w:rsidR="00491347" w:rsidRPr="009A4DCA">
        <w:t xml:space="preserve">(see paragraph </w:t>
      </w:r>
      <w:r w:rsidR="00491347" w:rsidRPr="009A4DCA">
        <w:fldChar w:fldCharType="begin"/>
      </w:r>
      <w:r w:rsidR="00491347" w:rsidRPr="009A4DCA">
        <w:instrText xml:space="preserve"> REF _Ref183686572 \r \h </w:instrText>
      </w:r>
      <w:r w:rsidR="00491347" w:rsidRPr="009A4DCA">
        <w:fldChar w:fldCharType="separate"/>
      </w:r>
      <w:r w:rsidR="007B2F50">
        <w:t>6.70</w:t>
      </w:r>
      <w:r w:rsidR="00491347" w:rsidRPr="009A4DCA">
        <w:fldChar w:fldCharType="end"/>
      </w:r>
      <w:r w:rsidR="00491347" w:rsidRPr="009A4DCA">
        <w:t xml:space="preserve">), </w:t>
      </w:r>
      <w:r w:rsidR="00A47C1C" w:rsidRPr="009A4DCA">
        <w:t>and the ESC Advice</w:t>
      </w:r>
      <w:r w:rsidR="00491347" w:rsidRPr="009A4DCA">
        <w:t xml:space="preserve"> (see paragraph </w:t>
      </w:r>
      <w:r w:rsidR="00491347" w:rsidRPr="009A4DCA">
        <w:fldChar w:fldCharType="begin"/>
      </w:r>
      <w:r w:rsidR="00491347" w:rsidRPr="009A4DCA">
        <w:instrText xml:space="preserve"> REF _Ref179932950 \r \h </w:instrText>
      </w:r>
      <w:r w:rsidR="00491347" w:rsidRPr="009A4DCA">
        <w:fldChar w:fldCharType="separate"/>
      </w:r>
      <w:r w:rsidR="007B2F50">
        <w:t>6.71</w:t>
      </w:r>
      <w:r w:rsidR="00491347" w:rsidRPr="009A4DCA">
        <w:fldChar w:fldCharType="end"/>
      </w:r>
      <w:r w:rsidR="00491347" w:rsidRPr="009A4DCA">
        <w:t>)</w:t>
      </w:r>
      <w:r w:rsidR="00A47C1C" w:rsidRPr="009A4DCA">
        <w:t>.</w:t>
      </w:r>
      <w:r w:rsidR="00491347" w:rsidRPr="009A4DCA">
        <w:t xml:space="preserve"> </w:t>
      </w:r>
      <w:r w:rsidR="0006706B" w:rsidRPr="009A4DCA">
        <w:fldChar w:fldCharType="begin"/>
      </w:r>
      <w:r w:rsidR="0006706B" w:rsidRPr="009A4DCA">
        <w:instrText xml:space="preserve"> REF _Ref175677908 \h </w:instrText>
      </w:r>
      <w:r w:rsidR="0006706B" w:rsidRPr="009A4DCA">
        <w:fldChar w:fldCharType="separate"/>
      </w:r>
      <w:r w:rsidR="007B2F50" w:rsidRPr="009A4DCA">
        <w:t xml:space="preserve">Table </w:t>
      </w:r>
      <w:r w:rsidR="007B2F50">
        <w:rPr>
          <w:noProof/>
        </w:rPr>
        <w:t>17</w:t>
      </w:r>
      <w:r w:rsidR="0006706B" w:rsidRPr="009A4DCA">
        <w:fldChar w:fldCharType="end"/>
      </w:r>
      <w:r w:rsidR="0006706B" w:rsidRPr="009A4DCA">
        <w:t xml:space="preserve"> also includes </w:t>
      </w:r>
      <w:r w:rsidR="00EE7550" w:rsidRPr="009A4DCA">
        <w:t>results of the economic evaluation for the two populations recommended by the PBAC</w:t>
      </w:r>
      <w:r w:rsidR="00EE1C08" w:rsidRPr="009A4DCA">
        <w:t xml:space="preserve"> (see section 7 PBAC outcome).</w:t>
      </w:r>
    </w:p>
    <w:p w14:paraId="046E4203" w14:textId="571E469F" w:rsidR="00DA50F1" w:rsidRPr="009A4DCA" w:rsidRDefault="00DA50F1" w:rsidP="003F30D2">
      <w:pPr>
        <w:pStyle w:val="TableFigureHeading"/>
        <w:keepLines/>
      </w:pPr>
      <w:bookmarkStart w:id="77" w:name="_Ref175677908"/>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17</w:t>
      </w:r>
      <w:r w:rsidR="00491347">
        <w:fldChar w:fldCharType="end"/>
      </w:r>
      <w:bookmarkEnd w:id="77"/>
      <w:r w:rsidRPr="009A4DCA">
        <w:t>:</w:t>
      </w:r>
      <w:r w:rsidRPr="009A4DCA">
        <w:rPr>
          <w:rStyle w:val="CommentReference"/>
          <w:b/>
          <w:szCs w:val="24"/>
        </w:rPr>
        <w:t xml:space="preserve"> </w:t>
      </w:r>
      <w:r w:rsidRPr="009A4DCA">
        <w:t>Results of the economic evaluation (population weighted)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4"/>
        <w:gridCol w:w="851"/>
        <w:gridCol w:w="992"/>
        <w:gridCol w:w="1277"/>
        <w:gridCol w:w="1134"/>
        <w:gridCol w:w="799"/>
      </w:tblGrid>
      <w:tr w:rsidR="008A3F53" w:rsidRPr="009A4DCA" w14:paraId="1CA5A0FB" w14:textId="77777777" w:rsidTr="006D15CE">
        <w:trPr>
          <w:tblHeader/>
        </w:trPr>
        <w:tc>
          <w:tcPr>
            <w:tcW w:w="2198" w:type="pct"/>
            <w:tcBorders>
              <w:bottom w:val="single" w:sz="4" w:space="0" w:color="auto"/>
            </w:tcBorders>
            <w:vAlign w:val="center"/>
          </w:tcPr>
          <w:p w14:paraId="14E72105" w14:textId="77712734" w:rsidR="008A3F53" w:rsidRPr="009A4DCA" w:rsidRDefault="00A474D0" w:rsidP="003F30D2">
            <w:pPr>
              <w:keepNext/>
              <w:keepLines/>
              <w:rPr>
                <w:rFonts w:ascii="Arial Narrow" w:hAnsi="Arial Narrow"/>
                <w:b/>
                <w:bCs/>
                <w:sz w:val="20"/>
                <w:szCs w:val="20"/>
              </w:rPr>
            </w:pPr>
            <w:r w:rsidRPr="009A4DCA">
              <w:rPr>
                <w:rFonts w:ascii="Arial Narrow" w:hAnsi="Arial Narrow" w:cs="Calibri"/>
                <w:b/>
                <w:bCs/>
                <w:color w:val="000000" w:themeColor="text1"/>
                <w:sz w:val="20"/>
                <w:szCs w:val="20"/>
              </w:rPr>
              <w:t>Scenario and Population</w:t>
            </w:r>
          </w:p>
        </w:tc>
        <w:tc>
          <w:tcPr>
            <w:tcW w:w="472" w:type="pct"/>
            <w:tcBorders>
              <w:bottom w:val="single" w:sz="4" w:space="0" w:color="auto"/>
            </w:tcBorders>
            <w:vAlign w:val="center"/>
          </w:tcPr>
          <w:p w14:paraId="01EA6B93" w14:textId="77777777" w:rsidR="008A3F53" w:rsidRPr="009A4DCA" w:rsidRDefault="008A3F53" w:rsidP="003F30D2">
            <w:pPr>
              <w:keepNext/>
              <w:keepLines/>
              <w:jc w:val="center"/>
              <w:rPr>
                <w:rFonts w:ascii="Arial Narrow" w:hAnsi="Arial Narrow"/>
                <w:b/>
                <w:bCs/>
                <w:sz w:val="20"/>
                <w:szCs w:val="20"/>
              </w:rPr>
            </w:pPr>
            <w:r w:rsidRPr="009A4DCA">
              <w:rPr>
                <w:rFonts w:ascii="Arial Narrow" w:hAnsi="Arial Narrow"/>
                <w:b/>
                <w:bCs/>
                <w:sz w:val="20"/>
                <w:szCs w:val="20"/>
              </w:rPr>
              <w:t>Weighting</w:t>
            </w:r>
          </w:p>
        </w:tc>
        <w:tc>
          <w:tcPr>
            <w:tcW w:w="550" w:type="pct"/>
            <w:tcBorders>
              <w:bottom w:val="single" w:sz="4" w:space="0" w:color="auto"/>
            </w:tcBorders>
            <w:vAlign w:val="center"/>
          </w:tcPr>
          <w:p w14:paraId="192DA711" w14:textId="77777777" w:rsidR="008A3F53" w:rsidRPr="009A4DCA" w:rsidRDefault="008A3F53" w:rsidP="003F30D2">
            <w:pPr>
              <w:keepNext/>
              <w:keepLines/>
              <w:jc w:val="center"/>
              <w:rPr>
                <w:rFonts w:ascii="Arial Narrow" w:hAnsi="Arial Narrow"/>
                <w:b/>
                <w:bCs/>
                <w:sz w:val="20"/>
                <w:szCs w:val="20"/>
              </w:rPr>
            </w:pPr>
            <w:r w:rsidRPr="009A4DCA">
              <w:rPr>
                <w:rFonts w:ascii="Arial Narrow" w:hAnsi="Arial Narrow"/>
                <w:b/>
                <w:bCs/>
                <w:sz w:val="20"/>
                <w:szCs w:val="20"/>
              </w:rPr>
              <w:t>Incr. costs</w:t>
            </w:r>
          </w:p>
        </w:tc>
        <w:tc>
          <w:tcPr>
            <w:tcW w:w="708" w:type="pct"/>
            <w:tcBorders>
              <w:bottom w:val="single" w:sz="4" w:space="0" w:color="auto"/>
            </w:tcBorders>
            <w:vAlign w:val="center"/>
          </w:tcPr>
          <w:p w14:paraId="076F07A8" w14:textId="77777777" w:rsidR="008A3F53" w:rsidRPr="009A4DCA" w:rsidRDefault="008A3F53" w:rsidP="003F30D2">
            <w:pPr>
              <w:keepNext/>
              <w:keepLines/>
              <w:jc w:val="center"/>
              <w:rPr>
                <w:rFonts w:ascii="Arial Narrow" w:hAnsi="Arial Narrow"/>
                <w:b/>
                <w:bCs/>
                <w:sz w:val="20"/>
                <w:szCs w:val="20"/>
              </w:rPr>
            </w:pPr>
            <w:r w:rsidRPr="009A4DCA">
              <w:rPr>
                <w:rFonts w:ascii="Arial Narrow" w:hAnsi="Arial Narrow"/>
                <w:b/>
                <w:bCs/>
                <w:sz w:val="20"/>
                <w:szCs w:val="20"/>
              </w:rPr>
              <w:t>Incr. QALYs</w:t>
            </w:r>
          </w:p>
        </w:tc>
        <w:tc>
          <w:tcPr>
            <w:tcW w:w="629" w:type="pct"/>
            <w:tcBorders>
              <w:bottom w:val="single" w:sz="4" w:space="0" w:color="auto"/>
            </w:tcBorders>
            <w:vAlign w:val="center"/>
          </w:tcPr>
          <w:p w14:paraId="6492340B" w14:textId="13185BE2" w:rsidR="008A3F53" w:rsidRPr="009A4DCA" w:rsidRDefault="008A3F53" w:rsidP="003F30D2">
            <w:pPr>
              <w:keepNext/>
              <w:keepLines/>
              <w:jc w:val="center"/>
              <w:rPr>
                <w:rFonts w:ascii="Arial Narrow" w:hAnsi="Arial Narrow"/>
                <w:b/>
                <w:bCs/>
                <w:sz w:val="20"/>
                <w:szCs w:val="20"/>
              </w:rPr>
            </w:pPr>
            <w:r w:rsidRPr="009A4DCA">
              <w:rPr>
                <w:rFonts w:ascii="Arial Narrow" w:hAnsi="Arial Narrow"/>
                <w:b/>
                <w:bCs/>
                <w:sz w:val="20"/>
                <w:szCs w:val="20"/>
              </w:rPr>
              <w:t>ICER</w:t>
            </w:r>
          </w:p>
        </w:tc>
        <w:tc>
          <w:tcPr>
            <w:tcW w:w="443" w:type="pct"/>
            <w:tcBorders>
              <w:bottom w:val="single" w:sz="4" w:space="0" w:color="auto"/>
            </w:tcBorders>
            <w:vAlign w:val="center"/>
          </w:tcPr>
          <w:p w14:paraId="49855F4B" w14:textId="1485CD59" w:rsidR="008A3F53" w:rsidRPr="009A4DCA" w:rsidRDefault="008A3F53" w:rsidP="003F30D2">
            <w:pPr>
              <w:keepNext/>
              <w:keepLines/>
              <w:jc w:val="center"/>
              <w:rPr>
                <w:rFonts w:ascii="Arial Narrow" w:hAnsi="Arial Narrow"/>
                <w:b/>
                <w:bCs/>
                <w:sz w:val="20"/>
                <w:szCs w:val="20"/>
              </w:rPr>
            </w:pPr>
            <w:r w:rsidRPr="009A4DCA">
              <w:rPr>
                <w:rFonts w:ascii="Arial Narrow" w:hAnsi="Arial Narrow"/>
                <w:b/>
                <w:bCs/>
                <w:sz w:val="20"/>
                <w:szCs w:val="20"/>
              </w:rPr>
              <w:t>Weighted ICER</w:t>
            </w:r>
          </w:p>
        </w:tc>
      </w:tr>
      <w:tr w:rsidR="003D2E00" w:rsidRPr="009A4DCA" w14:paraId="3AE42575" w14:textId="77777777" w:rsidTr="006D15CE">
        <w:trPr>
          <w:tblHeader/>
        </w:trPr>
        <w:tc>
          <w:tcPr>
            <w:tcW w:w="2198" w:type="pct"/>
            <w:tcBorders>
              <w:right w:val="nil"/>
            </w:tcBorders>
            <w:vAlign w:val="center"/>
          </w:tcPr>
          <w:p w14:paraId="1690CA85" w14:textId="6B1B9FE2" w:rsidR="003D2E00" w:rsidRPr="009A4DCA" w:rsidRDefault="003D2E00" w:rsidP="003F30D2">
            <w:pPr>
              <w:keepNext/>
              <w:keepLines/>
              <w:rPr>
                <w:rFonts w:ascii="Arial Narrow" w:hAnsi="Arial Narrow"/>
                <w:b/>
                <w:bCs/>
                <w:sz w:val="20"/>
                <w:szCs w:val="20"/>
              </w:rPr>
            </w:pPr>
            <w:r w:rsidRPr="009A4DCA">
              <w:rPr>
                <w:rFonts w:ascii="Arial Narrow" w:hAnsi="Arial Narrow"/>
                <w:b/>
                <w:bCs/>
                <w:sz w:val="20"/>
                <w:szCs w:val="20"/>
              </w:rPr>
              <w:t xml:space="preserve">Submission </w:t>
            </w:r>
          </w:p>
        </w:tc>
        <w:tc>
          <w:tcPr>
            <w:tcW w:w="472" w:type="pct"/>
            <w:tcBorders>
              <w:left w:val="nil"/>
              <w:right w:val="nil"/>
            </w:tcBorders>
            <w:vAlign w:val="center"/>
          </w:tcPr>
          <w:p w14:paraId="4BB61699" w14:textId="77777777" w:rsidR="003D2E00" w:rsidRPr="009A4DCA" w:rsidRDefault="003D2E00" w:rsidP="003F30D2">
            <w:pPr>
              <w:keepNext/>
              <w:keepLines/>
              <w:jc w:val="center"/>
              <w:rPr>
                <w:rFonts w:ascii="Arial Narrow" w:hAnsi="Arial Narrow"/>
                <w:b/>
                <w:bCs/>
                <w:sz w:val="20"/>
                <w:szCs w:val="20"/>
              </w:rPr>
            </w:pPr>
          </w:p>
        </w:tc>
        <w:tc>
          <w:tcPr>
            <w:tcW w:w="550" w:type="pct"/>
            <w:tcBorders>
              <w:left w:val="nil"/>
              <w:right w:val="nil"/>
            </w:tcBorders>
            <w:vAlign w:val="center"/>
          </w:tcPr>
          <w:p w14:paraId="238DD3F6" w14:textId="77777777" w:rsidR="003D2E00" w:rsidRPr="009A4DCA" w:rsidRDefault="003D2E00" w:rsidP="003F30D2">
            <w:pPr>
              <w:keepNext/>
              <w:keepLines/>
              <w:jc w:val="center"/>
              <w:rPr>
                <w:rFonts w:ascii="Arial Narrow" w:hAnsi="Arial Narrow"/>
                <w:b/>
                <w:bCs/>
                <w:sz w:val="20"/>
                <w:szCs w:val="20"/>
              </w:rPr>
            </w:pPr>
          </w:p>
        </w:tc>
        <w:tc>
          <w:tcPr>
            <w:tcW w:w="708" w:type="pct"/>
            <w:tcBorders>
              <w:left w:val="nil"/>
              <w:right w:val="nil"/>
            </w:tcBorders>
            <w:vAlign w:val="center"/>
          </w:tcPr>
          <w:p w14:paraId="130938D2" w14:textId="77777777" w:rsidR="003D2E00" w:rsidRPr="009A4DCA" w:rsidRDefault="003D2E00" w:rsidP="003F30D2">
            <w:pPr>
              <w:keepNext/>
              <w:keepLines/>
              <w:jc w:val="center"/>
              <w:rPr>
                <w:rFonts w:ascii="Arial Narrow" w:hAnsi="Arial Narrow"/>
                <w:b/>
                <w:bCs/>
                <w:sz w:val="20"/>
                <w:szCs w:val="20"/>
              </w:rPr>
            </w:pPr>
          </w:p>
        </w:tc>
        <w:tc>
          <w:tcPr>
            <w:tcW w:w="629" w:type="pct"/>
            <w:tcBorders>
              <w:left w:val="nil"/>
              <w:right w:val="nil"/>
            </w:tcBorders>
            <w:vAlign w:val="center"/>
          </w:tcPr>
          <w:p w14:paraId="63D58975" w14:textId="77777777" w:rsidR="003D2E00" w:rsidRPr="009A4DCA" w:rsidRDefault="003D2E00" w:rsidP="003F30D2">
            <w:pPr>
              <w:keepNext/>
              <w:keepLines/>
              <w:jc w:val="center"/>
              <w:rPr>
                <w:rFonts w:ascii="Arial Narrow" w:hAnsi="Arial Narrow"/>
                <w:b/>
                <w:bCs/>
                <w:sz w:val="20"/>
                <w:szCs w:val="20"/>
              </w:rPr>
            </w:pPr>
          </w:p>
        </w:tc>
        <w:tc>
          <w:tcPr>
            <w:tcW w:w="443" w:type="pct"/>
            <w:tcBorders>
              <w:left w:val="nil"/>
            </w:tcBorders>
            <w:vAlign w:val="center"/>
          </w:tcPr>
          <w:p w14:paraId="12073E0D" w14:textId="77777777" w:rsidR="003D2E00" w:rsidRPr="009A4DCA" w:rsidRDefault="003D2E00" w:rsidP="003F30D2">
            <w:pPr>
              <w:keepNext/>
              <w:keepLines/>
              <w:jc w:val="center"/>
              <w:rPr>
                <w:rFonts w:ascii="Arial Narrow" w:hAnsi="Arial Narrow"/>
                <w:b/>
                <w:bCs/>
                <w:sz w:val="20"/>
                <w:szCs w:val="20"/>
              </w:rPr>
            </w:pPr>
          </w:p>
        </w:tc>
      </w:tr>
      <w:tr w:rsidR="008A3F53" w:rsidRPr="009A4DCA" w14:paraId="5616E279" w14:textId="77777777" w:rsidTr="008A3F53">
        <w:tc>
          <w:tcPr>
            <w:tcW w:w="2198" w:type="pct"/>
          </w:tcPr>
          <w:p w14:paraId="191D83C5" w14:textId="7716D6EF" w:rsidR="008A3F53" w:rsidRPr="009A4DCA" w:rsidRDefault="008A3F53" w:rsidP="003F30D2">
            <w:pPr>
              <w:keepNext/>
              <w:keepLines/>
              <w:rPr>
                <w:rFonts w:ascii="Arial Narrow" w:hAnsi="Arial Narrow"/>
                <w:i/>
                <w:sz w:val="20"/>
                <w:szCs w:val="20"/>
              </w:rPr>
            </w:pPr>
            <w:r w:rsidRPr="009A4DCA">
              <w:rPr>
                <w:rFonts w:ascii="Arial Narrow" w:hAnsi="Arial Narrow"/>
                <w:sz w:val="20"/>
                <w:szCs w:val="20"/>
              </w:rPr>
              <w:t>Adults aged ≥75 years</w:t>
            </w:r>
          </w:p>
        </w:tc>
        <w:tc>
          <w:tcPr>
            <w:tcW w:w="472" w:type="pct"/>
            <w:vAlign w:val="center"/>
          </w:tcPr>
          <w:p w14:paraId="1C54D417" w14:textId="7BB5E786" w:rsidR="008A3F53" w:rsidRPr="008A0C18" w:rsidRDefault="00E44A34" w:rsidP="003F30D2">
            <w:pPr>
              <w:keepNext/>
              <w:keepLines/>
              <w:jc w:val="center"/>
              <w:rPr>
                <w:rFonts w:ascii="Arial Narrow" w:hAnsi="Arial Narrow"/>
                <w:i/>
                <w:sz w:val="20"/>
                <w:szCs w:val="20"/>
              </w:rPr>
            </w:pPr>
            <w:r w:rsidRPr="00E44A34">
              <w:rPr>
                <w:rFonts w:ascii="Arial Narrow" w:hAnsi="Arial Narrow"/>
                <w:color w:val="000000"/>
                <w:spacing w:val="49"/>
                <w:sz w:val="20"/>
                <w:szCs w:val="20"/>
                <w:shd w:val="solid" w:color="000000" w:fill="000000"/>
                <w:fitText w:val="227" w:id="-762047737"/>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737"/>
                <w14:textFill>
                  <w14:solidFill>
                    <w14:srgbClr w14:val="000000">
                      <w14:alpha w14:val="100000"/>
                    </w14:srgbClr>
                  </w14:solidFill>
                </w14:textFill>
              </w:rPr>
              <w:t>|</w:t>
            </w:r>
            <w:r w:rsidR="008A3F53" w:rsidRPr="008A0C18">
              <w:rPr>
                <w:rFonts w:ascii="Arial Narrow" w:hAnsi="Arial Narrow"/>
                <w:sz w:val="20"/>
                <w:szCs w:val="20"/>
              </w:rPr>
              <w:t>%</w:t>
            </w:r>
          </w:p>
        </w:tc>
        <w:tc>
          <w:tcPr>
            <w:tcW w:w="550" w:type="pct"/>
            <w:vAlign w:val="center"/>
          </w:tcPr>
          <w:p w14:paraId="7D5940AE" w14:textId="311837DE" w:rsidR="008A3F53" w:rsidRPr="009A4DCA" w:rsidRDefault="008A3F53" w:rsidP="003F30D2">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736"/>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736"/>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736"/>
                <w14:textFill>
                  <w14:solidFill>
                    <w14:srgbClr w14:val="000000">
                      <w14:alpha w14:val="100000"/>
                    </w14:srgbClr>
                  </w14:solidFill>
                </w14:textFill>
              </w:rPr>
              <w:t xml:space="preserve">　</w:t>
            </w:r>
          </w:p>
        </w:tc>
        <w:tc>
          <w:tcPr>
            <w:tcW w:w="708" w:type="pct"/>
            <w:vAlign w:val="center"/>
          </w:tcPr>
          <w:p w14:paraId="64135A9B" w14:textId="77777777" w:rsidR="008A3F53" w:rsidRPr="009A4DCA" w:rsidRDefault="008A3F53" w:rsidP="003F30D2">
            <w:pPr>
              <w:keepNext/>
              <w:keepLines/>
              <w:jc w:val="center"/>
              <w:rPr>
                <w:rFonts w:ascii="Arial Narrow" w:hAnsi="Arial Narrow"/>
                <w:i/>
                <w:sz w:val="20"/>
                <w:szCs w:val="20"/>
              </w:rPr>
            </w:pPr>
            <w:r w:rsidRPr="009A4DCA">
              <w:rPr>
                <w:rFonts w:ascii="Arial Narrow" w:hAnsi="Arial Narrow"/>
                <w:sz w:val="20"/>
                <w:szCs w:val="20"/>
              </w:rPr>
              <w:t>0.0051</w:t>
            </w:r>
          </w:p>
        </w:tc>
        <w:tc>
          <w:tcPr>
            <w:tcW w:w="629" w:type="pct"/>
            <w:vAlign w:val="center"/>
          </w:tcPr>
          <w:p w14:paraId="4A9F0D39" w14:textId="72E2F156" w:rsidR="008A3F53" w:rsidRPr="00FA7635" w:rsidRDefault="008A3F53" w:rsidP="003F30D2">
            <w:pPr>
              <w:keepNext/>
              <w:keepLines/>
              <w:jc w:val="center"/>
              <w:rPr>
                <w:rFonts w:ascii="Arial Narrow" w:hAnsi="Arial Narrow"/>
                <w:sz w:val="20"/>
                <w:szCs w:val="20"/>
                <w:vertAlign w:val="superscript"/>
              </w:rPr>
            </w:pPr>
            <w:r w:rsidRPr="009A4DCA">
              <w:rPr>
                <w:rFonts w:ascii="Arial Narrow" w:hAnsi="Arial Narrow"/>
                <w:sz w:val="20"/>
                <w:szCs w:val="20"/>
              </w:rPr>
              <w:t>$</w:t>
            </w:r>
            <w:r w:rsidR="00E44A34" w:rsidRPr="00E44A34">
              <w:rPr>
                <w:rFonts w:ascii="Arial Narrow" w:hAnsi="Arial Narrow" w:hint="eastAsia"/>
                <w:color w:val="000000"/>
                <w:w w:val="21"/>
                <w:sz w:val="20"/>
                <w:szCs w:val="20"/>
                <w:shd w:val="solid" w:color="000000" w:fill="000000"/>
                <w:fitText w:val="93" w:id="-762047735"/>
                <w14:textFill>
                  <w14:solidFill>
                    <w14:srgbClr w14:val="000000">
                      <w14:alpha w14:val="100000"/>
                    </w14:srgbClr>
                  </w14:solidFill>
                </w14:textFill>
              </w:rPr>
              <w:t xml:space="preserve">　</w:t>
            </w:r>
            <w:r w:rsidR="00E44A34" w:rsidRPr="00E44A34">
              <w:rPr>
                <w:rFonts w:ascii="Arial Narrow" w:hAnsi="Arial Narrow"/>
                <w:color w:val="000000"/>
                <w:w w:val="21"/>
                <w:sz w:val="20"/>
                <w:szCs w:val="20"/>
                <w:shd w:val="solid" w:color="000000" w:fill="000000"/>
                <w:fitText w:val="93" w:id="-762047735"/>
                <w14:textFill>
                  <w14:solidFill>
                    <w14:srgbClr w14:val="000000">
                      <w14:alpha w14:val="100000"/>
                    </w14:srgbClr>
                  </w14:solidFill>
                </w14:textFill>
              </w:rPr>
              <w:t>|</w:t>
            </w:r>
            <w:r w:rsidR="00E44A34" w:rsidRPr="00E44A34">
              <w:rPr>
                <w:rFonts w:ascii="Arial Narrow" w:hAnsi="Arial Narrow" w:hint="eastAsia"/>
                <w:color w:val="000000"/>
                <w:spacing w:val="2"/>
                <w:w w:val="21"/>
                <w:sz w:val="20"/>
                <w:szCs w:val="20"/>
                <w:shd w:val="solid" w:color="000000" w:fill="000000"/>
                <w:fitText w:val="93" w:id="-762047735"/>
                <w14:textFill>
                  <w14:solidFill>
                    <w14:srgbClr w14:val="000000">
                      <w14:alpha w14:val="100000"/>
                    </w14:srgbClr>
                  </w14:solidFill>
                </w14:textFill>
              </w:rPr>
              <w:t xml:space="preserve">　</w:t>
            </w:r>
            <w:r w:rsidR="00FA7635">
              <w:rPr>
                <w:rFonts w:ascii="Arial Narrow" w:hAnsi="Arial Narrow"/>
                <w:sz w:val="20"/>
                <w:szCs w:val="20"/>
              </w:rPr>
              <w:t xml:space="preserve"> </w:t>
            </w:r>
            <w:r w:rsidR="00FA7635">
              <w:rPr>
                <w:rFonts w:ascii="Arial Narrow" w:hAnsi="Arial Narrow"/>
                <w:sz w:val="20"/>
                <w:szCs w:val="20"/>
                <w:vertAlign w:val="superscript"/>
              </w:rPr>
              <w:t>1</w:t>
            </w:r>
          </w:p>
        </w:tc>
        <w:tc>
          <w:tcPr>
            <w:tcW w:w="443" w:type="pct"/>
            <w:vMerge w:val="restart"/>
            <w:vAlign w:val="center"/>
          </w:tcPr>
          <w:p w14:paraId="5587CED7" w14:textId="22F02432" w:rsidR="008A3F53" w:rsidRPr="009A4DCA" w:rsidRDefault="008A3F53" w:rsidP="003F30D2">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color w:val="000000"/>
                <w:spacing w:val="194"/>
                <w:sz w:val="20"/>
                <w:szCs w:val="20"/>
                <w:shd w:val="solid" w:color="000000" w:fill="000000"/>
                <w:fitText w:val="280" w:id="-762047734"/>
                <w14:textFill>
                  <w14:solidFill>
                    <w14:srgbClr w14:val="000000">
                      <w14:alpha w14:val="100000"/>
                    </w14:srgbClr>
                  </w14:solidFill>
                </w14:textFill>
              </w:rPr>
              <w:t>|</w:t>
            </w:r>
            <w:r w:rsidR="00E44A34" w:rsidRPr="00E44A34">
              <w:rPr>
                <w:rFonts w:ascii="Arial Narrow" w:hAnsi="Arial Narrow"/>
                <w:color w:val="000000"/>
                <w:spacing w:val="1"/>
                <w:sz w:val="20"/>
                <w:szCs w:val="20"/>
                <w:shd w:val="solid" w:color="000000" w:fill="000000"/>
                <w:fitText w:val="280" w:id="-762047734"/>
                <w14:textFill>
                  <w14:solidFill>
                    <w14:srgbClr w14:val="000000">
                      <w14:alpha w14:val="100000"/>
                    </w14:srgbClr>
                  </w14:solidFill>
                </w14:textFill>
              </w:rPr>
              <w:t>|</w:t>
            </w:r>
            <w:r w:rsidR="00211CF9">
              <w:rPr>
                <w:rFonts w:ascii="Arial Narrow" w:hAnsi="Arial Narrow"/>
                <w:sz w:val="20"/>
                <w:szCs w:val="20"/>
              </w:rPr>
              <w:t xml:space="preserve"> </w:t>
            </w:r>
            <w:r w:rsidR="00211CF9">
              <w:rPr>
                <w:rFonts w:ascii="Arial Narrow" w:hAnsi="Arial Narrow"/>
                <w:sz w:val="20"/>
                <w:szCs w:val="20"/>
                <w:vertAlign w:val="superscript"/>
              </w:rPr>
              <w:t>1</w:t>
            </w:r>
          </w:p>
        </w:tc>
      </w:tr>
      <w:tr w:rsidR="008A3F53" w:rsidRPr="009A4DCA" w14:paraId="70594357" w14:textId="77777777" w:rsidTr="008A3F53">
        <w:tc>
          <w:tcPr>
            <w:tcW w:w="2198" w:type="pct"/>
          </w:tcPr>
          <w:p w14:paraId="46FB2A07" w14:textId="25BF62E8" w:rsidR="008A3F53" w:rsidRPr="009A4DCA" w:rsidRDefault="008A3F53" w:rsidP="003F30D2">
            <w:pPr>
              <w:keepNext/>
              <w:keepLines/>
              <w:rPr>
                <w:rFonts w:ascii="Arial Narrow" w:hAnsi="Arial Narrow"/>
                <w:i/>
                <w:sz w:val="20"/>
                <w:szCs w:val="20"/>
              </w:rPr>
            </w:pPr>
            <w:r w:rsidRPr="009A4DCA">
              <w:rPr>
                <w:rFonts w:ascii="Arial Narrow" w:hAnsi="Arial Narrow"/>
                <w:sz w:val="20"/>
                <w:szCs w:val="20"/>
              </w:rPr>
              <w:t>Adults with at least one risk factor aged 60-74 years</w:t>
            </w:r>
          </w:p>
        </w:tc>
        <w:tc>
          <w:tcPr>
            <w:tcW w:w="472" w:type="pct"/>
            <w:vAlign w:val="center"/>
          </w:tcPr>
          <w:p w14:paraId="2C8821DD" w14:textId="29BC4DD5" w:rsidR="008A3F53" w:rsidRPr="008A0C18" w:rsidRDefault="00E44A34" w:rsidP="003F30D2">
            <w:pPr>
              <w:keepNext/>
              <w:keepLines/>
              <w:jc w:val="center"/>
              <w:rPr>
                <w:rFonts w:ascii="Arial Narrow" w:hAnsi="Arial Narrow"/>
                <w:i/>
                <w:sz w:val="20"/>
                <w:szCs w:val="20"/>
              </w:rPr>
            </w:pPr>
            <w:r w:rsidRPr="00E44A34">
              <w:rPr>
                <w:rFonts w:ascii="Arial Narrow" w:hAnsi="Arial Narrow"/>
                <w:color w:val="000000"/>
                <w:spacing w:val="49"/>
                <w:sz w:val="20"/>
                <w:szCs w:val="20"/>
                <w:shd w:val="solid" w:color="000000" w:fill="000000"/>
                <w:fitText w:val="227" w:id="-762047733"/>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733"/>
                <w14:textFill>
                  <w14:solidFill>
                    <w14:srgbClr w14:val="000000">
                      <w14:alpha w14:val="100000"/>
                    </w14:srgbClr>
                  </w14:solidFill>
                </w14:textFill>
              </w:rPr>
              <w:t>|</w:t>
            </w:r>
            <w:r w:rsidR="008A3F53" w:rsidRPr="008A0C18">
              <w:rPr>
                <w:rFonts w:ascii="Arial Narrow" w:hAnsi="Arial Narrow"/>
                <w:sz w:val="20"/>
                <w:szCs w:val="20"/>
              </w:rPr>
              <w:t>%</w:t>
            </w:r>
          </w:p>
        </w:tc>
        <w:tc>
          <w:tcPr>
            <w:tcW w:w="550" w:type="pct"/>
            <w:vAlign w:val="center"/>
          </w:tcPr>
          <w:p w14:paraId="7D87F485" w14:textId="185DA104" w:rsidR="008A3F53" w:rsidRPr="009A4DCA" w:rsidRDefault="008A3F53" w:rsidP="003F30D2">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732"/>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732"/>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732"/>
                <w14:textFill>
                  <w14:solidFill>
                    <w14:srgbClr w14:val="000000">
                      <w14:alpha w14:val="100000"/>
                    </w14:srgbClr>
                  </w14:solidFill>
                </w14:textFill>
              </w:rPr>
              <w:t xml:space="preserve">　</w:t>
            </w:r>
          </w:p>
        </w:tc>
        <w:tc>
          <w:tcPr>
            <w:tcW w:w="708" w:type="pct"/>
            <w:vAlign w:val="center"/>
          </w:tcPr>
          <w:p w14:paraId="63BC9F54" w14:textId="77777777" w:rsidR="008A3F53" w:rsidRPr="009A4DCA" w:rsidRDefault="008A3F53" w:rsidP="003F30D2">
            <w:pPr>
              <w:keepNext/>
              <w:keepLines/>
              <w:jc w:val="center"/>
              <w:rPr>
                <w:rFonts w:ascii="Arial Narrow" w:hAnsi="Arial Narrow"/>
                <w:i/>
                <w:sz w:val="20"/>
                <w:szCs w:val="20"/>
              </w:rPr>
            </w:pPr>
            <w:r w:rsidRPr="009A4DCA">
              <w:rPr>
                <w:rFonts w:ascii="Arial Narrow" w:hAnsi="Arial Narrow"/>
                <w:sz w:val="20"/>
                <w:szCs w:val="20"/>
              </w:rPr>
              <w:t>0.0107</w:t>
            </w:r>
          </w:p>
        </w:tc>
        <w:tc>
          <w:tcPr>
            <w:tcW w:w="629" w:type="pct"/>
            <w:vAlign w:val="center"/>
          </w:tcPr>
          <w:p w14:paraId="55675376" w14:textId="1B48975E" w:rsidR="008A3F53" w:rsidRPr="009A4DCA" w:rsidRDefault="008A3F53" w:rsidP="003F30D2">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1"/>
                <w:sz w:val="20"/>
                <w:szCs w:val="20"/>
                <w:shd w:val="solid" w:color="000000" w:fill="000000"/>
                <w:fitText w:val="93" w:id="-762047731"/>
                <w14:textFill>
                  <w14:solidFill>
                    <w14:srgbClr w14:val="000000">
                      <w14:alpha w14:val="100000"/>
                    </w14:srgbClr>
                  </w14:solidFill>
                </w14:textFill>
              </w:rPr>
              <w:t xml:space="preserve">　</w:t>
            </w:r>
            <w:r w:rsidR="00E44A34" w:rsidRPr="00E44A34">
              <w:rPr>
                <w:rFonts w:ascii="Arial Narrow" w:hAnsi="Arial Narrow"/>
                <w:color w:val="000000"/>
                <w:w w:val="21"/>
                <w:sz w:val="20"/>
                <w:szCs w:val="20"/>
                <w:shd w:val="solid" w:color="000000" w:fill="000000"/>
                <w:fitText w:val="93" w:id="-762047731"/>
                <w14:textFill>
                  <w14:solidFill>
                    <w14:srgbClr w14:val="000000">
                      <w14:alpha w14:val="100000"/>
                    </w14:srgbClr>
                  </w14:solidFill>
                </w14:textFill>
              </w:rPr>
              <w:t>|</w:t>
            </w:r>
            <w:r w:rsidR="00E44A34" w:rsidRPr="00E44A34">
              <w:rPr>
                <w:rFonts w:ascii="Arial Narrow" w:hAnsi="Arial Narrow" w:hint="eastAsia"/>
                <w:color w:val="000000"/>
                <w:w w:val="21"/>
                <w:sz w:val="20"/>
                <w:szCs w:val="20"/>
                <w:shd w:val="solid" w:color="000000" w:fill="000000"/>
                <w:fitText w:val="93" w:id="-762047731"/>
                <w14:textFill>
                  <w14:solidFill>
                    <w14:srgbClr w14:val="000000">
                      <w14:alpha w14:val="100000"/>
                    </w14:srgb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Merge/>
            <w:vAlign w:val="center"/>
          </w:tcPr>
          <w:p w14:paraId="56395406" w14:textId="52CB1EBE" w:rsidR="008A3F53" w:rsidRPr="009A4DCA" w:rsidRDefault="008A3F53" w:rsidP="003F30D2">
            <w:pPr>
              <w:keepNext/>
              <w:keepLines/>
              <w:jc w:val="center"/>
              <w:rPr>
                <w:rFonts w:ascii="Arial Narrow" w:hAnsi="Arial Narrow"/>
                <w:sz w:val="20"/>
                <w:szCs w:val="20"/>
              </w:rPr>
            </w:pPr>
          </w:p>
        </w:tc>
      </w:tr>
      <w:tr w:rsidR="008A3F53" w:rsidRPr="009A4DCA" w14:paraId="3150B2A9" w14:textId="77777777" w:rsidTr="006D15CE">
        <w:tc>
          <w:tcPr>
            <w:tcW w:w="2198" w:type="pct"/>
            <w:tcBorders>
              <w:bottom w:val="single" w:sz="4" w:space="0" w:color="auto"/>
            </w:tcBorders>
          </w:tcPr>
          <w:p w14:paraId="2B7966A7" w14:textId="77777777" w:rsidR="008A3F53" w:rsidRPr="009A4DCA" w:rsidRDefault="008A3F53" w:rsidP="003F30D2">
            <w:pPr>
              <w:keepNext/>
              <w:keepLines/>
              <w:rPr>
                <w:rFonts w:ascii="Arial Narrow" w:hAnsi="Arial Narrow"/>
                <w:i/>
                <w:sz w:val="20"/>
                <w:szCs w:val="20"/>
              </w:rPr>
            </w:pPr>
            <w:r w:rsidRPr="009A4DCA">
              <w:rPr>
                <w:rFonts w:ascii="Arial Narrow" w:hAnsi="Arial Narrow"/>
                <w:sz w:val="20"/>
                <w:szCs w:val="20"/>
              </w:rPr>
              <w:t>Aboriginal or Torres Strait Islander, aged 60-74 years</w:t>
            </w:r>
          </w:p>
        </w:tc>
        <w:tc>
          <w:tcPr>
            <w:tcW w:w="472" w:type="pct"/>
            <w:tcBorders>
              <w:bottom w:val="single" w:sz="4" w:space="0" w:color="auto"/>
            </w:tcBorders>
            <w:vAlign w:val="center"/>
          </w:tcPr>
          <w:p w14:paraId="6B63ECDB" w14:textId="6F593749" w:rsidR="008A3F53" w:rsidRPr="008A0C18" w:rsidRDefault="00E44A34" w:rsidP="003F30D2">
            <w:pPr>
              <w:keepNext/>
              <w:keepLines/>
              <w:jc w:val="center"/>
              <w:rPr>
                <w:rFonts w:ascii="Arial Narrow" w:hAnsi="Arial Narrow"/>
                <w:i/>
                <w:sz w:val="20"/>
                <w:szCs w:val="20"/>
              </w:rPr>
            </w:pPr>
            <w:r w:rsidRPr="00E44A34">
              <w:rPr>
                <w:rFonts w:ascii="Arial Narrow" w:hAnsi="Arial Narrow"/>
                <w:color w:val="000000"/>
                <w:spacing w:val="49"/>
                <w:sz w:val="20"/>
                <w:szCs w:val="20"/>
                <w:shd w:val="solid" w:color="000000" w:fill="000000"/>
                <w:fitText w:val="227" w:id="-762047730"/>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730"/>
                <w14:textFill>
                  <w14:solidFill>
                    <w14:srgbClr w14:val="000000">
                      <w14:alpha w14:val="100000"/>
                    </w14:srgbClr>
                  </w14:solidFill>
                </w14:textFill>
              </w:rPr>
              <w:t>|</w:t>
            </w:r>
            <w:r w:rsidR="008A3F53" w:rsidRPr="008A0C18">
              <w:rPr>
                <w:rFonts w:ascii="Arial Narrow" w:hAnsi="Arial Narrow"/>
                <w:sz w:val="20"/>
                <w:szCs w:val="20"/>
              </w:rPr>
              <w:t>%</w:t>
            </w:r>
          </w:p>
        </w:tc>
        <w:tc>
          <w:tcPr>
            <w:tcW w:w="550" w:type="pct"/>
            <w:tcBorders>
              <w:bottom w:val="single" w:sz="4" w:space="0" w:color="auto"/>
            </w:tcBorders>
            <w:vAlign w:val="center"/>
          </w:tcPr>
          <w:p w14:paraId="738285BE" w14:textId="12D2F9B5" w:rsidR="008A3F53" w:rsidRPr="009A4DCA" w:rsidRDefault="008A3F53" w:rsidP="003F30D2">
            <w:pPr>
              <w:keepNext/>
              <w:keepLines/>
              <w:jc w:val="center"/>
              <w:rPr>
                <w:rFonts w:ascii="Arial Narrow" w:hAnsi="Arial Narrow"/>
                <w:i/>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729"/>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729"/>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729"/>
                <w14:textFill>
                  <w14:solidFill>
                    <w14:srgbClr w14:val="000000">
                      <w14:alpha w14:val="100000"/>
                    </w14:srgbClr>
                  </w14:solidFill>
                </w14:textFill>
              </w:rPr>
              <w:t xml:space="preserve">　</w:t>
            </w:r>
          </w:p>
        </w:tc>
        <w:tc>
          <w:tcPr>
            <w:tcW w:w="708" w:type="pct"/>
            <w:tcBorders>
              <w:bottom w:val="single" w:sz="4" w:space="0" w:color="auto"/>
            </w:tcBorders>
            <w:vAlign w:val="center"/>
          </w:tcPr>
          <w:p w14:paraId="7151B159" w14:textId="77777777" w:rsidR="008A3F53" w:rsidRPr="009A4DCA" w:rsidRDefault="008A3F53" w:rsidP="003F30D2">
            <w:pPr>
              <w:keepNext/>
              <w:keepLines/>
              <w:jc w:val="center"/>
              <w:rPr>
                <w:rFonts w:ascii="Arial Narrow" w:hAnsi="Arial Narrow"/>
                <w:i/>
                <w:sz w:val="20"/>
                <w:szCs w:val="20"/>
              </w:rPr>
            </w:pPr>
            <w:r w:rsidRPr="009A4DCA">
              <w:rPr>
                <w:rFonts w:ascii="Arial Narrow" w:hAnsi="Arial Narrow"/>
                <w:sz w:val="20"/>
                <w:szCs w:val="20"/>
              </w:rPr>
              <w:t>0.0095</w:t>
            </w:r>
          </w:p>
        </w:tc>
        <w:tc>
          <w:tcPr>
            <w:tcW w:w="629" w:type="pct"/>
            <w:tcBorders>
              <w:bottom w:val="single" w:sz="4" w:space="0" w:color="auto"/>
            </w:tcBorders>
            <w:vAlign w:val="center"/>
          </w:tcPr>
          <w:p w14:paraId="42633294" w14:textId="066F3C65" w:rsidR="008A3F53" w:rsidRPr="009A4DCA" w:rsidRDefault="008A3F53" w:rsidP="003F30D2">
            <w:pPr>
              <w:keepNext/>
              <w:keepLines/>
              <w:jc w:val="center"/>
              <w:rPr>
                <w:rFonts w:ascii="Arial Narrow" w:hAnsi="Arial Narrow"/>
                <w:sz w:val="20"/>
                <w:szCs w:val="20"/>
              </w:rPr>
            </w:pPr>
            <w:r w:rsidRPr="003F30D2">
              <w:rPr>
                <w:rFonts w:ascii="Arial Narrow" w:hAnsi="Arial Narrow"/>
                <w:sz w:val="20"/>
                <w:szCs w:val="20"/>
              </w:rPr>
              <w:t>$</w:t>
            </w:r>
            <w:r w:rsidR="00E44A34" w:rsidRPr="00E44A34">
              <w:rPr>
                <w:rFonts w:ascii="Arial Narrow" w:hAnsi="Arial Narrow" w:hint="eastAsia"/>
                <w:color w:val="000000"/>
                <w:w w:val="21"/>
                <w:sz w:val="20"/>
                <w:szCs w:val="20"/>
                <w:shd w:val="solid" w:color="000000" w:fill="000000"/>
                <w:fitText w:val="93" w:id="-762047728"/>
                <w14:textFill>
                  <w14:solidFill>
                    <w14:srgbClr w14:val="000000">
                      <w14:alpha w14:val="100000"/>
                    </w14:srgbClr>
                  </w14:solidFill>
                </w14:textFill>
              </w:rPr>
              <w:t xml:space="preserve">　</w:t>
            </w:r>
            <w:r w:rsidR="00E44A34" w:rsidRPr="00E44A34">
              <w:rPr>
                <w:rFonts w:ascii="Arial Narrow" w:hAnsi="Arial Narrow"/>
                <w:color w:val="000000"/>
                <w:w w:val="21"/>
                <w:sz w:val="20"/>
                <w:szCs w:val="20"/>
                <w:shd w:val="solid" w:color="000000" w:fill="000000"/>
                <w:fitText w:val="93" w:id="-762047728"/>
                <w14:textFill>
                  <w14:solidFill>
                    <w14:srgbClr w14:val="000000">
                      <w14:alpha w14:val="100000"/>
                    </w14:srgbClr>
                  </w14:solidFill>
                </w14:textFill>
              </w:rPr>
              <w:t>|</w:t>
            </w:r>
            <w:r w:rsidR="00E44A34" w:rsidRPr="00E44A34">
              <w:rPr>
                <w:rFonts w:ascii="Arial Narrow" w:hAnsi="Arial Narrow" w:hint="eastAsia"/>
                <w:color w:val="000000"/>
                <w:w w:val="21"/>
                <w:sz w:val="20"/>
                <w:szCs w:val="20"/>
                <w:shd w:val="solid" w:color="000000" w:fill="000000"/>
                <w:fitText w:val="93" w:id="-762047728"/>
                <w14:textFill>
                  <w14:solidFill>
                    <w14:srgbClr w14:val="000000">
                      <w14:alpha w14:val="100000"/>
                    </w14:srgb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Merge/>
            <w:tcBorders>
              <w:bottom w:val="single" w:sz="4" w:space="0" w:color="auto"/>
            </w:tcBorders>
            <w:vAlign w:val="center"/>
          </w:tcPr>
          <w:p w14:paraId="660D8FC0" w14:textId="77F9BA0B" w:rsidR="008A3F53" w:rsidRPr="009A4DCA" w:rsidRDefault="008A3F53" w:rsidP="003F30D2">
            <w:pPr>
              <w:keepNext/>
              <w:keepLines/>
              <w:jc w:val="center"/>
              <w:rPr>
                <w:rFonts w:ascii="Arial Narrow" w:hAnsi="Arial Narrow"/>
                <w:sz w:val="20"/>
                <w:szCs w:val="20"/>
              </w:rPr>
            </w:pPr>
          </w:p>
        </w:tc>
      </w:tr>
      <w:tr w:rsidR="007B7274" w:rsidRPr="009A4DCA" w14:paraId="06A14288" w14:textId="77777777" w:rsidTr="006D15CE">
        <w:tc>
          <w:tcPr>
            <w:tcW w:w="2198" w:type="pct"/>
            <w:tcBorders>
              <w:right w:val="nil"/>
            </w:tcBorders>
            <w:vAlign w:val="bottom"/>
          </w:tcPr>
          <w:p w14:paraId="7DFB4971" w14:textId="53B69D30" w:rsidR="00A474D0" w:rsidRPr="009A4DCA" w:rsidRDefault="00A474D0" w:rsidP="003F30D2">
            <w:pPr>
              <w:keepNext/>
              <w:keepLines/>
              <w:rPr>
                <w:rFonts w:ascii="Arial Narrow" w:hAnsi="Arial Narrow"/>
                <w:sz w:val="20"/>
                <w:szCs w:val="20"/>
              </w:rPr>
            </w:pPr>
            <w:r w:rsidRPr="009A4DCA">
              <w:rPr>
                <w:rFonts w:ascii="Arial Narrow" w:hAnsi="Arial Narrow" w:cs="Calibri"/>
                <w:b/>
                <w:bCs/>
                <w:color w:val="000000" w:themeColor="text1"/>
                <w:sz w:val="20"/>
                <w:szCs w:val="20"/>
              </w:rPr>
              <w:t>PSCR revised base case</w:t>
            </w:r>
          </w:p>
        </w:tc>
        <w:tc>
          <w:tcPr>
            <w:tcW w:w="472" w:type="pct"/>
            <w:tcBorders>
              <w:left w:val="nil"/>
              <w:right w:val="nil"/>
            </w:tcBorders>
            <w:vAlign w:val="center"/>
          </w:tcPr>
          <w:p w14:paraId="2C3D6AAA" w14:textId="77777777" w:rsidR="00A474D0" w:rsidRPr="008A0C18" w:rsidRDefault="00A474D0" w:rsidP="003F30D2">
            <w:pPr>
              <w:keepNext/>
              <w:keepLines/>
              <w:jc w:val="center"/>
              <w:rPr>
                <w:rFonts w:ascii="Arial Narrow" w:hAnsi="Arial Narrow"/>
                <w:sz w:val="20"/>
                <w:szCs w:val="20"/>
              </w:rPr>
            </w:pPr>
          </w:p>
        </w:tc>
        <w:tc>
          <w:tcPr>
            <w:tcW w:w="550" w:type="pct"/>
            <w:tcBorders>
              <w:left w:val="nil"/>
              <w:right w:val="nil"/>
            </w:tcBorders>
            <w:vAlign w:val="center"/>
          </w:tcPr>
          <w:p w14:paraId="4B31C3EA" w14:textId="77777777" w:rsidR="00A474D0" w:rsidRPr="009A4DCA" w:rsidRDefault="00A474D0" w:rsidP="003F30D2">
            <w:pPr>
              <w:keepNext/>
              <w:keepLines/>
              <w:jc w:val="center"/>
              <w:rPr>
                <w:rFonts w:ascii="Arial Narrow" w:hAnsi="Arial Narrow"/>
                <w:sz w:val="20"/>
                <w:szCs w:val="20"/>
              </w:rPr>
            </w:pPr>
          </w:p>
        </w:tc>
        <w:tc>
          <w:tcPr>
            <w:tcW w:w="708" w:type="pct"/>
            <w:tcBorders>
              <w:left w:val="nil"/>
              <w:right w:val="nil"/>
            </w:tcBorders>
            <w:vAlign w:val="center"/>
          </w:tcPr>
          <w:p w14:paraId="4F35BEC6" w14:textId="77777777" w:rsidR="00A474D0" w:rsidRPr="009A4DCA" w:rsidRDefault="00A474D0" w:rsidP="003F30D2">
            <w:pPr>
              <w:keepNext/>
              <w:keepLines/>
              <w:jc w:val="center"/>
              <w:rPr>
                <w:rFonts w:ascii="Arial Narrow" w:hAnsi="Arial Narrow"/>
                <w:sz w:val="20"/>
                <w:szCs w:val="20"/>
              </w:rPr>
            </w:pPr>
          </w:p>
        </w:tc>
        <w:tc>
          <w:tcPr>
            <w:tcW w:w="629" w:type="pct"/>
            <w:tcBorders>
              <w:left w:val="nil"/>
              <w:right w:val="nil"/>
            </w:tcBorders>
            <w:vAlign w:val="center"/>
          </w:tcPr>
          <w:p w14:paraId="5BE498CE" w14:textId="77777777" w:rsidR="00A474D0" w:rsidRPr="009A4DCA" w:rsidRDefault="00A474D0" w:rsidP="003F30D2">
            <w:pPr>
              <w:keepNext/>
              <w:keepLines/>
              <w:jc w:val="center"/>
              <w:rPr>
                <w:rFonts w:ascii="Arial Narrow" w:hAnsi="Arial Narrow"/>
                <w:sz w:val="20"/>
                <w:szCs w:val="20"/>
              </w:rPr>
            </w:pPr>
          </w:p>
        </w:tc>
        <w:tc>
          <w:tcPr>
            <w:tcW w:w="443" w:type="pct"/>
            <w:tcBorders>
              <w:left w:val="nil"/>
            </w:tcBorders>
            <w:vAlign w:val="center"/>
          </w:tcPr>
          <w:p w14:paraId="6BC6FFBC" w14:textId="77777777" w:rsidR="00A474D0" w:rsidRPr="009A4DCA" w:rsidRDefault="00A474D0" w:rsidP="003F30D2">
            <w:pPr>
              <w:keepNext/>
              <w:keepLines/>
              <w:jc w:val="center"/>
              <w:rPr>
                <w:rFonts w:ascii="Arial Narrow" w:hAnsi="Arial Narrow"/>
                <w:sz w:val="20"/>
                <w:szCs w:val="20"/>
              </w:rPr>
            </w:pPr>
          </w:p>
        </w:tc>
      </w:tr>
      <w:tr w:rsidR="007B7274" w:rsidRPr="009A4DCA" w14:paraId="312A9D55" w14:textId="77777777" w:rsidTr="008C1CDB">
        <w:tc>
          <w:tcPr>
            <w:tcW w:w="2198" w:type="pct"/>
            <w:vAlign w:val="center"/>
          </w:tcPr>
          <w:p w14:paraId="2FC86DA6" w14:textId="2816DB86"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Adults aged ≥75 years</w:t>
            </w:r>
          </w:p>
        </w:tc>
        <w:tc>
          <w:tcPr>
            <w:tcW w:w="472" w:type="pct"/>
            <w:vAlign w:val="center"/>
          </w:tcPr>
          <w:p w14:paraId="3723517F" w14:textId="0217481D" w:rsidR="00A474D0" w:rsidRPr="008A0C18" w:rsidRDefault="00E44A34" w:rsidP="003F30D2">
            <w:pPr>
              <w:keepNext/>
              <w:keepLines/>
              <w:jc w:val="center"/>
              <w:rPr>
                <w:rFonts w:ascii="Arial Narrow" w:hAnsi="Arial Narrow"/>
                <w:sz w:val="20"/>
                <w:szCs w:val="20"/>
              </w:rPr>
            </w:pPr>
            <w:r w:rsidRPr="00E44A34">
              <w:rPr>
                <w:rFonts w:ascii="Arial Narrow" w:hAnsi="Arial Narrow" w:cs="Calibri"/>
                <w:color w:val="000000" w:themeColor="text1"/>
                <w:spacing w:val="49"/>
                <w:sz w:val="20"/>
                <w:szCs w:val="20"/>
                <w:shd w:val="solid" w:color="000000" w:fill="000000"/>
                <w:fitText w:val="227" w:id="-762047744"/>
                <w14:textFill>
                  <w14:solidFill>
                    <w14:schemeClr w14:val="tx1">
                      <w14:alpha w14:val="100000"/>
                    </w14:schemeClr>
                  </w14:solidFill>
                </w14:textFill>
              </w:rPr>
              <w:t>||</w:t>
            </w:r>
            <w:r w:rsidRPr="00E44A34">
              <w:rPr>
                <w:rFonts w:ascii="Arial Narrow" w:hAnsi="Arial Narrow" w:cs="Calibri"/>
                <w:color w:val="000000" w:themeColor="text1"/>
                <w:spacing w:val="2"/>
                <w:sz w:val="20"/>
                <w:szCs w:val="20"/>
                <w:shd w:val="solid" w:color="000000" w:fill="000000"/>
                <w:fitText w:val="227" w:id="-762047744"/>
                <w14:textFill>
                  <w14:solidFill>
                    <w14:schemeClr w14:val="tx1">
                      <w14:alpha w14:val="100000"/>
                    </w14:schemeClr>
                  </w14:solidFill>
                </w14:textFill>
              </w:rPr>
              <w:t>|</w:t>
            </w:r>
            <w:r w:rsidR="00A474D0" w:rsidRPr="008A0C18">
              <w:rPr>
                <w:rFonts w:ascii="Arial Narrow" w:hAnsi="Arial Narrow" w:cs="Calibri"/>
                <w:color w:val="000000" w:themeColor="text1"/>
                <w:sz w:val="20"/>
                <w:szCs w:val="20"/>
              </w:rPr>
              <w:t>%</w:t>
            </w:r>
          </w:p>
        </w:tc>
        <w:tc>
          <w:tcPr>
            <w:tcW w:w="550" w:type="pct"/>
            <w:vAlign w:val="center"/>
          </w:tcPr>
          <w:p w14:paraId="60FA46F5" w14:textId="709F9C5D"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30"/>
                <w:sz w:val="20"/>
                <w:szCs w:val="20"/>
                <w:shd w:val="solid" w:color="000000" w:fill="000000"/>
                <w:fitText w:val="134" w:id="-762047743"/>
                <w14:textFill>
                  <w14:solidFill>
                    <w14:schemeClr w14:val="tx1">
                      <w14:alpha w14:val="100000"/>
                    </w14:schemeClr>
                  </w14:solidFill>
                </w14:textFill>
              </w:rPr>
              <w:t xml:space="preserve">　</w:t>
            </w:r>
            <w:r w:rsidR="00E44A34" w:rsidRPr="00E44A34">
              <w:rPr>
                <w:rFonts w:ascii="Arial Narrow" w:hAnsi="Arial Narrow" w:cs="Calibri"/>
                <w:color w:val="000000" w:themeColor="text1"/>
                <w:w w:val="30"/>
                <w:sz w:val="20"/>
                <w:szCs w:val="20"/>
                <w:shd w:val="solid" w:color="000000" w:fill="000000"/>
                <w:fitText w:val="134" w:id="-762047743"/>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30"/>
                <w:sz w:val="20"/>
                <w:szCs w:val="20"/>
                <w:shd w:val="solid" w:color="000000" w:fill="000000"/>
                <w:fitText w:val="134" w:id="-762047743"/>
                <w14:textFill>
                  <w14:solidFill>
                    <w14:schemeClr w14:val="tx1">
                      <w14:alpha w14:val="100000"/>
                    </w14:schemeClr>
                  </w14:solidFill>
                </w14:textFill>
              </w:rPr>
              <w:t xml:space="preserve">　</w:t>
            </w:r>
          </w:p>
        </w:tc>
        <w:tc>
          <w:tcPr>
            <w:tcW w:w="708" w:type="pct"/>
            <w:vAlign w:val="bottom"/>
          </w:tcPr>
          <w:p w14:paraId="7C810C54" w14:textId="5505616F"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0.0051</w:t>
            </w:r>
          </w:p>
        </w:tc>
        <w:tc>
          <w:tcPr>
            <w:tcW w:w="629" w:type="pct"/>
            <w:vAlign w:val="center"/>
          </w:tcPr>
          <w:p w14:paraId="7DC2DEDC" w14:textId="3EEF983E"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21"/>
                <w:sz w:val="20"/>
                <w:szCs w:val="20"/>
                <w:shd w:val="solid" w:color="000000" w:fill="000000"/>
                <w:fitText w:val="93" w:id="-762047742"/>
                <w14:textFill>
                  <w14:solidFill>
                    <w14:schemeClr w14:val="tx1">
                      <w14:alpha w14:val="100000"/>
                    </w14:schemeClr>
                  </w14:solidFill>
                </w14:textFill>
              </w:rPr>
              <w:t xml:space="preserve">　</w:t>
            </w:r>
            <w:r w:rsidR="00E44A34" w:rsidRPr="00E44A34">
              <w:rPr>
                <w:rFonts w:ascii="Arial Narrow" w:hAnsi="Arial Narrow" w:cs="Calibri"/>
                <w:color w:val="000000" w:themeColor="text1"/>
                <w:w w:val="21"/>
                <w:sz w:val="20"/>
                <w:szCs w:val="20"/>
                <w:shd w:val="solid" w:color="000000" w:fill="000000"/>
                <w:fitText w:val="93" w:id="-762047742"/>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21"/>
                <w:sz w:val="20"/>
                <w:szCs w:val="20"/>
                <w:shd w:val="solid" w:color="000000" w:fill="000000"/>
                <w:fitText w:val="93" w:id="-762047742"/>
                <w14:textFill>
                  <w14:solidFill>
                    <w14:schemeClr w14:val="tx1">
                      <w14:alpha w14:val="100000"/>
                    </w14:schemeClr>
                  </w14:solidFill>
                </w14:textFill>
              </w:rPr>
              <w:t xml:space="preserve">　</w:t>
            </w:r>
            <w:r w:rsidR="00FA7635">
              <w:rPr>
                <w:rFonts w:ascii="Arial Narrow" w:hAnsi="Arial Narrow"/>
                <w:sz w:val="20"/>
                <w:szCs w:val="20"/>
              </w:rPr>
              <w:t xml:space="preserve"> </w:t>
            </w:r>
            <w:r w:rsidR="00FA7635">
              <w:rPr>
                <w:rFonts w:ascii="Arial Narrow" w:hAnsi="Arial Narrow"/>
                <w:sz w:val="20"/>
                <w:szCs w:val="20"/>
                <w:vertAlign w:val="superscript"/>
              </w:rPr>
              <w:t>1</w:t>
            </w:r>
          </w:p>
        </w:tc>
        <w:tc>
          <w:tcPr>
            <w:tcW w:w="443" w:type="pct"/>
            <w:vMerge w:val="restart"/>
            <w:vAlign w:val="center"/>
          </w:tcPr>
          <w:p w14:paraId="37EC90F0" w14:textId="3C1C1735"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color w:val="000000" w:themeColor="text1"/>
                <w:spacing w:val="194"/>
                <w:sz w:val="20"/>
                <w:szCs w:val="20"/>
                <w:shd w:val="solid" w:color="000000" w:fill="000000"/>
                <w:fitText w:val="280" w:id="-762047741"/>
                <w14:textFill>
                  <w14:solidFill>
                    <w14:schemeClr w14:val="tx1">
                      <w14:alpha w14:val="100000"/>
                    </w14:schemeClr>
                  </w14:solidFill>
                </w14:textFill>
              </w:rPr>
              <w:t>|</w:t>
            </w:r>
            <w:r w:rsidR="00E44A34" w:rsidRPr="00E44A34">
              <w:rPr>
                <w:rFonts w:ascii="Arial Narrow" w:hAnsi="Arial Narrow" w:cs="Calibri"/>
                <w:color w:val="000000" w:themeColor="text1"/>
                <w:spacing w:val="1"/>
                <w:sz w:val="20"/>
                <w:szCs w:val="20"/>
                <w:shd w:val="solid" w:color="000000" w:fill="000000"/>
                <w:fitText w:val="280" w:id="-762047741"/>
                <w14:textFill>
                  <w14:solidFill>
                    <w14:schemeClr w14:val="tx1">
                      <w14:alpha w14:val="100000"/>
                    </w14:schemeClr>
                  </w14:solidFill>
                </w14:textFill>
              </w:rPr>
              <w:t>|</w:t>
            </w:r>
            <w:r w:rsidR="00211CF9">
              <w:rPr>
                <w:rFonts w:ascii="Arial Narrow" w:hAnsi="Arial Narrow"/>
                <w:sz w:val="20"/>
                <w:szCs w:val="20"/>
              </w:rPr>
              <w:t xml:space="preserve"> </w:t>
            </w:r>
            <w:r w:rsidR="00211CF9">
              <w:rPr>
                <w:rFonts w:ascii="Arial Narrow" w:hAnsi="Arial Narrow"/>
                <w:sz w:val="20"/>
                <w:szCs w:val="20"/>
                <w:vertAlign w:val="superscript"/>
              </w:rPr>
              <w:t>1</w:t>
            </w:r>
          </w:p>
        </w:tc>
      </w:tr>
      <w:tr w:rsidR="007B7274" w:rsidRPr="009A4DCA" w14:paraId="0A89770E" w14:textId="77777777" w:rsidTr="008C1CDB">
        <w:tc>
          <w:tcPr>
            <w:tcW w:w="2198" w:type="pct"/>
            <w:vAlign w:val="center"/>
          </w:tcPr>
          <w:p w14:paraId="05599571" w14:textId="718DE952"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Aboriginal or Torres Strait Islander, aged 60-74 years</w:t>
            </w:r>
          </w:p>
        </w:tc>
        <w:tc>
          <w:tcPr>
            <w:tcW w:w="472" w:type="pct"/>
            <w:vAlign w:val="center"/>
          </w:tcPr>
          <w:p w14:paraId="58C6C327" w14:textId="78379300" w:rsidR="00A474D0" w:rsidRPr="008A0C18" w:rsidRDefault="00E44A34" w:rsidP="003F30D2">
            <w:pPr>
              <w:keepNext/>
              <w:keepLines/>
              <w:jc w:val="center"/>
              <w:rPr>
                <w:rFonts w:ascii="Arial Narrow" w:hAnsi="Arial Narrow"/>
                <w:sz w:val="20"/>
                <w:szCs w:val="20"/>
              </w:rPr>
            </w:pPr>
            <w:r w:rsidRPr="00E44A34">
              <w:rPr>
                <w:rFonts w:ascii="Arial Narrow" w:hAnsi="Arial Narrow" w:cs="Calibri"/>
                <w:color w:val="000000" w:themeColor="text1"/>
                <w:spacing w:val="49"/>
                <w:sz w:val="20"/>
                <w:szCs w:val="20"/>
                <w:shd w:val="solid" w:color="000000" w:fill="000000"/>
                <w:fitText w:val="227" w:id="-762047740"/>
                <w14:textFill>
                  <w14:solidFill>
                    <w14:schemeClr w14:val="tx1">
                      <w14:alpha w14:val="100000"/>
                    </w14:schemeClr>
                  </w14:solidFill>
                </w14:textFill>
              </w:rPr>
              <w:t>||</w:t>
            </w:r>
            <w:r w:rsidRPr="00E44A34">
              <w:rPr>
                <w:rFonts w:ascii="Arial Narrow" w:hAnsi="Arial Narrow" w:cs="Calibri"/>
                <w:color w:val="000000" w:themeColor="text1"/>
                <w:spacing w:val="2"/>
                <w:sz w:val="20"/>
                <w:szCs w:val="20"/>
                <w:shd w:val="solid" w:color="000000" w:fill="000000"/>
                <w:fitText w:val="227" w:id="-762047740"/>
                <w14:textFill>
                  <w14:solidFill>
                    <w14:schemeClr w14:val="tx1">
                      <w14:alpha w14:val="100000"/>
                    </w14:schemeClr>
                  </w14:solidFill>
                </w14:textFill>
              </w:rPr>
              <w:t>|</w:t>
            </w:r>
            <w:r w:rsidR="00A474D0" w:rsidRPr="008A0C18">
              <w:rPr>
                <w:rFonts w:ascii="Arial Narrow" w:hAnsi="Arial Narrow" w:cs="Calibri"/>
                <w:color w:val="000000" w:themeColor="text1"/>
                <w:sz w:val="20"/>
                <w:szCs w:val="20"/>
              </w:rPr>
              <w:t>%</w:t>
            </w:r>
          </w:p>
        </w:tc>
        <w:tc>
          <w:tcPr>
            <w:tcW w:w="550" w:type="pct"/>
            <w:vAlign w:val="center"/>
          </w:tcPr>
          <w:p w14:paraId="5C39845C" w14:textId="5DC2FE5C"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30"/>
                <w:sz w:val="20"/>
                <w:szCs w:val="20"/>
                <w:shd w:val="solid" w:color="000000" w:fill="000000"/>
                <w:fitText w:val="134" w:id="-762047739"/>
                <w14:textFill>
                  <w14:solidFill>
                    <w14:schemeClr w14:val="tx1">
                      <w14:alpha w14:val="100000"/>
                    </w14:schemeClr>
                  </w14:solidFill>
                </w14:textFill>
              </w:rPr>
              <w:t xml:space="preserve">　</w:t>
            </w:r>
            <w:r w:rsidR="00E44A34" w:rsidRPr="00E44A34">
              <w:rPr>
                <w:rFonts w:ascii="Arial Narrow" w:hAnsi="Arial Narrow" w:cs="Calibri"/>
                <w:color w:val="000000" w:themeColor="text1"/>
                <w:w w:val="30"/>
                <w:sz w:val="20"/>
                <w:szCs w:val="20"/>
                <w:shd w:val="solid" w:color="000000" w:fill="000000"/>
                <w:fitText w:val="134" w:id="-762047739"/>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30"/>
                <w:sz w:val="20"/>
                <w:szCs w:val="20"/>
                <w:shd w:val="solid" w:color="000000" w:fill="000000"/>
                <w:fitText w:val="134" w:id="-762047739"/>
                <w14:textFill>
                  <w14:solidFill>
                    <w14:schemeClr w14:val="tx1">
                      <w14:alpha w14:val="100000"/>
                    </w14:schemeClr>
                  </w14:solidFill>
                </w14:textFill>
              </w:rPr>
              <w:t xml:space="preserve">　</w:t>
            </w:r>
          </w:p>
        </w:tc>
        <w:tc>
          <w:tcPr>
            <w:tcW w:w="708" w:type="pct"/>
            <w:vAlign w:val="bottom"/>
          </w:tcPr>
          <w:p w14:paraId="2597AB6B" w14:textId="631D69CC"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0.0093</w:t>
            </w:r>
          </w:p>
        </w:tc>
        <w:tc>
          <w:tcPr>
            <w:tcW w:w="629" w:type="pct"/>
            <w:vAlign w:val="center"/>
          </w:tcPr>
          <w:p w14:paraId="4697F439" w14:textId="4231975D"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21"/>
                <w:sz w:val="20"/>
                <w:szCs w:val="20"/>
                <w:shd w:val="solid" w:color="000000" w:fill="000000"/>
                <w:fitText w:val="93" w:id="-762047738"/>
                <w14:textFill>
                  <w14:solidFill>
                    <w14:schemeClr w14:val="tx1">
                      <w14:alpha w14:val="100000"/>
                    </w14:schemeClr>
                  </w14:solidFill>
                </w14:textFill>
              </w:rPr>
              <w:t xml:space="preserve">　</w:t>
            </w:r>
            <w:r w:rsidR="00E44A34" w:rsidRPr="00E44A34">
              <w:rPr>
                <w:rFonts w:ascii="Arial Narrow" w:hAnsi="Arial Narrow" w:cs="Calibri"/>
                <w:color w:val="000000" w:themeColor="text1"/>
                <w:w w:val="21"/>
                <w:sz w:val="20"/>
                <w:szCs w:val="20"/>
                <w:shd w:val="solid" w:color="000000" w:fill="000000"/>
                <w:fitText w:val="93" w:id="-762047738"/>
                <w14:textFill>
                  <w14:solidFill>
                    <w14:schemeClr w14:val="tx1">
                      <w14:alpha w14:val="100000"/>
                    </w14:schemeClr>
                  </w14:solidFill>
                </w14:textFill>
              </w:rPr>
              <w:t>|</w:t>
            </w:r>
            <w:r w:rsidR="00E44A34" w:rsidRPr="00E44A34">
              <w:rPr>
                <w:rFonts w:ascii="Arial Narrow" w:hAnsi="Arial Narrow" w:cs="Calibri" w:hint="eastAsia"/>
                <w:color w:val="000000" w:themeColor="text1"/>
                <w:w w:val="21"/>
                <w:sz w:val="20"/>
                <w:szCs w:val="20"/>
                <w:shd w:val="solid" w:color="000000" w:fill="000000"/>
                <w:fitText w:val="93" w:id="-762047738"/>
                <w14:textFill>
                  <w14:solidFill>
                    <w14:schemeClr w14:val="tx1">
                      <w14:alpha w14:val="100000"/>
                    </w14:scheme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Merge/>
            <w:vAlign w:val="center"/>
          </w:tcPr>
          <w:p w14:paraId="4E810C11" w14:textId="77777777" w:rsidR="00A474D0" w:rsidRPr="009A4DCA" w:rsidRDefault="00A474D0" w:rsidP="003F30D2">
            <w:pPr>
              <w:keepNext/>
              <w:keepLines/>
              <w:jc w:val="center"/>
              <w:rPr>
                <w:rFonts w:ascii="Arial Narrow" w:hAnsi="Arial Narrow"/>
                <w:sz w:val="20"/>
                <w:szCs w:val="20"/>
              </w:rPr>
            </w:pPr>
          </w:p>
        </w:tc>
      </w:tr>
      <w:tr w:rsidR="007B7274" w:rsidRPr="009A4DCA" w14:paraId="54B01E11" w14:textId="77777777" w:rsidTr="008C1CDB">
        <w:tc>
          <w:tcPr>
            <w:tcW w:w="2198" w:type="pct"/>
            <w:vAlign w:val="center"/>
          </w:tcPr>
          <w:p w14:paraId="0A0900E7" w14:textId="4BD187CF"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Adults with at least one risk factor aged 60-74 years</w:t>
            </w:r>
          </w:p>
        </w:tc>
        <w:tc>
          <w:tcPr>
            <w:tcW w:w="472" w:type="pct"/>
            <w:vAlign w:val="center"/>
          </w:tcPr>
          <w:p w14:paraId="16745990" w14:textId="63611A92" w:rsidR="00A474D0" w:rsidRPr="008A0C18" w:rsidRDefault="00E44A34" w:rsidP="003F30D2">
            <w:pPr>
              <w:keepNext/>
              <w:keepLines/>
              <w:jc w:val="center"/>
              <w:rPr>
                <w:rFonts w:ascii="Arial Narrow" w:hAnsi="Arial Narrow"/>
                <w:sz w:val="20"/>
                <w:szCs w:val="20"/>
              </w:rPr>
            </w:pPr>
            <w:r w:rsidRPr="00E44A34">
              <w:rPr>
                <w:rFonts w:ascii="Arial Narrow" w:hAnsi="Arial Narrow" w:cs="Calibri"/>
                <w:color w:val="000000" w:themeColor="text1"/>
                <w:spacing w:val="49"/>
                <w:sz w:val="20"/>
                <w:szCs w:val="20"/>
                <w:shd w:val="solid" w:color="000000" w:fill="000000"/>
                <w:fitText w:val="227" w:id="-762047737"/>
                <w14:textFill>
                  <w14:solidFill>
                    <w14:schemeClr w14:val="tx1">
                      <w14:alpha w14:val="100000"/>
                    </w14:schemeClr>
                  </w14:solidFill>
                </w14:textFill>
              </w:rPr>
              <w:t>||</w:t>
            </w:r>
            <w:r w:rsidRPr="00E44A34">
              <w:rPr>
                <w:rFonts w:ascii="Arial Narrow" w:hAnsi="Arial Narrow" w:cs="Calibri"/>
                <w:color w:val="000000" w:themeColor="text1"/>
                <w:spacing w:val="2"/>
                <w:sz w:val="20"/>
                <w:szCs w:val="20"/>
                <w:shd w:val="solid" w:color="000000" w:fill="000000"/>
                <w:fitText w:val="227" w:id="-762047737"/>
                <w14:textFill>
                  <w14:solidFill>
                    <w14:schemeClr w14:val="tx1">
                      <w14:alpha w14:val="100000"/>
                    </w14:schemeClr>
                  </w14:solidFill>
                </w14:textFill>
              </w:rPr>
              <w:t>|</w:t>
            </w:r>
            <w:r w:rsidR="00A474D0" w:rsidRPr="008A0C18">
              <w:rPr>
                <w:rFonts w:ascii="Arial Narrow" w:hAnsi="Arial Narrow" w:cs="Calibri"/>
                <w:color w:val="000000" w:themeColor="text1"/>
                <w:sz w:val="20"/>
                <w:szCs w:val="20"/>
              </w:rPr>
              <w:t>%</w:t>
            </w:r>
          </w:p>
        </w:tc>
        <w:tc>
          <w:tcPr>
            <w:tcW w:w="550" w:type="pct"/>
            <w:vAlign w:val="center"/>
          </w:tcPr>
          <w:p w14:paraId="089CB345" w14:textId="08A369A5"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30"/>
                <w:sz w:val="20"/>
                <w:szCs w:val="20"/>
                <w:shd w:val="solid" w:color="000000" w:fill="000000"/>
                <w:fitText w:val="134" w:id="-762047736"/>
                <w14:textFill>
                  <w14:solidFill>
                    <w14:schemeClr w14:val="tx1">
                      <w14:alpha w14:val="100000"/>
                    </w14:schemeClr>
                  </w14:solidFill>
                </w14:textFill>
              </w:rPr>
              <w:t xml:space="preserve">　</w:t>
            </w:r>
            <w:r w:rsidR="00E44A34" w:rsidRPr="00E44A34">
              <w:rPr>
                <w:rFonts w:ascii="Arial Narrow" w:hAnsi="Arial Narrow" w:cs="Calibri"/>
                <w:color w:val="000000" w:themeColor="text1"/>
                <w:w w:val="30"/>
                <w:sz w:val="20"/>
                <w:szCs w:val="20"/>
                <w:shd w:val="solid" w:color="000000" w:fill="000000"/>
                <w:fitText w:val="134" w:id="-762047736"/>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30"/>
                <w:sz w:val="20"/>
                <w:szCs w:val="20"/>
                <w:shd w:val="solid" w:color="000000" w:fill="000000"/>
                <w:fitText w:val="134" w:id="-762047736"/>
                <w14:textFill>
                  <w14:solidFill>
                    <w14:schemeClr w14:val="tx1">
                      <w14:alpha w14:val="100000"/>
                    </w14:schemeClr>
                  </w14:solidFill>
                </w14:textFill>
              </w:rPr>
              <w:t xml:space="preserve">　</w:t>
            </w:r>
          </w:p>
        </w:tc>
        <w:tc>
          <w:tcPr>
            <w:tcW w:w="708" w:type="pct"/>
            <w:vAlign w:val="bottom"/>
          </w:tcPr>
          <w:p w14:paraId="7E961C41" w14:textId="711429AC"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0.0104</w:t>
            </w:r>
          </w:p>
        </w:tc>
        <w:tc>
          <w:tcPr>
            <w:tcW w:w="629" w:type="pct"/>
            <w:vAlign w:val="center"/>
          </w:tcPr>
          <w:p w14:paraId="5FC6E0AC" w14:textId="1479EC31"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21"/>
                <w:sz w:val="20"/>
                <w:szCs w:val="20"/>
                <w:shd w:val="solid" w:color="000000" w:fill="000000"/>
                <w:fitText w:val="93" w:id="-762047735"/>
                <w14:textFill>
                  <w14:solidFill>
                    <w14:schemeClr w14:val="tx1">
                      <w14:alpha w14:val="100000"/>
                    </w14:schemeClr>
                  </w14:solidFill>
                </w14:textFill>
              </w:rPr>
              <w:t xml:space="preserve">　</w:t>
            </w:r>
            <w:r w:rsidR="00E44A34" w:rsidRPr="00E44A34">
              <w:rPr>
                <w:rFonts w:ascii="Arial Narrow" w:hAnsi="Arial Narrow" w:cs="Calibri"/>
                <w:color w:val="000000" w:themeColor="text1"/>
                <w:w w:val="21"/>
                <w:sz w:val="20"/>
                <w:szCs w:val="20"/>
                <w:shd w:val="solid" w:color="000000" w:fill="000000"/>
                <w:fitText w:val="93" w:id="-762047735"/>
                <w14:textFill>
                  <w14:solidFill>
                    <w14:schemeClr w14:val="tx1">
                      <w14:alpha w14:val="100000"/>
                    </w14:schemeClr>
                  </w14:solidFill>
                </w14:textFill>
              </w:rPr>
              <w:t>|</w:t>
            </w:r>
            <w:r w:rsidR="00E44A34" w:rsidRPr="00E44A34">
              <w:rPr>
                <w:rFonts w:ascii="Arial Narrow" w:hAnsi="Arial Narrow" w:cs="Calibri" w:hint="eastAsia"/>
                <w:color w:val="000000" w:themeColor="text1"/>
                <w:w w:val="21"/>
                <w:sz w:val="20"/>
                <w:szCs w:val="20"/>
                <w:shd w:val="solid" w:color="000000" w:fill="000000"/>
                <w:fitText w:val="93" w:id="-762047735"/>
                <w14:textFill>
                  <w14:solidFill>
                    <w14:schemeClr w14:val="tx1">
                      <w14:alpha w14:val="100000"/>
                    </w14:scheme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Merge/>
            <w:vAlign w:val="center"/>
          </w:tcPr>
          <w:p w14:paraId="6BA61873" w14:textId="77777777" w:rsidR="00A474D0" w:rsidRPr="009A4DCA" w:rsidRDefault="00A474D0" w:rsidP="003F30D2">
            <w:pPr>
              <w:keepNext/>
              <w:keepLines/>
              <w:jc w:val="center"/>
              <w:rPr>
                <w:rFonts w:ascii="Arial Narrow" w:hAnsi="Arial Narrow"/>
                <w:sz w:val="20"/>
                <w:szCs w:val="20"/>
              </w:rPr>
            </w:pPr>
          </w:p>
        </w:tc>
      </w:tr>
      <w:tr w:rsidR="007B7274" w:rsidRPr="009A4DCA" w14:paraId="09EE0EA4" w14:textId="77777777" w:rsidTr="008A3F53">
        <w:tc>
          <w:tcPr>
            <w:tcW w:w="2198" w:type="pct"/>
          </w:tcPr>
          <w:p w14:paraId="4E80250A" w14:textId="0CEB064F" w:rsidR="00A474D0" w:rsidRPr="009A4DCA" w:rsidRDefault="00A474D0" w:rsidP="003F30D2">
            <w:pPr>
              <w:keepNext/>
              <w:keepLines/>
              <w:rPr>
                <w:rFonts w:ascii="Arial Narrow" w:hAnsi="Arial Narrow"/>
                <w:sz w:val="20"/>
                <w:szCs w:val="20"/>
              </w:rPr>
            </w:pPr>
            <w:r w:rsidRPr="009A4DCA">
              <w:rPr>
                <w:rFonts w:ascii="Arial Narrow" w:hAnsi="Arial Narrow" w:cs="Calibri"/>
                <w:b/>
                <w:bCs/>
                <w:color w:val="000000" w:themeColor="text1"/>
                <w:sz w:val="20"/>
                <w:szCs w:val="20"/>
              </w:rPr>
              <w:t>PSCR Revised case with 3 year VE truncation</w:t>
            </w:r>
          </w:p>
        </w:tc>
        <w:tc>
          <w:tcPr>
            <w:tcW w:w="472" w:type="pct"/>
            <w:vAlign w:val="center"/>
          </w:tcPr>
          <w:p w14:paraId="2519CB73" w14:textId="77777777" w:rsidR="00A474D0" w:rsidRPr="008A0C18" w:rsidRDefault="00A474D0" w:rsidP="003F30D2">
            <w:pPr>
              <w:keepNext/>
              <w:keepLines/>
              <w:jc w:val="center"/>
              <w:rPr>
                <w:rFonts w:ascii="Arial Narrow" w:hAnsi="Arial Narrow"/>
                <w:sz w:val="20"/>
                <w:szCs w:val="20"/>
              </w:rPr>
            </w:pPr>
          </w:p>
        </w:tc>
        <w:tc>
          <w:tcPr>
            <w:tcW w:w="550" w:type="pct"/>
            <w:vAlign w:val="center"/>
          </w:tcPr>
          <w:p w14:paraId="699EB3F2" w14:textId="77777777" w:rsidR="00A474D0" w:rsidRPr="009A4DCA" w:rsidRDefault="00A474D0" w:rsidP="003F30D2">
            <w:pPr>
              <w:keepNext/>
              <w:keepLines/>
              <w:jc w:val="center"/>
              <w:rPr>
                <w:rFonts w:ascii="Arial Narrow" w:hAnsi="Arial Narrow"/>
                <w:sz w:val="20"/>
                <w:szCs w:val="20"/>
              </w:rPr>
            </w:pPr>
          </w:p>
        </w:tc>
        <w:tc>
          <w:tcPr>
            <w:tcW w:w="708" w:type="pct"/>
            <w:vAlign w:val="center"/>
          </w:tcPr>
          <w:p w14:paraId="086A3B76" w14:textId="77777777" w:rsidR="00A474D0" w:rsidRPr="009A4DCA" w:rsidRDefault="00A474D0" w:rsidP="003F30D2">
            <w:pPr>
              <w:keepNext/>
              <w:keepLines/>
              <w:jc w:val="center"/>
              <w:rPr>
                <w:rFonts w:ascii="Arial Narrow" w:hAnsi="Arial Narrow"/>
                <w:sz w:val="20"/>
                <w:szCs w:val="20"/>
              </w:rPr>
            </w:pPr>
          </w:p>
        </w:tc>
        <w:tc>
          <w:tcPr>
            <w:tcW w:w="629" w:type="pct"/>
            <w:vAlign w:val="center"/>
          </w:tcPr>
          <w:p w14:paraId="6E77CA99" w14:textId="77777777" w:rsidR="00A474D0" w:rsidRPr="009A4DCA" w:rsidRDefault="00A474D0" w:rsidP="003F30D2">
            <w:pPr>
              <w:keepNext/>
              <w:keepLines/>
              <w:jc w:val="center"/>
              <w:rPr>
                <w:rFonts w:ascii="Arial Narrow" w:hAnsi="Arial Narrow"/>
                <w:sz w:val="20"/>
                <w:szCs w:val="20"/>
              </w:rPr>
            </w:pPr>
          </w:p>
        </w:tc>
        <w:tc>
          <w:tcPr>
            <w:tcW w:w="443" w:type="pct"/>
            <w:vAlign w:val="center"/>
          </w:tcPr>
          <w:p w14:paraId="04A43A49" w14:textId="77777777" w:rsidR="00A474D0" w:rsidRPr="009A4DCA" w:rsidRDefault="00A474D0" w:rsidP="003F30D2">
            <w:pPr>
              <w:keepNext/>
              <w:keepLines/>
              <w:jc w:val="center"/>
              <w:rPr>
                <w:rFonts w:ascii="Arial Narrow" w:hAnsi="Arial Narrow"/>
                <w:sz w:val="20"/>
                <w:szCs w:val="20"/>
              </w:rPr>
            </w:pPr>
          </w:p>
        </w:tc>
      </w:tr>
      <w:tr w:rsidR="007B7274" w:rsidRPr="009A4DCA" w14:paraId="0CB8DE44" w14:textId="77777777" w:rsidTr="008C1CDB">
        <w:tc>
          <w:tcPr>
            <w:tcW w:w="2198" w:type="pct"/>
            <w:vAlign w:val="center"/>
          </w:tcPr>
          <w:p w14:paraId="6BBC6684" w14:textId="072A25BF"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Adults aged ≥75 years</w:t>
            </w:r>
          </w:p>
        </w:tc>
        <w:tc>
          <w:tcPr>
            <w:tcW w:w="472" w:type="pct"/>
            <w:vAlign w:val="center"/>
          </w:tcPr>
          <w:p w14:paraId="35B5C61F" w14:textId="63FB4F48" w:rsidR="00A474D0" w:rsidRPr="008A0C18" w:rsidRDefault="00E44A34" w:rsidP="003F30D2">
            <w:pPr>
              <w:keepNext/>
              <w:keepLines/>
              <w:jc w:val="center"/>
              <w:rPr>
                <w:rFonts w:ascii="Arial Narrow" w:hAnsi="Arial Narrow"/>
                <w:sz w:val="20"/>
                <w:szCs w:val="20"/>
              </w:rPr>
            </w:pPr>
            <w:r w:rsidRPr="00E44A34">
              <w:rPr>
                <w:rFonts w:ascii="Arial Narrow" w:hAnsi="Arial Narrow" w:cs="Calibri"/>
                <w:color w:val="000000" w:themeColor="text1"/>
                <w:spacing w:val="49"/>
                <w:sz w:val="20"/>
                <w:szCs w:val="20"/>
                <w:shd w:val="solid" w:color="000000" w:fill="000000"/>
                <w:fitText w:val="227" w:id="-762047734"/>
                <w14:textFill>
                  <w14:solidFill>
                    <w14:schemeClr w14:val="tx1">
                      <w14:alpha w14:val="100000"/>
                    </w14:schemeClr>
                  </w14:solidFill>
                </w14:textFill>
              </w:rPr>
              <w:t>||</w:t>
            </w:r>
            <w:r w:rsidRPr="00E44A34">
              <w:rPr>
                <w:rFonts w:ascii="Arial Narrow" w:hAnsi="Arial Narrow" w:cs="Calibri"/>
                <w:color w:val="000000" w:themeColor="text1"/>
                <w:spacing w:val="2"/>
                <w:sz w:val="20"/>
                <w:szCs w:val="20"/>
                <w:shd w:val="solid" w:color="000000" w:fill="000000"/>
                <w:fitText w:val="227" w:id="-762047734"/>
                <w14:textFill>
                  <w14:solidFill>
                    <w14:schemeClr w14:val="tx1">
                      <w14:alpha w14:val="100000"/>
                    </w14:schemeClr>
                  </w14:solidFill>
                </w14:textFill>
              </w:rPr>
              <w:t>|</w:t>
            </w:r>
            <w:r w:rsidR="00A474D0" w:rsidRPr="008A0C18">
              <w:rPr>
                <w:rFonts w:ascii="Arial Narrow" w:hAnsi="Arial Narrow" w:cs="Calibri"/>
                <w:color w:val="000000" w:themeColor="text1"/>
                <w:sz w:val="20"/>
                <w:szCs w:val="20"/>
              </w:rPr>
              <w:t>%</w:t>
            </w:r>
          </w:p>
        </w:tc>
        <w:tc>
          <w:tcPr>
            <w:tcW w:w="550" w:type="pct"/>
            <w:vAlign w:val="center"/>
          </w:tcPr>
          <w:p w14:paraId="197E69F5" w14:textId="67C49292"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30"/>
                <w:sz w:val="20"/>
                <w:szCs w:val="20"/>
                <w:shd w:val="solid" w:color="000000" w:fill="000000"/>
                <w:fitText w:val="134" w:id="-762047733"/>
                <w14:textFill>
                  <w14:solidFill>
                    <w14:schemeClr w14:val="tx1">
                      <w14:alpha w14:val="100000"/>
                    </w14:schemeClr>
                  </w14:solidFill>
                </w14:textFill>
              </w:rPr>
              <w:t xml:space="preserve">　</w:t>
            </w:r>
            <w:r w:rsidR="00E44A34" w:rsidRPr="00E44A34">
              <w:rPr>
                <w:rFonts w:ascii="Arial Narrow" w:hAnsi="Arial Narrow" w:cs="Calibri"/>
                <w:color w:val="000000" w:themeColor="text1"/>
                <w:w w:val="30"/>
                <w:sz w:val="20"/>
                <w:szCs w:val="20"/>
                <w:shd w:val="solid" w:color="000000" w:fill="000000"/>
                <w:fitText w:val="134" w:id="-762047733"/>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30"/>
                <w:sz w:val="20"/>
                <w:szCs w:val="20"/>
                <w:shd w:val="solid" w:color="000000" w:fill="000000"/>
                <w:fitText w:val="134" w:id="-762047733"/>
                <w14:textFill>
                  <w14:solidFill>
                    <w14:schemeClr w14:val="tx1">
                      <w14:alpha w14:val="100000"/>
                    </w14:schemeClr>
                  </w14:solidFill>
                </w14:textFill>
              </w:rPr>
              <w:t xml:space="preserve">　</w:t>
            </w:r>
          </w:p>
        </w:tc>
        <w:tc>
          <w:tcPr>
            <w:tcW w:w="708" w:type="pct"/>
            <w:vAlign w:val="bottom"/>
          </w:tcPr>
          <w:p w14:paraId="21B3958D" w14:textId="6CDE2F6A"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0.0045</w:t>
            </w:r>
          </w:p>
        </w:tc>
        <w:tc>
          <w:tcPr>
            <w:tcW w:w="629" w:type="pct"/>
            <w:vAlign w:val="center"/>
          </w:tcPr>
          <w:p w14:paraId="017D08E2" w14:textId="67C2EDA5"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21"/>
                <w:sz w:val="20"/>
                <w:szCs w:val="20"/>
                <w:shd w:val="solid" w:color="000000" w:fill="000000"/>
                <w:fitText w:val="93" w:id="-762047732"/>
                <w14:textFill>
                  <w14:solidFill>
                    <w14:schemeClr w14:val="tx1">
                      <w14:alpha w14:val="100000"/>
                    </w14:schemeClr>
                  </w14:solidFill>
                </w14:textFill>
              </w:rPr>
              <w:t xml:space="preserve">　</w:t>
            </w:r>
            <w:r w:rsidR="00E44A34" w:rsidRPr="00E44A34">
              <w:rPr>
                <w:rFonts w:ascii="Arial Narrow" w:hAnsi="Arial Narrow" w:cs="Calibri"/>
                <w:color w:val="000000" w:themeColor="text1"/>
                <w:w w:val="21"/>
                <w:sz w:val="20"/>
                <w:szCs w:val="20"/>
                <w:shd w:val="solid" w:color="000000" w:fill="000000"/>
                <w:fitText w:val="93" w:id="-762047732"/>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21"/>
                <w:sz w:val="20"/>
                <w:szCs w:val="20"/>
                <w:shd w:val="solid" w:color="000000" w:fill="000000"/>
                <w:fitText w:val="93" w:id="-762047732"/>
                <w14:textFill>
                  <w14:solidFill>
                    <w14:schemeClr w14:val="tx1">
                      <w14:alpha w14:val="100000"/>
                    </w14:scheme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3</w:t>
            </w:r>
          </w:p>
        </w:tc>
        <w:tc>
          <w:tcPr>
            <w:tcW w:w="443" w:type="pct"/>
            <w:vMerge w:val="restart"/>
            <w:vAlign w:val="center"/>
          </w:tcPr>
          <w:p w14:paraId="34CA8498" w14:textId="0EC68440"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color w:val="000000" w:themeColor="text1"/>
                <w:spacing w:val="194"/>
                <w:sz w:val="20"/>
                <w:szCs w:val="20"/>
                <w:shd w:val="solid" w:color="000000" w:fill="000000"/>
                <w:fitText w:val="280" w:id="-762047731"/>
                <w14:textFill>
                  <w14:solidFill>
                    <w14:schemeClr w14:val="tx1">
                      <w14:alpha w14:val="100000"/>
                    </w14:schemeClr>
                  </w14:solidFill>
                </w14:textFill>
              </w:rPr>
              <w:t>|</w:t>
            </w:r>
            <w:r w:rsidR="00E44A34" w:rsidRPr="00E44A34">
              <w:rPr>
                <w:rFonts w:ascii="Arial Narrow" w:hAnsi="Arial Narrow" w:cs="Calibri"/>
                <w:color w:val="000000" w:themeColor="text1"/>
                <w:spacing w:val="1"/>
                <w:sz w:val="20"/>
                <w:szCs w:val="20"/>
                <w:shd w:val="solid" w:color="000000" w:fill="000000"/>
                <w:fitText w:val="280" w:id="-762047731"/>
                <w14:textFill>
                  <w14:solidFill>
                    <w14:schemeClr w14:val="tx1">
                      <w14:alpha w14:val="100000"/>
                    </w14:schemeClr>
                  </w14:solidFill>
                </w14:textFill>
              </w:rPr>
              <w:t>|</w:t>
            </w:r>
            <w:r w:rsidR="00211CF9">
              <w:rPr>
                <w:rFonts w:ascii="Arial Narrow" w:hAnsi="Arial Narrow"/>
                <w:sz w:val="20"/>
                <w:szCs w:val="20"/>
              </w:rPr>
              <w:t xml:space="preserve"> </w:t>
            </w:r>
            <w:r w:rsidR="00211CF9">
              <w:rPr>
                <w:rFonts w:ascii="Arial Narrow" w:hAnsi="Arial Narrow"/>
                <w:sz w:val="20"/>
                <w:szCs w:val="20"/>
                <w:vertAlign w:val="superscript"/>
              </w:rPr>
              <w:t>1</w:t>
            </w:r>
          </w:p>
        </w:tc>
      </w:tr>
      <w:tr w:rsidR="007B7274" w:rsidRPr="009A4DCA" w14:paraId="7DF9ACBE" w14:textId="77777777" w:rsidTr="008C1CDB">
        <w:tc>
          <w:tcPr>
            <w:tcW w:w="2198" w:type="pct"/>
            <w:vAlign w:val="center"/>
          </w:tcPr>
          <w:p w14:paraId="40DA0790" w14:textId="524119E6"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Aboriginal or Torres Strait Islander, aged 60-74 years</w:t>
            </w:r>
          </w:p>
        </w:tc>
        <w:tc>
          <w:tcPr>
            <w:tcW w:w="472" w:type="pct"/>
            <w:vAlign w:val="center"/>
          </w:tcPr>
          <w:p w14:paraId="0760F03D" w14:textId="70311C07" w:rsidR="00A474D0" w:rsidRPr="008A0C18" w:rsidRDefault="00E44A34" w:rsidP="003F30D2">
            <w:pPr>
              <w:keepNext/>
              <w:keepLines/>
              <w:jc w:val="center"/>
              <w:rPr>
                <w:rFonts w:ascii="Arial Narrow" w:hAnsi="Arial Narrow"/>
                <w:sz w:val="20"/>
                <w:szCs w:val="20"/>
              </w:rPr>
            </w:pPr>
            <w:r w:rsidRPr="00E44A34">
              <w:rPr>
                <w:rFonts w:ascii="Arial Narrow" w:hAnsi="Arial Narrow" w:cs="Calibri"/>
                <w:color w:val="000000" w:themeColor="text1"/>
                <w:spacing w:val="49"/>
                <w:sz w:val="20"/>
                <w:szCs w:val="20"/>
                <w:shd w:val="solid" w:color="000000" w:fill="000000"/>
                <w:fitText w:val="227" w:id="-762047730"/>
                <w14:textFill>
                  <w14:solidFill>
                    <w14:schemeClr w14:val="tx1">
                      <w14:alpha w14:val="100000"/>
                    </w14:schemeClr>
                  </w14:solidFill>
                </w14:textFill>
              </w:rPr>
              <w:t>||</w:t>
            </w:r>
            <w:r w:rsidRPr="00E44A34">
              <w:rPr>
                <w:rFonts w:ascii="Arial Narrow" w:hAnsi="Arial Narrow" w:cs="Calibri"/>
                <w:color w:val="000000" w:themeColor="text1"/>
                <w:spacing w:val="2"/>
                <w:sz w:val="20"/>
                <w:szCs w:val="20"/>
                <w:shd w:val="solid" w:color="000000" w:fill="000000"/>
                <w:fitText w:val="227" w:id="-762047730"/>
                <w14:textFill>
                  <w14:solidFill>
                    <w14:schemeClr w14:val="tx1">
                      <w14:alpha w14:val="100000"/>
                    </w14:schemeClr>
                  </w14:solidFill>
                </w14:textFill>
              </w:rPr>
              <w:t>|</w:t>
            </w:r>
            <w:r w:rsidR="00A474D0" w:rsidRPr="008A0C18">
              <w:rPr>
                <w:rFonts w:ascii="Arial Narrow" w:hAnsi="Arial Narrow" w:cs="Calibri"/>
                <w:color w:val="000000" w:themeColor="text1"/>
                <w:sz w:val="20"/>
                <w:szCs w:val="20"/>
              </w:rPr>
              <w:t>%</w:t>
            </w:r>
          </w:p>
        </w:tc>
        <w:tc>
          <w:tcPr>
            <w:tcW w:w="550" w:type="pct"/>
            <w:vAlign w:val="center"/>
          </w:tcPr>
          <w:p w14:paraId="2CED0E3B" w14:textId="23E6A792"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30"/>
                <w:sz w:val="20"/>
                <w:szCs w:val="20"/>
                <w:shd w:val="solid" w:color="000000" w:fill="000000"/>
                <w:fitText w:val="134" w:id="-762047729"/>
                <w14:textFill>
                  <w14:solidFill>
                    <w14:schemeClr w14:val="tx1">
                      <w14:alpha w14:val="100000"/>
                    </w14:schemeClr>
                  </w14:solidFill>
                </w14:textFill>
              </w:rPr>
              <w:t xml:space="preserve">　</w:t>
            </w:r>
            <w:r w:rsidR="00E44A34" w:rsidRPr="00E44A34">
              <w:rPr>
                <w:rFonts w:ascii="Arial Narrow" w:hAnsi="Arial Narrow" w:cs="Calibri"/>
                <w:color w:val="000000" w:themeColor="text1"/>
                <w:w w:val="30"/>
                <w:sz w:val="20"/>
                <w:szCs w:val="20"/>
                <w:shd w:val="solid" w:color="000000" w:fill="000000"/>
                <w:fitText w:val="134" w:id="-762047729"/>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30"/>
                <w:sz w:val="20"/>
                <w:szCs w:val="20"/>
                <w:shd w:val="solid" w:color="000000" w:fill="000000"/>
                <w:fitText w:val="134" w:id="-762047729"/>
                <w14:textFill>
                  <w14:solidFill>
                    <w14:schemeClr w14:val="tx1">
                      <w14:alpha w14:val="100000"/>
                    </w14:schemeClr>
                  </w14:solidFill>
                </w14:textFill>
              </w:rPr>
              <w:t xml:space="preserve">　</w:t>
            </w:r>
          </w:p>
        </w:tc>
        <w:tc>
          <w:tcPr>
            <w:tcW w:w="708" w:type="pct"/>
            <w:vAlign w:val="bottom"/>
          </w:tcPr>
          <w:p w14:paraId="1D47BE82" w14:textId="585BB789"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0.0081</w:t>
            </w:r>
          </w:p>
        </w:tc>
        <w:tc>
          <w:tcPr>
            <w:tcW w:w="629" w:type="pct"/>
            <w:vAlign w:val="center"/>
          </w:tcPr>
          <w:p w14:paraId="6464493B" w14:textId="652A154E"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21"/>
                <w:sz w:val="20"/>
                <w:szCs w:val="20"/>
                <w:shd w:val="solid" w:color="000000" w:fill="000000"/>
                <w:fitText w:val="93" w:id="-762047488"/>
                <w14:textFill>
                  <w14:solidFill>
                    <w14:schemeClr w14:val="tx1">
                      <w14:alpha w14:val="100000"/>
                    </w14:schemeClr>
                  </w14:solidFill>
                </w14:textFill>
              </w:rPr>
              <w:t xml:space="preserve">　</w:t>
            </w:r>
            <w:r w:rsidR="00E44A34" w:rsidRPr="00E44A34">
              <w:rPr>
                <w:rFonts w:ascii="Arial Narrow" w:hAnsi="Arial Narrow" w:cs="Calibri"/>
                <w:color w:val="000000" w:themeColor="text1"/>
                <w:w w:val="21"/>
                <w:sz w:val="20"/>
                <w:szCs w:val="20"/>
                <w:shd w:val="solid" w:color="000000" w:fill="000000"/>
                <w:fitText w:val="93" w:id="-762047488"/>
                <w14:textFill>
                  <w14:solidFill>
                    <w14:schemeClr w14:val="tx1">
                      <w14:alpha w14:val="100000"/>
                    </w14:schemeClr>
                  </w14:solidFill>
                </w14:textFill>
              </w:rPr>
              <w:t>|</w:t>
            </w:r>
            <w:r w:rsidR="00E44A34" w:rsidRPr="00E44A34">
              <w:rPr>
                <w:rFonts w:ascii="Arial Narrow" w:hAnsi="Arial Narrow" w:cs="Calibri" w:hint="eastAsia"/>
                <w:color w:val="000000" w:themeColor="text1"/>
                <w:w w:val="21"/>
                <w:sz w:val="20"/>
                <w:szCs w:val="20"/>
                <w:shd w:val="solid" w:color="000000" w:fill="000000"/>
                <w:fitText w:val="93" w:id="-762047488"/>
                <w14:textFill>
                  <w14:solidFill>
                    <w14:schemeClr w14:val="tx1">
                      <w14:alpha w14:val="100000"/>
                    </w14:scheme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Merge/>
            <w:vAlign w:val="center"/>
          </w:tcPr>
          <w:p w14:paraId="765A4BA0" w14:textId="77777777" w:rsidR="00A474D0" w:rsidRPr="009A4DCA" w:rsidRDefault="00A474D0" w:rsidP="003F30D2">
            <w:pPr>
              <w:keepNext/>
              <w:keepLines/>
              <w:jc w:val="center"/>
              <w:rPr>
                <w:rFonts w:ascii="Arial Narrow" w:hAnsi="Arial Narrow"/>
                <w:sz w:val="20"/>
                <w:szCs w:val="20"/>
              </w:rPr>
            </w:pPr>
          </w:p>
        </w:tc>
      </w:tr>
      <w:tr w:rsidR="007B7274" w:rsidRPr="009A4DCA" w14:paraId="283C0DE9" w14:textId="77777777" w:rsidTr="008C1CDB">
        <w:tc>
          <w:tcPr>
            <w:tcW w:w="2198" w:type="pct"/>
            <w:vAlign w:val="center"/>
          </w:tcPr>
          <w:p w14:paraId="3A6B96D8" w14:textId="08E228B2"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Adults with at least one risk factor aged 60-74 years</w:t>
            </w:r>
          </w:p>
        </w:tc>
        <w:tc>
          <w:tcPr>
            <w:tcW w:w="472" w:type="pct"/>
            <w:vAlign w:val="center"/>
          </w:tcPr>
          <w:p w14:paraId="4C86A9A6" w14:textId="3D71FE45" w:rsidR="00A474D0" w:rsidRPr="008A0C18" w:rsidRDefault="00E44A34" w:rsidP="003F30D2">
            <w:pPr>
              <w:keepNext/>
              <w:keepLines/>
              <w:jc w:val="center"/>
              <w:rPr>
                <w:rFonts w:ascii="Arial Narrow" w:hAnsi="Arial Narrow"/>
                <w:sz w:val="20"/>
                <w:szCs w:val="20"/>
              </w:rPr>
            </w:pPr>
            <w:r w:rsidRPr="00E44A34">
              <w:rPr>
                <w:rFonts w:ascii="Arial Narrow" w:hAnsi="Arial Narrow" w:cs="Calibri"/>
                <w:color w:val="000000" w:themeColor="text1"/>
                <w:spacing w:val="49"/>
                <w:sz w:val="20"/>
                <w:szCs w:val="20"/>
                <w:shd w:val="solid" w:color="000000" w:fill="000000"/>
                <w:fitText w:val="227" w:id="-762047487"/>
                <w14:textFill>
                  <w14:solidFill>
                    <w14:schemeClr w14:val="tx1">
                      <w14:alpha w14:val="100000"/>
                    </w14:schemeClr>
                  </w14:solidFill>
                </w14:textFill>
              </w:rPr>
              <w:t>||</w:t>
            </w:r>
            <w:r w:rsidRPr="00E44A34">
              <w:rPr>
                <w:rFonts w:ascii="Arial Narrow" w:hAnsi="Arial Narrow" w:cs="Calibri"/>
                <w:color w:val="000000" w:themeColor="text1"/>
                <w:spacing w:val="2"/>
                <w:sz w:val="20"/>
                <w:szCs w:val="20"/>
                <w:shd w:val="solid" w:color="000000" w:fill="000000"/>
                <w:fitText w:val="227" w:id="-762047487"/>
                <w14:textFill>
                  <w14:solidFill>
                    <w14:schemeClr w14:val="tx1">
                      <w14:alpha w14:val="100000"/>
                    </w14:schemeClr>
                  </w14:solidFill>
                </w14:textFill>
              </w:rPr>
              <w:t>|</w:t>
            </w:r>
            <w:r w:rsidR="00A474D0" w:rsidRPr="008A0C18">
              <w:rPr>
                <w:rFonts w:ascii="Arial Narrow" w:hAnsi="Arial Narrow" w:cs="Calibri"/>
                <w:color w:val="000000" w:themeColor="text1"/>
                <w:sz w:val="20"/>
                <w:szCs w:val="20"/>
              </w:rPr>
              <w:t>%</w:t>
            </w:r>
          </w:p>
        </w:tc>
        <w:tc>
          <w:tcPr>
            <w:tcW w:w="550" w:type="pct"/>
            <w:vAlign w:val="center"/>
          </w:tcPr>
          <w:p w14:paraId="6527133A" w14:textId="593BEFDF"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30"/>
                <w:sz w:val="20"/>
                <w:szCs w:val="20"/>
                <w:shd w:val="solid" w:color="000000" w:fill="000000"/>
                <w:fitText w:val="134" w:id="-762047486"/>
                <w14:textFill>
                  <w14:solidFill>
                    <w14:schemeClr w14:val="tx1">
                      <w14:alpha w14:val="100000"/>
                    </w14:schemeClr>
                  </w14:solidFill>
                </w14:textFill>
              </w:rPr>
              <w:t xml:space="preserve">　</w:t>
            </w:r>
            <w:r w:rsidR="00E44A34" w:rsidRPr="00E44A34">
              <w:rPr>
                <w:rFonts w:ascii="Arial Narrow" w:hAnsi="Arial Narrow" w:cs="Calibri"/>
                <w:color w:val="000000" w:themeColor="text1"/>
                <w:w w:val="30"/>
                <w:sz w:val="20"/>
                <w:szCs w:val="20"/>
                <w:shd w:val="solid" w:color="000000" w:fill="000000"/>
                <w:fitText w:val="134" w:id="-762047486"/>
                <w14:textFill>
                  <w14:solidFill>
                    <w14:schemeClr w14:val="tx1">
                      <w14:alpha w14:val="100000"/>
                    </w14:schemeClr>
                  </w14:solidFill>
                </w14:textFill>
              </w:rPr>
              <w:t>|</w:t>
            </w:r>
            <w:r w:rsidR="00E44A34" w:rsidRPr="00E44A34">
              <w:rPr>
                <w:rFonts w:ascii="Arial Narrow" w:hAnsi="Arial Narrow" w:cs="Calibri" w:hint="eastAsia"/>
                <w:color w:val="000000" w:themeColor="text1"/>
                <w:spacing w:val="2"/>
                <w:w w:val="30"/>
                <w:sz w:val="20"/>
                <w:szCs w:val="20"/>
                <w:shd w:val="solid" w:color="000000" w:fill="000000"/>
                <w:fitText w:val="134" w:id="-762047486"/>
                <w14:textFill>
                  <w14:solidFill>
                    <w14:schemeClr w14:val="tx1">
                      <w14:alpha w14:val="100000"/>
                    </w14:schemeClr>
                  </w14:solidFill>
                </w14:textFill>
              </w:rPr>
              <w:t xml:space="preserve">　</w:t>
            </w:r>
          </w:p>
        </w:tc>
        <w:tc>
          <w:tcPr>
            <w:tcW w:w="708" w:type="pct"/>
            <w:vAlign w:val="bottom"/>
          </w:tcPr>
          <w:p w14:paraId="271994AE" w14:textId="4D63E089"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0.0089</w:t>
            </w:r>
          </w:p>
        </w:tc>
        <w:tc>
          <w:tcPr>
            <w:tcW w:w="629" w:type="pct"/>
            <w:vAlign w:val="center"/>
          </w:tcPr>
          <w:p w14:paraId="1B698D50" w14:textId="1572D982" w:rsidR="00A474D0" w:rsidRPr="009A4DCA" w:rsidRDefault="00A474D0" w:rsidP="003F30D2">
            <w:pPr>
              <w:keepNext/>
              <w:keepLines/>
              <w:jc w:val="center"/>
              <w:rPr>
                <w:rFonts w:ascii="Arial Narrow" w:hAnsi="Arial Narrow"/>
                <w:sz w:val="20"/>
                <w:szCs w:val="20"/>
              </w:rPr>
            </w:pPr>
            <w:r w:rsidRPr="009A4DCA">
              <w:rPr>
                <w:rFonts w:ascii="Arial Narrow" w:hAnsi="Arial Narrow" w:cs="Calibri"/>
                <w:color w:val="000000" w:themeColor="text1"/>
                <w:sz w:val="20"/>
                <w:szCs w:val="20"/>
              </w:rPr>
              <w:t>$</w:t>
            </w:r>
            <w:r w:rsidR="00E44A34" w:rsidRPr="00E44A34">
              <w:rPr>
                <w:rFonts w:ascii="Arial Narrow" w:hAnsi="Arial Narrow" w:cs="Calibri" w:hint="eastAsia"/>
                <w:color w:val="000000" w:themeColor="text1"/>
                <w:w w:val="21"/>
                <w:sz w:val="20"/>
                <w:szCs w:val="20"/>
                <w:shd w:val="solid" w:color="000000" w:fill="000000"/>
                <w:fitText w:val="93" w:id="-762047485"/>
                <w14:textFill>
                  <w14:solidFill>
                    <w14:schemeClr w14:val="tx1">
                      <w14:alpha w14:val="100000"/>
                    </w14:schemeClr>
                  </w14:solidFill>
                </w14:textFill>
              </w:rPr>
              <w:t xml:space="preserve">　</w:t>
            </w:r>
            <w:r w:rsidR="00E44A34" w:rsidRPr="00E44A34">
              <w:rPr>
                <w:rFonts w:ascii="Arial Narrow" w:hAnsi="Arial Narrow" w:cs="Calibri"/>
                <w:color w:val="000000" w:themeColor="text1"/>
                <w:w w:val="21"/>
                <w:sz w:val="20"/>
                <w:szCs w:val="20"/>
                <w:shd w:val="solid" w:color="000000" w:fill="000000"/>
                <w:fitText w:val="93" w:id="-762047485"/>
                <w14:textFill>
                  <w14:solidFill>
                    <w14:schemeClr w14:val="tx1">
                      <w14:alpha w14:val="100000"/>
                    </w14:schemeClr>
                  </w14:solidFill>
                </w14:textFill>
              </w:rPr>
              <w:t>|</w:t>
            </w:r>
            <w:r w:rsidR="00E44A34" w:rsidRPr="00E44A34">
              <w:rPr>
                <w:rFonts w:ascii="Arial Narrow" w:hAnsi="Arial Narrow" w:cs="Calibri" w:hint="eastAsia"/>
                <w:color w:val="000000" w:themeColor="text1"/>
                <w:w w:val="21"/>
                <w:sz w:val="20"/>
                <w:szCs w:val="20"/>
                <w:shd w:val="solid" w:color="000000" w:fill="000000"/>
                <w:fitText w:val="93" w:id="-762047485"/>
                <w14:textFill>
                  <w14:solidFill>
                    <w14:schemeClr w14:val="tx1">
                      <w14:alpha w14:val="100000"/>
                    </w14:scheme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Merge/>
            <w:vAlign w:val="center"/>
          </w:tcPr>
          <w:p w14:paraId="3B5EEF15" w14:textId="77777777" w:rsidR="00A474D0" w:rsidRPr="009A4DCA" w:rsidRDefault="00A474D0" w:rsidP="003F30D2">
            <w:pPr>
              <w:keepNext/>
              <w:keepLines/>
              <w:jc w:val="center"/>
              <w:rPr>
                <w:rFonts w:ascii="Arial Narrow" w:hAnsi="Arial Narrow"/>
                <w:sz w:val="20"/>
                <w:szCs w:val="20"/>
              </w:rPr>
            </w:pPr>
          </w:p>
        </w:tc>
      </w:tr>
      <w:tr w:rsidR="007B7274" w:rsidRPr="009A4DCA" w14:paraId="4340B208" w14:textId="77777777" w:rsidTr="008C1CDB">
        <w:tc>
          <w:tcPr>
            <w:tcW w:w="2198" w:type="pct"/>
            <w:vAlign w:val="center"/>
          </w:tcPr>
          <w:p w14:paraId="763DC215" w14:textId="47666479" w:rsidR="00A474D0" w:rsidRPr="009A4DCA" w:rsidRDefault="00A474D0" w:rsidP="003F30D2">
            <w:pPr>
              <w:keepNext/>
              <w:keepLines/>
              <w:rPr>
                <w:rFonts w:ascii="Arial Narrow" w:hAnsi="Arial Narrow"/>
                <w:b/>
                <w:bCs/>
                <w:sz w:val="20"/>
                <w:szCs w:val="20"/>
              </w:rPr>
            </w:pPr>
            <w:r w:rsidRPr="009A4DCA">
              <w:rPr>
                <w:rFonts w:ascii="Arial Narrow" w:hAnsi="Arial Narrow"/>
                <w:b/>
                <w:bCs/>
                <w:sz w:val="20"/>
                <w:szCs w:val="20"/>
              </w:rPr>
              <w:t>ESC re-specified economic evaluation</w:t>
            </w:r>
            <w:r w:rsidRPr="009A4DCA">
              <w:rPr>
                <w:rFonts w:ascii="Arial Narrow" w:hAnsi="Arial Narrow"/>
                <w:b/>
                <w:bCs/>
                <w:sz w:val="20"/>
                <w:szCs w:val="20"/>
                <w:vertAlign w:val="superscript"/>
              </w:rPr>
              <w:t>a</w:t>
            </w:r>
          </w:p>
        </w:tc>
        <w:tc>
          <w:tcPr>
            <w:tcW w:w="472" w:type="pct"/>
            <w:vAlign w:val="center"/>
          </w:tcPr>
          <w:p w14:paraId="3A4B95F1" w14:textId="77777777" w:rsidR="00A474D0" w:rsidRPr="008A0C18" w:rsidRDefault="00A474D0" w:rsidP="003F30D2">
            <w:pPr>
              <w:keepNext/>
              <w:keepLines/>
              <w:jc w:val="center"/>
              <w:rPr>
                <w:rFonts w:ascii="Arial Narrow" w:hAnsi="Arial Narrow" w:cs="Calibri"/>
                <w:color w:val="000000" w:themeColor="text1"/>
                <w:sz w:val="20"/>
                <w:szCs w:val="20"/>
              </w:rPr>
            </w:pPr>
          </w:p>
        </w:tc>
        <w:tc>
          <w:tcPr>
            <w:tcW w:w="550" w:type="pct"/>
            <w:vAlign w:val="center"/>
          </w:tcPr>
          <w:p w14:paraId="00C41133" w14:textId="77777777" w:rsidR="00A474D0" w:rsidRPr="009A4DCA" w:rsidRDefault="00A474D0" w:rsidP="003F30D2">
            <w:pPr>
              <w:keepNext/>
              <w:keepLines/>
              <w:jc w:val="center"/>
              <w:rPr>
                <w:rFonts w:ascii="Arial Narrow" w:hAnsi="Arial Narrow" w:cs="Calibri"/>
                <w:color w:val="000000" w:themeColor="text1"/>
                <w:sz w:val="20"/>
                <w:szCs w:val="20"/>
              </w:rPr>
            </w:pPr>
          </w:p>
        </w:tc>
        <w:tc>
          <w:tcPr>
            <w:tcW w:w="708" w:type="pct"/>
            <w:vAlign w:val="bottom"/>
          </w:tcPr>
          <w:p w14:paraId="7CD49269" w14:textId="77777777" w:rsidR="00A474D0" w:rsidRPr="009A4DCA" w:rsidRDefault="00A474D0" w:rsidP="003F30D2">
            <w:pPr>
              <w:keepNext/>
              <w:keepLines/>
              <w:jc w:val="center"/>
              <w:rPr>
                <w:rFonts w:ascii="Arial Narrow" w:hAnsi="Arial Narrow" w:cs="Calibri"/>
                <w:color w:val="000000" w:themeColor="text1"/>
                <w:sz w:val="20"/>
                <w:szCs w:val="20"/>
              </w:rPr>
            </w:pPr>
          </w:p>
        </w:tc>
        <w:tc>
          <w:tcPr>
            <w:tcW w:w="629" w:type="pct"/>
            <w:vAlign w:val="center"/>
          </w:tcPr>
          <w:p w14:paraId="0201D1E4" w14:textId="77777777" w:rsidR="00A474D0" w:rsidRPr="009A4DCA" w:rsidRDefault="00A474D0" w:rsidP="003F30D2">
            <w:pPr>
              <w:keepNext/>
              <w:keepLines/>
              <w:jc w:val="center"/>
              <w:rPr>
                <w:rFonts w:ascii="Arial Narrow" w:hAnsi="Arial Narrow" w:cs="Calibri"/>
                <w:color w:val="000000" w:themeColor="text1"/>
                <w:sz w:val="20"/>
                <w:szCs w:val="20"/>
              </w:rPr>
            </w:pPr>
          </w:p>
        </w:tc>
        <w:tc>
          <w:tcPr>
            <w:tcW w:w="443" w:type="pct"/>
            <w:vAlign w:val="center"/>
          </w:tcPr>
          <w:p w14:paraId="1ADDCDB4" w14:textId="77777777" w:rsidR="00A474D0" w:rsidRPr="009A4DCA" w:rsidRDefault="00A474D0" w:rsidP="003F30D2">
            <w:pPr>
              <w:keepNext/>
              <w:keepLines/>
              <w:jc w:val="center"/>
              <w:rPr>
                <w:rFonts w:ascii="Arial Narrow" w:hAnsi="Arial Narrow"/>
                <w:sz w:val="20"/>
                <w:szCs w:val="20"/>
              </w:rPr>
            </w:pPr>
          </w:p>
        </w:tc>
      </w:tr>
      <w:tr w:rsidR="007B7274" w:rsidRPr="009A4DCA" w14:paraId="61FD9E2E" w14:textId="77777777" w:rsidTr="008C1CDB">
        <w:tc>
          <w:tcPr>
            <w:tcW w:w="2198" w:type="pct"/>
          </w:tcPr>
          <w:p w14:paraId="6265E3E6" w14:textId="61FA7C51"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Adults aged ≥75 years</w:t>
            </w:r>
          </w:p>
        </w:tc>
        <w:tc>
          <w:tcPr>
            <w:tcW w:w="472" w:type="pct"/>
            <w:vAlign w:val="center"/>
          </w:tcPr>
          <w:p w14:paraId="79E4D50E" w14:textId="7BD49F01" w:rsidR="00A474D0" w:rsidRPr="008A0C18" w:rsidRDefault="00E44A34" w:rsidP="003F30D2">
            <w:pPr>
              <w:keepNext/>
              <w:keepLines/>
              <w:jc w:val="center"/>
              <w:rPr>
                <w:rFonts w:ascii="Arial Narrow" w:hAnsi="Arial Narrow" w:cs="Calibri"/>
                <w:color w:val="000000" w:themeColor="text1"/>
                <w:sz w:val="20"/>
                <w:szCs w:val="20"/>
              </w:rPr>
            </w:pPr>
            <w:r w:rsidRPr="00E44A34">
              <w:rPr>
                <w:rFonts w:ascii="Arial Narrow" w:hAnsi="Arial Narrow"/>
                <w:color w:val="000000"/>
                <w:spacing w:val="49"/>
                <w:sz w:val="20"/>
                <w:szCs w:val="20"/>
                <w:shd w:val="solid" w:color="000000" w:fill="000000"/>
                <w:fitText w:val="227" w:id="-762047484"/>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484"/>
                <w14:textFill>
                  <w14:solidFill>
                    <w14:srgbClr w14:val="000000">
                      <w14:alpha w14:val="100000"/>
                    </w14:srgbClr>
                  </w14:solidFill>
                </w14:textFill>
              </w:rPr>
              <w:t>|</w:t>
            </w:r>
            <w:r w:rsidR="00A474D0" w:rsidRPr="008A0C18">
              <w:rPr>
                <w:rFonts w:ascii="Arial Narrow" w:hAnsi="Arial Narrow"/>
                <w:sz w:val="20"/>
                <w:szCs w:val="20"/>
              </w:rPr>
              <w:t>%</w:t>
            </w:r>
          </w:p>
        </w:tc>
        <w:tc>
          <w:tcPr>
            <w:tcW w:w="550" w:type="pct"/>
            <w:vAlign w:val="center"/>
          </w:tcPr>
          <w:p w14:paraId="5ACE6682" w14:textId="5AB8E43A"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483"/>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483"/>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483"/>
                <w14:textFill>
                  <w14:solidFill>
                    <w14:srgbClr w14:val="000000">
                      <w14:alpha w14:val="100000"/>
                    </w14:srgbClr>
                  </w14:solidFill>
                </w14:textFill>
              </w:rPr>
              <w:t xml:space="preserve">　</w:t>
            </w:r>
          </w:p>
        </w:tc>
        <w:tc>
          <w:tcPr>
            <w:tcW w:w="708" w:type="pct"/>
            <w:vAlign w:val="bottom"/>
          </w:tcPr>
          <w:p w14:paraId="3B3F5CC6" w14:textId="1374C159"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sz w:val="20"/>
                <w:szCs w:val="20"/>
              </w:rPr>
              <w:t>0.0015</w:t>
            </w:r>
          </w:p>
        </w:tc>
        <w:tc>
          <w:tcPr>
            <w:tcW w:w="629" w:type="pct"/>
            <w:vAlign w:val="center"/>
          </w:tcPr>
          <w:p w14:paraId="08D6DFB7" w14:textId="4F4C89EA"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21"/>
                <w:sz w:val="20"/>
                <w:szCs w:val="20"/>
                <w:shd w:val="solid" w:color="000000" w:fill="000000"/>
                <w:fitText w:val="93" w:id="-762047482"/>
                <w14:textFill>
                  <w14:solidFill>
                    <w14:srgbClr w14:val="000000">
                      <w14:alpha w14:val="100000"/>
                    </w14:srgbClr>
                  </w14:solidFill>
                </w14:textFill>
              </w:rPr>
              <w:t xml:space="preserve">　</w:t>
            </w:r>
            <w:r w:rsidR="00E44A34" w:rsidRPr="00E44A34">
              <w:rPr>
                <w:rFonts w:ascii="Arial Narrow" w:hAnsi="Arial Narrow"/>
                <w:bCs/>
                <w:color w:val="000000"/>
                <w:w w:val="21"/>
                <w:sz w:val="20"/>
                <w:szCs w:val="20"/>
                <w:shd w:val="solid" w:color="000000" w:fill="000000"/>
                <w:fitText w:val="93" w:id="-762047482"/>
                <w14:textFill>
                  <w14:solidFill>
                    <w14:srgbClr w14:val="000000">
                      <w14:alpha w14:val="100000"/>
                    </w14:srgbClr>
                  </w14:solidFill>
                </w14:textFill>
              </w:rPr>
              <w:t>|</w:t>
            </w:r>
            <w:r w:rsidR="00E44A34" w:rsidRPr="00E44A34">
              <w:rPr>
                <w:rFonts w:ascii="Arial Narrow" w:hAnsi="Arial Narrow" w:hint="eastAsia"/>
                <w:bCs/>
                <w:color w:val="000000"/>
                <w:spacing w:val="2"/>
                <w:w w:val="21"/>
                <w:sz w:val="20"/>
                <w:szCs w:val="20"/>
                <w:shd w:val="solid" w:color="000000" w:fill="000000"/>
                <w:fitText w:val="93" w:id="-762047482"/>
                <w14:textFill>
                  <w14:solidFill>
                    <w14:srgbClr w14:val="000000">
                      <w14:alpha w14:val="100000"/>
                    </w14:srgb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4</w:t>
            </w:r>
          </w:p>
        </w:tc>
        <w:tc>
          <w:tcPr>
            <w:tcW w:w="443" w:type="pct"/>
            <w:vMerge w:val="restart"/>
            <w:vAlign w:val="center"/>
          </w:tcPr>
          <w:p w14:paraId="36512368" w14:textId="6F29FC67" w:rsidR="00A474D0" w:rsidRPr="009A4DCA" w:rsidRDefault="00A474D0" w:rsidP="003F30D2">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color w:val="000000"/>
                <w:spacing w:val="194"/>
                <w:sz w:val="20"/>
                <w:szCs w:val="20"/>
                <w:shd w:val="solid" w:color="000000" w:fill="000000"/>
                <w:fitText w:val="280" w:id="-762047481"/>
                <w14:textFill>
                  <w14:solidFill>
                    <w14:srgbClr w14:val="000000">
                      <w14:alpha w14:val="100000"/>
                    </w14:srgbClr>
                  </w14:solidFill>
                </w14:textFill>
              </w:rPr>
              <w:t>|</w:t>
            </w:r>
            <w:r w:rsidR="00E44A34" w:rsidRPr="00E44A34">
              <w:rPr>
                <w:rFonts w:ascii="Arial Narrow" w:hAnsi="Arial Narrow"/>
                <w:color w:val="000000"/>
                <w:spacing w:val="1"/>
                <w:sz w:val="20"/>
                <w:szCs w:val="20"/>
                <w:shd w:val="solid" w:color="000000" w:fill="000000"/>
                <w:fitText w:val="280" w:id="-762047481"/>
                <w14:textFill>
                  <w14:solidFill>
                    <w14:srgbClr w14:val="000000">
                      <w14:alpha w14:val="100000"/>
                    </w14:srgbClr>
                  </w14:solidFill>
                </w14:textFill>
              </w:rPr>
              <w:t>|</w:t>
            </w:r>
            <w:r w:rsidR="00946E11">
              <w:rPr>
                <w:rFonts w:ascii="Arial Narrow" w:hAnsi="Arial Narrow"/>
                <w:sz w:val="20"/>
                <w:szCs w:val="20"/>
              </w:rPr>
              <w:t xml:space="preserve"> </w:t>
            </w:r>
            <w:r w:rsidR="00946E11">
              <w:rPr>
                <w:rFonts w:ascii="Arial Narrow" w:hAnsi="Arial Narrow"/>
                <w:sz w:val="20"/>
                <w:szCs w:val="20"/>
                <w:vertAlign w:val="superscript"/>
              </w:rPr>
              <w:t>6</w:t>
            </w:r>
          </w:p>
        </w:tc>
      </w:tr>
      <w:tr w:rsidR="007B7274" w:rsidRPr="009A4DCA" w14:paraId="318588C1" w14:textId="77777777" w:rsidTr="008C1CDB">
        <w:tc>
          <w:tcPr>
            <w:tcW w:w="2198" w:type="pct"/>
          </w:tcPr>
          <w:p w14:paraId="72698DBF" w14:textId="47F79231"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Aboriginal or Torres Strait Islander, aged 60-74 years</w:t>
            </w:r>
          </w:p>
        </w:tc>
        <w:tc>
          <w:tcPr>
            <w:tcW w:w="472" w:type="pct"/>
            <w:vAlign w:val="center"/>
          </w:tcPr>
          <w:p w14:paraId="566FC841" w14:textId="11EDA2B3" w:rsidR="00A474D0" w:rsidRPr="008A0C18" w:rsidRDefault="00E44A34" w:rsidP="003F30D2">
            <w:pPr>
              <w:keepNext/>
              <w:keepLines/>
              <w:jc w:val="center"/>
              <w:rPr>
                <w:rFonts w:ascii="Arial Narrow" w:hAnsi="Arial Narrow" w:cs="Calibri"/>
                <w:color w:val="000000" w:themeColor="text1"/>
                <w:sz w:val="20"/>
                <w:szCs w:val="20"/>
              </w:rPr>
            </w:pPr>
            <w:r w:rsidRPr="00E44A34">
              <w:rPr>
                <w:rFonts w:ascii="Arial Narrow" w:hAnsi="Arial Narrow"/>
                <w:color w:val="000000"/>
                <w:spacing w:val="49"/>
                <w:sz w:val="20"/>
                <w:szCs w:val="20"/>
                <w:shd w:val="solid" w:color="000000" w:fill="000000"/>
                <w:fitText w:val="227" w:id="-762047480"/>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480"/>
                <w14:textFill>
                  <w14:solidFill>
                    <w14:srgbClr w14:val="000000">
                      <w14:alpha w14:val="100000"/>
                    </w14:srgbClr>
                  </w14:solidFill>
                </w14:textFill>
              </w:rPr>
              <w:t>|</w:t>
            </w:r>
            <w:r w:rsidR="00A474D0" w:rsidRPr="008A0C18">
              <w:rPr>
                <w:rFonts w:ascii="Arial Narrow" w:hAnsi="Arial Narrow"/>
                <w:sz w:val="20"/>
                <w:szCs w:val="20"/>
              </w:rPr>
              <w:t>%</w:t>
            </w:r>
          </w:p>
        </w:tc>
        <w:tc>
          <w:tcPr>
            <w:tcW w:w="550" w:type="pct"/>
            <w:vAlign w:val="center"/>
          </w:tcPr>
          <w:p w14:paraId="196246CC" w14:textId="55FA164B"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479"/>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479"/>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479"/>
                <w14:textFill>
                  <w14:solidFill>
                    <w14:srgbClr w14:val="000000">
                      <w14:alpha w14:val="100000"/>
                    </w14:srgbClr>
                  </w14:solidFill>
                </w14:textFill>
              </w:rPr>
              <w:t xml:space="preserve">　</w:t>
            </w:r>
          </w:p>
        </w:tc>
        <w:tc>
          <w:tcPr>
            <w:tcW w:w="708" w:type="pct"/>
            <w:vAlign w:val="bottom"/>
          </w:tcPr>
          <w:p w14:paraId="6A42CA23" w14:textId="09BC6C0E"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sz w:val="20"/>
                <w:szCs w:val="20"/>
              </w:rPr>
              <w:t>0.0036</w:t>
            </w:r>
          </w:p>
        </w:tc>
        <w:tc>
          <w:tcPr>
            <w:tcW w:w="629" w:type="pct"/>
            <w:vAlign w:val="center"/>
          </w:tcPr>
          <w:p w14:paraId="1F518C3D" w14:textId="2542DD1F"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21"/>
                <w:sz w:val="20"/>
                <w:szCs w:val="20"/>
                <w:shd w:val="solid" w:color="000000" w:fill="000000"/>
                <w:fitText w:val="93" w:id="-762047478"/>
                <w14:textFill>
                  <w14:solidFill>
                    <w14:srgbClr w14:val="000000">
                      <w14:alpha w14:val="100000"/>
                    </w14:srgbClr>
                  </w14:solidFill>
                </w14:textFill>
              </w:rPr>
              <w:t xml:space="preserve">　</w:t>
            </w:r>
            <w:r w:rsidR="00E44A34" w:rsidRPr="00E44A34">
              <w:rPr>
                <w:rFonts w:ascii="Arial Narrow" w:hAnsi="Arial Narrow"/>
                <w:bCs/>
                <w:color w:val="000000"/>
                <w:w w:val="21"/>
                <w:sz w:val="20"/>
                <w:szCs w:val="20"/>
                <w:shd w:val="solid" w:color="000000" w:fill="000000"/>
                <w:fitText w:val="93" w:id="-762047478"/>
                <w14:textFill>
                  <w14:solidFill>
                    <w14:srgbClr w14:val="000000">
                      <w14:alpha w14:val="100000"/>
                    </w14:srgbClr>
                  </w14:solidFill>
                </w14:textFill>
              </w:rPr>
              <w:t>|</w:t>
            </w:r>
            <w:r w:rsidR="00E44A34" w:rsidRPr="00E44A34">
              <w:rPr>
                <w:rFonts w:ascii="Arial Narrow" w:hAnsi="Arial Narrow" w:hint="eastAsia"/>
                <w:bCs/>
                <w:color w:val="000000"/>
                <w:w w:val="21"/>
                <w:sz w:val="20"/>
                <w:szCs w:val="20"/>
                <w:shd w:val="solid" w:color="000000" w:fill="000000"/>
                <w:fitText w:val="93" w:id="-762047478"/>
                <w14:textFill>
                  <w14:solidFill>
                    <w14:srgbClr w14:val="000000">
                      <w14:alpha w14:val="100000"/>
                    </w14:srgb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3</w:t>
            </w:r>
          </w:p>
        </w:tc>
        <w:tc>
          <w:tcPr>
            <w:tcW w:w="443" w:type="pct"/>
            <w:vMerge/>
            <w:vAlign w:val="center"/>
          </w:tcPr>
          <w:p w14:paraId="167DCCBD" w14:textId="77777777" w:rsidR="00A474D0" w:rsidRPr="009A4DCA" w:rsidRDefault="00A474D0" w:rsidP="003F30D2">
            <w:pPr>
              <w:keepNext/>
              <w:keepLines/>
              <w:jc w:val="center"/>
              <w:rPr>
                <w:rFonts w:ascii="Arial Narrow" w:hAnsi="Arial Narrow"/>
                <w:sz w:val="20"/>
                <w:szCs w:val="20"/>
              </w:rPr>
            </w:pPr>
          </w:p>
        </w:tc>
      </w:tr>
      <w:tr w:rsidR="007B7274" w:rsidRPr="009A4DCA" w14:paraId="016A1B72" w14:textId="77777777" w:rsidTr="006D15CE">
        <w:tc>
          <w:tcPr>
            <w:tcW w:w="2198" w:type="pct"/>
            <w:tcBorders>
              <w:bottom w:val="single" w:sz="4" w:space="0" w:color="auto"/>
            </w:tcBorders>
          </w:tcPr>
          <w:p w14:paraId="23213EAA" w14:textId="75D3755A" w:rsidR="00A474D0" w:rsidRPr="009A4DCA" w:rsidRDefault="00A474D0" w:rsidP="003F30D2">
            <w:pPr>
              <w:keepNext/>
              <w:keepLines/>
              <w:rPr>
                <w:rFonts w:ascii="Arial Narrow" w:hAnsi="Arial Narrow"/>
                <w:sz w:val="20"/>
                <w:szCs w:val="20"/>
              </w:rPr>
            </w:pPr>
            <w:r w:rsidRPr="009A4DCA">
              <w:rPr>
                <w:rFonts w:ascii="Arial Narrow" w:hAnsi="Arial Narrow"/>
                <w:sz w:val="20"/>
                <w:szCs w:val="20"/>
              </w:rPr>
              <w:t>Adults with at least one risk factor aged 60-74 years</w:t>
            </w:r>
          </w:p>
        </w:tc>
        <w:tc>
          <w:tcPr>
            <w:tcW w:w="472" w:type="pct"/>
            <w:tcBorders>
              <w:bottom w:val="single" w:sz="4" w:space="0" w:color="auto"/>
            </w:tcBorders>
            <w:vAlign w:val="center"/>
          </w:tcPr>
          <w:p w14:paraId="4D6DC8E3" w14:textId="2D6EB6A4" w:rsidR="00A474D0" w:rsidRPr="008A0C18" w:rsidRDefault="00E44A34" w:rsidP="003F30D2">
            <w:pPr>
              <w:keepNext/>
              <w:keepLines/>
              <w:jc w:val="center"/>
              <w:rPr>
                <w:rFonts w:ascii="Arial Narrow" w:hAnsi="Arial Narrow" w:cs="Calibri"/>
                <w:color w:val="000000" w:themeColor="text1"/>
                <w:sz w:val="20"/>
                <w:szCs w:val="20"/>
              </w:rPr>
            </w:pPr>
            <w:r w:rsidRPr="00E44A34">
              <w:rPr>
                <w:rFonts w:ascii="Arial Narrow" w:hAnsi="Arial Narrow"/>
                <w:color w:val="000000"/>
                <w:spacing w:val="49"/>
                <w:sz w:val="20"/>
                <w:szCs w:val="20"/>
                <w:shd w:val="solid" w:color="000000" w:fill="000000"/>
                <w:fitText w:val="227" w:id="-762047477"/>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477"/>
                <w14:textFill>
                  <w14:solidFill>
                    <w14:srgbClr w14:val="000000">
                      <w14:alpha w14:val="100000"/>
                    </w14:srgbClr>
                  </w14:solidFill>
                </w14:textFill>
              </w:rPr>
              <w:t>|</w:t>
            </w:r>
            <w:r w:rsidR="00A474D0" w:rsidRPr="008A0C18">
              <w:rPr>
                <w:rFonts w:ascii="Arial Narrow" w:hAnsi="Arial Narrow"/>
                <w:sz w:val="20"/>
                <w:szCs w:val="20"/>
              </w:rPr>
              <w:t>%</w:t>
            </w:r>
          </w:p>
        </w:tc>
        <w:tc>
          <w:tcPr>
            <w:tcW w:w="550" w:type="pct"/>
            <w:tcBorders>
              <w:bottom w:val="single" w:sz="4" w:space="0" w:color="auto"/>
            </w:tcBorders>
            <w:vAlign w:val="center"/>
          </w:tcPr>
          <w:p w14:paraId="07C09119" w14:textId="49BF85DF"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476"/>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476"/>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476"/>
                <w14:textFill>
                  <w14:solidFill>
                    <w14:srgbClr w14:val="000000">
                      <w14:alpha w14:val="100000"/>
                    </w14:srgbClr>
                  </w14:solidFill>
                </w14:textFill>
              </w:rPr>
              <w:t xml:space="preserve">　</w:t>
            </w:r>
          </w:p>
        </w:tc>
        <w:tc>
          <w:tcPr>
            <w:tcW w:w="708" w:type="pct"/>
            <w:tcBorders>
              <w:bottom w:val="single" w:sz="4" w:space="0" w:color="auto"/>
            </w:tcBorders>
            <w:vAlign w:val="bottom"/>
          </w:tcPr>
          <w:p w14:paraId="018B1D64" w14:textId="56A7483A"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sz w:val="20"/>
                <w:szCs w:val="20"/>
              </w:rPr>
              <w:t>0.0027</w:t>
            </w:r>
          </w:p>
        </w:tc>
        <w:tc>
          <w:tcPr>
            <w:tcW w:w="629" w:type="pct"/>
            <w:tcBorders>
              <w:bottom w:val="single" w:sz="4" w:space="0" w:color="auto"/>
            </w:tcBorders>
            <w:vAlign w:val="center"/>
          </w:tcPr>
          <w:p w14:paraId="50F3265F" w14:textId="6018F5AD" w:rsidR="00A474D0" w:rsidRPr="009A4DCA" w:rsidRDefault="00A474D0" w:rsidP="003F30D2">
            <w:pPr>
              <w:keepNext/>
              <w:keepLines/>
              <w:jc w:val="center"/>
              <w:rPr>
                <w:rFonts w:ascii="Arial Narrow" w:hAnsi="Arial Narrow" w:cs="Calibri"/>
                <w:color w:val="000000" w:themeColor="text1"/>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21"/>
                <w:sz w:val="20"/>
                <w:szCs w:val="20"/>
                <w:shd w:val="solid" w:color="000000" w:fill="000000"/>
                <w:fitText w:val="93" w:id="-762047475"/>
                <w14:textFill>
                  <w14:solidFill>
                    <w14:srgbClr w14:val="000000">
                      <w14:alpha w14:val="100000"/>
                    </w14:srgbClr>
                  </w14:solidFill>
                </w14:textFill>
              </w:rPr>
              <w:t xml:space="preserve">　</w:t>
            </w:r>
            <w:r w:rsidR="00E44A34" w:rsidRPr="00E44A34">
              <w:rPr>
                <w:rFonts w:ascii="Arial Narrow" w:hAnsi="Arial Narrow"/>
                <w:bCs/>
                <w:color w:val="000000"/>
                <w:w w:val="21"/>
                <w:sz w:val="20"/>
                <w:szCs w:val="20"/>
                <w:shd w:val="solid" w:color="000000" w:fill="000000"/>
                <w:fitText w:val="93" w:id="-762047475"/>
                <w14:textFill>
                  <w14:solidFill>
                    <w14:srgbClr w14:val="000000">
                      <w14:alpha w14:val="100000"/>
                    </w14:srgbClr>
                  </w14:solidFill>
                </w14:textFill>
              </w:rPr>
              <w:t>|</w:t>
            </w:r>
            <w:r w:rsidR="00E44A34" w:rsidRPr="00E44A34">
              <w:rPr>
                <w:rFonts w:ascii="Arial Narrow" w:hAnsi="Arial Narrow" w:hint="eastAsia"/>
                <w:bCs/>
                <w:color w:val="000000"/>
                <w:w w:val="21"/>
                <w:sz w:val="20"/>
                <w:szCs w:val="20"/>
                <w:shd w:val="solid" w:color="000000" w:fill="000000"/>
                <w:fitText w:val="93" w:id="-762047475"/>
                <w14:textFill>
                  <w14:solidFill>
                    <w14:srgbClr w14:val="000000">
                      <w14:alpha w14:val="100000"/>
                    </w14:srgb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5</w:t>
            </w:r>
          </w:p>
        </w:tc>
        <w:tc>
          <w:tcPr>
            <w:tcW w:w="443" w:type="pct"/>
            <w:vMerge/>
            <w:tcBorders>
              <w:bottom w:val="single" w:sz="4" w:space="0" w:color="auto"/>
            </w:tcBorders>
            <w:vAlign w:val="center"/>
          </w:tcPr>
          <w:p w14:paraId="1B13E853" w14:textId="77777777" w:rsidR="00A474D0" w:rsidRPr="009A4DCA" w:rsidRDefault="00A474D0" w:rsidP="003F30D2">
            <w:pPr>
              <w:keepNext/>
              <w:keepLines/>
              <w:jc w:val="center"/>
              <w:rPr>
                <w:rFonts w:ascii="Arial Narrow" w:hAnsi="Arial Narrow"/>
                <w:sz w:val="20"/>
                <w:szCs w:val="20"/>
              </w:rPr>
            </w:pPr>
          </w:p>
        </w:tc>
      </w:tr>
      <w:tr w:rsidR="00932CA2" w:rsidRPr="009A4DCA" w14:paraId="0C2A0438" w14:textId="77777777" w:rsidTr="00932CA2">
        <w:tc>
          <w:tcPr>
            <w:tcW w:w="5000" w:type="pct"/>
            <w:gridSpan w:val="6"/>
          </w:tcPr>
          <w:p w14:paraId="62B53BDC" w14:textId="3B53BBE3" w:rsidR="00932CA2" w:rsidRPr="009A4DCA" w:rsidRDefault="00932CA2" w:rsidP="003F30D2">
            <w:pPr>
              <w:keepNext/>
              <w:keepLines/>
              <w:jc w:val="left"/>
              <w:rPr>
                <w:rFonts w:ascii="Arial Narrow" w:hAnsi="Arial Narrow"/>
                <w:sz w:val="20"/>
                <w:szCs w:val="20"/>
              </w:rPr>
            </w:pPr>
            <w:r w:rsidRPr="009A4DCA">
              <w:rPr>
                <w:rFonts w:ascii="Arial Narrow" w:hAnsi="Arial Narrow"/>
                <w:b/>
                <w:bCs/>
                <w:sz w:val="20"/>
                <w:szCs w:val="20"/>
              </w:rPr>
              <w:t xml:space="preserve">PBAC Advice (parameters adjusted according to ESC advice and </w:t>
            </w:r>
            <w:r w:rsidRPr="00215A7B">
              <w:rPr>
                <w:rFonts w:ascii="Arial Narrow" w:hAnsi="Arial Narrow"/>
                <w:b/>
                <w:bCs/>
                <w:sz w:val="20"/>
                <w:szCs w:val="20"/>
              </w:rPr>
              <w:t>ICER ≤$</w:t>
            </w:r>
            <w:r w:rsidRPr="00EA6F56">
              <w:rPr>
                <w:rFonts w:ascii="Arial Narrow" w:hAnsi="Arial Narrow"/>
                <w:b/>
                <w:bCs/>
                <w:sz w:val="20"/>
                <w:szCs w:val="20"/>
              </w:rPr>
              <w:t>15,000</w:t>
            </w:r>
            <w:r w:rsidR="00C15B09" w:rsidRPr="00C15B09">
              <w:rPr>
                <w:rFonts w:ascii="Arial Narrow" w:hAnsi="Arial Narrow"/>
                <w:b/>
                <w:bCs/>
                <w:sz w:val="20"/>
                <w:szCs w:val="20"/>
                <w:vertAlign w:val="superscript"/>
              </w:rPr>
              <w:t>2</w:t>
            </w:r>
            <w:r w:rsidRPr="00215A7B">
              <w:rPr>
                <w:rFonts w:ascii="Arial Narrow" w:hAnsi="Arial Narrow"/>
                <w:b/>
                <w:bCs/>
                <w:sz w:val="20"/>
                <w:szCs w:val="20"/>
              </w:rPr>
              <w:t>/</w:t>
            </w:r>
            <w:r w:rsidR="006B3698" w:rsidRPr="006B3698">
              <w:rPr>
                <w:rFonts w:ascii="Arial Narrow" w:hAnsi="Arial Narrow"/>
                <w:b/>
                <w:bCs/>
                <w:sz w:val="20"/>
                <w:szCs w:val="20"/>
                <w:vertAlign w:val="superscript"/>
              </w:rPr>
              <w:t>1</w:t>
            </w:r>
            <w:r w:rsidRPr="00215A7B">
              <w:rPr>
                <w:rFonts w:ascii="Arial Narrow" w:hAnsi="Arial Narrow"/>
                <w:b/>
                <w:bCs/>
                <w:sz w:val="20"/>
                <w:szCs w:val="20"/>
              </w:rPr>
              <w:t>QALY</w:t>
            </w:r>
            <w:r w:rsidRPr="009A4DCA">
              <w:rPr>
                <w:rFonts w:ascii="Arial Narrow" w:hAnsi="Arial Narrow"/>
                <w:b/>
                <w:bCs/>
                <w:sz w:val="20"/>
                <w:szCs w:val="20"/>
              </w:rPr>
              <w:t>)</w:t>
            </w:r>
            <w:r w:rsidRPr="009A4DCA">
              <w:rPr>
                <w:rFonts w:ascii="Arial Narrow" w:hAnsi="Arial Narrow"/>
                <w:b/>
                <w:bCs/>
                <w:sz w:val="20"/>
                <w:szCs w:val="20"/>
                <w:vertAlign w:val="superscript"/>
              </w:rPr>
              <w:t>b</w:t>
            </w:r>
            <w:r w:rsidRPr="009A4DCA">
              <w:rPr>
                <w:rFonts w:ascii="Arial Narrow" w:hAnsi="Arial Narrow"/>
                <w:b/>
                <w:bCs/>
                <w:sz w:val="20"/>
                <w:szCs w:val="20"/>
              </w:rPr>
              <w:t xml:space="preserve"> </w:t>
            </w:r>
          </w:p>
        </w:tc>
      </w:tr>
      <w:tr w:rsidR="007B7274" w:rsidRPr="009A4DCA" w14:paraId="54F66A52" w14:textId="77777777" w:rsidTr="008C1CDB">
        <w:tc>
          <w:tcPr>
            <w:tcW w:w="2198" w:type="pct"/>
          </w:tcPr>
          <w:p w14:paraId="3056BF9A" w14:textId="7A44B3F0" w:rsidR="00573B65" w:rsidRPr="009A4DCA" w:rsidRDefault="00573B65" w:rsidP="003F30D2">
            <w:pPr>
              <w:keepNext/>
              <w:keepLines/>
              <w:rPr>
                <w:rFonts w:ascii="Arial Narrow" w:hAnsi="Arial Narrow"/>
                <w:sz w:val="20"/>
                <w:szCs w:val="20"/>
              </w:rPr>
            </w:pPr>
            <w:r w:rsidRPr="009A4DCA">
              <w:rPr>
                <w:rFonts w:ascii="Arial Narrow" w:hAnsi="Arial Narrow"/>
                <w:sz w:val="20"/>
                <w:szCs w:val="20"/>
              </w:rPr>
              <w:t>Adults aged ≥75 years</w:t>
            </w:r>
          </w:p>
        </w:tc>
        <w:tc>
          <w:tcPr>
            <w:tcW w:w="472" w:type="pct"/>
            <w:vAlign w:val="center"/>
          </w:tcPr>
          <w:p w14:paraId="0B014D91" w14:textId="729D3B48" w:rsidR="00573B65" w:rsidRPr="008A0C18" w:rsidRDefault="00E44A34" w:rsidP="003F30D2">
            <w:pPr>
              <w:keepNext/>
              <w:keepLines/>
              <w:jc w:val="center"/>
              <w:rPr>
                <w:rFonts w:ascii="Arial Narrow" w:hAnsi="Arial Narrow"/>
                <w:sz w:val="20"/>
                <w:szCs w:val="20"/>
              </w:rPr>
            </w:pPr>
            <w:r w:rsidRPr="00E44A34">
              <w:rPr>
                <w:rFonts w:ascii="Arial Narrow" w:hAnsi="Arial Narrow"/>
                <w:color w:val="000000"/>
                <w:spacing w:val="49"/>
                <w:sz w:val="20"/>
                <w:szCs w:val="20"/>
                <w:shd w:val="solid" w:color="000000" w:fill="000000"/>
                <w:fitText w:val="227" w:id="-762047474"/>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474"/>
                <w14:textFill>
                  <w14:solidFill>
                    <w14:srgbClr w14:val="000000">
                      <w14:alpha w14:val="100000"/>
                    </w14:srgbClr>
                  </w14:solidFill>
                </w14:textFill>
              </w:rPr>
              <w:t>|</w:t>
            </w:r>
            <w:r w:rsidR="00051047" w:rsidRPr="008A0C18">
              <w:rPr>
                <w:rFonts w:ascii="Arial Narrow" w:hAnsi="Arial Narrow"/>
                <w:sz w:val="20"/>
                <w:szCs w:val="20"/>
              </w:rPr>
              <w:t>%</w:t>
            </w:r>
          </w:p>
        </w:tc>
        <w:tc>
          <w:tcPr>
            <w:tcW w:w="550" w:type="pct"/>
            <w:vAlign w:val="center"/>
          </w:tcPr>
          <w:p w14:paraId="4C096641" w14:textId="5B8A210B" w:rsidR="00573B65" w:rsidRPr="009A4DCA" w:rsidRDefault="00A84E8A" w:rsidP="003F30D2">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473"/>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473"/>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473"/>
                <w14:textFill>
                  <w14:solidFill>
                    <w14:srgbClr w14:val="000000">
                      <w14:alpha w14:val="100000"/>
                    </w14:srgbClr>
                  </w14:solidFill>
                </w14:textFill>
              </w:rPr>
              <w:t xml:space="preserve">　</w:t>
            </w:r>
          </w:p>
        </w:tc>
        <w:tc>
          <w:tcPr>
            <w:tcW w:w="708" w:type="pct"/>
            <w:vAlign w:val="bottom"/>
          </w:tcPr>
          <w:p w14:paraId="1FA49665" w14:textId="75F0989A" w:rsidR="00573B65" w:rsidRPr="009A4DCA" w:rsidRDefault="00A84E8A" w:rsidP="003F30D2">
            <w:pPr>
              <w:keepNext/>
              <w:keepLines/>
              <w:jc w:val="center"/>
              <w:rPr>
                <w:rFonts w:ascii="Arial Narrow" w:hAnsi="Arial Narrow"/>
                <w:sz w:val="20"/>
                <w:szCs w:val="20"/>
              </w:rPr>
            </w:pPr>
            <w:r w:rsidRPr="009A4DCA">
              <w:rPr>
                <w:rFonts w:ascii="Arial Narrow" w:hAnsi="Arial Narrow"/>
                <w:sz w:val="20"/>
                <w:szCs w:val="20"/>
              </w:rPr>
              <w:t>0.0015</w:t>
            </w:r>
          </w:p>
        </w:tc>
        <w:tc>
          <w:tcPr>
            <w:tcW w:w="629" w:type="pct"/>
            <w:vAlign w:val="center"/>
          </w:tcPr>
          <w:p w14:paraId="082A5ED0" w14:textId="6940A9E4" w:rsidR="00573B65" w:rsidRPr="009A4DCA" w:rsidRDefault="00573B65" w:rsidP="003F30D2">
            <w:pPr>
              <w:keepNext/>
              <w:keepLines/>
              <w:jc w:val="center"/>
              <w:rPr>
                <w:rFonts w:ascii="Arial Narrow" w:hAnsi="Arial Narrow"/>
                <w:bCs/>
                <w:color w:val="000000"/>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21"/>
                <w:sz w:val="20"/>
                <w:szCs w:val="20"/>
                <w:shd w:val="solid" w:color="000000" w:fill="000000"/>
                <w:fitText w:val="93" w:id="-762047472"/>
                <w14:textFill>
                  <w14:solidFill>
                    <w14:srgbClr w14:val="000000">
                      <w14:alpha w14:val="100000"/>
                    </w14:srgbClr>
                  </w14:solidFill>
                </w14:textFill>
              </w:rPr>
              <w:t xml:space="preserve">　</w:t>
            </w:r>
            <w:r w:rsidR="00E44A34" w:rsidRPr="00E44A34">
              <w:rPr>
                <w:rFonts w:ascii="Arial Narrow" w:hAnsi="Arial Narrow"/>
                <w:bCs/>
                <w:color w:val="000000"/>
                <w:w w:val="21"/>
                <w:sz w:val="20"/>
                <w:szCs w:val="20"/>
                <w:shd w:val="solid" w:color="000000" w:fill="000000"/>
                <w:fitText w:val="93" w:id="-762047472"/>
                <w14:textFill>
                  <w14:solidFill>
                    <w14:srgbClr w14:val="000000">
                      <w14:alpha w14:val="100000"/>
                    </w14:srgbClr>
                  </w14:solidFill>
                </w14:textFill>
              </w:rPr>
              <w:t>|</w:t>
            </w:r>
            <w:r w:rsidR="00E44A34" w:rsidRPr="00E44A34">
              <w:rPr>
                <w:rFonts w:ascii="Arial Narrow" w:hAnsi="Arial Narrow" w:hint="eastAsia"/>
                <w:bCs/>
                <w:color w:val="000000"/>
                <w:w w:val="21"/>
                <w:sz w:val="20"/>
                <w:szCs w:val="20"/>
                <w:shd w:val="solid" w:color="000000" w:fill="000000"/>
                <w:fitText w:val="93" w:id="-762047472"/>
                <w14:textFill>
                  <w14:solidFill>
                    <w14:srgbClr w14:val="000000">
                      <w14:alpha w14:val="100000"/>
                    </w14:srgb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Align w:val="center"/>
          </w:tcPr>
          <w:p w14:paraId="5C83F4ED" w14:textId="3CFBC052" w:rsidR="00573B65" w:rsidRPr="009A4DCA" w:rsidRDefault="00573B65" w:rsidP="003F30D2">
            <w:pPr>
              <w:keepNext/>
              <w:keepLines/>
              <w:jc w:val="center"/>
              <w:rPr>
                <w:rFonts w:ascii="Arial Narrow" w:hAnsi="Arial Narrow"/>
                <w:sz w:val="20"/>
                <w:szCs w:val="20"/>
              </w:rPr>
            </w:pPr>
            <w:r w:rsidRPr="009A4DCA">
              <w:rPr>
                <w:rFonts w:ascii="Arial Narrow" w:hAnsi="Arial Narrow"/>
                <w:sz w:val="20"/>
                <w:szCs w:val="20"/>
              </w:rPr>
              <w:t>n/a</w:t>
            </w:r>
          </w:p>
        </w:tc>
      </w:tr>
      <w:tr w:rsidR="007B7274" w:rsidRPr="009A4DCA" w14:paraId="5E647E7B" w14:textId="77777777" w:rsidTr="008C1CDB">
        <w:tc>
          <w:tcPr>
            <w:tcW w:w="2198" w:type="pct"/>
          </w:tcPr>
          <w:p w14:paraId="1566EA2A" w14:textId="08E83E71" w:rsidR="00573B65" w:rsidRPr="009A4DCA" w:rsidRDefault="00573B65" w:rsidP="003F30D2">
            <w:pPr>
              <w:keepNext/>
              <w:keepLines/>
              <w:rPr>
                <w:rFonts w:ascii="Arial Narrow" w:hAnsi="Arial Narrow"/>
                <w:sz w:val="20"/>
                <w:szCs w:val="20"/>
              </w:rPr>
            </w:pPr>
            <w:r w:rsidRPr="009A4DCA">
              <w:rPr>
                <w:rFonts w:ascii="Arial Narrow" w:hAnsi="Arial Narrow"/>
                <w:sz w:val="20"/>
                <w:szCs w:val="20"/>
              </w:rPr>
              <w:t>Aboriginal or Torres Strait Islander, aged 60-74 years</w:t>
            </w:r>
          </w:p>
        </w:tc>
        <w:tc>
          <w:tcPr>
            <w:tcW w:w="472" w:type="pct"/>
            <w:vAlign w:val="center"/>
          </w:tcPr>
          <w:p w14:paraId="28320F9C" w14:textId="74BB9CEE" w:rsidR="00573B65" w:rsidRPr="008A0C18" w:rsidRDefault="00E44A34" w:rsidP="003F30D2">
            <w:pPr>
              <w:keepNext/>
              <w:keepLines/>
              <w:jc w:val="center"/>
              <w:rPr>
                <w:rFonts w:ascii="Arial Narrow" w:hAnsi="Arial Narrow"/>
                <w:sz w:val="20"/>
                <w:szCs w:val="20"/>
              </w:rPr>
            </w:pPr>
            <w:r w:rsidRPr="00E44A34">
              <w:rPr>
                <w:rFonts w:ascii="Arial Narrow" w:hAnsi="Arial Narrow"/>
                <w:color w:val="000000"/>
                <w:spacing w:val="49"/>
                <w:sz w:val="20"/>
                <w:szCs w:val="20"/>
                <w:shd w:val="solid" w:color="000000" w:fill="000000"/>
                <w:fitText w:val="227" w:id="-762047488"/>
                <w14:textFill>
                  <w14:solidFill>
                    <w14:srgbClr w14:val="000000">
                      <w14:alpha w14:val="100000"/>
                    </w14:srgbClr>
                  </w14:solidFill>
                </w14:textFill>
              </w:rPr>
              <w:t>||</w:t>
            </w:r>
            <w:r w:rsidRPr="00E44A34">
              <w:rPr>
                <w:rFonts w:ascii="Arial Narrow" w:hAnsi="Arial Narrow"/>
                <w:color w:val="000000"/>
                <w:spacing w:val="2"/>
                <w:sz w:val="20"/>
                <w:szCs w:val="20"/>
                <w:shd w:val="solid" w:color="000000" w:fill="000000"/>
                <w:fitText w:val="227" w:id="-762047488"/>
                <w14:textFill>
                  <w14:solidFill>
                    <w14:srgbClr w14:val="000000">
                      <w14:alpha w14:val="100000"/>
                    </w14:srgbClr>
                  </w14:solidFill>
                </w14:textFill>
              </w:rPr>
              <w:t>|</w:t>
            </w:r>
            <w:r w:rsidR="00051047" w:rsidRPr="008A0C18">
              <w:rPr>
                <w:rFonts w:ascii="Arial Narrow" w:hAnsi="Arial Narrow"/>
                <w:sz w:val="20"/>
                <w:szCs w:val="20"/>
              </w:rPr>
              <w:t>%</w:t>
            </w:r>
          </w:p>
        </w:tc>
        <w:tc>
          <w:tcPr>
            <w:tcW w:w="550" w:type="pct"/>
            <w:vAlign w:val="center"/>
          </w:tcPr>
          <w:p w14:paraId="238DAB4D" w14:textId="4DC4E9AD" w:rsidR="00573B65" w:rsidRPr="009A4DCA" w:rsidRDefault="001A5470" w:rsidP="003F30D2">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4" w:id="-762047487"/>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4" w:id="-762047487"/>
                <w14:textFill>
                  <w14:solidFill>
                    <w14:srgbClr w14:val="000000">
                      <w14:alpha w14:val="100000"/>
                    </w14:srgbClr>
                  </w14:solidFill>
                </w14:textFill>
              </w:rPr>
              <w:t>|</w:t>
            </w:r>
            <w:r w:rsidR="00E44A34" w:rsidRPr="00E44A34">
              <w:rPr>
                <w:rFonts w:ascii="Arial Narrow" w:hAnsi="Arial Narrow" w:hint="eastAsia"/>
                <w:color w:val="000000"/>
                <w:spacing w:val="2"/>
                <w:w w:val="30"/>
                <w:sz w:val="20"/>
                <w:szCs w:val="20"/>
                <w:shd w:val="solid" w:color="000000" w:fill="000000"/>
                <w:fitText w:val="134" w:id="-762047487"/>
                <w14:textFill>
                  <w14:solidFill>
                    <w14:srgbClr w14:val="000000">
                      <w14:alpha w14:val="100000"/>
                    </w14:srgbClr>
                  </w14:solidFill>
                </w14:textFill>
              </w:rPr>
              <w:t xml:space="preserve">　</w:t>
            </w:r>
          </w:p>
        </w:tc>
        <w:tc>
          <w:tcPr>
            <w:tcW w:w="708" w:type="pct"/>
            <w:vAlign w:val="bottom"/>
          </w:tcPr>
          <w:p w14:paraId="0CF18015" w14:textId="5952C931" w:rsidR="00573B65" w:rsidRPr="009A4DCA" w:rsidRDefault="00BD0202" w:rsidP="003F30D2">
            <w:pPr>
              <w:keepNext/>
              <w:keepLines/>
              <w:jc w:val="center"/>
              <w:rPr>
                <w:rFonts w:ascii="Arial Narrow" w:hAnsi="Arial Narrow"/>
                <w:sz w:val="20"/>
                <w:szCs w:val="20"/>
              </w:rPr>
            </w:pPr>
            <w:r w:rsidRPr="009A4DCA">
              <w:rPr>
                <w:rFonts w:ascii="Arial Narrow" w:hAnsi="Arial Narrow"/>
                <w:sz w:val="20"/>
                <w:szCs w:val="20"/>
              </w:rPr>
              <w:t>0.0036</w:t>
            </w:r>
          </w:p>
        </w:tc>
        <w:tc>
          <w:tcPr>
            <w:tcW w:w="629" w:type="pct"/>
            <w:vAlign w:val="center"/>
          </w:tcPr>
          <w:p w14:paraId="27CB4BF5" w14:textId="05CC3F23" w:rsidR="00573B65" w:rsidRPr="009A4DCA" w:rsidRDefault="00573B65" w:rsidP="003F30D2">
            <w:pPr>
              <w:keepNext/>
              <w:keepLines/>
              <w:jc w:val="center"/>
              <w:rPr>
                <w:rFonts w:ascii="Arial Narrow" w:hAnsi="Arial Narrow"/>
                <w:bCs/>
                <w:color w:val="000000"/>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21"/>
                <w:sz w:val="20"/>
                <w:szCs w:val="20"/>
                <w:shd w:val="solid" w:color="000000" w:fill="000000"/>
                <w:fitText w:val="93" w:id="-762047486"/>
                <w14:textFill>
                  <w14:solidFill>
                    <w14:srgbClr w14:val="000000">
                      <w14:alpha w14:val="100000"/>
                    </w14:srgbClr>
                  </w14:solidFill>
                </w14:textFill>
              </w:rPr>
              <w:t xml:space="preserve">　</w:t>
            </w:r>
            <w:r w:rsidR="00E44A34" w:rsidRPr="00E44A34">
              <w:rPr>
                <w:rFonts w:ascii="Arial Narrow" w:hAnsi="Arial Narrow"/>
                <w:bCs/>
                <w:color w:val="000000"/>
                <w:w w:val="21"/>
                <w:sz w:val="20"/>
                <w:szCs w:val="20"/>
                <w:shd w:val="solid" w:color="000000" w:fill="000000"/>
                <w:fitText w:val="93" w:id="-762047486"/>
                <w14:textFill>
                  <w14:solidFill>
                    <w14:srgbClr w14:val="000000">
                      <w14:alpha w14:val="100000"/>
                    </w14:srgbClr>
                  </w14:solidFill>
                </w14:textFill>
              </w:rPr>
              <w:t>|</w:t>
            </w:r>
            <w:r w:rsidR="00E44A34" w:rsidRPr="00E44A34">
              <w:rPr>
                <w:rFonts w:ascii="Arial Narrow" w:hAnsi="Arial Narrow" w:hint="eastAsia"/>
                <w:bCs/>
                <w:color w:val="000000"/>
                <w:spacing w:val="2"/>
                <w:w w:val="21"/>
                <w:sz w:val="20"/>
                <w:szCs w:val="20"/>
                <w:shd w:val="solid" w:color="000000" w:fill="000000"/>
                <w:fitText w:val="93" w:id="-762047486"/>
                <w14:textFill>
                  <w14:solidFill>
                    <w14:srgbClr w14:val="000000">
                      <w14:alpha w14:val="100000"/>
                    </w14:srgbClr>
                  </w14:solidFill>
                </w14:textFill>
              </w:rPr>
              <w:t xml:space="preserve">　</w:t>
            </w:r>
            <w:r w:rsidR="00211CF9">
              <w:rPr>
                <w:rFonts w:ascii="Arial Narrow" w:hAnsi="Arial Narrow"/>
                <w:sz w:val="20"/>
                <w:szCs w:val="20"/>
              </w:rPr>
              <w:t xml:space="preserve"> </w:t>
            </w:r>
            <w:r w:rsidR="00211CF9">
              <w:rPr>
                <w:rFonts w:ascii="Arial Narrow" w:hAnsi="Arial Narrow"/>
                <w:sz w:val="20"/>
                <w:szCs w:val="20"/>
                <w:vertAlign w:val="superscript"/>
              </w:rPr>
              <w:t>2</w:t>
            </w:r>
          </w:p>
        </w:tc>
        <w:tc>
          <w:tcPr>
            <w:tcW w:w="443" w:type="pct"/>
            <w:vAlign w:val="center"/>
          </w:tcPr>
          <w:p w14:paraId="3D2DB92D" w14:textId="35FC532F" w:rsidR="00573B65" w:rsidRPr="009A4DCA" w:rsidRDefault="00573B65" w:rsidP="003F30D2">
            <w:pPr>
              <w:keepNext/>
              <w:keepLines/>
              <w:jc w:val="center"/>
              <w:rPr>
                <w:rFonts w:ascii="Arial Narrow" w:hAnsi="Arial Narrow"/>
                <w:sz w:val="20"/>
                <w:szCs w:val="20"/>
              </w:rPr>
            </w:pPr>
            <w:r w:rsidRPr="009A4DCA">
              <w:rPr>
                <w:rFonts w:ascii="Arial Narrow" w:hAnsi="Arial Narrow"/>
                <w:sz w:val="20"/>
                <w:szCs w:val="20"/>
              </w:rPr>
              <w:t>n/a</w:t>
            </w:r>
          </w:p>
        </w:tc>
      </w:tr>
    </w:tbl>
    <w:p w14:paraId="734DCD1E" w14:textId="77777777" w:rsidR="00A474D0" w:rsidRPr="009A4DCA" w:rsidRDefault="00DA50F1" w:rsidP="003F30D2">
      <w:pPr>
        <w:pStyle w:val="FooterTableFigure"/>
        <w:keepNext/>
        <w:keepLines/>
        <w:rPr>
          <w:rFonts w:eastAsiaTheme="majorEastAsia" w:cstheme="majorBidi"/>
          <w:bCs/>
          <w:spacing w:val="5"/>
          <w:kern w:val="28"/>
          <w:szCs w:val="24"/>
          <w:lang w:eastAsia="en-US"/>
        </w:rPr>
      </w:pPr>
      <w:r w:rsidRPr="009A4DCA">
        <w:t>Source: Table 3.8.11, p123 of the submission</w:t>
      </w:r>
      <w:r w:rsidR="00A474D0" w:rsidRPr="009A4DCA">
        <w:t xml:space="preserve">, and model re-specification provided by the sponsor in the PSCR, using the model submitted during the evaluation period.  </w:t>
      </w:r>
      <w:r w:rsidR="00A474D0" w:rsidRPr="009A4DCA">
        <w:rPr>
          <w:rFonts w:eastAsiaTheme="majorEastAsia" w:cstheme="majorBidi"/>
          <w:bCs/>
          <w:spacing w:val="5"/>
          <w:kern w:val="28"/>
          <w:szCs w:val="24"/>
          <w:lang w:eastAsia="en-US"/>
        </w:rPr>
        <w:t xml:space="preserve">The results from the respecified model have not been evaluated.  </w:t>
      </w:r>
    </w:p>
    <w:p w14:paraId="7FE2C52C" w14:textId="4F1231F8" w:rsidR="00DA50F1" w:rsidRPr="009A4DCA" w:rsidRDefault="00A474D0" w:rsidP="003F30D2">
      <w:pPr>
        <w:pStyle w:val="FooterTableFigure"/>
        <w:keepNext/>
        <w:keepLines/>
      </w:pPr>
      <w:r w:rsidRPr="009A4DCA">
        <w:t>a. Analyses performed for the ESC Advice using the evaluation model</w:t>
      </w:r>
      <w:r w:rsidR="00EF1F4D" w:rsidRPr="009A4DCA">
        <w:t xml:space="preserve">, see paragraph </w:t>
      </w:r>
      <w:r w:rsidR="00EF1F4D" w:rsidRPr="009A4DCA">
        <w:fldChar w:fldCharType="begin"/>
      </w:r>
      <w:r w:rsidR="00EF1F4D" w:rsidRPr="009A4DCA">
        <w:instrText xml:space="preserve"> REF _Ref179932950 \r \h </w:instrText>
      </w:r>
      <w:r w:rsidR="00EF1F4D" w:rsidRPr="009A4DCA">
        <w:fldChar w:fldCharType="separate"/>
      </w:r>
      <w:r w:rsidR="007B2F50">
        <w:t>6.71</w:t>
      </w:r>
      <w:r w:rsidR="00EF1F4D" w:rsidRPr="009A4DCA">
        <w:fldChar w:fldCharType="end"/>
      </w:r>
      <w:r w:rsidR="00EF1F4D" w:rsidRPr="009A4DCA">
        <w:t>.</w:t>
      </w:r>
    </w:p>
    <w:p w14:paraId="34D459BD" w14:textId="133499BE" w:rsidR="00EE1C08" w:rsidRPr="009A4DCA" w:rsidRDefault="00573B65" w:rsidP="003F30D2">
      <w:pPr>
        <w:pStyle w:val="FooterTableFigure"/>
        <w:keepNext/>
        <w:keepLines/>
      </w:pPr>
      <w:r w:rsidRPr="009A4DCA">
        <w:t xml:space="preserve">b. </w:t>
      </w:r>
      <w:r w:rsidR="002311C0" w:rsidRPr="009A4DCA">
        <w:t>The PBAC considered that an ICER of no more than</w:t>
      </w:r>
      <w:r w:rsidR="007715D4">
        <w:t xml:space="preserve"> </w:t>
      </w:r>
      <w:r w:rsidR="007715D4" w:rsidRPr="007715D4">
        <w:t>$5,000 to &lt; $15,0</w:t>
      </w:r>
      <w:r w:rsidR="007715D4">
        <w:t>00</w:t>
      </w:r>
      <w:r w:rsidR="002311C0" w:rsidRPr="009A4DCA">
        <w:t>/ QALY would be required to demonstrate cost-effectiveness for the proposed listing of RSVpreF as a vaccination to reduce the risk of RSV in 1) adults 75 years of age and above; and (2) Aboriginal and Torres Strait Islander peoples aged 60 to 74 years</w:t>
      </w:r>
      <w:r w:rsidR="006C30C2" w:rsidRPr="009A4DCA">
        <w:t xml:space="preserve"> (see paragraph</w:t>
      </w:r>
      <w:r w:rsidR="00EE1C08" w:rsidRPr="009A4DCA">
        <w:t xml:space="preserve">s </w:t>
      </w:r>
      <w:r w:rsidR="00EE1C08" w:rsidRPr="009A4DCA">
        <w:fldChar w:fldCharType="begin"/>
      </w:r>
      <w:r w:rsidR="00EE1C08" w:rsidRPr="009A4DCA">
        <w:instrText xml:space="preserve"> REF _Ref183686833 \r \h </w:instrText>
      </w:r>
      <w:r w:rsidR="00EE1C08" w:rsidRPr="009A4DCA">
        <w:fldChar w:fldCharType="separate"/>
      </w:r>
      <w:r w:rsidR="007B2F50">
        <w:t>7.17</w:t>
      </w:r>
      <w:r w:rsidR="00EE1C08" w:rsidRPr="009A4DCA">
        <w:fldChar w:fldCharType="end"/>
      </w:r>
      <w:r w:rsidR="00EE1C08" w:rsidRPr="009A4DCA">
        <w:t xml:space="preserve"> and </w:t>
      </w:r>
      <w:r w:rsidR="00EE1C08" w:rsidRPr="009A4DCA">
        <w:fldChar w:fldCharType="begin"/>
      </w:r>
      <w:r w:rsidR="00EE1C08" w:rsidRPr="009A4DCA">
        <w:instrText xml:space="preserve"> REF _Ref183638617 \r \h </w:instrText>
      </w:r>
      <w:r w:rsidR="00EE1C08" w:rsidRPr="009A4DCA">
        <w:fldChar w:fldCharType="separate"/>
      </w:r>
      <w:r w:rsidR="007B2F50">
        <w:t>7.19</w:t>
      </w:r>
      <w:r w:rsidR="00EE1C08" w:rsidRPr="009A4DCA">
        <w:fldChar w:fldCharType="end"/>
      </w:r>
      <w:r w:rsidR="00EE1C08" w:rsidRPr="009A4DCA">
        <w:t>).</w:t>
      </w:r>
    </w:p>
    <w:p w14:paraId="39B329A3" w14:textId="5DC9A73E" w:rsidR="00DA50F1" w:rsidRPr="009A4DCA" w:rsidRDefault="00DA50F1" w:rsidP="003F30D2">
      <w:pPr>
        <w:pStyle w:val="FooterTableFigure"/>
        <w:keepNext/>
        <w:keepLines/>
        <w:spacing w:after="0"/>
        <w:rPr>
          <w:sz w:val="20"/>
        </w:rPr>
      </w:pPr>
      <w:r w:rsidRPr="009A4DCA">
        <w:t>QALYs = quality-adjusted life years, ICER = incremental cost-effectiveness ratio</w:t>
      </w:r>
      <w:r w:rsidR="00906F36" w:rsidRPr="009A4DCA">
        <w:t>; Incr = incremental.</w:t>
      </w:r>
    </w:p>
    <w:p w14:paraId="163ABCFA" w14:textId="77777777" w:rsidR="00532899" w:rsidRPr="009A6D58" w:rsidRDefault="00532899" w:rsidP="003F30D2">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6707971" w14:textId="0ECF329A" w:rsidR="00532899" w:rsidRPr="009A6D58" w:rsidRDefault="00532899" w:rsidP="003F30D2">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BB673A" w:rsidRPr="00BB673A">
        <w:rPr>
          <w:rFonts w:ascii="Arial Narrow" w:hAnsi="Arial Narrow"/>
          <w:i/>
          <w:sz w:val="18"/>
          <w:szCs w:val="18"/>
        </w:rPr>
        <w:t>$15,000 to &lt; $25,000</w:t>
      </w:r>
    </w:p>
    <w:p w14:paraId="03EFCDDB" w14:textId="78712B0F" w:rsidR="00532899" w:rsidRPr="009A6D58" w:rsidRDefault="00532899" w:rsidP="003F30D2">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711F22" w:rsidRPr="00711F22">
        <w:rPr>
          <w:rFonts w:ascii="Arial Narrow" w:hAnsi="Arial Narrow"/>
          <w:i/>
          <w:sz w:val="18"/>
          <w:szCs w:val="18"/>
        </w:rPr>
        <w:t>$5,000 to &lt; $15,000</w:t>
      </w:r>
    </w:p>
    <w:p w14:paraId="21B8E9F5" w14:textId="32C02A13" w:rsidR="00532899" w:rsidRDefault="00532899" w:rsidP="003F30D2">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946E11" w:rsidRPr="00946E11">
        <w:rPr>
          <w:rFonts w:ascii="Arial Narrow" w:hAnsi="Arial Narrow"/>
          <w:i/>
          <w:sz w:val="18"/>
          <w:szCs w:val="18"/>
        </w:rPr>
        <w:t>$25,000 to &lt; $35,000</w:t>
      </w:r>
    </w:p>
    <w:p w14:paraId="38802FAD" w14:textId="77777777" w:rsidR="00A03664" w:rsidRDefault="00532899" w:rsidP="003F30D2">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25E5B" w:rsidRPr="00E25E5B">
        <w:rPr>
          <w:rFonts w:ascii="Arial Narrow" w:hAnsi="Arial Narrow"/>
          <w:i/>
          <w:sz w:val="18"/>
          <w:szCs w:val="18"/>
        </w:rPr>
        <w:t>$95,000 to &lt; $115,000</w:t>
      </w:r>
    </w:p>
    <w:p w14:paraId="56EF5F4B" w14:textId="01085A63" w:rsidR="00A474D0" w:rsidRDefault="00532899" w:rsidP="003F30D2">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83079D" w:rsidRPr="0083079D">
        <w:rPr>
          <w:rFonts w:ascii="Arial Narrow" w:hAnsi="Arial Narrow"/>
          <w:i/>
          <w:sz w:val="18"/>
          <w:szCs w:val="18"/>
        </w:rPr>
        <w:t>$55,000 to &lt; $75,000</w:t>
      </w:r>
    </w:p>
    <w:p w14:paraId="2E972B3A" w14:textId="0980A21C" w:rsidR="00A03664" w:rsidRPr="00532899" w:rsidRDefault="005E5619" w:rsidP="005E5619">
      <w:pPr>
        <w:spacing w:after="12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3F30D2" w:rsidRPr="003F30D2">
        <w:rPr>
          <w:rFonts w:ascii="Arial Narrow" w:hAnsi="Arial Narrow"/>
          <w:i/>
          <w:sz w:val="18"/>
          <w:szCs w:val="18"/>
        </w:rPr>
        <w:t>$75,000 to &lt; $95,000</w:t>
      </w:r>
    </w:p>
    <w:p w14:paraId="2961AEC7" w14:textId="6B2ED0AB" w:rsidR="00DA50F1" w:rsidRPr="009A4DCA" w:rsidRDefault="00DA50F1" w:rsidP="00991D60">
      <w:pPr>
        <w:pStyle w:val="3-BodyText"/>
        <w:numPr>
          <w:ilvl w:val="1"/>
          <w:numId w:val="1"/>
        </w:numPr>
      </w:pPr>
      <w:r w:rsidRPr="009A4DCA">
        <w:t xml:space="preserve">The results of key univariate sensitivity analyses </w:t>
      </w:r>
      <w:r w:rsidR="005643CA" w:rsidRPr="009A4DCA">
        <w:t xml:space="preserve">for the population of adults aged </w:t>
      </w:r>
      <w:r w:rsidR="005643CA" w:rsidRPr="009A4DCA">
        <w:rPr>
          <w:rFonts w:cstheme="minorHAnsi"/>
        </w:rPr>
        <w:t>≥</w:t>
      </w:r>
      <w:r w:rsidR="005643CA" w:rsidRPr="009A4DCA">
        <w:t xml:space="preserve">75 years </w:t>
      </w:r>
      <w:r w:rsidRPr="009A4DCA">
        <w:t xml:space="preserve">are summarised in </w:t>
      </w:r>
      <w:r w:rsidRPr="009A4DCA">
        <w:fldChar w:fldCharType="begin"/>
      </w:r>
      <w:r w:rsidRPr="009A4DCA">
        <w:instrText xml:space="preserve"> REF _Ref104804865 \h </w:instrText>
      </w:r>
      <w:r w:rsidRPr="009A4DCA">
        <w:fldChar w:fldCharType="separate"/>
      </w:r>
      <w:r w:rsidR="007B2F50" w:rsidRPr="009A4DCA">
        <w:t xml:space="preserve">Table </w:t>
      </w:r>
      <w:r w:rsidR="007B2F50">
        <w:rPr>
          <w:noProof/>
        </w:rPr>
        <w:t>18</w:t>
      </w:r>
      <w:r w:rsidRPr="009A4DCA">
        <w:fldChar w:fldCharType="end"/>
      </w:r>
      <w:r w:rsidRPr="009A4DCA">
        <w:t xml:space="preserve">. </w:t>
      </w:r>
    </w:p>
    <w:p w14:paraId="237AD4A6" w14:textId="3D9C5C35" w:rsidR="00DA50F1" w:rsidRPr="009A4DCA" w:rsidRDefault="00DA50F1" w:rsidP="00BE2884">
      <w:pPr>
        <w:pStyle w:val="Caption"/>
        <w:rPr>
          <w:szCs w:val="24"/>
        </w:rPr>
      </w:pPr>
      <w:bookmarkStart w:id="78" w:name="_Ref104804865"/>
      <w:bookmarkEnd w:id="76"/>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18</w:t>
      </w:r>
      <w:r w:rsidR="00491347">
        <w:fldChar w:fldCharType="end"/>
      </w:r>
      <w:bookmarkEnd w:id="78"/>
      <w:r w:rsidRPr="009A4DCA">
        <w:t>:</w:t>
      </w:r>
      <w:r w:rsidRPr="009A4DCA">
        <w:rPr>
          <w:rStyle w:val="CommentReference"/>
          <w:b/>
          <w:szCs w:val="24"/>
        </w:rPr>
        <w:t xml:space="preserve"> Sensitivity analyses</w:t>
      </w:r>
      <w:r w:rsidR="00D75B80" w:rsidRPr="009A4DCA">
        <w:rPr>
          <w:rStyle w:val="CommentReference"/>
          <w:b/>
          <w:szCs w:val="24"/>
        </w:rPr>
        <w:t xml:space="preserve"> for population </w:t>
      </w:r>
      <w:r w:rsidR="00D75B80" w:rsidRPr="009A4DCA">
        <w:rPr>
          <w:color w:val="000000"/>
          <w:szCs w:val="20"/>
        </w:rPr>
        <w:t>aged ≥75 years</w:t>
      </w:r>
    </w:p>
    <w:tbl>
      <w:tblPr>
        <w:tblStyle w:val="PBACtable10"/>
        <w:tblW w:w="5000" w:type="pct"/>
        <w:shd w:val="clear" w:color="auto" w:fill="FFFFFF" w:themeFill="background1"/>
        <w:tblLayout w:type="fixed"/>
        <w:tblLook w:val="04A0" w:firstRow="1" w:lastRow="0" w:firstColumn="1" w:lastColumn="0" w:noHBand="0" w:noVBand="1"/>
      </w:tblPr>
      <w:tblGrid>
        <w:gridCol w:w="711"/>
        <w:gridCol w:w="3293"/>
        <w:gridCol w:w="1289"/>
        <w:gridCol w:w="1146"/>
        <w:gridCol w:w="1289"/>
        <w:gridCol w:w="1289"/>
      </w:tblGrid>
      <w:tr w:rsidR="00DA50F1" w:rsidRPr="009A4DCA" w14:paraId="03A1A1C5" w14:textId="77777777" w:rsidTr="00973287">
        <w:trPr>
          <w:tblHeader/>
        </w:trPr>
        <w:tc>
          <w:tcPr>
            <w:tcW w:w="4004" w:type="dxa"/>
            <w:gridSpan w:val="2"/>
            <w:shd w:val="clear" w:color="auto" w:fill="FFFFFF" w:themeFill="background1"/>
            <w:vAlign w:val="center"/>
          </w:tcPr>
          <w:p w14:paraId="3A3C9B4E" w14:textId="21E56F07" w:rsidR="00DA50F1" w:rsidRPr="009A4DCA" w:rsidRDefault="00DA50F1" w:rsidP="00BE2884">
            <w:pPr>
              <w:keepNext/>
              <w:keepLines/>
              <w:jc w:val="left"/>
              <w:rPr>
                <w:rFonts w:ascii="Arial Narrow" w:hAnsi="Arial Narrow"/>
                <w:b/>
                <w:color w:val="000000"/>
                <w:sz w:val="20"/>
                <w:szCs w:val="20"/>
              </w:rPr>
            </w:pPr>
            <w:r w:rsidRPr="009A4DCA">
              <w:rPr>
                <w:rFonts w:ascii="Arial Narrow" w:hAnsi="Arial Narrow"/>
                <w:b/>
                <w:color w:val="000000"/>
                <w:sz w:val="20"/>
                <w:szCs w:val="20"/>
              </w:rPr>
              <w:t>Sensitivity analyses</w:t>
            </w:r>
          </w:p>
        </w:tc>
        <w:tc>
          <w:tcPr>
            <w:tcW w:w="1289" w:type="dxa"/>
            <w:shd w:val="clear" w:color="auto" w:fill="FFFFFF" w:themeFill="background1"/>
          </w:tcPr>
          <w:p w14:paraId="421EBF40" w14:textId="77777777" w:rsidR="00DA50F1" w:rsidRPr="009A4DCA" w:rsidRDefault="00DA50F1"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Incr costs</w:t>
            </w:r>
          </w:p>
        </w:tc>
        <w:tc>
          <w:tcPr>
            <w:tcW w:w="1146" w:type="dxa"/>
            <w:shd w:val="clear" w:color="auto" w:fill="FFFFFF" w:themeFill="background1"/>
          </w:tcPr>
          <w:p w14:paraId="309BD1C4" w14:textId="77777777" w:rsidR="00DA50F1" w:rsidRPr="009A4DCA" w:rsidRDefault="00DA50F1"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Incr QALYs</w:t>
            </w:r>
          </w:p>
        </w:tc>
        <w:tc>
          <w:tcPr>
            <w:tcW w:w="1289" w:type="dxa"/>
            <w:shd w:val="clear" w:color="auto" w:fill="FFFFFF" w:themeFill="background1"/>
          </w:tcPr>
          <w:p w14:paraId="64CB2C09" w14:textId="77777777" w:rsidR="00DA50F1" w:rsidRPr="009A4DCA" w:rsidRDefault="00DA50F1"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ICER</w:t>
            </w:r>
          </w:p>
        </w:tc>
        <w:tc>
          <w:tcPr>
            <w:tcW w:w="1289" w:type="dxa"/>
            <w:shd w:val="clear" w:color="auto" w:fill="FFFFFF" w:themeFill="background1"/>
            <w:vAlign w:val="center"/>
          </w:tcPr>
          <w:p w14:paraId="61653B52" w14:textId="77777777" w:rsidR="00DA50F1" w:rsidRPr="009A4DCA" w:rsidRDefault="00DA50F1" w:rsidP="00BE2884">
            <w:pPr>
              <w:keepNext/>
              <w:keepLines/>
              <w:ind w:left="-57" w:right="-57"/>
              <w:jc w:val="center"/>
              <w:rPr>
                <w:rFonts w:ascii="Arial Narrow" w:hAnsi="Arial Narrow"/>
                <w:b/>
                <w:color w:val="000000"/>
                <w:sz w:val="20"/>
                <w:szCs w:val="20"/>
              </w:rPr>
            </w:pPr>
            <w:r w:rsidRPr="009A4DCA">
              <w:rPr>
                <w:rFonts w:ascii="Arial Narrow" w:hAnsi="Arial Narrow"/>
                <w:b/>
                <w:color w:val="000000"/>
                <w:sz w:val="20"/>
                <w:szCs w:val="20"/>
              </w:rPr>
              <w:t>% change from base case</w:t>
            </w:r>
          </w:p>
        </w:tc>
      </w:tr>
      <w:tr w:rsidR="00DA50F1" w:rsidRPr="009A4DCA" w14:paraId="690E195E" w14:textId="77777777" w:rsidTr="00973287">
        <w:tc>
          <w:tcPr>
            <w:tcW w:w="4004" w:type="dxa"/>
            <w:gridSpan w:val="2"/>
            <w:shd w:val="clear" w:color="auto" w:fill="FFFFFF" w:themeFill="background1"/>
            <w:vAlign w:val="center"/>
          </w:tcPr>
          <w:p w14:paraId="6AC7A209" w14:textId="77777777" w:rsidR="00DA50F1" w:rsidRPr="009A4DCA" w:rsidRDefault="00DA50F1" w:rsidP="00BE2884">
            <w:pPr>
              <w:keepNext/>
              <w:keepLines/>
              <w:jc w:val="left"/>
              <w:rPr>
                <w:rFonts w:ascii="Arial Narrow" w:hAnsi="Arial Narrow"/>
                <w:b/>
                <w:color w:val="000000"/>
                <w:sz w:val="20"/>
                <w:szCs w:val="20"/>
              </w:rPr>
            </w:pPr>
            <w:r w:rsidRPr="009A4DCA">
              <w:rPr>
                <w:rFonts w:ascii="Arial Narrow" w:hAnsi="Arial Narrow"/>
                <w:b/>
                <w:color w:val="000000"/>
                <w:sz w:val="20"/>
                <w:szCs w:val="20"/>
              </w:rPr>
              <w:t>Base case (discounted) – aged ≥75 years</w:t>
            </w:r>
          </w:p>
        </w:tc>
        <w:tc>
          <w:tcPr>
            <w:tcW w:w="1289" w:type="dxa"/>
            <w:shd w:val="clear" w:color="auto" w:fill="FFFFFF" w:themeFill="background1"/>
          </w:tcPr>
          <w:p w14:paraId="07A01834" w14:textId="12E37032" w:rsidR="00DA50F1" w:rsidRPr="009A4DCA" w:rsidRDefault="00DA50F1"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w:t>
            </w:r>
            <w:r w:rsidR="00E44A34" w:rsidRPr="00E44A34">
              <w:rPr>
                <w:rFonts w:ascii="Arial Narrow" w:hAnsi="Arial Narrow" w:hint="eastAsia"/>
                <w:b/>
                <w:color w:val="000000"/>
                <w:w w:val="20"/>
                <w:sz w:val="20"/>
                <w:szCs w:val="20"/>
                <w:shd w:val="solid" w:color="000000" w:fill="000000"/>
                <w:fitText w:val="93" w:id="-762047485"/>
                <w14:textFill>
                  <w14:solidFill>
                    <w14:srgbClr w14:val="000000">
                      <w14:alpha w14:val="100000"/>
                    </w14:srgbClr>
                  </w14:solidFill>
                </w14:textFill>
              </w:rPr>
              <w:t xml:space="preserve">　</w:t>
            </w:r>
            <w:r w:rsidR="00E44A34" w:rsidRPr="00E44A34">
              <w:rPr>
                <w:rFonts w:ascii="Arial Narrow" w:hAnsi="Arial Narrow"/>
                <w:b/>
                <w:color w:val="000000"/>
                <w:w w:val="20"/>
                <w:sz w:val="20"/>
                <w:szCs w:val="20"/>
                <w:shd w:val="solid" w:color="000000" w:fill="000000"/>
                <w:fitText w:val="93" w:id="-762047485"/>
                <w14:textFill>
                  <w14:solidFill>
                    <w14:srgbClr w14:val="000000">
                      <w14:alpha w14:val="100000"/>
                    </w14:srgbClr>
                  </w14:solidFill>
                </w14:textFill>
              </w:rPr>
              <w:t>|</w:t>
            </w:r>
            <w:r w:rsidR="00E44A34" w:rsidRPr="00E44A34">
              <w:rPr>
                <w:rFonts w:ascii="Arial Narrow" w:hAnsi="Arial Narrow" w:hint="eastAsia"/>
                <w:b/>
                <w:color w:val="000000"/>
                <w:w w:val="20"/>
                <w:sz w:val="20"/>
                <w:szCs w:val="20"/>
                <w:shd w:val="solid" w:color="000000" w:fill="000000"/>
                <w:fitText w:val="93" w:id="-762047485"/>
                <w14:textFill>
                  <w14:solidFill>
                    <w14:srgbClr w14:val="000000">
                      <w14:alpha w14:val="100000"/>
                    </w14:srgbClr>
                  </w14:solidFill>
                </w14:textFill>
              </w:rPr>
              <w:t xml:space="preserve">　</w:t>
            </w:r>
          </w:p>
        </w:tc>
        <w:tc>
          <w:tcPr>
            <w:tcW w:w="1146" w:type="dxa"/>
            <w:shd w:val="clear" w:color="auto" w:fill="FFFFFF" w:themeFill="background1"/>
          </w:tcPr>
          <w:p w14:paraId="23CD29C8" w14:textId="77777777" w:rsidR="00DA50F1" w:rsidRPr="009A4DCA" w:rsidRDefault="00DA50F1"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0.0051</w:t>
            </w:r>
          </w:p>
        </w:tc>
        <w:tc>
          <w:tcPr>
            <w:tcW w:w="1289" w:type="dxa"/>
            <w:shd w:val="clear" w:color="auto" w:fill="FFFFFF" w:themeFill="background1"/>
            <w:vAlign w:val="bottom"/>
          </w:tcPr>
          <w:p w14:paraId="10C89B8D" w14:textId="7CDA077E" w:rsidR="00DA50F1" w:rsidRPr="003F30D2" w:rsidRDefault="00DA50F1" w:rsidP="00BE2884">
            <w:pPr>
              <w:keepNext/>
              <w:keepLines/>
              <w:jc w:val="center"/>
              <w:rPr>
                <w:rFonts w:ascii="Arial Narrow" w:hAnsi="Arial Narrow"/>
                <w:b/>
                <w:color w:val="000000"/>
                <w:sz w:val="20"/>
                <w:szCs w:val="20"/>
                <w:vertAlign w:val="superscript"/>
              </w:rPr>
            </w:pPr>
            <w:r w:rsidRPr="009A4DCA">
              <w:rPr>
                <w:rFonts w:ascii="Arial Narrow" w:hAnsi="Arial Narrow"/>
                <w:b/>
                <w:color w:val="000000"/>
                <w:sz w:val="20"/>
                <w:szCs w:val="20"/>
              </w:rPr>
              <w:t>$</w:t>
            </w:r>
            <w:r w:rsidR="00E44A34" w:rsidRPr="00E44A34">
              <w:rPr>
                <w:rFonts w:ascii="Arial Narrow" w:hAnsi="Arial Narrow" w:hint="eastAsia"/>
                <w:b/>
                <w:color w:val="000000"/>
                <w:w w:val="32"/>
                <w:sz w:val="20"/>
                <w:szCs w:val="20"/>
                <w:shd w:val="solid" w:color="000000" w:fill="000000"/>
                <w:fitText w:val="147" w:id="-762047484"/>
                <w14:textFill>
                  <w14:solidFill>
                    <w14:srgbClr w14:val="000000">
                      <w14:alpha w14:val="100000"/>
                    </w14:srgbClr>
                  </w14:solidFill>
                </w14:textFill>
              </w:rPr>
              <w:t xml:space="preserve">　</w:t>
            </w:r>
            <w:r w:rsidR="00E44A34" w:rsidRPr="00E44A34">
              <w:rPr>
                <w:rFonts w:ascii="Arial Narrow" w:hAnsi="Arial Narrow"/>
                <w:b/>
                <w:color w:val="000000"/>
                <w:w w:val="32"/>
                <w:sz w:val="20"/>
                <w:szCs w:val="20"/>
                <w:shd w:val="solid" w:color="000000" w:fill="000000"/>
                <w:fitText w:val="147" w:id="-762047484"/>
                <w14:textFill>
                  <w14:solidFill>
                    <w14:srgbClr w14:val="000000">
                      <w14:alpha w14:val="100000"/>
                    </w14:srgbClr>
                  </w14:solidFill>
                </w14:textFill>
              </w:rPr>
              <w:t>|</w:t>
            </w:r>
            <w:r w:rsidR="00E44A34" w:rsidRPr="00E44A34">
              <w:rPr>
                <w:rFonts w:ascii="Arial Narrow" w:hAnsi="Arial Narrow" w:hint="eastAsia"/>
                <w:b/>
                <w:color w:val="000000"/>
                <w:w w:val="32"/>
                <w:sz w:val="20"/>
                <w:szCs w:val="20"/>
                <w:shd w:val="solid" w:color="000000" w:fill="000000"/>
                <w:fitText w:val="147" w:id="-762047484"/>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1</w:t>
            </w:r>
          </w:p>
        </w:tc>
        <w:tc>
          <w:tcPr>
            <w:tcW w:w="1289" w:type="dxa"/>
            <w:shd w:val="clear" w:color="auto" w:fill="FFFFFF" w:themeFill="background1"/>
            <w:vAlign w:val="center"/>
          </w:tcPr>
          <w:p w14:paraId="7B04250B" w14:textId="77777777" w:rsidR="00DA50F1" w:rsidRPr="009A4DCA" w:rsidRDefault="00DA50F1"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w:t>
            </w:r>
          </w:p>
        </w:tc>
      </w:tr>
      <w:tr w:rsidR="00DA50F1" w:rsidRPr="009A4DCA" w14:paraId="050C69C0" w14:textId="7CB2C6A0" w:rsidTr="00973287">
        <w:tc>
          <w:tcPr>
            <w:tcW w:w="9017" w:type="dxa"/>
            <w:gridSpan w:val="6"/>
            <w:shd w:val="clear" w:color="auto" w:fill="FFFFFF" w:themeFill="background1"/>
            <w:vAlign w:val="center"/>
          </w:tcPr>
          <w:p w14:paraId="5CF02D73" w14:textId="3AAC3D27" w:rsidR="00DA50F1" w:rsidRPr="009A4DCA" w:rsidRDefault="00DA50F1" w:rsidP="00BE2884">
            <w:pPr>
              <w:keepNext/>
              <w:keepLines/>
              <w:jc w:val="left"/>
              <w:rPr>
                <w:rFonts w:ascii="Arial Narrow" w:hAnsi="Arial Narrow"/>
                <w:b/>
                <w:color w:val="000000"/>
                <w:sz w:val="20"/>
                <w:szCs w:val="20"/>
              </w:rPr>
            </w:pPr>
            <w:r w:rsidRPr="009A4DCA">
              <w:rPr>
                <w:rFonts w:ascii="Arial Narrow" w:hAnsi="Arial Narrow"/>
                <w:b/>
                <w:color w:val="000000"/>
                <w:sz w:val="20"/>
                <w:szCs w:val="20"/>
              </w:rPr>
              <w:t>Age horizon (base case: 100 years of age)</w:t>
            </w:r>
          </w:p>
        </w:tc>
      </w:tr>
      <w:tr w:rsidR="00DA50F1" w:rsidRPr="009A4DCA" w14:paraId="281D1A5E" w14:textId="5E1E8A97" w:rsidTr="00973287">
        <w:tc>
          <w:tcPr>
            <w:tcW w:w="711" w:type="dxa"/>
            <w:shd w:val="clear" w:color="auto" w:fill="FFFFFF" w:themeFill="background1"/>
            <w:vAlign w:val="center"/>
          </w:tcPr>
          <w:p w14:paraId="48419D7A" w14:textId="0FA07956" w:rsidR="00DA50F1" w:rsidRPr="009A4DCA" w:rsidRDefault="00DA50F1" w:rsidP="00BE2884">
            <w:pPr>
              <w:keepNext/>
              <w:keepLines/>
              <w:jc w:val="left"/>
              <w:rPr>
                <w:rFonts w:ascii="Arial Narrow" w:hAnsi="Arial Narrow"/>
                <w:sz w:val="20"/>
                <w:szCs w:val="20"/>
              </w:rPr>
            </w:pPr>
            <w:r w:rsidRPr="009A4DCA">
              <w:rPr>
                <w:rFonts w:ascii="Arial Narrow" w:hAnsi="Arial Narrow"/>
                <w:sz w:val="20"/>
                <w:szCs w:val="20"/>
              </w:rPr>
              <w:t>SA.1</w:t>
            </w:r>
          </w:p>
        </w:tc>
        <w:tc>
          <w:tcPr>
            <w:tcW w:w="3293" w:type="dxa"/>
            <w:shd w:val="clear" w:color="auto" w:fill="FFFFFF" w:themeFill="background1"/>
            <w:vAlign w:val="center"/>
          </w:tcPr>
          <w:p w14:paraId="18432A0A" w14:textId="4761C89E" w:rsidR="00DA50F1" w:rsidRPr="009A4DCA" w:rsidRDefault="00DA50F1" w:rsidP="00BE2884">
            <w:pPr>
              <w:keepNext/>
              <w:keepLines/>
              <w:jc w:val="left"/>
              <w:rPr>
                <w:rFonts w:ascii="Arial Narrow" w:hAnsi="Arial Narrow"/>
                <w:sz w:val="20"/>
                <w:szCs w:val="20"/>
              </w:rPr>
            </w:pPr>
            <w:r w:rsidRPr="009A4DCA">
              <w:rPr>
                <w:rFonts w:ascii="Arial Narrow" w:hAnsi="Arial Narrow"/>
                <w:sz w:val="20"/>
                <w:szCs w:val="20"/>
              </w:rPr>
              <w:t>Age 90 (low value)</w:t>
            </w:r>
          </w:p>
        </w:tc>
        <w:tc>
          <w:tcPr>
            <w:tcW w:w="1289" w:type="dxa"/>
            <w:shd w:val="clear" w:color="auto" w:fill="FFFFFF" w:themeFill="background1"/>
          </w:tcPr>
          <w:p w14:paraId="63B07781" w14:textId="6DFA1D50" w:rsidR="00DA50F1" w:rsidRPr="009A4DCA" w:rsidRDefault="00DA50F1"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3"/>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3"/>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3"/>
                <w14:textFill>
                  <w14:solidFill>
                    <w14:srgbClr w14:val="000000">
                      <w14:alpha w14:val="100000"/>
                    </w14:srgbClr>
                  </w14:solidFill>
                </w14:textFill>
              </w:rPr>
              <w:t xml:space="preserve">　</w:t>
            </w:r>
          </w:p>
        </w:tc>
        <w:tc>
          <w:tcPr>
            <w:tcW w:w="1146" w:type="dxa"/>
            <w:shd w:val="clear" w:color="auto" w:fill="FFFFFF" w:themeFill="background1"/>
          </w:tcPr>
          <w:p w14:paraId="03E580B6" w14:textId="00DDCAE4" w:rsidR="00DA50F1" w:rsidRPr="009A4DCA" w:rsidRDefault="00DA50F1" w:rsidP="00BE2884">
            <w:pPr>
              <w:keepNext/>
              <w:keepLines/>
              <w:jc w:val="center"/>
              <w:rPr>
                <w:rFonts w:ascii="Arial Narrow" w:hAnsi="Arial Narrow"/>
                <w:sz w:val="20"/>
                <w:szCs w:val="20"/>
              </w:rPr>
            </w:pPr>
            <w:r w:rsidRPr="009A4DCA">
              <w:rPr>
                <w:rFonts w:ascii="Arial Narrow" w:hAnsi="Arial Narrow"/>
                <w:sz w:val="20"/>
                <w:szCs w:val="20"/>
              </w:rPr>
              <w:t>0.0035</w:t>
            </w:r>
          </w:p>
        </w:tc>
        <w:tc>
          <w:tcPr>
            <w:tcW w:w="1289" w:type="dxa"/>
            <w:shd w:val="clear" w:color="auto" w:fill="FFFFFF" w:themeFill="background1"/>
            <w:vAlign w:val="bottom"/>
          </w:tcPr>
          <w:p w14:paraId="1687685D" w14:textId="3C003F55" w:rsidR="00DA50F1" w:rsidRPr="009A4DCA" w:rsidRDefault="00DA50F1"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82"/>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2"/>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82"/>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2</w:t>
            </w:r>
          </w:p>
        </w:tc>
        <w:tc>
          <w:tcPr>
            <w:tcW w:w="1289" w:type="dxa"/>
            <w:shd w:val="clear" w:color="auto" w:fill="FFFFFF" w:themeFill="background1"/>
            <w:vAlign w:val="center"/>
          </w:tcPr>
          <w:p w14:paraId="63BB6BA2" w14:textId="31BDDA99" w:rsidR="00DA50F1" w:rsidRPr="009A4DCA" w:rsidRDefault="00DA50F1"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81"/>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1"/>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1"/>
                <w14:textFill>
                  <w14:solidFill>
                    <w14:srgbClr w14:val="000000">
                      <w14:alpha w14:val="100000"/>
                    </w14:srgbClr>
                  </w14:solidFill>
                </w14:textFill>
              </w:rPr>
              <w:t xml:space="preserve">　</w:t>
            </w:r>
            <w:r w:rsidRPr="009A4DCA">
              <w:rPr>
                <w:rFonts w:ascii="Arial Narrow" w:hAnsi="Arial Narrow"/>
                <w:sz w:val="20"/>
                <w:szCs w:val="20"/>
              </w:rPr>
              <w:t>%</w:t>
            </w:r>
          </w:p>
        </w:tc>
      </w:tr>
      <w:tr w:rsidR="00DA50F1" w:rsidRPr="009A4DCA" w14:paraId="276F3173" w14:textId="6FA8198D" w:rsidTr="00973287">
        <w:tc>
          <w:tcPr>
            <w:tcW w:w="711" w:type="dxa"/>
            <w:shd w:val="clear" w:color="auto" w:fill="FFFFFF" w:themeFill="background1"/>
            <w:vAlign w:val="center"/>
          </w:tcPr>
          <w:p w14:paraId="1D23BDAD" w14:textId="5D6D5B26" w:rsidR="00DA50F1" w:rsidRPr="009A4DCA" w:rsidRDefault="00DA50F1" w:rsidP="00BE2884">
            <w:pPr>
              <w:keepNext/>
              <w:keepLines/>
              <w:jc w:val="left"/>
              <w:rPr>
                <w:rFonts w:ascii="Arial Narrow" w:hAnsi="Arial Narrow"/>
                <w:sz w:val="20"/>
                <w:szCs w:val="20"/>
              </w:rPr>
            </w:pPr>
            <w:r w:rsidRPr="009A4DCA">
              <w:rPr>
                <w:rFonts w:ascii="Arial Narrow" w:hAnsi="Arial Narrow"/>
                <w:sz w:val="20"/>
                <w:szCs w:val="20"/>
              </w:rPr>
              <w:t>SA.</w:t>
            </w:r>
            <w:r w:rsidR="00E96F43" w:rsidRPr="009A4DCA">
              <w:rPr>
                <w:rFonts w:ascii="Arial Narrow" w:hAnsi="Arial Narrow"/>
                <w:sz w:val="20"/>
                <w:szCs w:val="20"/>
              </w:rPr>
              <w:t>2</w:t>
            </w:r>
          </w:p>
        </w:tc>
        <w:tc>
          <w:tcPr>
            <w:tcW w:w="3293" w:type="dxa"/>
            <w:shd w:val="clear" w:color="auto" w:fill="FFFFFF" w:themeFill="background1"/>
            <w:vAlign w:val="center"/>
          </w:tcPr>
          <w:p w14:paraId="7F305F80" w14:textId="2C05CFC5" w:rsidR="00DA50F1" w:rsidRPr="009A4DCA" w:rsidRDefault="00233D25" w:rsidP="00BE2884">
            <w:pPr>
              <w:keepNext/>
              <w:keepLines/>
              <w:jc w:val="left"/>
              <w:rPr>
                <w:rFonts w:ascii="Arial Narrow" w:hAnsi="Arial Narrow"/>
                <w:color w:val="000000"/>
                <w:sz w:val="20"/>
                <w:szCs w:val="20"/>
              </w:rPr>
            </w:pPr>
            <w:r w:rsidRPr="009A4DCA">
              <w:rPr>
                <w:rFonts w:ascii="Arial Narrow" w:hAnsi="Arial Narrow"/>
                <w:color w:val="000000"/>
                <w:sz w:val="20"/>
                <w:szCs w:val="20"/>
              </w:rPr>
              <w:t>4 years</w:t>
            </w:r>
          </w:p>
        </w:tc>
        <w:tc>
          <w:tcPr>
            <w:tcW w:w="1289" w:type="dxa"/>
            <w:shd w:val="clear" w:color="auto" w:fill="FFFFFF" w:themeFill="background1"/>
          </w:tcPr>
          <w:p w14:paraId="7DCCA08A" w14:textId="71ECD463" w:rsidR="00DA50F1" w:rsidRPr="009A4DCA" w:rsidRDefault="00DA50F1"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0"/>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0"/>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0"/>
                <w14:textFill>
                  <w14:solidFill>
                    <w14:srgbClr w14:val="000000">
                      <w14:alpha w14:val="100000"/>
                    </w14:srgbClr>
                  </w14:solidFill>
                </w14:textFill>
              </w:rPr>
              <w:t xml:space="preserve">　</w:t>
            </w:r>
          </w:p>
        </w:tc>
        <w:tc>
          <w:tcPr>
            <w:tcW w:w="1146" w:type="dxa"/>
            <w:shd w:val="clear" w:color="auto" w:fill="FFFFFF" w:themeFill="background1"/>
          </w:tcPr>
          <w:p w14:paraId="2E37D5D4" w14:textId="45BF7EC5" w:rsidR="00DA50F1" w:rsidRPr="009A4DCA" w:rsidRDefault="00DA50F1" w:rsidP="00BE2884">
            <w:pPr>
              <w:keepNext/>
              <w:keepLines/>
              <w:jc w:val="center"/>
              <w:rPr>
                <w:rFonts w:ascii="Arial Narrow" w:hAnsi="Arial Narrow"/>
                <w:sz w:val="20"/>
                <w:szCs w:val="20"/>
              </w:rPr>
            </w:pPr>
            <w:r w:rsidRPr="009A4DCA">
              <w:rPr>
                <w:rFonts w:ascii="Arial Narrow" w:hAnsi="Arial Narrow"/>
                <w:sz w:val="20"/>
                <w:szCs w:val="20"/>
              </w:rPr>
              <w:t>0.0020</w:t>
            </w:r>
          </w:p>
        </w:tc>
        <w:tc>
          <w:tcPr>
            <w:tcW w:w="1289" w:type="dxa"/>
            <w:shd w:val="clear" w:color="auto" w:fill="FFFFFF" w:themeFill="background1"/>
            <w:vAlign w:val="bottom"/>
          </w:tcPr>
          <w:p w14:paraId="2F12FE0F" w14:textId="053DAF79" w:rsidR="00DA50F1" w:rsidRPr="009A4DCA" w:rsidRDefault="00DA50F1"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479"/>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9"/>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79"/>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3</w:t>
            </w:r>
          </w:p>
        </w:tc>
        <w:tc>
          <w:tcPr>
            <w:tcW w:w="1289" w:type="dxa"/>
            <w:shd w:val="clear" w:color="auto" w:fill="FFFFFF" w:themeFill="background1"/>
            <w:vAlign w:val="center"/>
          </w:tcPr>
          <w:p w14:paraId="06A94957" w14:textId="63FC5778" w:rsidR="00DA50F1" w:rsidRPr="009A4DCA" w:rsidRDefault="00DA50F1"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78"/>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8"/>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78"/>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E7402C" w:rsidRPr="009A4DCA" w14:paraId="7FFF28AC" w14:textId="77777777" w:rsidTr="008C1CDB">
        <w:tc>
          <w:tcPr>
            <w:tcW w:w="9017" w:type="dxa"/>
            <w:gridSpan w:val="6"/>
            <w:shd w:val="clear" w:color="auto" w:fill="FFFFFF" w:themeFill="background1"/>
            <w:vAlign w:val="center"/>
          </w:tcPr>
          <w:p w14:paraId="136AB71A" w14:textId="236B2CFE" w:rsidR="00E7402C" w:rsidRPr="009A4DCA" w:rsidRDefault="00E7402C" w:rsidP="00BE2884">
            <w:pPr>
              <w:keepNext/>
              <w:keepLines/>
              <w:rPr>
                <w:rFonts w:ascii="Arial Narrow" w:hAnsi="Arial Narrow"/>
                <w:color w:val="000000"/>
                <w:sz w:val="20"/>
                <w:szCs w:val="20"/>
              </w:rPr>
            </w:pPr>
            <w:r w:rsidRPr="009A4DCA">
              <w:rPr>
                <w:rFonts w:ascii="Arial Narrow" w:hAnsi="Arial Narrow"/>
                <w:b/>
                <w:color w:val="000000"/>
                <w:sz w:val="20"/>
                <w:szCs w:val="20"/>
              </w:rPr>
              <w:t>Discount rate (base case: 5% for both costs and health outcomes)</w:t>
            </w:r>
          </w:p>
        </w:tc>
      </w:tr>
      <w:tr w:rsidR="004F47F4" w:rsidRPr="009A4DCA" w14:paraId="26FA474F" w14:textId="77777777" w:rsidTr="00C30CAC">
        <w:tc>
          <w:tcPr>
            <w:tcW w:w="711" w:type="dxa"/>
            <w:shd w:val="clear" w:color="auto" w:fill="FFFFFF" w:themeFill="background1"/>
            <w:vAlign w:val="center"/>
          </w:tcPr>
          <w:p w14:paraId="2A721EDA" w14:textId="474E97B9" w:rsidR="004F47F4" w:rsidRPr="009A4DCA" w:rsidRDefault="004F47F4" w:rsidP="00BE2884">
            <w:pPr>
              <w:keepNext/>
              <w:keepLines/>
              <w:jc w:val="left"/>
              <w:rPr>
                <w:rFonts w:ascii="Arial Narrow" w:hAnsi="Arial Narrow"/>
                <w:sz w:val="20"/>
                <w:szCs w:val="20"/>
              </w:rPr>
            </w:pPr>
            <w:r w:rsidRPr="009A4DCA">
              <w:rPr>
                <w:rFonts w:ascii="Arial Narrow" w:hAnsi="Arial Narrow"/>
                <w:sz w:val="20"/>
                <w:szCs w:val="20"/>
              </w:rPr>
              <w:t>SA.</w:t>
            </w:r>
            <w:r w:rsidR="00E96F43" w:rsidRPr="009A4DCA">
              <w:rPr>
                <w:rFonts w:ascii="Arial Narrow" w:hAnsi="Arial Narrow"/>
                <w:sz w:val="20"/>
                <w:szCs w:val="20"/>
              </w:rPr>
              <w:t>3</w:t>
            </w:r>
          </w:p>
        </w:tc>
        <w:tc>
          <w:tcPr>
            <w:tcW w:w="3293" w:type="dxa"/>
            <w:shd w:val="clear" w:color="auto" w:fill="FFFFFF" w:themeFill="background1"/>
            <w:vAlign w:val="center"/>
          </w:tcPr>
          <w:p w14:paraId="771664D0" w14:textId="7B9B3045" w:rsidR="004F47F4" w:rsidRPr="009A4DCA" w:rsidRDefault="004F47F4" w:rsidP="00BE2884">
            <w:pPr>
              <w:keepNext/>
              <w:keepLines/>
              <w:jc w:val="left"/>
              <w:rPr>
                <w:rFonts w:ascii="Arial Narrow" w:hAnsi="Arial Narrow"/>
                <w:color w:val="000000"/>
                <w:sz w:val="20"/>
                <w:szCs w:val="20"/>
              </w:rPr>
            </w:pPr>
            <w:r w:rsidRPr="009A4DCA">
              <w:rPr>
                <w:rFonts w:ascii="Arial Narrow" w:hAnsi="Arial Narrow"/>
                <w:sz w:val="20"/>
                <w:szCs w:val="20"/>
              </w:rPr>
              <w:t xml:space="preserve">0% for both costs and health outcomes </w:t>
            </w:r>
          </w:p>
        </w:tc>
        <w:tc>
          <w:tcPr>
            <w:tcW w:w="1289" w:type="dxa"/>
            <w:shd w:val="clear" w:color="auto" w:fill="FFFFFF" w:themeFill="background1"/>
          </w:tcPr>
          <w:p w14:paraId="312674AD" w14:textId="15FC7584" w:rsidR="004F47F4" w:rsidRPr="009A4DCA" w:rsidRDefault="004F47F4"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7"/>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7"/>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7"/>
                <w14:textFill>
                  <w14:solidFill>
                    <w14:srgbClr w14:val="000000">
                      <w14:alpha w14:val="100000"/>
                    </w14:srgbClr>
                  </w14:solidFill>
                </w14:textFill>
              </w:rPr>
              <w:t xml:space="preserve">　</w:t>
            </w:r>
          </w:p>
        </w:tc>
        <w:tc>
          <w:tcPr>
            <w:tcW w:w="1146" w:type="dxa"/>
            <w:shd w:val="clear" w:color="auto" w:fill="FFFFFF" w:themeFill="background1"/>
          </w:tcPr>
          <w:p w14:paraId="2B56E717" w14:textId="5ABE5D0D" w:rsidR="004F47F4" w:rsidRPr="009A4DCA" w:rsidRDefault="004F47F4" w:rsidP="00BE2884">
            <w:pPr>
              <w:keepNext/>
              <w:keepLines/>
              <w:jc w:val="center"/>
              <w:rPr>
                <w:rFonts w:ascii="Arial Narrow" w:hAnsi="Arial Narrow"/>
                <w:sz w:val="20"/>
                <w:szCs w:val="20"/>
              </w:rPr>
            </w:pPr>
            <w:r w:rsidRPr="009A4DCA">
              <w:rPr>
                <w:rFonts w:ascii="Arial Narrow" w:hAnsi="Arial Narrow"/>
                <w:sz w:val="20"/>
                <w:szCs w:val="20"/>
              </w:rPr>
              <w:t>0.0067</w:t>
            </w:r>
          </w:p>
        </w:tc>
        <w:tc>
          <w:tcPr>
            <w:tcW w:w="1289" w:type="dxa"/>
            <w:shd w:val="clear" w:color="auto" w:fill="FFFFFF" w:themeFill="background1"/>
          </w:tcPr>
          <w:p w14:paraId="3FEC39D1" w14:textId="169711F8" w:rsidR="004F47F4" w:rsidRPr="009A4DCA" w:rsidRDefault="004F47F4" w:rsidP="00BE2884">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6"/>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6"/>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76"/>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1</w:t>
            </w:r>
          </w:p>
        </w:tc>
        <w:tc>
          <w:tcPr>
            <w:tcW w:w="1289" w:type="dxa"/>
            <w:shd w:val="clear" w:color="auto" w:fill="FFFFFF" w:themeFill="background1"/>
          </w:tcPr>
          <w:p w14:paraId="6472E64F" w14:textId="66D86345" w:rsidR="004F47F4" w:rsidRPr="009A4DCA" w:rsidRDefault="004F47F4" w:rsidP="00BE2884">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3"/>
                <w:sz w:val="20"/>
                <w:szCs w:val="20"/>
                <w:shd w:val="solid" w:color="000000" w:fill="000000"/>
                <w:fitText w:val="106" w:id="-762047475"/>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475"/>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475"/>
                <w14:textFill>
                  <w14:solidFill>
                    <w14:srgbClr w14:val="000000">
                      <w14:alpha w14:val="100000"/>
                    </w14:srgbClr>
                  </w14:solidFill>
                </w14:textFill>
              </w:rPr>
              <w:t xml:space="preserve">　</w:t>
            </w:r>
            <w:r w:rsidRPr="009A4DCA">
              <w:rPr>
                <w:rFonts w:ascii="Arial Narrow" w:hAnsi="Arial Narrow"/>
                <w:sz w:val="20"/>
                <w:szCs w:val="20"/>
              </w:rPr>
              <w:t>%</w:t>
            </w:r>
          </w:p>
        </w:tc>
      </w:tr>
      <w:tr w:rsidR="004F47F4" w:rsidRPr="009A4DCA" w14:paraId="74504EA9" w14:textId="77777777" w:rsidTr="00C30CAC">
        <w:tc>
          <w:tcPr>
            <w:tcW w:w="711" w:type="dxa"/>
            <w:shd w:val="clear" w:color="auto" w:fill="FFFFFF" w:themeFill="background1"/>
            <w:vAlign w:val="center"/>
          </w:tcPr>
          <w:p w14:paraId="49F4FC68" w14:textId="2D1F62A9" w:rsidR="004F47F4" w:rsidRPr="009A4DCA" w:rsidRDefault="004F47F4" w:rsidP="00BE2884">
            <w:pPr>
              <w:keepNext/>
              <w:keepLines/>
              <w:jc w:val="left"/>
              <w:rPr>
                <w:rFonts w:ascii="Arial Narrow" w:hAnsi="Arial Narrow"/>
                <w:sz w:val="20"/>
                <w:szCs w:val="20"/>
              </w:rPr>
            </w:pPr>
            <w:r w:rsidRPr="009A4DCA">
              <w:rPr>
                <w:rFonts w:ascii="Arial Narrow" w:hAnsi="Arial Narrow"/>
                <w:sz w:val="20"/>
                <w:szCs w:val="20"/>
              </w:rPr>
              <w:t>SA.</w:t>
            </w:r>
            <w:r w:rsidR="00E96F43" w:rsidRPr="009A4DCA">
              <w:rPr>
                <w:rFonts w:ascii="Arial Narrow" w:hAnsi="Arial Narrow"/>
                <w:sz w:val="20"/>
                <w:szCs w:val="20"/>
              </w:rPr>
              <w:t>4</w:t>
            </w:r>
          </w:p>
        </w:tc>
        <w:tc>
          <w:tcPr>
            <w:tcW w:w="3293" w:type="dxa"/>
            <w:shd w:val="clear" w:color="auto" w:fill="FFFFFF" w:themeFill="background1"/>
            <w:vAlign w:val="center"/>
          </w:tcPr>
          <w:p w14:paraId="5683EC09" w14:textId="525605BF" w:rsidR="004F47F4" w:rsidRPr="009A4DCA" w:rsidRDefault="004F47F4" w:rsidP="00BE2884">
            <w:pPr>
              <w:keepNext/>
              <w:keepLines/>
              <w:jc w:val="left"/>
              <w:rPr>
                <w:rFonts w:ascii="Arial Narrow" w:hAnsi="Arial Narrow"/>
                <w:color w:val="000000"/>
                <w:sz w:val="20"/>
                <w:szCs w:val="20"/>
              </w:rPr>
            </w:pPr>
            <w:r w:rsidRPr="009A4DCA">
              <w:rPr>
                <w:rFonts w:ascii="Arial Narrow" w:hAnsi="Arial Narrow"/>
                <w:sz w:val="20"/>
                <w:szCs w:val="20"/>
              </w:rPr>
              <w:t xml:space="preserve">3.5% for both costs and health outcomes </w:t>
            </w:r>
          </w:p>
        </w:tc>
        <w:tc>
          <w:tcPr>
            <w:tcW w:w="1289" w:type="dxa"/>
            <w:shd w:val="clear" w:color="auto" w:fill="FFFFFF" w:themeFill="background1"/>
          </w:tcPr>
          <w:p w14:paraId="1E02EF56" w14:textId="6B0E2B08" w:rsidR="004F47F4" w:rsidRPr="009A4DCA" w:rsidRDefault="004F47F4"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4"/>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4"/>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4"/>
                <w14:textFill>
                  <w14:solidFill>
                    <w14:srgbClr w14:val="000000">
                      <w14:alpha w14:val="100000"/>
                    </w14:srgbClr>
                  </w14:solidFill>
                </w14:textFill>
              </w:rPr>
              <w:t xml:space="preserve">　</w:t>
            </w:r>
          </w:p>
        </w:tc>
        <w:tc>
          <w:tcPr>
            <w:tcW w:w="1146" w:type="dxa"/>
            <w:shd w:val="clear" w:color="auto" w:fill="FFFFFF" w:themeFill="background1"/>
          </w:tcPr>
          <w:p w14:paraId="71A47674" w14:textId="071D504C" w:rsidR="004F47F4" w:rsidRPr="009A4DCA" w:rsidRDefault="004F47F4" w:rsidP="00BE2884">
            <w:pPr>
              <w:keepNext/>
              <w:keepLines/>
              <w:jc w:val="center"/>
              <w:rPr>
                <w:rFonts w:ascii="Arial Narrow" w:hAnsi="Arial Narrow"/>
                <w:sz w:val="20"/>
                <w:szCs w:val="20"/>
              </w:rPr>
            </w:pPr>
            <w:r w:rsidRPr="009A4DCA">
              <w:rPr>
                <w:rFonts w:ascii="Arial Narrow" w:hAnsi="Arial Narrow"/>
                <w:sz w:val="20"/>
                <w:szCs w:val="20"/>
              </w:rPr>
              <w:t>0.0055</w:t>
            </w:r>
          </w:p>
        </w:tc>
        <w:tc>
          <w:tcPr>
            <w:tcW w:w="1289" w:type="dxa"/>
            <w:shd w:val="clear" w:color="auto" w:fill="FFFFFF" w:themeFill="background1"/>
          </w:tcPr>
          <w:p w14:paraId="4D613388" w14:textId="1FD158ED" w:rsidR="004F47F4" w:rsidRPr="009A4DCA" w:rsidRDefault="004F47F4" w:rsidP="00BE2884">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3"/>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3"/>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73"/>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1</w:t>
            </w:r>
          </w:p>
        </w:tc>
        <w:tc>
          <w:tcPr>
            <w:tcW w:w="1289" w:type="dxa"/>
            <w:shd w:val="clear" w:color="auto" w:fill="FFFFFF" w:themeFill="background1"/>
          </w:tcPr>
          <w:p w14:paraId="2502B7C2" w14:textId="133F6BEF" w:rsidR="004F47F4" w:rsidRPr="009A4DCA" w:rsidRDefault="004F47F4" w:rsidP="00BE2884">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3"/>
                <w:sz w:val="20"/>
                <w:szCs w:val="20"/>
                <w:shd w:val="solid" w:color="000000" w:fill="000000"/>
                <w:fitText w:val="106" w:id="-762047472"/>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472"/>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472"/>
                <w14:textFill>
                  <w14:solidFill>
                    <w14:srgbClr w14:val="000000">
                      <w14:alpha w14:val="100000"/>
                    </w14:srgbClr>
                  </w14:solidFill>
                </w14:textFill>
              </w:rPr>
              <w:t xml:space="preserve">　</w:t>
            </w:r>
            <w:r w:rsidRPr="009A4DCA">
              <w:rPr>
                <w:rFonts w:ascii="Arial Narrow" w:hAnsi="Arial Narrow"/>
                <w:sz w:val="20"/>
                <w:szCs w:val="20"/>
              </w:rPr>
              <w:t>%</w:t>
            </w:r>
          </w:p>
        </w:tc>
      </w:tr>
      <w:tr w:rsidR="00DA50F1" w:rsidRPr="009A4DCA" w14:paraId="6C4D1B08" w14:textId="77777777" w:rsidTr="00973287">
        <w:tc>
          <w:tcPr>
            <w:tcW w:w="9017" w:type="dxa"/>
            <w:gridSpan w:val="6"/>
            <w:shd w:val="clear" w:color="auto" w:fill="FFFFFF" w:themeFill="background1"/>
            <w:vAlign w:val="center"/>
          </w:tcPr>
          <w:p w14:paraId="41F843C8" w14:textId="77777777" w:rsidR="00DA50F1" w:rsidRPr="009A4DCA" w:rsidRDefault="00DA50F1" w:rsidP="00BE2884">
            <w:pPr>
              <w:keepNext/>
              <w:keepLines/>
              <w:jc w:val="left"/>
              <w:rPr>
                <w:rFonts w:ascii="Arial Narrow" w:hAnsi="Arial Narrow"/>
                <w:color w:val="000000"/>
                <w:sz w:val="20"/>
                <w:szCs w:val="20"/>
              </w:rPr>
            </w:pPr>
            <w:r w:rsidRPr="009A4DCA">
              <w:rPr>
                <w:rFonts w:ascii="Arial Narrow" w:hAnsi="Arial Narrow"/>
                <w:b/>
                <w:bCs/>
                <w:color w:val="000000"/>
                <w:sz w:val="20"/>
                <w:szCs w:val="20"/>
              </w:rPr>
              <w:t>Mortality rate (base case: 43 per 100,000)</w:t>
            </w:r>
          </w:p>
        </w:tc>
      </w:tr>
      <w:tr w:rsidR="00DA50F1" w:rsidRPr="009A4DCA" w14:paraId="5427AA92" w14:textId="77777777" w:rsidTr="00973287">
        <w:tc>
          <w:tcPr>
            <w:tcW w:w="711" w:type="dxa"/>
            <w:shd w:val="clear" w:color="auto" w:fill="FFFFFF" w:themeFill="background1"/>
            <w:vAlign w:val="center"/>
          </w:tcPr>
          <w:p w14:paraId="6512F7C4" w14:textId="2818A7B1" w:rsidR="00DA50F1" w:rsidRPr="009A4DCA" w:rsidRDefault="00DA50F1" w:rsidP="00BE2884">
            <w:pPr>
              <w:keepNext/>
              <w:keepLines/>
              <w:jc w:val="left"/>
              <w:rPr>
                <w:rFonts w:ascii="Arial Narrow" w:hAnsi="Arial Narrow"/>
                <w:color w:val="000000"/>
                <w:sz w:val="20"/>
                <w:szCs w:val="20"/>
              </w:rPr>
            </w:pPr>
            <w:r w:rsidRPr="009A4DCA">
              <w:rPr>
                <w:rFonts w:ascii="Arial Narrow" w:hAnsi="Arial Narrow"/>
                <w:sz w:val="20"/>
                <w:szCs w:val="20"/>
              </w:rPr>
              <w:t>SA.5</w:t>
            </w:r>
          </w:p>
        </w:tc>
        <w:tc>
          <w:tcPr>
            <w:tcW w:w="3293" w:type="dxa"/>
            <w:shd w:val="clear" w:color="auto" w:fill="FFFFFF" w:themeFill="background1"/>
            <w:vAlign w:val="center"/>
          </w:tcPr>
          <w:p w14:paraId="23B80FC5" w14:textId="6303DE72" w:rsidR="00DA50F1" w:rsidRPr="009A4DCA" w:rsidRDefault="00DA50F1" w:rsidP="00BE2884">
            <w:pPr>
              <w:keepNext/>
              <w:keepLines/>
              <w:jc w:val="left"/>
              <w:rPr>
                <w:rFonts w:ascii="Arial Narrow" w:hAnsi="Arial Narrow"/>
                <w:color w:val="000000"/>
                <w:sz w:val="20"/>
                <w:szCs w:val="20"/>
              </w:rPr>
            </w:pPr>
            <w:r w:rsidRPr="009A4DCA">
              <w:rPr>
                <w:rFonts w:ascii="Arial Narrow" w:hAnsi="Arial Narrow"/>
                <w:color w:val="000000"/>
                <w:sz w:val="20"/>
                <w:szCs w:val="20"/>
              </w:rPr>
              <w:t>12.03 per 100,000</w:t>
            </w:r>
            <w:r w:rsidR="001B1D8F" w:rsidRPr="009A4DCA">
              <w:rPr>
                <w:rFonts w:ascii="Arial Narrow" w:hAnsi="Arial Narrow"/>
                <w:color w:val="000000"/>
                <w:sz w:val="20"/>
                <w:szCs w:val="20"/>
              </w:rPr>
              <w:t xml:space="preserve"> (lower CI reported in Australian modelling study) </w:t>
            </w:r>
          </w:p>
        </w:tc>
        <w:tc>
          <w:tcPr>
            <w:tcW w:w="1289" w:type="dxa"/>
            <w:shd w:val="clear" w:color="auto" w:fill="FFFFFF" w:themeFill="background1"/>
            <w:vAlign w:val="center"/>
          </w:tcPr>
          <w:p w14:paraId="6741ABD1" w14:textId="097E4673" w:rsidR="00DA50F1" w:rsidRPr="009A4DCA" w:rsidRDefault="00DA50F1" w:rsidP="00BE2884">
            <w:pPr>
              <w:keepNext/>
              <w:keepLines/>
              <w:jc w:val="center"/>
              <w:rPr>
                <w:rFonts w:ascii="Arial Narrow" w:hAnsi="Arial Narrow"/>
                <w:bCs/>
                <w:color w:val="000000"/>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15"/>
                <w:sz w:val="20"/>
                <w:szCs w:val="20"/>
                <w:shd w:val="solid" w:color="000000" w:fill="000000"/>
                <w:fitText w:val="66" w:id="-762047488"/>
                <w14:textFill>
                  <w14:solidFill>
                    <w14:srgbClr w14:val="000000">
                      <w14:alpha w14:val="100000"/>
                    </w14:srgbClr>
                  </w14:solidFill>
                </w14:textFill>
              </w:rPr>
              <w:t xml:space="preserve">　</w:t>
            </w:r>
            <w:r w:rsidR="00E44A34" w:rsidRPr="00E44A34">
              <w:rPr>
                <w:rFonts w:ascii="Arial Narrow" w:hAnsi="Arial Narrow"/>
                <w:bCs/>
                <w:color w:val="000000"/>
                <w:w w:val="15"/>
                <w:sz w:val="20"/>
                <w:szCs w:val="20"/>
                <w:shd w:val="solid" w:color="000000" w:fill="000000"/>
                <w:fitText w:val="66" w:id="-762047488"/>
                <w14:textFill>
                  <w14:solidFill>
                    <w14:srgbClr w14:val="000000">
                      <w14:alpha w14:val="100000"/>
                    </w14:srgbClr>
                  </w14:solidFill>
                </w14:textFill>
              </w:rPr>
              <w:t>|</w:t>
            </w:r>
            <w:r w:rsidR="00E44A34" w:rsidRPr="00E44A34">
              <w:rPr>
                <w:rFonts w:ascii="Arial Narrow" w:hAnsi="Arial Narrow" w:hint="eastAsia"/>
                <w:bCs/>
                <w:color w:val="000000"/>
                <w:w w:val="15"/>
                <w:sz w:val="20"/>
                <w:szCs w:val="20"/>
                <w:shd w:val="solid" w:color="000000" w:fill="000000"/>
                <w:fitText w:val="66" w:id="-762047488"/>
                <w14:textFill>
                  <w14:solidFill>
                    <w14:srgbClr w14:val="000000">
                      <w14:alpha w14:val="100000"/>
                    </w14:srgbClr>
                  </w14:solidFill>
                </w14:textFill>
              </w:rPr>
              <w:t xml:space="preserve">　</w:t>
            </w:r>
          </w:p>
        </w:tc>
        <w:tc>
          <w:tcPr>
            <w:tcW w:w="1146" w:type="dxa"/>
            <w:shd w:val="clear" w:color="auto" w:fill="FFFFFF" w:themeFill="background1"/>
            <w:vAlign w:val="center"/>
          </w:tcPr>
          <w:p w14:paraId="5D69540E" w14:textId="77777777" w:rsidR="00DA50F1" w:rsidRPr="009A4DCA" w:rsidRDefault="00DA50F1" w:rsidP="00BE2884">
            <w:pPr>
              <w:keepNext/>
              <w:keepLines/>
              <w:jc w:val="center"/>
              <w:rPr>
                <w:rFonts w:ascii="Arial Narrow" w:hAnsi="Arial Narrow"/>
                <w:bCs/>
                <w:color w:val="000000"/>
                <w:sz w:val="20"/>
                <w:szCs w:val="20"/>
              </w:rPr>
            </w:pPr>
            <w:r w:rsidRPr="009A4DCA">
              <w:rPr>
                <w:rFonts w:ascii="Arial Narrow" w:hAnsi="Arial Narrow"/>
                <w:bCs/>
                <w:color w:val="000000"/>
                <w:sz w:val="20"/>
                <w:szCs w:val="20"/>
              </w:rPr>
              <w:t>0.0017</w:t>
            </w:r>
          </w:p>
        </w:tc>
        <w:tc>
          <w:tcPr>
            <w:tcW w:w="1289" w:type="dxa"/>
            <w:shd w:val="clear" w:color="auto" w:fill="FFFFFF" w:themeFill="background1"/>
            <w:vAlign w:val="center"/>
          </w:tcPr>
          <w:p w14:paraId="2CCA82D7" w14:textId="0D2FA506" w:rsidR="00DA50F1" w:rsidRPr="009A4DCA" w:rsidRDefault="00DA50F1" w:rsidP="00BE2884">
            <w:pPr>
              <w:keepNext/>
              <w:keepLines/>
              <w:jc w:val="center"/>
              <w:rPr>
                <w:rFonts w:ascii="Arial Narrow" w:hAnsi="Arial Narrow"/>
                <w:bCs/>
                <w:color w:val="000000"/>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24"/>
                <w:sz w:val="20"/>
                <w:szCs w:val="20"/>
                <w:shd w:val="solid" w:color="000000" w:fill="000000"/>
                <w:fitText w:val="107" w:id="-762047487"/>
                <w14:textFill>
                  <w14:solidFill>
                    <w14:srgbClr w14:val="000000">
                      <w14:alpha w14:val="100000"/>
                    </w14:srgbClr>
                  </w14:solidFill>
                </w14:textFill>
              </w:rPr>
              <w:t xml:space="preserve">　</w:t>
            </w:r>
            <w:r w:rsidR="00E44A34" w:rsidRPr="00E44A34">
              <w:rPr>
                <w:rFonts w:ascii="Arial Narrow" w:hAnsi="Arial Narrow"/>
                <w:bCs/>
                <w:color w:val="000000"/>
                <w:w w:val="24"/>
                <w:sz w:val="20"/>
                <w:szCs w:val="20"/>
                <w:shd w:val="solid" w:color="000000" w:fill="000000"/>
                <w:fitText w:val="107" w:id="-762047487"/>
                <w14:textFill>
                  <w14:solidFill>
                    <w14:srgbClr w14:val="000000">
                      <w14:alpha w14:val="100000"/>
                    </w14:srgbClr>
                  </w14:solidFill>
                </w14:textFill>
              </w:rPr>
              <w:t>|</w:t>
            </w:r>
            <w:r w:rsidR="00E44A34" w:rsidRPr="00E44A34">
              <w:rPr>
                <w:rFonts w:ascii="Arial Narrow" w:hAnsi="Arial Narrow" w:hint="eastAsia"/>
                <w:bCs/>
                <w:color w:val="000000"/>
                <w:w w:val="24"/>
                <w:sz w:val="20"/>
                <w:szCs w:val="20"/>
                <w:shd w:val="solid" w:color="000000" w:fill="000000"/>
                <w:fitText w:val="107" w:id="-762047487"/>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3</w:t>
            </w:r>
          </w:p>
        </w:tc>
        <w:tc>
          <w:tcPr>
            <w:tcW w:w="1289" w:type="dxa"/>
            <w:shd w:val="clear" w:color="auto" w:fill="FFFFFF" w:themeFill="background1"/>
            <w:vAlign w:val="center"/>
          </w:tcPr>
          <w:p w14:paraId="700A3F34" w14:textId="4309F943" w:rsidR="00DA50F1" w:rsidRPr="009A4DCA" w:rsidRDefault="00DA50F1"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+1</w:t>
            </w:r>
            <w:r w:rsidR="00E44A34">
              <w:rPr>
                <w:rFonts w:ascii="Arial Narrow" w:hAnsi="Arial Narrow"/>
                <w:color w:val="000000"/>
                <w:spacing w:val="88"/>
                <w:sz w:val="20"/>
                <w:szCs w:val="20"/>
                <w:shd w:val="solid" w:color="000000" w:fill="000000"/>
                <w:fitText w:val="174" w:id="-762047486"/>
                <w14:textFill>
                  <w14:solidFill>
                    <w14:srgbClr w14:val="000000">
                      <w14:alpha w14:val="100000"/>
                    </w14:srgbClr>
                  </w14:solidFill>
                </w14:textFill>
              </w:rPr>
              <w:t>|</w:t>
            </w:r>
            <w:r w:rsidR="00E44A34">
              <w:rPr>
                <w:rFonts w:ascii="Arial Narrow" w:hAnsi="Arial Narrow"/>
                <w:color w:val="000000"/>
                <w:sz w:val="20"/>
                <w:szCs w:val="20"/>
                <w:shd w:val="solid" w:color="000000" w:fill="000000"/>
                <w:fitText w:val="174" w:id="-762047486"/>
                <w14:textFill>
                  <w14:solidFill>
                    <w14:srgbClr w14:val="000000">
                      <w14:alpha w14:val="100000"/>
                    </w14:srgbClr>
                  </w14:solidFill>
                </w14:textFill>
              </w:rPr>
              <w:t>|</w:t>
            </w:r>
            <w:r w:rsidRPr="009A4DCA">
              <w:rPr>
                <w:rFonts w:ascii="Arial Narrow" w:hAnsi="Arial Narrow"/>
                <w:color w:val="000000"/>
                <w:sz w:val="20"/>
                <w:szCs w:val="20"/>
              </w:rPr>
              <w:t>%</w:t>
            </w:r>
          </w:p>
        </w:tc>
      </w:tr>
      <w:tr w:rsidR="007B7274" w:rsidRPr="009A4DCA" w14:paraId="041D5AE9" w14:textId="77777777" w:rsidTr="00AD6F0B">
        <w:tc>
          <w:tcPr>
            <w:tcW w:w="711" w:type="dxa"/>
            <w:shd w:val="clear" w:color="auto" w:fill="FFFFFF" w:themeFill="background1"/>
            <w:vAlign w:val="center"/>
          </w:tcPr>
          <w:p w14:paraId="5B0B0E66" w14:textId="54E5F0EA" w:rsidR="001B1D8F" w:rsidRPr="009A4DCA" w:rsidRDefault="001B1D8F" w:rsidP="001B1D8F">
            <w:pPr>
              <w:keepNext/>
              <w:keepLines/>
              <w:jc w:val="left"/>
              <w:rPr>
                <w:rFonts w:ascii="Arial Narrow" w:hAnsi="Arial Narrow"/>
                <w:color w:val="000000"/>
                <w:sz w:val="20"/>
                <w:szCs w:val="20"/>
              </w:rPr>
            </w:pPr>
            <w:r w:rsidRPr="009A4DCA">
              <w:rPr>
                <w:rFonts w:ascii="Arial Narrow" w:hAnsi="Arial Narrow"/>
                <w:color w:val="000000"/>
                <w:sz w:val="20"/>
                <w:szCs w:val="20"/>
              </w:rPr>
              <w:t>SA.</w:t>
            </w:r>
            <w:r w:rsidR="00EA1FD3" w:rsidRPr="009A4DCA">
              <w:rPr>
                <w:rFonts w:ascii="Arial Narrow" w:hAnsi="Arial Narrow"/>
                <w:color w:val="000000"/>
                <w:sz w:val="20"/>
                <w:szCs w:val="20"/>
              </w:rPr>
              <w:t>6</w:t>
            </w:r>
          </w:p>
        </w:tc>
        <w:tc>
          <w:tcPr>
            <w:tcW w:w="3293" w:type="dxa"/>
            <w:shd w:val="clear" w:color="auto" w:fill="FFFFFF" w:themeFill="background1"/>
            <w:vAlign w:val="center"/>
          </w:tcPr>
          <w:p w14:paraId="52343B71" w14:textId="4C2642D5" w:rsidR="001B1D8F" w:rsidRPr="009A4DCA" w:rsidRDefault="009C6BB2" w:rsidP="001B1D8F">
            <w:pPr>
              <w:keepNext/>
              <w:keepLines/>
              <w:jc w:val="left"/>
              <w:rPr>
                <w:rFonts w:ascii="Arial Narrow" w:hAnsi="Arial Narrow"/>
                <w:color w:val="000000"/>
                <w:sz w:val="20"/>
                <w:szCs w:val="20"/>
              </w:rPr>
            </w:pPr>
            <w:r w:rsidRPr="009A4DCA">
              <w:rPr>
                <w:rFonts w:ascii="Arial Narrow" w:hAnsi="Arial Narrow"/>
                <w:color w:val="000000"/>
                <w:sz w:val="20"/>
                <w:szCs w:val="20"/>
              </w:rPr>
              <w:t>In-hospital case fatality rate</w:t>
            </w:r>
            <w:r w:rsidRPr="009A4DCA" w:rsidDel="009C6BB2">
              <w:rPr>
                <w:rFonts w:ascii="Arial Narrow" w:hAnsi="Arial Narrow"/>
                <w:sz w:val="20"/>
                <w:szCs w:val="20"/>
              </w:rPr>
              <w:t xml:space="preserve"> </w:t>
            </w:r>
            <w:r w:rsidR="001B1D8F" w:rsidRPr="009A4DCA">
              <w:rPr>
                <w:rFonts w:ascii="Arial Narrow" w:hAnsi="Arial Narrow"/>
                <w:sz w:val="20"/>
                <w:szCs w:val="20"/>
              </w:rPr>
              <w:t>= 4.22%</w:t>
            </w:r>
          </w:p>
        </w:tc>
        <w:tc>
          <w:tcPr>
            <w:tcW w:w="1289" w:type="dxa"/>
            <w:shd w:val="clear" w:color="auto" w:fill="FFFFFF" w:themeFill="background1"/>
            <w:vAlign w:val="center"/>
          </w:tcPr>
          <w:p w14:paraId="38D93678" w14:textId="3FC79DB8" w:rsidR="001B1D8F" w:rsidRPr="009A4DCA" w:rsidRDefault="001B1D8F" w:rsidP="001B1D8F">
            <w:pPr>
              <w:keepNext/>
              <w:keepLines/>
              <w:jc w:val="center"/>
              <w:rPr>
                <w:rFonts w:ascii="Arial Narrow" w:hAnsi="Arial Narrow"/>
                <w:bCs/>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5"/>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5"/>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5"/>
                <w14:textFill>
                  <w14:solidFill>
                    <w14:srgbClr w14:val="000000">
                      <w14:alpha w14:val="100000"/>
                    </w14:srgbClr>
                  </w14:solidFill>
                </w14:textFill>
              </w:rPr>
              <w:t xml:space="preserve">　</w:t>
            </w:r>
          </w:p>
        </w:tc>
        <w:tc>
          <w:tcPr>
            <w:tcW w:w="1146" w:type="dxa"/>
            <w:shd w:val="clear" w:color="auto" w:fill="FFFFFF" w:themeFill="background1"/>
            <w:vAlign w:val="center"/>
          </w:tcPr>
          <w:p w14:paraId="000B59F6" w14:textId="08699E01" w:rsidR="001B1D8F" w:rsidRPr="009A4DCA" w:rsidRDefault="001B1D8F" w:rsidP="001B1D8F">
            <w:pPr>
              <w:keepNext/>
              <w:keepLines/>
              <w:jc w:val="center"/>
              <w:rPr>
                <w:rFonts w:ascii="Arial Narrow" w:hAnsi="Arial Narrow"/>
                <w:bCs/>
                <w:color w:val="000000"/>
                <w:sz w:val="20"/>
                <w:szCs w:val="20"/>
              </w:rPr>
            </w:pPr>
            <w:r w:rsidRPr="009A4DCA">
              <w:rPr>
                <w:rFonts w:ascii="Arial Narrow" w:hAnsi="Arial Narrow"/>
                <w:sz w:val="20"/>
                <w:szCs w:val="20"/>
              </w:rPr>
              <w:t>0.0023</w:t>
            </w:r>
          </w:p>
        </w:tc>
        <w:tc>
          <w:tcPr>
            <w:tcW w:w="1289" w:type="dxa"/>
            <w:shd w:val="clear" w:color="auto" w:fill="FFFFFF" w:themeFill="background1"/>
            <w:vAlign w:val="center"/>
          </w:tcPr>
          <w:p w14:paraId="4E86E6F7" w14:textId="4B2B48AA" w:rsidR="001B1D8F" w:rsidRPr="009A4DCA" w:rsidRDefault="001B1D8F" w:rsidP="001B1D8F">
            <w:pPr>
              <w:keepNext/>
              <w:keepLines/>
              <w:jc w:val="center"/>
              <w:rPr>
                <w:rFonts w:ascii="Arial Narrow" w:hAnsi="Arial Narrow"/>
                <w:bCs/>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84"/>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4"/>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84"/>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4</w:t>
            </w:r>
          </w:p>
        </w:tc>
        <w:tc>
          <w:tcPr>
            <w:tcW w:w="1289" w:type="dxa"/>
            <w:shd w:val="clear" w:color="auto" w:fill="FFFFFF" w:themeFill="background1"/>
            <w:vAlign w:val="center"/>
          </w:tcPr>
          <w:p w14:paraId="28577F34" w14:textId="6D13293C" w:rsidR="001B1D8F" w:rsidRPr="009A4DCA" w:rsidRDefault="001B1D8F" w:rsidP="001B1D8F">
            <w:pPr>
              <w:keepNext/>
              <w:keepLines/>
              <w:jc w:val="center"/>
              <w:rPr>
                <w:rFonts w:ascii="Arial Narrow" w:hAnsi="Arial Narrow"/>
                <w:color w:val="000000"/>
                <w:sz w:val="20"/>
                <w:szCs w:val="20"/>
              </w:rPr>
            </w:pPr>
            <w:r w:rsidRPr="009A4DCA">
              <w:rPr>
                <w:rFonts w:ascii="Arial Narrow" w:hAnsi="Arial Narrow"/>
                <w:sz w:val="20"/>
                <w:szCs w:val="20"/>
              </w:rPr>
              <w:t>+</w:t>
            </w:r>
            <w:r w:rsidR="00E44A34">
              <w:rPr>
                <w:rFonts w:ascii="Arial Narrow" w:hAnsi="Arial Narrow" w:hint="eastAsia"/>
                <w:color w:val="000000"/>
                <w:w w:val="15"/>
                <w:sz w:val="20"/>
                <w:szCs w:val="20"/>
                <w:shd w:val="solid" w:color="000000" w:fill="000000"/>
                <w:fitText w:val="53" w:id="-762047483"/>
                <w14:textFill>
                  <w14:solidFill>
                    <w14:srgbClr w14:val="000000">
                      <w14:alpha w14:val="100000"/>
                    </w14:srgbClr>
                  </w14:solidFill>
                </w14:textFill>
              </w:rPr>
              <w:t xml:space="preserve">　</w:t>
            </w:r>
            <w:r w:rsidR="00E44A34">
              <w:rPr>
                <w:rFonts w:ascii="Arial Narrow" w:hAnsi="Arial Narrow"/>
                <w:color w:val="000000"/>
                <w:w w:val="15"/>
                <w:sz w:val="20"/>
                <w:szCs w:val="20"/>
                <w:shd w:val="solid" w:color="000000" w:fill="000000"/>
                <w:fitText w:val="53" w:id="-762047483"/>
                <w14:textFill>
                  <w14:solidFill>
                    <w14:srgbClr w14:val="000000">
                      <w14:alpha w14:val="100000"/>
                    </w14:srgbClr>
                  </w14:solidFill>
                </w14:textFill>
              </w:rPr>
              <w:t>|</w:t>
            </w:r>
            <w:r w:rsidR="00E44A34">
              <w:rPr>
                <w:rFonts w:ascii="Arial Narrow" w:hAnsi="Arial Narrow" w:hint="eastAsia"/>
                <w:color w:val="000000"/>
                <w:spacing w:val="-13"/>
                <w:w w:val="15"/>
                <w:sz w:val="20"/>
                <w:szCs w:val="20"/>
                <w:shd w:val="solid" w:color="000000" w:fill="000000"/>
                <w:fitText w:val="53" w:id="-762047483"/>
                <w14:textFill>
                  <w14:solidFill>
                    <w14:srgbClr w14:val="000000">
                      <w14:alpha w14:val="100000"/>
                    </w14:srgbClr>
                  </w14:solidFill>
                </w14:textFill>
              </w:rPr>
              <w:t xml:space="preserve">　</w:t>
            </w:r>
          </w:p>
        </w:tc>
      </w:tr>
      <w:tr w:rsidR="001B1D8F" w:rsidRPr="009A4DCA" w14:paraId="248A0C0D" w14:textId="77777777" w:rsidTr="00973287">
        <w:tc>
          <w:tcPr>
            <w:tcW w:w="9017" w:type="dxa"/>
            <w:gridSpan w:val="6"/>
            <w:shd w:val="clear" w:color="auto" w:fill="FFFFFF" w:themeFill="background1"/>
            <w:vAlign w:val="center"/>
          </w:tcPr>
          <w:p w14:paraId="4B2D5105" w14:textId="57A3C27A" w:rsidR="001B1D8F" w:rsidRPr="009A4DCA" w:rsidRDefault="001B1D8F" w:rsidP="001B1D8F">
            <w:pPr>
              <w:keepNext/>
              <w:keepLines/>
              <w:jc w:val="left"/>
              <w:rPr>
                <w:rFonts w:ascii="Arial Narrow" w:hAnsi="Arial Narrow"/>
                <w:color w:val="000000"/>
                <w:sz w:val="20"/>
                <w:szCs w:val="20"/>
              </w:rPr>
            </w:pPr>
            <w:r w:rsidRPr="009A4DCA">
              <w:rPr>
                <w:rFonts w:ascii="Arial Narrow" w:hAnsi="Arial Narrow"/>
                <w:b/>
                <w:bCs/>
                <w:color w:val="000000"/>
                <w:sz w:val="20"/>
                <w:szCs w:val="20"/>
              </w:rPr>
              <w:t>Case incidence rates (base case hospital: 398 per 100,000 person-years)</w:t>
            </w:r>
          </w:p>
        </w:tc>
      </w:tr>
      <w:tr w:rsidR="00634E9F" w:rsidRPr="009A4DCA" w14:paraId="3A591162" w14:textId="77777777" w:rsidTr="003F30D2">
        <w:tc>
          <w:tcPr>
            <w:tcW w:w="711" w:type="dxa"/>
            <w:shd w:val="clear" w:color="auto" w:fill="FFFFFF" w:themeFill="background1"/>
            <w:vAlign w:val="center"/>
          </w:tcPr>
          <w:p w14:paraId="020C27CB" w14:textId="1C7D79EF" w:rsidR="00634E9F" w:rsidRPr="009A4DCA" w:rsidRDefault="007C540D" w:rsidP="00634E9F">
            <w:pPr>
              <w:keepNext/>
              <w:keepLines/>
              <w:jc w:val="left"/>
              <w:rPr>
                <w:rFonts w:ascii="Arial Narrow" w:hAnsi="Arial Narrow"/>
                <w:sz w:val="20"/>
                <w:szCs w:val="20"/>
              </w:rPr>
            </w:pPr>
            <w:r w:rsidRPr="009A4DCA">
              <w:rPr>
                <w:rFonts w:ascii="Arial Narrow" w:hAnsi="Arial Narrow"/>
                <w:sz w:val="20"/>
                <w:szCs w:val="20"/>
              </w:rPr>
              <w:t>SA.7</w:t>
            </w:r>
          </w:p>
        </w:tc>
        <w:tc>
          <w:tcPr>
            <w:tcW w:w="3293" w:type="dxa"/>
            <w:shd w:val="clear" w:color="auto" w:fill="FFFFFF" w:themeFill="background1"/>
            <w:vAlign w:val="center"/>
          </w:tcPr>
          <w:p w14:paraId="275F45F4" w14:textId="42AD54EC" w:rsidR="00634E9F" w:rsidRPr="009A4DCA" w:rsidRDefault="00634E9F" w:rsidP="00634E9F">
            <w:pPr>
              <w:keepNext/>
              <w:keepLines/>
              <w:jc w:val="left"/>
              <w:rPr>
                <w:rFonts w:ascii="Arial Narrow" w:hAnsi="Arial Narrow"/>
                <w:color w:val="000000"/>
                <w:sz w:val="20"/>
                <w:szCs w:val="20"/>
              </w:rPr>
            </w:pPr>
            <w:r w:rsidRPr="009A4DCA">
              <w:rPr>
                <w:rFonts w:ascii="Arial Narrow" w:hAnsi="Arial Narrow"/>
                <w:color w:val="000000"/>
                <w:sz w:val="20"/>
                <w:szCs w:val="20"/>
              </w:rPr>
              <w:t>AIHW hospital incidence for 75+ (384 per 100,000 person-years)</w:t>
            </w:r>
          </w:p>
        </w:tc>
        <w:tc>
          <w:tcPr>
            <w:tcW w:w="1289" w:type="dxa"/>
            <w:shd w:val="clear" w:color="auto" w:fill="FFFFFF" w:themeFill="background1"/>
            <w:vAlign w:val="center"/>
          </w:tcPr>
          <w:p w14:paraId="0D0B65C2" w14:textId="7DD65357" w:rsidR="00634E9F" w:rsidRPr="009A4DCA" w:rsidRDefault="00634E9F" w:rsidP="003F30D2">
            <w:pPr>
              <w:keepNext/>
              <w:keepLines/>
              <w:jc w:val="center"/>
              <w:rPr>
                <w:rFonts w:ascii="Arial Narrow" w:hAnsi="Arial Narrow"/>
                <w:bCs/>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2"/>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2"/>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2"/>
                <w14:textFill>
                  <w14:solidFill>
                    <w14:srgbClr w14:val="000000">
                      <w14:alpha w14:val="100000"/>
                    </w14:srgbClr>
                  </w14:solidFill>
                </w14:textFill>
              </w:rPr>
              <w:t xml:space="preserve">　</w:t>
            </w:r>
          </w:p>
        </w:tc>
        <w:tc>
          <w:tcPr>
            <w:tcW w:w="1146" w:type="dxa"/>
            <w:shd w:val="clear" w:color="auto" w:fill="FFFFFF" w:themeFill="background1"/>
            <w:vAlign w:val="center"/>
          </w:tcPr>
          <w:p w14:paraId="094B6BDE" w14:textId="059AD635" w:rsidR="00634E9F" w:rsidRPr="009A4DCA" w:rsidRDefault="00634E9F" w:rsidP="003F30D2">
            <w:pPr>
              <w:keepNext/>
              <w:keepLines/>
              <w:jc w:val="center"/>
              <w:rPr>
                <w:rFonts w:ascii="Arial Narrow" w:hAnsi="Arial Narrow"/>
                <w:bCs/>
                <w:color w:val="000000"/>
                <w:sz w:val="20"/>
                <w:szCs w:val="20"/>
              </w:rPr>
            </w:pPr>
            <w:r w:rsidRPr="009A4DCA">
              <w:rPr>
                <w:rFonts w:ascii="Arial Narrow" w:hAnsi="Arial Narrow"/>
                <w:sz w:val="20"/>
                <w:szCs w:val="20"/>
              </w:rPr>
              <w:t>0.0051</w:t>
            </w:r>
          </w:p>
        </w:tc>
        <w:tc>
          <w:tcPr>
            <w:tcW w:w="1289" w:type="dxa"/>
            <w:shd w:val="clear" w:color="auto" w:fill="FFFFFF" w:themeFill="background1"/>
            <w:vAlign w:val="center"/>
          </w:tcPr>
          <w:p w14:paraId="2D75D374" w14:textId="4A34BB1E" w:rsidR="00634E9F" w:rsidRPr="009A4DCA" w:rsidRDefault="00634E9F" w:rsidP="003F30D2">
            <w:pPr>
              <w:keepNext/>
              <w:keepLines/>
              <w:jc w:val="center"/>
              <w:rPr>
                <w:rFonts w:ascii="Arial Narrow" w:hAnsi="Arial Narrow"/>
                <w:bCs/>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81"/>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1"/>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81"/>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1</w:t>
            </w:r>
          </w:p>
        </w:tc>
        <w:tc>
          <w:tcPr>
            <w:tcW w:w="1289" w:type="dxa"/>
            <w:shd w:val="clear" w:color="auto" w:fill="FFFFFF" w:themeFill="background1"/>
            <w:vAlign w:val="center"/>
          </w:tcPr>
          <w:p w14:paraId="1C3DDEA3" w14:textId="7DC7D9AD" w:rsidR="00634E9F" w:rsidRPr="009A4DCA" w:rsidRDefault="00634E9F" w:rsidP="003F30D2">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80"/>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0"/>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0"/>
                <w14:textFill>
                  <w14:solidFill>
                    <w14:srgbClr w14:val="000000">
                      <w14:alpha w14:val="100000"/>
                    </w14:srgbClr>
                  </w14:solidFill>
                </w14:textFill>
              </w:rPr>
              <w:t xml:space="preserve">　</w:t>
            </w:r>
            <w:r w:rsidRPr="009A4DCA">
              <w:rPr>
                <w:rFonts w:ascii="Arial Narrow" w:hAnsi="Arial Narrow"/>
                <w:sz w:val="20"/>
                <w:szCs w:val="20"/>
              </w:rPr>
              <w:t>%</w:t>
            </w:r>
          </w:p>
        </w:tc>
      </w:tr>
      <w:tr w:rsidR="00312B6E" w:rsidRPr="009A4DCA" w14:paraId="1C899541" w14:textId="77777777">
        <w:tc>
          <w:tcPr>
            <w:tcW w:w="9017" w:type="dxa"/>
            <w:gridSpan w:val="6"/>
            <w:shd w:val="clear" w:color="auto" w:fill="FFFFFF" w:themeFill="background1"/>
            <w:vAlign w:val="center"/>
          </w:tcPr>
          <w:p w14:paraId="20475920" w14:textId="45C84E3B" w:rsidR="00CE049A" w:rsidRPr="009A4DCA" w:rsidRDefault="00CE049A" w:rsidP="009C6BB2">
            <w:pPr>
              <w:keepNext/>
              <w:keepLines/>
              <w:jc w:val="left"/>
              <w:rPr>
                <w:rFonts w:ascii="Arial Narrow" w:hAnsi="Arial Narrow"/>
                <w:b/>
                <w:bCs/>
                <w:color w:val="000000"/>
                <w:sz w:val="20"/>
                <w:szCs w:val="20"/>
              </w:rPr>
            </w:pPr>
            <w:r w:rsidRPr="009A4DCA">
              <w:rPr>
                <w:rFonts w:ascii="Arial Narrow" w:hAnsi="Arial Narrow"/>
                <w:b/>
                <w:bCs/>
                <w:color w:val="000000"/>
                <w:sz w:val="20"/>
                <w:szCs w:val="20"/>
              </w:rPr>
              <w:t xml:space="preserve">ATAGI advice (AIHW hospital incidence and </w:t>
            </w:r>
            <w:r w:rsidR="009C6BB2" w:rsidRPr="009A4DCA">
              <w:rPr>
                <w:rFonts w:ascii="Arial Narrow" w:hAnsi="Arial Narrow"/>
                <w:b/>
                <w:bCs/>
                <w:color w:val="000000"/>
                <w:sz w:val="20"/>
                <w:szCs w:val="20"/>
              </w:rPr>
              <w:t>In-hospital case fatality rate)</w:t>
            </w:r>
          </w:p>
        </w:tc>
      </w:tr>
      <w:tr w:rsidR="001B1D8F" w:rsidRPr="009A4DCA" w14:paraId="49B933A6" w14:textId="77777777" w:rsidTr="00B2154A">
        <w:tc>
          <w:tcPr>
            <w:tcW w:w="711" w:type="dxa"/>
            <w:shd w:val="clear" w:color="auto" w:fill="FFFFFF" w:themeFill="background1"/>
            <w:vAlign w:val="center"/>
          </w:tcPr>
          <w:p w14:paraId="5EFD2364" w14:textId="30AF408F" w:rsidR="001B1D8F" w:rsidRPr="009A4DCA" w:rsidRDefault="007C540D" w:rsidP="001B1D8F">
            <w:pPr>
              <w:keepNext/>
              <w:keepLines/>
              <w:jc w:val="left"/>
              <w:rPr>
                <w:rFonts w:ascii="Arial Narrow" w:hAnsi="Arial Narrow"/>
                <w:sz w:val="20"/>
                <w:szCs w:val="20"/>
              </w:rPr>
            </w:pPr>
            <w:r w:rsidRPr="009A4DCA">
              <w:rPr>
                <w:rFonts w:ascii="Arial Narrow" w:hAnsi="Arial Narrow"/>
                <w:sz w:val="20"/>
                <w:szCs w:val="20"/>
              </w:rPr>
              <w:t>SA.8</w:t>
            </w:r>
          </w:p>
        </w:tc>
        <w:tc>
          <w:tcPr>
            <w:tcW w:w="3293" w:type="dxa"/>
            <w:shd w:val="clear" w:color="auto" w:fill="FFFFFF" w:themeFill="background1"/>
            <w:vAlign w:val="center"/>
          </w:tcPr>
          <w:p w14:paraId="304396E9" w14:textId="15EA3B7D" w:rsidR="00B36DAD" w:rsidRPr="009A4DCA" w:rsidRDefault="001B1D8F" w:rsidP="00B36DAD">
            <w:pPr>
              <w:keepNext/>
              <w:keepLines/>
              <w:jc w:val="left"/>
              <w:rPr>
                <w:rFonts w:ascii="Arial Narrow" w:hAnsi="Arial Narrow"/>
                <w:color w:val="000000"/>
                <w:sz w:val="20"/>
                <w:szCs w:val="20"/>
                <w:vertAlign w:val="superscript"/>
              </w:rPr>
            </w:pPr>
            <w:r w:rsidRPr="009A4DCA">
              <w:rPr>
                <w:rFonts w:ascii="Arial Narrow" w:hAnsi="Arial Narrow"/>
                <w:color w:val="000000"/>
                <w:sz w:val="20"/>
                <w:szCs w:val="20"/>
              </w:rPr>
              <w:t>AIHW</w:t>
            </w:r>
            <w:r w:rsidR="00B36DAD" w:rsidRPr="009A4DCA">
              <w:rPr>
                <w:rFonts w:ascii="Arial Narrow" w:hAnsi="Arial Narrow"/>
                <w:color w:val="000000"/>
                <w:sz w:val="20"/>
                <w:szCs w:val="20"/>
              </w:rPr>
              <w:t xml:space="preserve"> hospital incidence</w:t>
            </w:r>
            <w:r w:rsidRPr="009A4DCA">
              <w:rPr>
                <w:rFonts w:ascii="Arial Narrow" w:hAnsi="Arial Narrow"/>
                <w:color w:val="000000"/>
                <w:sz w:val="20"/>
                <w:szCs w:val="20"/>
              </w:rPr>
              <w:t xml:space="preserve"> (384 per 100,000) + </w:t>
            </w:r>
            <w:r w:rsidR="00B36DAD" w:rsidRPr="009A4DCA">
              <w:rPr>
                <w:rFonts w:ascii="Arial Narrow" w:hAnsi="Arial Narrow"/>
                <w:color w:val="000000"/>
                <w:sz w:val="20"/>
                <w:szCs w:val="20"/>
              </w:rPr>
              <w:t xml:space="preserve">hCFR </w:t>
            </w:r>
            <w:r w:rsidRPr="009A4DCA">
              <w:rPr>
                <w:rFonts w:ascii="Arial Narrow" w:hAnsi="Arial Narrow"/>
                <w:color w:val="000000"/>
                <w:sz w:val="20"/>
                <w:szCs w:val="20"/>
              </w:rPr>
              <w:t>(4.22%)</w:t>
            </w:r>
          </w:p>
        </w:tc>
        <w:tc>
          <w:tcPr>
            <w:tcW w:w="1289" w:type="dxa"/>
            <w:shd w:val="clear" w:color="auto" w:fill="FFFFFF" w:themeFill="background1"/>
            <w:vAlign w:val="center"/>
          </w:tcPr>
          <w:p w14:paraId="2C012B7B" w14:textId="2650BD7D" w:rsidR="001B1D8F" w:rsidRPr="009A4DCA" w:rsidRDefault="001B1D8F" w:rsidP="001B1D8F">
            <w:pPr>
              <w:keepNext/>
              <w:keepLines/>
              <w:jc w:val="center"/>
              <w:rPr>
                <w:rFonts w:ascii="Arial Narrow" w:hAnsi="Arial Narrow"/>
                <w:bCs/>
                <w:color w:val="000000"/>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15"/>
                <w:sz w:val="20"/>
                <w:szCs w:val="20"/>
                <w:shd w:val="solid" w:color="000000" w:fill="000000"/>
                <w:fitText w:val="66" w:id="-762047479"/>
                <w14:textFill>
                  <w14:solidFill>
                    <w14:srgbClr w14:val="000000">
                      <w14:alpha w14:val="100000"/>
                    </w14:srgbClr>
                  </w14:solidFill>
                </w14:textFill>
              </w:rPr>
              <w:t xml:space="preserve">　</w:t>
            </w:r>
            <w:r w:rsidR="00E44A34" w:rsidRPr="00E44A34">
              <w:rPr>
                <w:rFonts w:ascii="Arial Narrow" w:hAnsi="Arial Narrow"/>
                <w:bCs/>
                <w:color w:val="000000"/>
                <w:w w:val="15"/>
                <w:sz w:val="20"/>
                <w:szCs w:val="20"/>
                <w:shd w:val="solid" w:color="000000" w:fill="000000"/>
                <w:fitText w:val="66" w:id="-762047479"/>
                <w14:textFill>
                  <w14:solidFill>
                    <w14:srgbClr w14:val="000000">
                      <w14:alpha w14:val="100000"/>
                    </w14:srgbClr>
                  </w14:solidFill>
                </w14:textFill>
              </w:rPr>
              <w:t>|</w:t>
            </w:r>
            <w:r w:rsidR="00E44A34" w:rsidRPr="00E44A34">
              <w:rPr>
                <w:rFonts w:ascii="Arial Narrow" w:hAnsi="Arial Narrow" w:hint="eastAsia"/>
                <w:bCs/>
                <w:color w:val="000000"/>
                <w:w w:val="15"/>
                <w:sz w:val="20"/>
                <w:szCs w:val="20"/>
                <w:shd w:val="solid" w:color="000000" w:fill="000000"/>
                <w:fitText w:val="66" w:id="-762047479"/>
                <w14:textFill>
                  <w14:solidFill>
                    <w14:srgbClr w14:val="000000">
                      <w14:alpha w14:val="100000"/>
                    </w14:srgbClr>
                  </w14:solidFill>
                </w14:textFill>
              </w:rPr>
              <w:t xml:space="preserve">　</w:t>
            </w:r>
          </w:p>
        </w:tc>
        <w:tc>
          <w:tcPr>
            <w:tcW w:w="1146" w:type="dxa"/>
            <w:shd w:val="clear" w:color="auto" w:fill="FFFFFF" w:themeFill="background1"/>
            <w:vAlign w:val="center"/>
          </w:tcPr>
          <w:p w14:paraId="43EDE86C" w14:textId="77777777" w:rsidR="001B1D8F" w:rsidRPr="009A4DCA" w:rsidRDefault="001B1D8F" w:rsidP="001B1D8F">
            <w:pPr>
              <w:keepNext/>
              <w:keepLines/>
              <w:jc w:val="center"/>
              <w:rPr>
                <w:rFonts w:ascii="Arial Narrow" w:hAnsi="Arial Narrow"/>
                <w:bCs/>
                <w:color w:val="000000"/>
                <w:sz w:val="20"/>
                <w:szCs w:val="20"/>
              </w:rPr>
            </w:pPr>
            <w:r w:rsidRPr="009A4DCA">
              <w:rPr>
                <w:rFonts w:ascii="Arial Narrow" w:hAnsi="Arial Narrow"/>
                <w:bCs/>
                <w:color w:val="000000"/>
                <w:sz w:val="20"/>
                <w:szCs w:val="20"/>
              </w:rPr>
              <w:t>0.0022</w:t>
            </w:r>
          </w:p>
        </w:tc>
        <w:tc>
          <w:tcPr>
            <w:tcW w:w="1289" w:type="dxa"/>
            <w:shd w:val="clear" w:color="auto" w:fill="FFFFFF" w:themeFill="background1"/>
            <w:vAlign w:val="center"/>
          </w:tcPr>
          <w:p w14:paraId="18FA4FCD" w14:textId="79A6BEEC" w:rsidR="001B1D8F" w:rsidRPr="009A4DCA" w:rsidRDefault="001B1D8F" w:rsidP="001B1D8F">
            <w:pPr>
              <w:keepNext/>
              <w:keepLines/>
              <w:jc w:val="center"/>
              <w:rPr>
                <w:rFonts w:ascii="Arial Narrow" w:hAnsi="Arial Narrow"/>
                <w:bCs/>
                <w:color w:val="000000"/>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24"/>
                <w:sz w:val="20"/>
                <w:szCs w:val="20"/>
                <w:shd w:val="solid" w:color="000000" w:fill="000000"/>
                <w:fitText w:val="107" w:id="-762047478"/>
                <w14:textFill>
                  <w14:solidFill>
                    <w14:srgbClr w14:val="000000">
                      <w14:alpha w14:val="100000"/>
                    </w14:srgbClr>
                  </w14:solidFill>
                </w14:textFill>
              </w:rPr>
              <w:t xml:space="preserve">　</w:t>
            </w:r>
            <w:r w:rsidR="00E44A34" w:rsidRPr="00E44A34">
              <w:rPr>
                <w:rFonts w:ascii="Arial Narrow" w:hAnsi="Arial Narrow"/>
                <w:bCs/>
                <w:color w:val="000000"/>
                <w:w w:val="24"/>
                <w:sz w:val="20"/>
                <w:szCs w:val="20"/>
                <w:shd w:val="solid" w:color="000000" w:fill="000000"/>
                <w:fitText w:val="107" w:id="-762047478"/>
                <w14:textFill>
                  <w14:solidFill>
                    <w14:srgbClr w14:val="000000">
                      <w14:alpha w14:val="100000"/>
                    </w14:srgbClr>
                  </w14:solidFill>
                </w14:textFill>
              </w:rPr>
              <w:t>|</w:t>
            </w:r>
            <w:r w:rsidR="00E44A34" w:rsidRPr="00E44A34">
              <w:rPr>
                <w:rFonts w:ascii="Arial Narrow" w:hAnsi="Arial Narrow" w:hint="eastAsia"/>
                <w:bCs/>
                <w:color w:val="000000"/>
                <w:w w:val="24"/>
                <w:sz w:val="20"/>
                <w:szCs w:val="20"/>
                <w:shd w:val="solid" w:color="000000" w:fill="000000"/>
                <w:fitText w:val="107" w:id="-762047478"/>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3</w:t>
            </w:r>
          </w:p>
        </w:tc>
        <w:tc>
          <w:tcPr>
            <w:tcW w:w="1289" w:type="dxa"/>
            <w:shd w:val="clear" w:color="auto" w:fill="FFFFFF" w:themeFill="background1"/>
            <w:vAlign w:val="center"/>
          </w:tcPr>
          <w:p w14:paraId="55D439C6" w14:textId="2160D0B6" w:rsidR="001B1D8F" w:rsidRPr="009A4DCA" w:rsidRDefault="001B1D8F" w:rsidP="001B1D8F">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77"/>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7"/>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77"/>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1B1D8F" w:rsidRPr="009A4DCA" w14:paraId="3F0E3BB5" w14:textId="77777777" w:rsidTr="00973287">
        <w:tc>
          <w:tcPr>
            <w:tcW w:w="9017" w:type="dxa"/>
            <w:gridSpan w:val="6"/>
            <w:shd w:val="clear" w:color="auto" w:fill="FFFFFF" w:themeFill="background1"/>
            <w:vAlign w:val="center"/>
          </w:tcPr>
          <w:p w14:paraId="6E0E8B98" w14:textId="77777777" w:rsidR="001B1D8F" w:rsidRPr="009A4DCA" w:rsidRDefault="001B1D8F" w:rsidP="001B1D8F">
            <w:pPr>
              <w:keepNext/>
              <w:keepLines/>
              <w:jc w:val="left"/>
              <w:rPr>
                <w:rFonts w:ascii="Arial Narrow" w:hAnsi="Arial Narrow"/>
                <w:b/>
                <w:color w:val="000000"/>
                <w:sz w:val="20"/>
                <w:szCs w:val="20"/>
              </w:rPr>
            </w:pPr>
            <w:r w:rsidRPr="009A4DCA">
              <w:rPr>
                <w:rFonts w:ascii="Arial Narrow" w:hAnsi="Arial Narrow"/>
                <w:b/>
                <w:color w:val="000000"/>
                <w:sz w:val="20"/>
                <w:szCs w:val="20"/>
              </w:rPr>
              <w:t>Vaccine efficacy peak (base case: outpatient (65.1%), emergency (70.4%), hospitalised (84.6%))</w:t>
            </w:r>
          </w:p>
        </w:tc>
      </w:tr>
      <w:tr w:rsidR="007C540D" w:rsidRPr="009A4DCA" w14:paraId="73A86A5A" w14:textId="77777777" w:rsidTr="00973287">
        <w:tc>
          <w:tcPr>
            <w:tcW w:w="711" w:type="dxa"/>
            <w:shd w:val="clear" w:color="auto" w:fill="FFFFFF" w:themeFill="background1"/>
            <w:vAlign w:val="center"/>
          </w:tcPr>
          <w:p w14:paraId="20156167" w14:textId="644EC2EA"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SA.9</w:t>
            </w:r>
          </w:p>
        </w:tc>
        <w:tc>
          <w:tcPr>
            <w:tcW w:w="3293" w:type="dxa"/>
            <w:shd w:val="clear" w:color="auto" w:fill="FFFFFF" w:themeFill="background1"/>
            <w:vAlign w:val="center"/>
          </w:tcPr>
          <w:p w14:paraId="6F466D4E" w14:textId="7777777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Hospital = 50% (low value)</w:t>
            </w:r>
          </w:p>
        </w:tc>
        <w:tc>
          <w:tcPr>
            <w:tcW w:w="1289" w:type="dxa"/>
            <w:shd w:val="clear" w:color="auto" w:fill="FFFFFF" w:themeFill="background1"/>
            <w:vAlign w:val="center"/>
          </w:tcPr>
          <w:p w14:paraId="7BDC2EB6" w14:textId="092375A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6"/>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6"/>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6"/>
                <w14:textFill>
                  <w14:solidFill>
                    <w14:srgbClr w14:val="000000">
                      <w14:alpha w14:val="100000"/>
                    </w14:srgbClr>
                  </w14:solidFill>
                </w14:textFill>
              </w:rPr>
              <w:t xml:space="preserve">　</w:t>
            </w:r>
          </w:p>
        </w:tc>
        <w:tc>
          <w:tcPr>
            <w:tcW w:w="1146" w:type="dxa"/>
            <w:shd w:val="clear" w:color="auto" w:fill="FFFFFF" w:themeFill="background1"/>
            <w:vAlign w:val="center"/>
          </w:tcPr>
          <w:p w14:paraId="48F8F32E"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0.0027</w:t>
            </w:r>
          </w:p>
        </w:tc>
        <w:tc>
          <w:tcPr>
            <w:tcW w:w="1289" w:type="dxa"/>
            <w:shd w:val="clear" w:color="auto" w:fill="FFFFFF" w:themeFill="background1"/>
            <w:vAlign w:val="center"/>
          </w:tcPr>
          <w:p w14:paraId="1195F751" w14:textId="03095311"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5"/>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5"/>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75"/>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3</w:t>
            </w:r>
          </w:p>
        </w:tc>
        <w:tc>
          <w:tcPr>
            <w:tcW w:w="1289" w:type="dxa"/>
            <w:shd w:val="clear" w:color="auto" w:fill="FFFFFF" w:themeFill="background1"/>
            <w:vAlign w:val="center"/>
          </w:tcPr>
          <w:p w14:paraId="413D9C77" w14:textId="28C21C89"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74"/>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4"/>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74"/>
                <w14:textFill>
                  <w14:solidFill>
                    <w14:srgbClr w14:val="000000">
                      <w14:alpha w14:val="100000"/>
                    </w14:srgbClr>
                  </w14:solidFill>
                </w14:textFill>
              </w:rPr>
              <w:t xml:space="preserve">　</w:t>
            </w:r>
            <w:r w:rsidRPr="009A4DCA">
              <w:rPr>
                <w:rFonts w:ascii="Arial Narrow" w:hAnsi="Arial Narrow"/>
                <w:sz w:val="20"/>
                <w:szCs w:val="20"/>
              </w:rPr>
              <w:t>%</w:t>
            </w:r>
          </w:p>
        </w:tc>
      </w:tr>
      <w:tr w:rsidR="007C540D" w:rsidRPr="009A4DCA" w14:paraId="17248603" w14:textId="77777777" w:rsidTr="00973287">
        <w:tc>
          <w:tcPr>
            <w:tcW w:w="711" w:type="dxa"/>
            <w:shd w:val="clear" w:color="auto" w:fill="FFFFFF" w:themeFill="background1"/>
            <w:vAlign w:val="center"/>
          </w:tcPr>
          <w:p w14:paraId="1F04F8D5" w14:textId="3C987A80"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SA.10</w:t>
            </w:r>
          </w:p>
        </w:tc>
        <w:tc>
          <w:tcPr>
            <w:tcW w:w="3293" w:type="dxa"/>
            <w:shd w:val="clear" w:color="auto" w:fill="FFFFFF" w:themeFill="background1"/>
            <w:vAlign w:val="center"/>
          </w:tcPr>
          <w:p w14:paraId="1CCAB9DB" w14:textId="7777777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Hospital = 100% (high value)</w:t>
            </w:r>
          </w:p>
        </w:tc>
        <w:tc>
          <w:tcPr>
            <w:tcW w:w="1289" w:type="dxa"/>
            <w:shd w:val="clear" w:color="auto" w:fill="FFFFFF" w:themeFill="background1"/>
            <w:vAlign w:val="center"/>
          </w:tcPr>
          <w:p w14:paraId="2848BC0F" w14:textId="2A9F1696"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3"/>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3"/>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3"/>
                <w14:textFill>
                  <w14:solidFill>
                    <w14:srgbClr w14:val="000000">
                      <w14:alpha w14:val="100000"/>
                    </w14:srgbClr>
                  </w14:solidFill>
                </w14:textFill>
              </w:rPr>
              <w:t xml:space="preserve">　</w:t>
            </w:r>
          </w:p>
        </w:tc>
        <w:tc>
          <w:tcPr>
            <w:tcW w:w="1146" w:type="dxa"/>
            <w:shd w:val="clear" w:color="auto" w:fill="FFFFFF" w:themeFill="background1"/>
            <w:vAlign w:val="center"/>
          </w:tcPr>
          <w:p w14:paraId="09635974"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0.0062</w:t>
            </w:r>
          </w:p>
        </w:tc>
        <w:tc>
          <w:tcPr>
            <w:tcW w:w="1289" w:type="dxa"/>
            <w:shd w:val="clear" w:color="auto" w:fill="FFFFFF" w:themeFill="background1"/>
            <w:vAlign w:val="center"/>
          </w:tcPr>
          <w:p w14:paraId="436B6DFD" w14:textId="5FB03CCE"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2"/>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2"/>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72"/>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1</w:t>
            </w:r>
          </w:p>
        </w:tc>
        <w:tc>
          <w:tcPr>
            <w:tcW w:w="1289" w:type="dxa"/>
            <w:shd w:val="clear" w:color="auto" w:fill="FFFFFF" w:themeFill="background1"/>
            <w:vAlign w:val="center"/>
          </w:tcPr>
          <w:p w14:paraId="0B675B41" w14:textId="55FA5161"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3"/>
                <w:sz w:val="20"/>
                <w:szCs w:val="20"/>
                <w:shd w:val="solid" w:color="000000" w:fill="000000"/>
                <w:fitText w:val="106" w:id="-762047488"/>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488"/>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488"/>
                <w14:textFill>
                  <w14:solidFill>
                    <w14:srgbClr w14:val="000000">
                      <w14:alpha w14:val="100000"/>
                    </w14:srgbClr>
                  </w14:solidFill>
                </w14:textFill>
              </w:rPr>
              <w:t xml:space="preserve">　</w:t>
            </w:r>
            <w:r w:rsidRPr="009A4DCA">
              <w:rPr>
                <w:rFonts w:ascii="Arial Narrow" w:hAnsi="Arial Narrow"/>
                <w:sz w:val="20"/>
                <w:szCs w:val="20"/>
              </w:rPr>
              <w:t>%</w:t>
            </w:r>
          </w:p>
        </w:tc>
      </w:tr>
      <w:tr w:rsidR="007C540D" w:rsidRPr="009A4DCA" w14:paraId="5961BF2E" w14:textId="77777777" w:rsidTr="00973287">
        <w:tc>
          <w:tcPr>
            <w:tcW w:w="711" w:type="dxa"/>
            <w:shd w:val="clear" w:color="auto" w:fill="FFFFFF" w:themeFill="background1"/>
            <w:vAlign w:val="center"/>
          </w:tcPr>
          <w:p w14:paraId="6F35D9CF" w14:textId="40A06521"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SA.11</w:t>
            </w:r>
          </w:p>
        </w:tc>
        <w:tc>
          <w:tcPr>
            <w:tcW w:w="3293" w:type="dxa"/>
            <w:shd w:val="clear" w:color="auto" w:fill="FFFFFF" w:themeFill="background1"/>
            <w:vAlign w:val="center"/>
          </w:tcPr>
          <w:p w14:paraId="7FF1C74B" w14:textId="72492686" w:rsidR="007C540D" w:rsidRPr="009A4DCA" w:rsidRDefault="007C540D" w:rsidP="007C540D">
            <w:pPr>
              <w:keepNext/>
              <w:keepLines/>
              <w:jc w:val="left"/>
              <w:rPr>
                <w:rFonts w:ascii="Arial Narrow" w:hAnsi="Arial Narrow"/>
                <w:color w:val="000000"/>
                <w:sz w:val="20"/>
                <w:szCs w:val="20"/>
              </w:rPr>
            </w:pPr>
            <w:r w:rsidRPr="009A4DCA">
              <w:rPr>
                <w:rFonts w:ascii="Arial Narrow" w:hAnsi="Arial Narrow"/>
                <w:color w:val="000000"/>
                <w:sz w:val="20"/>
                <w:szCs w:val="20"/>
              </w:rPr>
              <w:t>Outpatient, emergency &amp; hospital =50%</w:t>
            </w:r>
          </w:p>
        </w:tc>
        <w:tc>
          <w:tcPr>
            <w:tcW w:w="1289" w:type="dxa"/>
            <w:shd w:val="clear" w:color="auto" w:fill="FFFFFF" w:themeFill="background1"/>
            <w:vAlign w:val="center"/>
          </w:tcPr>
          <w:p w14:paraId="79777411" w14:textId="70E3FC30"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7"/>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7"/>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7"/>
                <w14:textFill>
                  <w14:solidFill>
                    <w14:srgbClr w14:val="000000">
                      <w14:alpha w14:val="100000"/>
                    </w14:srgbClr>
                  </w14:solidFill>
                </w14:textFill>
              </w:rPr>
              <w:t xml:space="preserve">　</w:t>
            </w:r>
          </w:p>
        </w:tc>
        <w:tc>
          <w:tcPr>
            <w:tcW w:w="1146" w:type="dxa"/>
            <w:shd w:val="clear" w:color="auto" w:fill="FFFFFF" w:themeFill="background1"/>
            <w:vAlign w:val="center"/>
          </w:tcPr>
          <w:p w14:paraId="76AC98B3"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0.0026</w:t>
            </w:r>
          </w:p>
        </w:tc>
        <w:tc>
          <w:tcPr>
            <w:tcW w:w="1289" w:type="dxa"/>
            <w:shd w:val="clear" w:color="auto" w:fill="FFFFFF" w:themeFill="background1"/>
            <w:vAlign w:val="center"/>
          </w:tcPr>
          <w:p w14:paraId="566AF3DA" w14:textId="4C9ACA26" w:rsidR="007C540D" w:rsidRPr="009A4DCA" w:rsidRDefault="007C540D" w:rsidP="007C540D">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486"/>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6"/>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86"/>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3</w:t>
            </w:r>
          </w:p>
        </w:tc>
        <w:tc>
          <w:tcPr>
            <w:tcW w:w="1289" w:type="dxa"/>
            <w:shd w:val="clear" w:color="auto" w:fill="FFFFFF" w:themeFill="background1"/>
            <w:vAlign w:val="center"/>
          </w:tcPr>
          <w:p w14:paraId="6019D087" w14:textId="25FBB969" w:rsidR="007C540D" w:rsidRPr="009A4DCA" w:rsidRDefault="007C540D" w:rsidP="007C540D">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85"/>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5"/>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5"/>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7C540D" w:rsidRPr="009A4DCA" w14:paraId="5E5289F4" w14:textId="77777777" w:rsidTr="00973287">
        <w:tc>
          <w:tcPr>
            <w:tcW w:w="711" w:type="dxa"/>
            <w:shd w:val="clear" w:color="auto" w:fill="FFFFFF" w:themeFill="background1"/>
            <w:vAlign w:val="center"/>
          </w:tcPr>
          <w:p w14:paraId="15F03662" w14:textId="75B5DE46"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SA.12</w:t>
            </w:r>
          </w:p>
        </w:tc>
        <w:tc>
          <w:tcPr>
            <w:tcW w:w="3293" w:type="dxa"/>
            <w:shd w:val="clear" w:color="auto" w:fill="FFFFFF" w:themeFill="background1"/>
            <w:vAlign w:val="center"/>
          </w:tcPr>
          <w:p w14:paraId="3B630BF1" w14:textId="7B57E700" w:rsidR="007C540D" w:rsidRPr="009A4DCA" w:rsidRDefault="007C540D" w:rsidP="007C540D">
            <w:pPr>
              <w:keepNext/>
              <w:keepLines/>
              <w:jc w:val="left"/>
              <w:rPr>
                <w:rFonts w:ascii="Arial Narrow" w:hAnsi="Arial Narrow"/>
                <w:color w:val="000000"/>
                <w:sz w:val="20"/>
                <w:szCs w:val="20"/>
              </w:rPr>
            </w:pPr>
            <w:r w:rsidRPr="009A4DCA">
              <w:rPr>
                <w:rFonts w:ascii="Arial Narrow" w:hAnsi="Arial Narrow"/>
                <w:color w:val="000000"/>
                <w:sz w:val="20"/>
                <w:szCs w:val="20"/>
              </w:rPr>
              <w:t>Outpatient, emergency &amp; hospital =100%</w:t>
            </w:r>
          </w:p>
        </w:tc>
        <w:tc>
          <w:tcPr>
            <w:tcW w:w="1289" w:type="dxa"/>
            <w:shd w:val="clear" w:color="auto" w:fill="FFFFFF" w:themeFill="background1"/>
            <w:vAlign w:val="center"/>
          </w:tcPr>
          <w:p w14:paraId="61CDFB2F" w14:textId="7602FA89"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4"/>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4"/>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4"/>
                <w14:textFill>
                  <w14:solidFill>
                    <w14:srgbClr w14:val="000000">
                      <w14:alpha w14:val="100000"/>
                    </w14:srgbClr>
                  </w14:solidFill>
                </w14:textFill>
              </w:rPr>
              <w:t xml:space="preserve">　</w:t>
            </w:r>
          </w:p>
        </w:tc>
        <w:tc>
          <w:tcPr>
            <w:tcW w:w="1146" w:type="dxa"/>
            <w:shd w:val="clear" w:color="auto" w:fill="FFFFFF" w:themeFill="background1"/>
            <w:vAlign w:val="center"/>
          </w:tcPr>
          <w:p w14:paraId="362A23B9"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0.0064</w:t>
            </w:r>
          </w:p>
        </w:tc>
        <w:tc>
          <w:tcPr>
            <w:tcW w:w="1289" w:type="dxa"/>
            <w:shd w:val="clear" w:color="auto" w:fill="FFFFFF" w:themeFill="background1"/>
            <w:vAlign w:val="center"/>
          </w:tcPr>
          <w:p w14:paraId="09A94E65" w14:textId="6BA59810" w:rsidR="007C540D" w:rsidRPr="009A4DCA" w:rsidRDefault="007C540D" w:rsidP="007C540D">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483"/>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3"/>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83"/>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1</w:t>
            </w:r>
          </w:p>
        </w:tc>
        <w:tc>
          <w:tcPr>
            <w:tcW w:w="1289" w:type="dxa"/>
            <w:shd w:val="clear" w:color="auto" w:fill="FFFFFF" w:themeFill="background1"/>
            <w:vAlign w:val="center"/>
          </w:tcPr>
          <w:p w14:paraId="3F313888" w14:textId="6B666EA6" w:rsidR="007C540D" w:rsidRPr="009A4DCA" w:rsidRDefault="007C540D" w:rsidP="007C540D">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3"/>
                <w:sz w:val="20"/>
                <w:szCs w:val="20"/>
                <w:shd w:val="solid" w:color="000000" w:fill="000000"/>
                <w:fitText w:val="106" w:id="-762047482"/>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482"/>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482"/>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7C540D" w:rsidRPr="009A4DCA" w14:paraId="084561E6" w14:textId="77777777" w:rsidTr="00973287">
        <w:tc>
          <w:tcPr>
            <w:tcW w:w="9017" w:type="dxa"/>
            <w:gridSpan w:val="6"/>
            <w:shd w:val="clear" w:color="auto" w:fill="FFFFFF" w:themeFill="background1"/>
            <w:vAlign w:val="center"/>
          </w:tcPr>
          <w:p w14:paraId="1F833999" w14:textId="77777777" w:rsidR="007C540D" w:rsidRPr="009A4DCA" w:rsidRDefault="007C540D" w:rsidP="007C540D">
            <w:pPr>
              <w:keepNext/>
              <w:keepLines/>
              <w:jc w:val="left"/>
              <w:rPr>
                <w:rFonts w:ascii="Arial Narrow" w:hAnsi="Arial Narrow"/>
                <w:color w:val="000000"/>
                <w:sz w:val="20"/>
                <w:szCs w:val="20"/>
              </w:rPr>
            </w:pPr>
            <w:r w:rsidRPr="009A4DCA">
              <w:rPr>
                <w:rFonts w:ascii="Arial Narrow" w:hAnsi="Arial Narrow"/>
                <w:b/>
                <w:color w:val="000000"/>
                <w:sz w:val="20"/>
                <w:szCs w:val="20"/>
              </w:rPr>
              <w:t>Vaccine efficacy timepoints (base case: titration (1.51%), extrapolation (6 months) truncation (48 months))</w:t>
            </w:r>
          </w:p>
        </w:tc>
      </w:tr>
      <w:tr w:rsidR="007C540D" w:rsidRPr="009A4DCA" w14:paraId="2F5B9790" w14:textId="77777777" w:rsidTr="00973287">
        <w:tc>
          <w:tcPr>
            <w:tcW w:w="711" w:type="dxa"/>
            <w:shd w:val="clear" w:color="auto" w:fill="FFFFFF" w:themeFill="background1"/>
            <w:vAlign w:val="center"/>
          </w:tcPr>
          <w:p w14:paraId="68C97AAF" w14:textId="0A235B8A"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SA.13</w:t>
            </w:r>
          </w:p>
        </w:tc>
        <w:tc>
          <w:tcPr>
            <w:tcW w:w="3293" w:type="dxa"/>
            <w:shd w:val="clear" w:color="auto" w:fill="FFFFFF" w:themeFill="background1"/>
            <w:vAlign w:val="center"/>
          </w:tcPr>
          <w:p w14:paraId="14748C61" w14:textId="7777777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Truncation = 36 months</w:t>
            </w:r>
          </w:p>
        </w:tc>
        <w:tc>
          <w:tcPr>
            <w:tcW w:w="1289" w:type="dxa"/>
            <w:shd w:val="clear" w:color="auto" w:fill="FFFFFF" w:themeFill="background1"/>
            <w:vAlign w:val="center"/>
          </w:tcPr>
          <w:p w14:paraId="563A21EE" w14:textId="11A1CB1F"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1"/>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1"/>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1"/>
                <w14:textFill>
                  <w14:solidFill>
                    <w14:srgbClr w14:val="000000">
                      <w14:alpha w14:val="100000"/>
                    </w14:srgbClr>
                  </w14:solidFill>
                </w14:textFill>
              </w:rPr>
              <w:t xml:space="preserve">　</w:t>
            </w:r>
          </w:p>
        </w:tc>
        <w:tc>
          <w:tcPr>
            <w:tcW w:w="1146" w:type="dxa"/>
            <w:shd w:val="clear" w:color="auto" w:fill="FFFFFF" w:themeFill="background1"/>
            <w:vAlign w:val="center"/>
          </w:tcPr>
          <w:p w14:paraId="0F348640"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0.0044</w:t>
            </w:r>
          </w:p>
        </w:tc>
        <w:tc>
          <w:tcPr>
            <w:tcW w:w="1289" w:type="dxa"/>
            <w:shd w:val="clear" w:color="auto" w:fill="FFFFFF" w:themeFill="background1"/>
            <w:vAlign w:val="center"/>
          </w:tcPr>
          <w:p w14:paraId="6D0EF01B" w14:textId="0DF3B9C6"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80"/>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0"/>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80"/>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5</w:t>
            </w:r>
          </w:p>
        </w:tc>
        <w:tc>
          <w:tcPr>
            <w:tcW w:w="1289" w:type="dxa"/>
            <w:shd w:val="clear" w:color="auto" w:fill="FFFFFF" w:themeFill="background1"/>
            <w:vAlign w:val="center"/>
          </w:tcPr>
          <w:p w14:paraId="711E381D" w14:textId="54933503"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79"/>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9"/>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79"/>
                <w14:textFill>
                  <w14:solidFill>
                    <w14:srgbClr w14:val="000000">
                      <w14:alpha w14:val="100000"/>
                    </w14:srgbClr>
                  </w14:solidFill>
                </w14:textFill>
              </w:rPr>
              <w:t xml:space="preserve">　</w:t>
            </w:r>
            <w:r w:rsidRPr="009A4DCA">
              <w:rPr>
                <w:rFonts w:ascii="Arial Narrow" w:hAnsi="Arial Narrow"/>
                <w:sz w:val="20"/>
                <w:szCs w:val="20"/>
              </w:rPr>
              <w:t>%</w:t>
            </w:r>
          </w:p>
        </w:tc>
      </w:tr>
      <w:tr w:rsidR="007C540D" w:rsidRPr="009A4DCA" w14:paraId="12D7F8BF" w14:textId="77777777" w:rsidTr="00973287">
        <w:tc>
          <w:tcPr>
            <w:tcW w:w="711" w:type="dxa"/>
            <w:shd w:val="clear" w:color="auto" w:fill="FFFFFF" w:themeFill="background1"/>
            <w:vAlign w:val="center"/>
          </w:tcPr>
          <w:p w14:paraId="39AB7437" w14:textId="5E349282"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SA.14</w:t>
            </w:r>
          </w:p>
        </w:tc>
        <w:tc>
          <w:tcPr>
            <w:tcW w:w="3293" w:type="dxa"/>
            <w:shd w:val="clear" w:color="auto" w:fill="FFFFFF" w:themeFill="background1"/>
            <w:vAlign w:val="center"/>
          </w:tcPr>
          <w:p w14:paraId="01963EE5" w14:textId="4BEB1D5E"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Truncation = 24 months</w:t>
            </w:r>
          </w:p>
        </w:tc>
        <w:tc>
          <w:tcPr>
            <w:tcW w:w="1289" w:type="dxa"/>
            <w:shd w:val="clear" w:color="auto" w:fill="FFFFFF" w:themeFill="background1"/>
            <w:vAlign w:val="center"/>
          </w:tcPr>
          <w:p w14:paraId="7BF793A8" w14:textId="2F9EBD2B"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8"/>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8"/>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8"/>
                <w14:textFill>
                  <w14:solidFill>
                    <w14:srgbClr w14:val="000000">
                      <w14:alpha w14:val="100000"/>
                    </w14:srgbClr>
                  </w14:solidFill>
                </w14:textFill>
              </w:rPr>
              <w:t xml:space="preserve">　</w:t>
            </w:r>
          </w:p>
        </w:tc>
        <w:tc>
          <w:tcPr>
            <w:tcW w:w="1146" w:type="dxa"/>
            <w:shd w:val="clear" w:color="auto" w:fill="FFFFFF" w:themeFill="background1"/>
            <w:vAlign w:val="center"/>
          </w:tcPr>
          <w:p w14:paraId="63E88446"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0.0034</w:t>
            </w:r>
          </w:p>
        </w:tc>
        <w:tc>
          <w:tcPr>
            <w:tcW w:w="1289" w:type="dxa"/>
            <w:shd w:val="clear" w:color="auto" w:fill="FFFFFF" w:themeFill="background1"/>
            <w:vAlign w:val="center"/>
          </w:tcPr>
          <w:p w14:paraId="6A275A8D" w14:textId="7A3D5271"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7"/>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7"/>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77"/>
                <w14:textFill>
                  <w14:solidFill>
                    <w14:srgbClr w14:val="000000">
                      <w14:alpha w14:val="100000"/>
                    </w14:srgbClr>
                  </w14:solidFill>
                </w14:textFill>
              </w:rPr>
              <w:t xml:space="preserve">　</w:t>
            </w:r>
            <w:r w:rsidR="003F30D2">
              <w:rPr>
                <w:rFonts w:ascii="Arial Narrow" w:hAnsi="Arial Narrow"/>
                <w:b/>
                <w:color w:val="000000"/>
                <w:sz w:val="20"/>
                <w:szCs w:val="20"/>
              </w:rPr>
              <w:t xml:space="preserve"> </w:t>
            </w:r>
            <w:r w:rsidR="003F30D2">
              <w:rPr>
                <w:rFonts w:ascii="Arial Narrow" w:hAnsi="Arial Narrow"/>
                <w:b/>
                <w:color w:val="000000"/>
                <w:sz w:val="20"/>
                <w:szCs w:val="20"/>
                <w:vertAlign w:val="superscript"/>
              </w:rPr>
              <w:t>2</w:t>
            </w:r>
          </w:p>
        </w:tc>
        <w:tc>
          <w:tcPr>
            <w:tcW w:w="1289" w:type="dxa"/>
            <w:shd w:val="clear" w:color="auto" w:fill="FFFFFF" w:themeFill="background1"/>
            <w:vAlign w:val="center"/>
          </w:tcPr>
          <w:p w14:paraId="02C9CD5C" w14:textId="7D2FA55A"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76"/>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6"/>
                <w14:textFill>
                  <w14:solidFill>
                    <w14:srgbClr w14:val="000000">
                      <w14:alpha w14:val="100000"/>
                    </w14:srgbClr>
                  </w14:solidFill>
                </w14:textFill>
              </w:rPr>
              <w:t>|</w:t>
            </w:r>
            <w:r w:rsidR="00E44A34" w:rsidRPr="00E44A34">
              <w:rPr>
                <w:rFonts w:ascii="Arial Narrow" w:hAnsi="Arial Narrow" w:hint="eastAsia"/>
                <w:color w:val="000000"/>
                <w:spacing w:val="1"/>
                <w:w w:val="30"/>
                <w:sz w:val="20"/>
                <w:szCs w:val="20"/>
                <w:shd w:val="solid" w:color="000000" w:fill="000000"/>
                <w:fitText w:val="133" w:id="-762047476"/>
                <w14:textFill>
                  <w14:solidFill>
                    <w14:srgbClr w14:val="000000">
                      <w14:alpha w14:val="100000"/>
                    </w14:srgbClr>
                  </w14:solidFill>
                </w14:textFill>
              </w:rPr>
              <w:t xml:space="preserve">　</w:t>
            </w:r>
            <w:r w:rsidRPr="009A4DCA">
              <w:rPr>
                <w:rFonts w:ascii="Arial Narrow" w:hAnsi="Arial Narrow"/>
                <w:sz w:val="20"/>
                <w:szCs w:val="20"/>
              </w:rPr>
              <w:t>%</w:t>
            </w:r>
          </w:p>
        </w:tc>
      </w:tr>
    </w:tbl>
    <w:p w14:paraId="50408766" w14:textId="5B3D8B06" w:rsidR="00DA50F1" w:rsidRPr="009A4DCA" w:rsidRDefault="00DA50F1" w:rsidP="00BE2884">
      <w:pPr>
        <w:pStyle w:val="FooterTableFigure"/>
        <w:keepNext/>
        <w:keepLines/>
        <w:rPr>
          <w:i/>
        </w:rPr>
      </w:pPr>
      <w:r w:rsidRPr="009A4DCA">
        <w:t>Source: Table 3.9.3, p126 of the submission; ‘ABRYSVO_Older Adults_CEA_July’</w:t>
      </w:r>
      <w:r w:rsidRPr="009A4DCA">
        <w:rPr>
          <w:i/>
          <w:iCs/>
        </w:rPr>
        <w:t xml:space="preserve"> </w:t>
      </w:r>
      <w:r w:rsidRPr="009A4DCA">
        <w:t>spreadsheet</w:t>
      </w:r>
      <w:r w:rsidR="00A06A75" w:rsidRPr="009A4DCA">
        <w:t>, with additional analyses performed during the evaluation</w:t>
      </w:r>
      <w:r w:rsidRPr="009A4DCA">
        <w:t>.</w:t>
      </w:r>
    </w:p>
    <w:p w14:paraId="53504DD7" w14:textId="2EB99152" w:rsidR="00E96F43" w:rsidRDefault="00C971D9" w:rsidP="002501F0">
      <w:pPr>
        <w:pStyle w:val="FooterTableFigure"/>
        <w:keepNext/>
        <w:keepLines/>
        <w:spacing w:after="0"/>
      </w:pPr>
      <w:r w:rsidRPr="009A4DCA">
        <w:t>AIHW = Australian Institute of Health and Welfare; CEA = cost effectiveness analysis; CI = confidence interval; ICER = incremental cost-effectiveness; Incr = incremental; QALY = quality-adjusted life year; SA = sensitivity analysis.</w:t>
      </w:r>
    </w:p>
    <w:p w14:paraId="12943CF5" w14:textId="77777777" w:rsidR="002501F0" w:rsidRPr="009A6D58" w:rsidRDefault="002501F0" w:rsidP="002501F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BF34DA2" w14:textId="54167DC4" w:rsidR="002501F0" w:rsidRPr="009A6D58" w:rsidRDefault="002501F0" w:rsidP="002501F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C700FC" w:rsidRPr="00C700FC">
        <w:rPr>
          <w:rFonts w:ascii="Arial Narrow" w:hAnsi="Arial Narrow"/>
          <w:i/>
          <w:sz w:val="18"/>
          <w:szCs w:val="18"/>
        </w:rPr>
        <w:t>$15,000 to &lt; $25,000</w:t>
      </w:r>
    </w:p>
    <w:p w14:paraId="1FF61665" w14:textId="2816D5A9" w:rsidR="002501F0" w:rsidRPr="009A6D58" w:rsidRDefault="002501F0" w:rsidP="003B2E17">
      <w:pPr>
        <w:tabs>
          <w:tab w:val="left" w:pos="714"/>
        </w:tab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3B2E17" w:rsidRPr="003B2E17">
        <w:rPr>
          <w:rFonts w:ascii="Arial Narrow" w:hAnsi="Arial Narrow"/>
          <w:i/>
          <w:sz w:val="18"/>
          <w:szCs w:val="18"/>
        </w:rPr>
        <w:t>$35,000 to &lt; $45,000</w:t>
      </w:r>
    </w:p>
    <w:p w14:paraId="3EC5F2AA" w14:textId="7311252F" w:rsidR="002501F0" w:rsidRDefault="002501F0" w:rsidP="002501F0">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0192A" w:rsidRPr="0070192A">
        <w:rPr>
          <w:rFonts w:ascii="Arial Narrow" w:hAnsi="Arial Narrow"/>
          <w:i/>
          <w:sz w:val="18"/>
          <w:szCs w:val="18"/>
        </w:rPr>
        <w:t>$55,000 to &lt; $75,000</w:t>
      </w:r>
    </w:p>
    <w:p w14:paraId="51F7F2AF" w14:textId="08FA11F4" w:rsidR="00EA2387" w:rsidRDefault="002501F0" w:rsidP="002501F0">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A2387" w:rsidRPr="00EA2387">
        <w:rPr>
          <w:rFonts w:ascii="Arial Narrow" w:hAnsi="Arial Narrow"/>
          <w:i/>
          <w:sz w:val="18"/>
          <w:szCs w:val="18"/>
        </w:rPr>
        <w:t>$45,000 to &lt; $55,000</w:t>
      </w:r>
    </w:p>
    <w:p w14:paraId="11B1D867" w14:textId="4DA33482" w:rsidR="002501F0" w:rsidRPr="009A4DCA" w:rsidRDefault="002501F0" w:rsidP="00BA0411">
      <w:pPr>
        <w:spacing w:after="120"/>
      </w:pPr>
      <w:r>
        <w:rPr>
          <w:rFonts w:ascii="Arial Narrow" w:hAnsi="Arial Narrow"/>
          <w:i/>
          <w:sz w:val="18"/>
          <w:szCs w:val="18"/>
          <w:vertAlign w:val="superscript"/>
        </w:rPr>
        <w:t>5</w:t>
      </w:r>
      <w:r>
        <w:rPr>
          <w:rFonts w:ascii="Arial Narrow" w:hAnsi="Arial Narrow"/>
          <w:i/>
          <w:sz w:val="18"/>
          <w:szCs w:val="18"/>
        </w:rPr>
        <w:t xml:space="preserve"> </w:t>
      </w:r>
      <w:r w:rsidR="00BA0411" w:rsidRPr="00BA0411">
        <w:rPr>
          <w:rFonts w:ascii="Arial Narrow" w:hAnsi="Arial Narrow"/>
          <w:i/>
          <w:sz w:val="18"/>
          <w:szCs w:val="18"/>
        </w:rPr>
        <w:t>$25,000 to &lt; $35,000</w:t>
      </w:r>
    </w:p>
    <w:p w14:paraId="54CFC872" w14:textId="66767EE8" w:rsidR="00A06A75" w:rsidRPr="009A4DCA" w:rsidRDefault="00A06A75" w:rsidP="00A06A75">
      <w:pPr>
        <w:pStyle w:val="3-BodyText"/>
        <w:numPr>
          <w:ilvl w:val="1"/>
          <w:numId w:val="1"/>
        </w:numPr>
      </w:pPr>
      <w:r w:rsidRPr="009A4DCA">
        <w:t xml:space="preserve">The results of key univariate sensitivity analyses for the population of Aboriginal and Torres Strait Islander people aged 60 to 74 years are summarised in </w:t>
      </w:r>
      <w:r w:rsidRPr="009A4DCA">
        <w:fldChar w:fldCharType="begin"/>
      </w:r>
      <w:r w:rsidRPr="009A4DCA">
        <w:instrText xml:space="preserve"> REF _Ref177428181 \h </w:instrText>
      </w:r>
      <w:r w:rsidRPr="009A4DCA">
        <w:fldChar w:fldCharType="separate"/>
      </w:r>
      <w:r w:rsidR="007B2F50" w:rsidRPr="009A4DCA">
        <w:t xml:space="preserve">Table </w:t>
      </w:r>
      <w:r w:rsidR="007B2F50">
        <w:rPr>
          <w:noProof/>
        </w:rPr>
        <w:t>19</w:t>
      </w:r>
      <w:r w:rsidRPr="009A4DCA">
        <w:fldChar w:fldCharType="end"/>
      </w:r>
      <w:r w:rsidRPr="009A4DCA">
        <w:t xml:space="preserve">. </w:t>
      </w:r>
    </w:p>
    <w:p w14:paraId="4249A0FE" w14:textId="1DC21CA9" w:rsidR="00A06A75" w:rsidRPr="009A4DCA" w:rsidRDefault="00A06A75" w:rsidP="00A06A75">
      <w:pPr>
        <w:pStyle w:val="Caption"/>
        <w:rPr>
          <w:color w:val="000000"/>
          <w:szCs w:val="20"/>
        </w:rPr>
      </w:pPr>
      <w:bookmarkStart w:id="79" w:name="_Ref177428181"/>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19</w:t>
      </w:r>
      <w:r w:rsidR="00491347">
        <w:fldChar w:fldCharType="end"/>
      </w:r>
      <w:bookmarkEnd w:id="79"/>
      <w:r w:rsidRPr="009A4DCA">
        <w:t>:</w:t>
      </w:r>
      <w:r w:rsidRPr="009A4DCA">
        <w:rPr>
          <w:rStyle w:val="CommentReference"/>
          <w:b/>
          <w:szCs w:val="24"/>
        </w:rPr>
        <w:t xml:space="preserve"> Sensitivity analyses for population: </w:t>
      </w:r>
      <w:r w:rsidRPr="009A4DCA">
        <w:rPr>
          <w:color w:val="000000"/>
          <w:szCs w:val="20"/>
        </w:rPr>
        <w:t>Aboriginal and Torres Strait Islander people aged 60 to 74 years</w:t>
      </w:r>
    </w:p>
    <w:tbl>
      <w:tblPr>
        <w:tblStyle w:val="PBACtable10"/>
        <w:tblW w:w="5000" w:type="pct"/>
        <w:shd w:val="clear" w:color="auto" w:fill="FFFFFF" w:themeFill="background1"/>
        <w:tblLayout w:type="fixed"/>
        <w:tblLook w:val="04A0" w:firstRow="1" w:lastRow="0" w:firstColumn="1" w:lastColumn="0" w:noHBand="0" w:noVBand="1"/>
      </w:tblPr>
      <w:tblGrid>
        <w:gridCol w:w="711"/>
        <w:gridCol w:w="3293"/>
        <w:gridCol w:w="1289"/>
        <w:gridCol w:w="1146"/>
        <w:gridCol w:w="1289"/>
        <w:gridCol w:w="1289"/>
      </w:tblGrid>
      <w:tr w:rsidR="00A06A75" w:rsidRPr="009A4DCA" w14:paraId="513648AD" w14:textId="77777777" w:rsidTr="00B2154A">
        <w:trPr>
          <w:tblHeader/>
        </w:trPr>
        <w:tc>
          <w:tcPr>
            <w:tcW w:w="4004" w:type="dxa"/>
            <w:gridSpan w:val="2"/>
            <w:shd w:val="clear" w:color="auto" w:fill="FFFFFF" w:themeFill="background1"/>
            <w:vAlign w:val="center"/>
          </w:tcPr>
          <w:p w14:paraId="1DB2197A" w14:textId="77777777" w:rsidR="00A06A75" w:rsidRPr="009A4DCA" w:rsidRDefault="00A06A75" w:rsidP="008C1CDB">
            <w:pPr>
              <w:keepNext/>
              <w:keepLines/>
              <w:jc w:val="left"/>
              <w:rPr>
                <w:rFonts w:ascii="Arial Narrow" w:hAnsi="Arial Narrow"/>
                <w:b/>
                <w:color w:val="000000"/>
                <w:sz w:val="20"/>
                <w:szCs w:val="20"/>
              </w:rPr>
            </w:pPr>
            <w:r w:rsidRPr="009A4DCA">
              <w:rPr>
                <w:rFonts w:ascii="Arial Narrow" w:hAnsi="Arial Narrow"/>
                <w:b/>
                <w:color w:val="000000"/>
                <w:sz w:val="20"/>
                <w:szCs w:val="20"/>
              </w:rPr>
              <w:t>Sensitivity analyses</w:t>
            </w:r>
          </w:p>
        </w:tc>
        <w:tc>
          <w:tcPr>
            <w:tcW w:w="1289" w:type="dxa"/>
            <w:shd w:val="clear" w:color="auto" w:fill="FFFFFF" w:themeFill="background1"/>
            <w:vAlign w:val="center"/>
          </w:tcPr>
          <w:p w14:paraId="548811B2" w14:textId="77777777" w:rsidR="00A06A75" w:rsidRPr="009A4DCA" w:rsidRDefault="00A06A75" w:rsidP="008C1CDB">
            <w:pPr>
              <w:keepNext/>
              <w:keepLines/>
              <w:jc w:val="center"/>
              <w:rPr>
                <w:rFonts w:ascii="Arial Narrow" w:hAnsi="Arial Narrow"/>
                <w:b/>
                <w:color w:val="000000"/>
                <w:sz w:val="20"/>
                <w:szCs w:val="20"/>
              </w:rPr>
            </w:pPr>
            <w:r w:rsidRPr="009A4DCA">
              <w:rPr>
                <w:rFonts w:ascii="Arial Narrow" w:hAnsi="Arial Narrow"/>
                <w:b/>
                <w:color w:val="000000"/>
                <w:sz w:val="20"/>
                <w:szCs w:val="20"/>
              </w:rPr>
              <w:t>Incr costs</w:t>
            </w:r>
          </w:p>
        </w:tc>
        <w:tc>
          <w:tcPr>
            <w:tcW w:w="1146" w:type="dxa"/>
            <w:shd w:val="clear" w:color="auto" w:fill="FFFFFF" w:themeFill="background1"/>
            <w:vAlign w:val="center"/>
          </w:tcPr>
          <w:p w14:paraId="031BB23C" w14:textId="77777777" w:rsidR="00A06A75" w:rsidRPr="009A4DCA" w:rsidRDefault="00A06A75" w:rsidP="008C1CDB">
            <w:pPr>
              <w:keepNext/>
              <w:keepLines/>
              <w:jc w:val="center"/>
              <w:rPr>
                <w:rFonts w:ascii="Arial Narrow" w:hAnsi="Arial Narrow"/>
                <w:b/>
                <w:color w:val="000000"/>
                <w:sz w:val="20"/>
                <w:szCs w:val="20"/>
              </w:rPr>
            </w:pPr>
            <w:r w:rsidRPr="009A4DCA">
              <w:rPr>
                <w:rFonts w:ascii="Arial Narrow" w:hAnsi="Arial Narrow"/>
                <w:b/>
                <w:color w:val="000000"/>
                <w:sz w:val="20"/>
                <w:szCs w:val="20"/>
              </w:rPr>
              <w:t>Incr QALYs</w:t>
            </w:r>
          </w:p>
        </w:tc>
        <w:tc>
          <w:tcPr>
            <w:tcW w:w="1289" w:type="dxa"/>
            <w:shd w:val="clear" w:color="auto" w:fill="FFFFFF" w:themeFill="background1"/>
            <w:vAlign w:val="center"/>
          </w:tcPr>
          <w:p w14:paraId="58914FBC" w14:textId="77777777" w:rsidR="00A06A75" w:rsidRPr="009A4DCA" w:rsidRDefault="00A06A75" w:rsidP="008C1CDB">
            <w:pPr>
              <w:keepNext/>
              <w:keepLines/>
              <w:jc w:val="center"/>
              <w:rPr>
                <w:rFonts w:ascii="Arial Narrow" w:hAnsi="Arial Narrow"/>
                <w:b/>
                <w:color w:val="000000"/>
                <w:sz w:val="20"/>
                <w:szCs w:val="20"/>
              </w:rPr>
            </w:pPr>
            <w:r w:rsidRPr="009A4DCA">
              <w:rPr>
                <w:rFonts w:ascii="Arial Narrow" w:hAnsi="Arial Narrow"/>
                <w:b/>
                <w:color w:val="000000"/>
                <w:sz w:val="20"/>
                <w:szCs w:val="20"/>
              </w:rPr>
              <w:t>ICER</w:t>
            </w:r>
          </w:p>
        </w:tc>
        <w:tc>
          <w:tcPr>
            <w:tcW w:w="1289" w:type="dxa"/>
            <w:shd w:val="clear" w:color="auto" w:fill="FFFFFF" w:themeFill="background1"/>
            <w:vAlign w:val="center"/>
          </w:tcPr>
          <w:p w14:paraId="59ACB205" w14:textId="77777777" w:rsidR="00A06A75" w:rsidRPr="009A4DCA" w:rsidRDefault="00A06A75" w:rsidP="008C1CDB">
            <w:pPr>
              <w:keepNext/>
              <w:keepLines/>
              <w:ind w:left="-57" w:right="-57"/>
              <w:jc w:val="center"/>
              <w:rPr>
                <w:rFonts w:ascii="Arial Narrow" w:hAnsi="Arial Narrow"/>
                <w:b/>
                <w:color w:val="000000"/>
                <w:sz w:val="20"/>
                <w:szCs w:val="20"/>
              </w:rPr>
            </w:pPr>
            <w:r w:rsidRPr="009A4DCA">
              <w:rPr>
                <w:rFonts w:ascii="Arial Narrow" w:hAnsi="Arial Narrow"/>
                <w:b/>
                <w:color w:val="000000"/>
                <w:sz w:val="20"/>
                <w:szCs w:val="20"/>
              </w:rPr>
              <w:t>% change from base case</w:t>
            </w:r>
          </w:p>
        </w:tc>
      </w:tr>
      <w:tr w:rsidR="00A06A75" w:rsidRPr="009A4DCA" w14:paraId="6DCE6DFF" w14:textId="77777777" w:rsidTr="00B2154A">
        <w:tc>
          <w:tcPr>
            <w:tcW w:w="4004" w:type="dxa"/>
            <w:gridSpan w:val="2"/>
            <w:shd w:val="clear" w:color="auto" w:fill="FFFFFF" w:themeFill="background1"/>
            <w:vAlign w:val="center"/>
          </w:tcPr>
          <w:p w14:paraId="2A8EED0A" w14:textId="77777777" w:rsidR="00A06A75" w:rsidRPr="009A4DCA" w:rsidRDefault="00A06A75" w:rsidP="008C1CDB">
            <w:pPr>
              <w:pStyle w:val="TableFigureHeading"/>
              <w:keepLines/>
              <w:rPr>
                <w:sz w:val="20"/>
              </w:rPr>
            </w:pPr>
            <w:r w:rsidRPr="009A4DCA">
              <w:rPr>
                <w:color w:val="000000"/>
                <w:sz w:val="20"/>
                <w:szCs w:val="20"/>
              </w:rPr>
              <w:t>Base case (discounted) –Aboriginal and Torres Strait Islander adults aged 60 to 74 years</w:t>
            </w:r>
          </w:p>
        </w:tc>
        <w:tc>
          <w:tcPr>
            <w:tcW w:w="1289" w:type="dxa"/>
            <w:shd w:val="clear" w:color="auto" w:fill="FFFFFF" w:themeFill="background1"/>
            <w:vAlign w:val="center"/>
          </w:tcPr>
          <w:p w14:paraId="48286A74" w14:textId="55D19EF6" w:rsidR="00A06A75" w:rsidRPr="009A4DCA" w:rsidRDefault="00A06A75" w:rsidP="008C1CDB">
            <w:pPr>
              <w:keepNext/>
              <w:keepLines/>
              <w:jc w:val="center"/>
              <w:rPr>
                <w:rFonts w:ascii="Arial Narrow" w:hAnsi="Arial Narrow"/>
                <w:b/>
                <w:color w:val="000000"/>
                <w:sz w:val="20"/>
                <w:szCs w:val="20"/>
              </w:rPr>
            </w:pPr>
            <w:r w:rsidRPr="009A4DCA">
              <w:rPr>
                <w:rFonts w:ascii="Arial Narrow" w:hAnsi="Arial Narrow"/>
                <w:b/>
                <w:color w:val="000000"/>
                <w:sz w:val="20"/>
                <w:szCs w:val="20"/>
              </w:rPr>
              <w:t>$</w:t>
            </w:r>
            <w:r w:rsidR="00E44A34" w:rsidRPr="00E44A34">
              <w:rPr>
                <w:rFonts w:ascii="Arial Narrow" w:hAnsi="Arial Narrow" w:hint="eastAsia"/>
                <w:b/>
                <w:color w:val="000000"/>
                <w:w w:val="20"/>
                <w:sz w:val="20"/>
                <w:szCs w:val="20"/>
                <w:shd w:val="solid" w:color="000000" w:fill="000000"/>
                <w:fitText w:val="93" w:id="-762047475"/>
                <w14:textFill>
                  <w14:solidFill>
                    <w14:srgbClr w14:val="000000">
                      <w14:alpha w14:val="100000"/>
                    </w14:srgbClr>
                  </w14:solidFill>
                </w14:textFill>
              </w:rPr>
              <w:t xml:space="preserve">　</w:t>
            </w:r>
            <w:r w:rsidR="00E44A34" w:rsidRPr="00E44A34">
              <w:rPr>
                <w:rFonts w:ascii="Arial Narrow" w:hAnsi="Arial Narrow"/>
                <w:b/>
                <w:color w:val="000000"/>
                <w:w w:val="20"/>
                <w:sz w:val="20"/>
                <w:szCs w:val="20"/>
                <w:shd w:val="solid" w:color="000000" w:fill="000000"/>
                <w:fitText w:val="93" w:id="-762047475"/>
                <w14:textFill>
                  <w14:solidFill>
                    <w14:srgbClr w14:val="000000">
                      <w14:alpha w14:val="100000"/>
                    </w14:srgbClr>
                  </w14:solidFill>
                </w14:textFill>
              </w:rPr>
              <w:t>|</w:t>
            </w:r>
            <w:r w:rsidR="00E44A34" w:rsidRPr="00E44A34">
              <w:rPr>
                <w:rFonts w:ascii="Arial Narrow" w:hAnsi="Arial Narrow" w:hint="eastAsia"/>
                <w:b/>
                <w:color w:val="000000"/>
                <w:w w:val="20"/>
                <w:sz w:val="20"/>
                <w:szCs w:val="20"/>
                <w:shd w:val="solid" w:color="000000" w:fill="000000"/>
                <w:fitText w:val="93" w:id="-762047475"/>
                <w14:textFill>
                  <w14:solidFill>
                    <w14:srgbClr w14:val="000000">
                      <w14:alpha w14:val="100000"/>
                    </w14:srgbClr>
                  </w14:solidFill>
                </w14:textFill>
              </w:rPr>
              <w:t xml:space="preserve">　</w:t>
            </w:r>
          </w:p>
        </w:tc>
        <w:tc>
          <w:tcPr>
            <w:tcW w:w="1146" w:type="dxa"/>
            <w:shd w:val="clear" w:color="auto" w:fill="FFFFFF" w:themeFill="background1"/>
            <w:vAlign w:val="center"/>
          </w:tcPr>
          <w:p w14:paraId="5188CB77" w14:textId="77777777" w:rsidR="00A06A75" w:rsidRPr="009A4DCA" w:rsidRDefault="00A06A75" w:rsidP="008C1CDB">
            <w:pPr>
              <w:keepNext/>
              <w:keepLines/>
              <w:jc w:val="center"/>
              <w:rPr>
                <w:rFonts w:ascii="Arial Narrow" w:hAnsi="Arial Narrow"/>
                <w:b/>
                <w:color w:val="000000"/>
                <w:sz w:val="20"/>
                <w:szCs w:val="20"/>
              </w:rPr>
            </w:pPr>
            <w:r w:rsidRPr="009A4DCA">
              <w:rPr>
                <w:rFonts w:ascii="Arial Narrow" w:hAnsi="Arial Narrow"/>
                <w:b/>
                <w:color w:val="000000"/>
                <w:sz w:val="20"/>
                <w:szCs w:val="20"/>
              </w:rPr>
              <w:t>0.010</w:t>
            </w:r>
          </w:p>
        </w:tc>
        <w:tc>
          <w:tcPr>
            <w:tcW w:w="1289" w:type="dxa"/>
            <w:shd w:val="clear" w:color="auto" w:fill="FFFFFF" w:themeFill="background1"/>
            <w:vAlign w:val="center"/>
          </w:tcPr>
          <w:p w14:paraId="07F28095" w14:textId="41D9D26C" w:rsidR="00A06A75" w:rsidRPr="00BA0411" w:rsidRDefault="00A06A75" w:rsidP="008C1CDB">
            <w:pPr>
              <w:keepNext/>
              <w:keepLines/>
              <w:jc w:val="center"/>
              <w:rPr>
                <w:rFonts w:ascii="Arial Narrow" w:hAnsi="Arial Narrow"/>
                <w:b/>
                <w:color w:val="000000"/>
                <w:sz w:val="20"/>
                <w:szCs w:val="20"/>
                <w:vertAlign w:val="superscript"/>
              </w:rPr>
            </w:pPr>
            <w:r w:rsidRPr="009A4DCA">
              <w:rPr>
                <w:rFonts w:ascii="Arial Narrow" w:hAnsi="Arial Narrow"/>
                <w:b/>
                <w:color w:val="000000"/>
                <w:sz w:val="20"/>
                <w:szCs w:val="20"/>
              </w:rPr>
              <w:t>$</w:t>
            </w:r>
            <w:r w:rsidR="00E44A34" w:rsidRPr="00E44A34">
              <w:rPr>
                <w:rFonts w:ascii="Arial Narrow" w:hAnsi="Arial Narrow" w:hint="eastAsia"/>
                <w:b/>
                <w:color w:val="000000"/>
                <w:w w:val="32"/>
                <w:sz w:val="20"/>
                <w:szCs w:val="20"/>
                <w:shd w:val="solid" w:color="000000" w:fill="000000"/>
                <w:fitText w:val="147" w:id="-762047474"/>
                <w14:textFill>
                  <w14:solidFill>
                    <w14:srgbClr w14:val="000000">
                      <w14:alpha w14:val="100000"/>
                    </w14:srgbClr>
                  </w14:solidFill>
                </w14:textFill>
              </w:rPr>
              <w:t xml:space="preserve">　</w:t>
            </w:r>
            <w:r w:rsidR="00E44A34" w:rsidRPr="00E44A34">
              <w:rPr>
                <w:rFonts w:ascii="Arial Narrow" w:hAnsi="Arial Narrow"/>
                <w:b/>
                <w:color w:val="000000"/>
                <w:w w:val="32"/>
                <w:sz w:val="20"/>
                <w:szCs w:val="20"/>
                <w:shd w:val="solid" w:color="000000" w:fill="000000"/>
                <w:fitText w:val="147" w:id="-762047474"/>
                <w14:textFill>
                  <w14:solidFill>
                    <w14:srgbClr w14:val="000000">
                      <w14:alpha w14:val="100000"/>
                    </w14:srgbClr>
                  </w14:solidFill>
                </w14:textFill>
              </w:rPr>
              <w:t>|</w:t>
            </w:r>
            <w:r w:rsidR="00E44A34" w:rsidRPr="00E44A34">
              <w:rPr>
                <w:rFonts w:ascii="Arial Narrow" w:hAnsi="Arial Narrow" w:hint="eastAsia"/>
                <w:b/>
                <w:color w:val="000000"/>
                <w:w w:val="32"/>
                <w:sz w:val="20"/>
                <w:szCs w:val="20"/>
                <w:shd w:val="solid" w:color="000000" w:fill="000000"/>
                <w:fitText w:val="147" w:id="-762047474"/>
                <w14:textFill>
                  <w14:solidFill>
                    <w14:srgbClr w14:val="000000">
                      <w14:alpha w14:val="100000"/>
                    </w14:srgbClr>
                  </w14:solidFill>
                </w14:textFill>
              </w:rPr>
              <w:t xml:space="preserve">　</w:t>
            </w:r>
            <w:r w:rsidR="00BA0411">
              <w:rPr>
                <w:rFonts w:ascii="Arial Narrow" w:hAnsi="Arial Narrow"/>
                <w:b/>
                <w:color w:val="000000"/>
                <w:sz w:val="20"/>
                <w:szCs w:val="20"/>
              </w:rPr>
              <w:t xml:space="preserve"> </w:t>
            </w:r>
            <w:r w:rsidR="00BA0411">
              <w:rPr>
                <w:rFonts w:ascii="Arial Narrow" w:hAnsi="Arial Narrow"/>
                <w:b/>
                <w:color w:val="000000"/>
                <w:sz w:val="20"/>
                <w:szCs w:val="20"/>
                <w:vertAlign w:val="superscript"/>
              </w:rPr>
              <w:t>1</w:t>
            </w:r>
          </w:p>
        </w:tc>
        <w:tc>
          <w:tcPr>
            <w:tcW w:w="1289" w:type="dxa"/>
            <w:shd w:val="clear" w:color="auto" w:fill="FFFFFF" w:themeFill="background1"/>
            <w:vAlign w:val="center"/>
          </w:tcPr>
          <w:p w14:paraId="7D3B7A44" w14:textId="77777777" w:rsidR="00A06A75" w:rsidRPr="009A4DCA" w:rsidRDefault="00A06A75" w:rsidP="008C1CDB">
            <w:pPr>
              <w:keepNext/>
              <w:keepLines/>
              <w:jc w:val="center"/>
              <w:rPr>
                <w:rFonts w:ascii="Arial Narrow" w:hAnsi="Arial Narrow"/>
                <w:b/>
                <w:color w:val="000000"/>
                <w:sz w:val="20"/>
                <w:szCs w:val="20"/>
              </w:rPr>
            </w:pPr>
            <w:r w:rsidRPr="009A4DCA">
              <w:rPr>
                <w:rFonts w:ascii="Arial Narrow" w:hAnsi="Arial Narrow"/>
                <w:b/>
                <w:color w:val="000000"/>
                <w:sz w:val="20"/>
                <w:szCs w:val="20"/>
              </w:rPr>
              <w:t>–</w:t>
            </w:r>
          </w:p>
        </w:tc>
      </w:tr>
      <w:tr w:rsidR="001535DA" w:rsidRPr="009A4DCA" w14:paraId="5519F7AA" w14:textId="77777777" w:rsidTr="00B2154A">
        <w:tc>
          <w:tcPr>
            <w:tcW w:w="9017" w:type="dxa"/>
            <w:gridSpan w:val="6"/>
            <w:shd w:val="clear" w:color="auto" w:fill="FFFFFF" w:themeFill="background1"/>
            <w:vAlign w:val="center"/>
          </w:tcPr>
          <w:p w14:paraId="235ED409" w14:textId="77777777" w:rsidR="00A06A75" w:rsidRPr="009A4DCA" w:rsidRDefault="00A06A75" w:rsidP="008C1CDB">
            <w:pPr>
              <w:keepNext/>
              <w:keepLines/>
              <w:jc w:val="left"/>
              <w:rPr>
                <w:rFonts w:ascii="Arial Narrow" w:hAnsi="Arial Narrow"/>
                <w:b/>
                <w:color w:val="000000"/>
                <w:sz w:val="20"/>
                <w:szCs w:val="20"/>
              </w:rPr>
            </w:pPr>
            <w:r w:rsidRPr="009A4DCA">
              <w:rPr>
                <w:rFonts w:ascii="Arial Narrow" w:hAnsi="Arial Narrow"/>
                <w:b/>
                <w:color w:val="000000"/>
                <w:sz w:val="20"/>
                <w:szCs w:val="20"/>
              </w:rPr>
              <w:t>Maximum age/time horizon (base case: 100 years of age)</w:t>
            </w:r>
          </w:p>
        </w:tc>
      </w:tr>
      <w:tr w:rsidR="00AD6F0B" w:rsidRPr="009A4DCA" w14:paraId="7A0C80FD" w14:textId="77777777" w:rsidTr="00B2154A">
        <w:tc>
          <w:tcPr>
            <w:tcW w:w="711" w:type="dxa"/>
            <w:shd w:val="clear" w:color="auto" w:fill="FFFFFF" w:themeFill="background1"/>
            <w:vAlign w:val="center"/>
          </w:tcPr>
          <w:p w14:paraId="7E8A816D" w14:textId="77777777" w:rsidR="00A06A75" w:rsidRPr="009A4DCA" w:rsidRDefault="00A06A75" w:rsidP="008C1CDB">
            <w:pPr>
              <w:keepNext/>
              <w:keepLines/>
              <w:jc w:val="left"/>
              <w:rPr>
                <w:rFonts w:ascii="Arial Narrow" w:hAnsi="Arial Narrow"/>
                <w:sz w:val="20"/>
                <w:szCs w:val="20"/>
              </w:rPr>
            </w:pPr>
            <w:r w:rsidRPr="009A4DCA">
              <w:rPr>
                <w:rFonts w:ascii="Arial Narrow" w:hAnsi="Arial Narrow"/>
                <w:sz w:val="20"/>
                <w:szCs w:val="20"/>
              </w:rPr>
              <w:t>SA.1</w:t>
            </w:r>
          </w:p>
        </w:tc>
        <w:tc>
          <w:tcPr>
            <w:tcW w:w="3293" w:type="dxa"/>
            <w:shd w:val="clear" w:color="auto" w:fill="FFFFFF" w:themeFill="background1"/>
            <w:vAlign w:val="center"/>
          </w:tcPr>
          <w:p w14:paraId="2294380C" w14:textId="77777777" w:rsidR="00A06A75" w:rsidRPr="009A4DCA" w:rsidRDefault="00A06A75" w:rsidP="008C1CDB">
            <w:pPr>
              <w:keepNext/>
              <w:keepLines/>
              <w:jc w:val="left"/>
              <w:rPr>
                <w:rFonts w:ascii="Arial Narrow" w:hAnsi="Arial Narrow"/>
                <w:sz w:val="20"/>
                <w:szCs w:val="20"/>
              </w:rPr>
            </w:pPr>
            <w:r w:rsidRPr="009A4DCA">
              <w:rPr>
                <w:rFonts w:ascii="Arial Narrow" w:hAnsi="Arial Narrow"/>
                <w:sz w:val="20"/>
                <w:szCs w:val="20"/>
              </w:rPr>
              <w:t>Age 90 (low value)</w:t>
            </w:r>
          </w:p>
        </w:tc>
        <w:tc>
          <w:tcPr>
            <w:tcW w:w="1289" w:type="dxa"/>
            <w:shd w:val="clear" w:color="auto" w:fill="FFFFFF" w:themeFill="background1"/>
            <w:vAlign w:val="center"/>
          </w:tcPr>
          <w:p w14:paraId="2B36EB2B" w14:textId="7B9B13A5"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3"/>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3"/>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3"/>
                <w14:textFill>
                  <w14:solidFill>
                    <w14:srgbClr w14:val="000000">
                      <w14:alpha w14:val="100000"/>
                    </w14:srgbClr>
                  </w14:solidFill>
                </w14:textFill>
              </w:rPr>
              <w:t xml:space="preserve">　</w:t>
            </w:r>
          </w:p>
        </w:tc>
        <w:tc>
          <w:tcPr>
            <w:tcW w:w="1146" w:type="dxa"/>
            <w:shd w:val="clear" w:color="auto" w:fill="FFFFFF" w:themeFill="background1"/>
            <w:vAlign w:val="center"/>
          </w:tcPr>
          <w:p w14:paraId="74E89D0C" w14:textId="77777777"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0.0090</w:t>
            </w:r>
          </w:p>
        </w:tc>
        <w:tc>
          <w:tcPr>
            <w:tcW w:w="1289" w:type="dxa"/>
            <w:shd w:val="clear" w:color="auto" w:fill="FFFFFF" w:themeFill="background1"/>
            <w:vAlign w:val="center"/>
          </w:tcPr>
          <w:p w14:paraId="1ADDB9B1" w14:textId="69F12735"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2"/>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2"/>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72"/>
                <w14:textFill>
                  <w14:solidFill>
                    <w14:srgbClr w14:val="000000">
                      <w14:alpha w14:val="100000"/>
                    </w14:srgbClr>
                  </w14:solidFill>
                </w14:textFill>
              </w:rPr>
              <w:t xml:space="preserve">　</w:t>
            </w:r>
            <w:r w:rsidR="00BA0411">
              <w:rPr>
                <w:rFonts w:ascii="Arial Narrow" w:hAnsi="Arial Narrow"/>
                <w:b/>
                <w:color w:val="000000"/>
                <w:sz w:val="20"/>
                <w:szCs w:val="20"/>
              </w:rPr>
              <w:t xml:space="preserve"> </w:t>
            </w:r>
            <w:r w:rsidR="00BA0411">
              <w:rPr>
                <w:rFonts w:ascii="Arial Narrow" w:hAnsi="Arial Narrow"/>
                <w:b/>
                <w:color w:val="000000"/>
                <w:sz w:val="20"/>
                <w:szCs w:val="20"/>
                <w:vertAlign w:val="superscript"/>
              </w:rPr>
              <w:t>1</w:t>
            </w:r>
          </w:p>
        </w:tc>
        <w:tc>
          <w:tcPr>
            <w:tcW w:w="1289" w:type="dxa"/>
            <w:shd w:val="clear" w:color="auto" w:fill="FFFFFF" w:themeFill="background1"/>
            <w:vAlign w:val="center"/>
          </w:tcPr>
          <w:p w14:paraId="4729772B" w14:textId="127FD24E"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88"/>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8"/>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8"/>
                <w14:textFill>
                  <w14:solidFill>
                    <w14:srgbClr w14:val="000000">
                      <w14:alpha w14:val="100000"/>
                    </w14:srgbClr>
                  </w14:solidFill>
                </w14:textFill>
              </w:rPr>
              <w:t xml:space="preserve">　</w:t>
            </w:r>
            <w:r w:rsidRPr="009A4DCA">
              <w:rPr>
                <w:rFonts w:ascii="Arial Narrow" w:hAnsi="Arial Narrow"/>
                <w:sz w:val="20"/>
                <w:szCs w:val="20"/>
              </w:rPr>
              <w:t>%</w:t>
            </w:r>
          </w:p>
        </w:tc>
      </w:tr>
      <w:tr w:rsidR="00AD6F0B" w:rsidRPr="009A4DCA" w14:paraId="62DDF128" w14:textId="77777777" w:rsidTr="00B2154A">
        <w:tc>
          <w:tcPr>
            <w:tcW w:w="711" w:type="dxa"/>
            <w:shd w:val="clear" w:color="auto" w:fill="FFFFFF" w:themeFill="background1"/>
            <w:vAlign w:val="center"/>
          </w:tcPr>
          <w:p w14:paraId="5E160917" w14:textId="6AA477FB" w:rsidR="00A06A75" w:rsidRPr="009A4DCA" w:rsidRDefault="00A06A75" w:rsidP="008C1CDB">
            <w:pPr>
              <w:keepNext/>
              <w:keepLines/>
              <w:jc w:val="left"/>
              <w:rPr>
                <w:rFonts w:ascii="Arial Narrow" w:hAnsi="Arial Narrow"/>
                <w:sz w:val="20"/>
                <w:szCs w:val="20"/>
              </w:rPr>
            </w:pPr>
            <w:r w:rsidRPr="009A4DCA">
              <w:rPr>
                <w:rFonts w:ascii="Arial Narrow" w:hAnsi="Arial Narrow"/>
                <w:sz w:val="20"/>
                <w:szCs w:val="20"/>
              </w:rPr>
              <w:t>SA.</w:t>
            </w:r>
            <w:r w:rsidR="00E96F43" w:rsidRPr="009A4DCA">
              <w:rPr>
                <w:rFonts w:ascii="Arial Narrow" w:hAnsi="Arial Narrow"/>
                <w:sz w:val="20"/>
                <w:szCs w:val="20"/>
              </w:rPr>
              <w:t>2</w:t>
            </w:r>
          </w:p>
        </w:tc>
        <w:tc>
          <w:tcPr>
            <w:tcW w:w="3293" w:type="dxa"/>
            <w:shd w:val="clear" w:color="auto" w:fill="FFFFFF" w:themeFill="background1"/>
            <w:vAlign w:val="center"/>
          </w:tcPr>
          <w:p w14:paraId="0E679026" w14:textId="429BBC70"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color w:val="000000"/>
                <w:sz w:val="20"/>
                <w:szCs w:val="20"/>
              </w:rPr>
              <w:t>4 years</w:t>
            </w:r>
          </w:p>
        </w:tc>
        <w:tc>
          <w:tcPr>
            <w:tcW w:w="1289" w:type="dxa"/>
            <w:shd w:val="clear" w:color="auto" w:fill="FFFFFF" w:themeFill="background1"/>
            <w:vAlign w:val="center"/>
          </w:tcPr>
          <w:p w14:paraId="3611BEA6" w14:textId="07CB8D0F"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7"/>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7"/>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7"/>
                <w14:textFill>
                  <w14:solidFill>
                    <w14:srgbClr w14:val="000000">
                      <w14:alpha w14:val="100000"/>
                    </w14:srgbClr>
                  </w14:solidFill>
                </w14:textFill>
              </w:rPr>
              <w:t xml:space="preserve">　</w:t>
            </w:r>
          </w:p>
        </w:tc>
        <w:tc>
          <w:tcPr>
            <w:tcW w:w="1146" w:type="dxa"/>
            <w:shd w:val="clear" w:color="auto" w:fill="FFFFFF" w:themeFill="background1"/>
            <w:vAlign w:val="center"/>
          </w:tcPr>
          <w:p w14:paraId="61CBACA9" w14:textId="77777777"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0.0025</w:t>
            </w:r>
          </w:p>
        </w:tc>
        <w:tc>
          <w:tcPr>
            <w:tcW w:w="1289" w:type="dxa"/>
            <w:shd w:val="clear" w:color="auto" w:fill="FFFFFF" w:themeFill="background1"/>
            <w:vAlign w:val="center"/>
          </w:tcPr>
          <w:p w14:paraId="5DABBEBD" w14:textId="28B1E408"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color w:val="000000"/>
                <w:spacing w:val="49"/>
                <w:sz w:val="20"/>
                <w:szCs w:val="20"/>
                <w:shd w:val="solid" w:color="000000" w:fill="000000"/>
                <w:fitText w:val="320" w:id="-762047486"/>
                <w14:textFill>
                  <w14:solidFill>
                    <w14:srgbClr w14:val="000000">
                      <w14:alpha w14:val="100000"/>
                    </w14:srgbClr>
                  </w14:solidFill>
                </w14:textFill>
              </w:rPr>
              <w:t>|||</w:t>
            </w:r>
            <w:r w:rsidR="00E44A34" w:rsidRPr="00E44A34">
              <w:rPr>
                <w:rFonts w:ascii="Arial Narrow" w:hAnsi="Arial Narrow"/>
                <w:color w:val="000000"/>
                <w:spacing w:val="3"/>
                <w:sz w:val="20"/>
                <w:szCs w:val="20"/>
                <w:shd w:val="solid" w:color="000000" w:fill="000000"/>
                <w:fitText w:val="320" w:id="-762047486"/>
                <w14:textFill>
                  <w14:solidFill>
                    <w14:srgbClr w14:val="000000">
                      <w14:alpha w14:val="100000"/>
                    </w14:srgbClr>
                  </w14:solidFill>
                </w14:textFill>
              </w:rPr>
              <w:t>|</w:t>
            </w:r>
            <w:r w:rsidR="002420FD" w:rsidRPr="002420FD">
              <w:rPr>
                <w:rFonts w:ascii="Arial Narrow" w:hAnsi="Arial Narrow"/>
                <w:color w:val="000000"/>
                <w:sz w:val="20"/>
                <w:szCs w:val="20"/>
                <w:vertAlign w:val="superscript"/>
              </w:rPr>
              <w:t>2</w:t>
            </w:r>
          </w:p>
        </w:tc>
        <w:tc>
          <w:tcPr>
            <w:tcW w:w="1289" w:type="dxa"/>
            <w:shd w:val="clear" w:color="auto" w:fill="FFFFFF" w:themeFill="background1"/>
            <w:vAlign w:val="center"/>
          </w:tcPr>
          <w:p w14:paraId="20C12F5B" w14:textId="1C9D842A"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84"/>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4"/>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4"/>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06A75" w:rsidRPr="009A4DCA" w14:paraId="461F40E3" w14:textId="77777777" w:rsidTr="00B2154A">
        <w:tc>
          <w:tcPr>
            <w:tcW w:w="9017" w:type="dxa"/>
            <w:gridSpan w:val="6"/>
            <w:shd w:val="clear" w:color="auto" w:fill="FFFFFF" w:themeFill="background1"/>
            <w:vAlign w:val="center"/>
          </w:tcPr>
          <w:p w14:paraId="1AB252CD" w14:textId="77777777" w:rsidR="00A06A75" w:rsidRPr="009A4DCA" w:rsidRDefault="00A06A75" w:rsidP="008C1CDB">
            <w:pPr>
              <w:keepNext/>
              <w:keepLines/>
              <w:rPr>
                <w:rFonts w:ascii="Arial Narrow" w:hAnsi="Arial Narrow"/>
                <w:color w:val="000000"/>
                <w:sz w:val="20"/>
                <w:szCs w:val="20"/>
              </w:rPr>
            </w:pPr>
            <w:r w:rsidRPr="009A4DCA">
              <w:rPr>
                <w:rFonts w:ascii="Arial Narrow" w:hAnsi="Arial Narrow"/>
                <w:b/>
                <w:color w:val="000000"/>
                <w:sz w:val="20"/>
                <w:szCs w:val="20"/>
              </w:rPr>
              <w:t>Discount rate (base case: 5% for both costs and health outcomes)</w:t>
            </w:r>
          </w:p>
        </w:tc>
      </w:tr>
      <w:tr w:rsidR="00A06A75" w:rsidRPr="009A4DCA" w14:paraId="6F96361C" w14:textId="77777777" w:rsidTr="00B2154A">
        <w:tc>
          <w:tcPr>
            <w:tcW w:w="711" w:type="dxa"/>
            <w:shd w:val="clear" w:color="auto" w:fill="FFFFFF" w:themeFill="background1"/>
            <w:vAlign w:val="center"/>
          </w:tcPr>
          <w:p w14:paraId="38092A12" w14:textId="6B98EFDF" w:rsidR="00A06A75" w:rsidRPr="009A4DCA" w:rsidRDefault="00A06A75" w:rsidP="008C1CDB">
            <w:pPr>
              <w:keepNext/>
              <w:keepLines/>
              <w:jc w:val="left"/>
              <w:rPr>
                <w:rFonts w:ascii="Arial Narrow" w:hAnsi="Arial Narrow"/>
                <w:sz w:val="20"/>
                <w:szCs w:val="20"/>
              </w:rPr>
            </w:pPr>
            <w:r w:rsidRPr="009A4DCA">
              <w:rPr>
                <w:rFonts w:ascii="Arial Narrow" w:hAnsi="Arial Narrow"/>
                <w:sz w:val="20"/>
                <w:szCs w:val="20"/>
              </w:rPr>
              <w:t>SA.</w:t>
            </w:r>
            <w:r w:rsidR="00E96F43" w:rsidRPr="009A4DCA">
              <w:rPr>
                <w:rFonts w:ascii="Arial Narrow" w:hAnsi="Arial Narrow"/>
                <w:sz w:val="20"/>
                <w:szCs w:val="20"/>
              </w:rPr>
              <w:t>3</w:t>
            </w:r>
          </w:p>
        </w:tc>
        <w:tc>
          <w:tcPr>
            <w:tcW w:w="3293" w:type="dxa"/>
            <w:shd w:val="clear" w:color="auto" w:fill="FFFFFF" w:themeFill="background1"/>
            <w:vAlign w:val="center"/>
          </w:tcPr>
          <w:p w14:paraId="529FB3B4" w14:textId="77777777"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sz w:val="20"/>
                <w:szCs w:val="20"/>
              </w:rPr>
              <w:t xml:space="preserve">0% for both costs and health outcomes </w:t>
            </w:r>
          </w:p>
        </w:tc>
        <w:tc>
          <w:tcPr>
            <w:tcW w:w="1289" w:type="dxa"/>
            <w:shd w:val="clear" w:color="auto" w:fill="FFFFFF" w:themeFill="background1"/>
            <w:vAlign w:val="center"/>
          </w:tcPr>
          <w:p w14:paraId="53BDDEF3" w14:textId="54B52E00"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3"/>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3"/>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3"/>
                <w14:textFill>
                  <w14:solidFill>
                    <w14:srgbClr w14:val="000000">
                      <w14:alpha w14:val="100000"/>
                    </w14:srgbClr>
                  </w14:solidFill>
                </w14:textFill>
              </w:rPr>
              <w:t xml:space="preserve">　</w:t>
            </w:r>
          </w:p>
        </w:tc>
        <w:tc>
          <w:tcPr>
            <w:tcW w:w="1146" w:type="dxa"/>
            <w:shd w:val="clear" w:color="auto" w:fill="FFFFFF" w:themeFill="background1"/>
            <w:vAlign w:val="center"/>
          </w:tcPr>
          <w:p w14:paraId="361EF2F5" w14:textId="77777777"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sz w:val="20"/>
                <w:szCs w:val="20"/>
              </w:rPr>
              <w:t>0.0158</w:t>
            </w:r>
          </w:p>
        </w:tc>
        <w:tc>
          <w:tcPr>
            <w:tcW w:w="1289" w:type="dxa"/>
            <w:shd w:val="clear" w:color="auto" w:fill="FFFFFF" w:themeFill="background1"/>
            <w:vAlign w:val="center"/>
          </w:tcPr>
          <w:p w14:paraId="5C5B834F" w14:textId="27BCAAD0"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82"/>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2"/>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82"/>
                <w14:textFill>
                  <w14:solidFill>
                    <w14:srgbClr w14:val="000000">
                      <w14:alpha w14:val="100000"/>
                    </w14:srgbClr>
                  </w14:solidFill>
                </w14:textFill>
              </w:rPr>
              <w:t xml:space="preserve">　</w:t>
            </w:r>
            <w:r w:rsidR="00D40E11">
              <w:rPr>
                <w:rFonts w:ascii="Arial Narrow" w:hAnsi="Arial Narrow"/>
                <w:b/>
                <w:color w:val="000000"/>
                <w:sz w:val="20"/>
                <w:szCs w:val="20"/>
              </w:rPr>
              <w:t xml:space="preserve"> </w:t>
            </w:r>
            <w:r w:rsidR="00D40E11">
              <w:rPr>
                <w:rFonts w:ascii="Arial Narrow" w:hAnsi="Arial Narrow"/>
                <w:b/>
                <w:color w:val="000000"/>
                <w:sz w:val="20"/>
                <w:szCs w:val="20"/>
                <w:vertAlign w:val="superscript"/>
              </w:rPr>
              <w:t>3</w:t>
            </w:r>
          </w:p>
        </w:tc>
        <w:tc>
          <w:tcPr>
            <w:tcW w:w="1289" w:type="dxa"/>
            <w:shd w:val="clear" w:color="auto" w:fill="FFFFFF" w:themeFill="background1"/>
            <w:vAlign w:val="center"/>
          </w:tcPr>
          <w:p w14:paraId="3DC95387" w14:textId="2CABF607"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3"/>
                <w:sz w:val="20"/>
                <w:szCs w:val="20"/>
                <w:shd w:val="solid" w:color="000000" w:fill="000000"/>
                <w:fitText w:val="106" w:id="-762047481"/>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481"/>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481"/>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06A75" w:rsidRPr="009A4DCA" w14:paraId="3C0DEC24" w14:textId="77777777" w:rsidTr="00B2154A">
        <w:tc>
          <w:tcPr>
            <w:tcW w:w="711" w:type="dxa"/>
            <w:shd w:val="clear" w:color="auto" w:fill="FFFFFF" w:themeFill="background1"/>
            <w:vAlign w:val="center"/>
          </w:tcPr>
          <w:p w14:paraId="70A6C8BB" w14:textId="65374063" w:rsidR="00A06A75" w:rsidRPr="009A4DCA" w:rsidRDefault="00A06A75" w:rsidP="008C1CDB">
            <w:pPr>
              <w:keepNext/>
              <w:keepLines/>
              <w:jc w:val="left"/>
              <w:rPr>
                <w:rFonts w:ascii="Arial Narrow" w:hAnsi="Arial Narrow"/>
                <w:sz w:val="20"/>
                <w:szCs w:val="20"/>
              </w:rPr>
            </w:pPr>
            <w:r w:rsidRPr="009A4DCA">
              <w:rPr>
                <w:rFonts w:ascii="Arial Narrow" w:hAnsi="Arial Narrow"/>
                <w:sz w:val="20"/>
                <w:szCs w:val="20"/>
              </w:rPr>
              <w:t>SA.</w:t>
            </w:r>
            <w:r w:rsidR="00E96F43" w:rsidRPr="009A4DCA">
              <w:rPr>
                <w:rFonts w:ascii="Arial Narrow" w:hAnsi="Arial Narrow"/>
                <w:sz w:val="20"/>
                <w:szCs w:val="20"/>
              </w:rPr>
              <w:t>4</w:t>
            </w:r>
          </w:p>
        </w:tc>
        <w:tc>
          <w:tcPr>
            <w:tcW w:w="3293" w:type="dxa"/>
            <w:shd w:val="clear" w:color="auto" w:fill="FFFFFF" w:themeFill="background1"/>
            <w:vAlign w:val="center"/>
          </w:tcPr>
          <w:p w14:paraId="496F91D0" w14:textId="77777777"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sz w:val="20"/>
                <w:szCs w:val="20"/>
              </w:rPr>
              <w:t xml:space="preserve">3.5% for both costs and health outcomes </w:t>
            </w:r>
          </w:p>
        </w:tc>
        <w:tc>
          <w:tcPr>
            <w:tcW w:w="1289" w:type="dxa"/>
            <w:shd w:val="clear" w:color="auto" w:fill="FFFFFF" w:themeFill="background1"/>
            <w:vAlign w:val="center"/>
          </w:tcPr>
          <w:p w14:paraId="5839B758" w14:textId="17D769A4"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0"/>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0"/>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0"/>
                <w14:textFill>
                  <w14:solidFill>
                    <w14:srgbClr w14:val="000000">
                      <w14:alpha w14:val="100000"/>
                    </w14:srgbClr>
                  </w14:solidFill>
                </w14:textFill>
              </w:rPr>
              <w:t xml:space="preserve">　</w:t>
            </w:r>
          </w:p>
        </w:tc>
        <w:tc>
          <w:tcPr>
            <w:tcW w:w="1146" w:type="dxa"/>
            <w:shd w:val="clear" w:color="auto" w:fill="FFFFFF" w:themeFill="background1"/>
            <w:vAlign w:val="center"/>
          </w:tcPr>
          <w:p w14:paraId="393BA28E" w14:textId="77777777"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0.0109</w:t>
            </w:r>
          </w:p>
        </w:tc>
        <w:tc>
          <w:tcPr>
            <w:tcW w:w="1289" w:type="dxa"/>
            <w:shd w:val="clear" w:color="auto" w:fill="FFFFFF" w:themeFill="background1"/>
            <w:vAlign w:val="center"/>
          </w:tcPr>
          <w:p w14:paraId="3FD7F787" w14:textId="3FC9A2B7" w:rsidR="00A06A75" w:rsidRPr="009A4DCA" w:rsidRDefault="00A06A75" w:rsidP="008C1CDB">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9"/>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9"/>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79"/>
                <w14:textFill>
                  <w14:solidFill>
                    <w14:srgbClr w14:val="000000">
                      <w14:alpha w14:val="100000"/>
                    </w14:srgbClr>
                  </w14:solidFill>
                </w14:textFill>
              </w:rPr>
              <w:t xml:space="preserve">　</w:t>
            </w:r>
            <w:r w:rsidR="00BA0411">
              <w:rPr>
                <w:rFonts w:ascii="Arial Narrow" w:hAnsi="Arial Narrow"/>
                <w:b/>
                <w:color w:val="000000"/>
                <w:sz w:val="20"/>
                <w:szCs w:val="20"/>
              </w:rPr>
              <w:t xml:space="preserve"> </w:t>
            </w:r>
            <w:r w:rsidR="00BA0411">
              <w:rPr>
                <w:rFonts w:ascii="Arial Narrow" w:hAnsi="Arial Narrow"/>
                <w:b/>
                <w:color w:val="000000"/>
                <w:sz w:val="20"/>
                <w:szCs w:val="20"/>
                <w:vertAlign w:val="superscript"/>
              </w:rPr>
              <w:t>1</w:t>
            </w:r>
          </w:p>
        </w:tc>
        <w:tc>
          <w:tcPr>
            <w:tcW w:w="1289" w:type="dxa"/>
            <w:shd w:val="clear" w:color="auto" w:fill="FFFFFF" w:themeFill="background1"/>
            <w:vAlign w:val="center"/>
          </w:tcPr>
          <w:p w14:paraId="5B3FDCFE" w14:textId="4C0CE35D"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3"/>
                <w:sz w:val="20"/>
                <w:szCs w:val="20"/>
                <w:shd w:val="solid" w:color="000000" w:fill="000000"/>
                <w:fitText w:val="106" w:id="-762047478"/>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478"/>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478"/>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06A75" w:rsidRPr="009A4DCA" w14:paraId="2945AE80" w14:textId="77777777" w:rsidTr="00B2154A">
        <w:tc>
          <w:tcPr>
            <w:tcW w:w="9017" w:type="dxa"/>
            <w:gridSpan w:val="6"/>
            <w:shd w:val="clear" w:color="auto" w:fill="FFFFFF" w:themeFill="background1"/>
            <w:vAlign w:val="center"/>
          </w:tcPr>
          <w:p w14:paraId="7D29022F" w14:textId="4CBE022E"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b/>
                <w:bCs/>
                <w:color w:val="000000"/>
                <w:sz w:val="20"/>
                <w:szCs w:val="20"/>
              </w:rPr>
              <w:t>Mortality rate (base case: 43 per 100,000</w:t>
            </w:r>
            <w:r w:rsidR="001535DA" w:rsidRPr="009A4DCA">
              <w:rPr>
                <w:rFonts w:ascii="Arial Narrow" w:hAnsi="Arial Narrow"/>
                <w:b/>
                <w:bCs/>
                <w:color w:val="000000"/>
                <w:sz w:val="20"/>
                <w:szCs w:val="20"/>
              </w:rPr>
              <w:t xml:space="preserve"> person-years</w:t>
            </w:r>
            <w:r w:rsidRPr="009A4DCA">
              <w:rPr>
                <w:rFonts w:ascii="Arial Narrow" w:hAnsi="Arial Narrow"/>
                <w:b/>
                <w:bCs/>
                <w:color w:val="000000"/>
                <w:sz w:val="20"/>
                <w:szCs w:val="20"/>
              </w:rPr>
              <w:t>)</w:t>
            </w:r>
          </w:p>
        </w:tc>
      </w:tr>
      <w:tr w:rsidR="00A06A75" w:rsidRPr="009A4DCA" w14:paraId="2CC63B5F" w14:textId="77777777" w:rsidTr="00B2154A">
        <w:tc>
          <w:tcPr>
            <w:tcW w:w="711" w:type="dxa"/>
            <w:shd w:val="clear" w:color="auto" w:fill="FFFFFF" w:themeFill="background1"/>
            <w:vAlign w:val="center"/>
          </w:tcPr>
          <w:p w14:paraId="71442DDA" w14:textId="13ADF1E8"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sz w:val="20"/>
                <w:szCs w:val="20"/>
              </w:rPr>
              <w:t>SA.5</w:t>
            </w:r>
          </w:p>
        </w:tc>
        <w:tc>
          <w:tcPr>
            <w:tcW w:w="3293" w:type="dxa"/>
            <w:shd w:val="clear" w:color="auto" w:fill="FFFFFF" w:themeFill="background1"/>
            <w:vAlign w:val="center"/>
          </w:tcPr>
          <w:p w14:paraId="5F9FFDBA" w14:textId="3F4FAE8B"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color w:val="000000"/>
                <w:sz w:val="20"/>
                <w:szCs w:val="20"/>
              </w:rPr>
              <w:t>12.03 per 100,000</w:t>
            </w:r>
            <w:r w:rsidRPr="009A4DCA">
              <w:rPr>
                <w:rFonts w:ascii="Arial Narrow" w:hAnsi="Arial Narrow"/>
                <w:color w:val="000000"/>
                <w:sz w:val="20"/>
                <w:szCs w:val="20"/>
                <w:vertAlign w:val="superscript"/>
              </w:rPr>
              <w:t xml:space="preserve"> </w:t>
            </w:r>
            <w:r w:rsidRPr="009A4DCA">
              <w:rPr>
                <w:rFonts w:ascii="Arial Narrow" w:hAnsi="Arial Narrow"/>
                <w:color w:val="000000"/>
                <w:sz w:val="20"/>
                <w:szCs w:val="20"/>
              </w:rPr>
              <w:t>(lower CI reported in Australian modelling study)</w:t>
            </w:r>
          </w:p>
        </w:tc>
        <w:tc>
          <w:tcPr>
            <w:tcW w:w="1289" w:type="dxa"/>
            <w:shd w:val="clear" w:color="auto" w:fill="FFFFFF" w:themeFill="background1"/>
            <w:vAlign w:val="center"/>
          </w:tcPr>
          <w:p w14:paraId="17D5BA64" w14:textId="2D180326"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477"/>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7"/>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7"/>
                <w14:textFill>
                  <w14:solidFill>
                    <w14:srgbClr w14:val="000000">
                      <w14:alpha w14:val="100000"/>
                    </w14:srgbClr>
                  </w14:solidFill>
                </w14:textFill>
              </w:rPr>
              <w:t xml:space="preserve">　</w:t>
            </w:r>
          </w:p>
        </w:tc>
        <w:tc>
          <w:tcPr>
            <w:tcW w:w="1146" w:type="dxa"/>
            <w:shd w:val="clear" w:color="auto" w:fill="FFFFFF" w:themeFill="background1"/>
            <w:vAlign w:val="center"/>
          </w:tcPr>
          <w:p w14:paraId="7D5C3E6E" w14:textId="77777777"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0.0031</w:t>
            </w:r>
          </w:p>
        </w:tc>
        <w:tc>
          <w:tcPr>
            <w:tcW w:w="1289" w:type="dxa"/>
            <w:shd w:val="clear" w:color="auto" w:fill="FFFFFF" w:themeFill="background1"/>
            <w:vAlign w:val="center"/>
          </w:tcPr>
          <w:p w14:paraId="56D3F354" w14:textId="449A13A1"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476"/>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6"/>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76"/>
                <w14:textFill>
                  <w14:solidFill>
                    <w14:srgbClr w14:val="000000">
                      <w14:alpha w14:val="100000"/>
                    </w14:srgbClr>
                  </w14:solidFill>
                </w14:textFill>
              </w:rPr>
              <w:t xml:space="preserve">　</w:t>
            </w:r>
            <w:r w:rsidR="00D40E11">
              <w:rPr>
                <w:rFonts w:ascii="Arial Narrow" w:hAnsi="Arial Narrow"/>
                <w:b/>
                <w:color w:val="000000"/>
                <w:sz w:val="20"/>
                <w:szCs w:val="20"/>
              </w:rPr>
              <w:t xml:space="preserve"> </w:t>
            </w:r>
            <w:r w:rsidR="00D40E11">
              <w:rPr>
                <w:rFonts w:ascii="Arial Narrow" w:hAnsi="Arial Narrow"/>
                <w:b/>
                <w:color w:val="000000"/>
                <w:sz w:val="20"/>
                <w:szCs w:val="20"/>
                <w:vertAlign w:val="superscript"/>
              </w:rPr>
              <w:t>4</w:t>
            </w:r>
          </w:p>
        </w:tc>
        <w:tc>
          <w:tcPr>
            <w:tcW w:w="1289" w:type="dxa"/>
            <w:shd w:val="clear" w:color="auto" w:fill="FFFFFF" w:themeFill="background1"/>
            <w:vAlign w:val="center"/>
          </w:tcPr>
          <w:p w14:paraId="1C2AB09D" w14:textId="59ADFA36"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75"/>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5"/>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75"/>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06A75" w:rsidRPr="009A4DCA" w14:paraId="795CACCF" w14:textId="77777777" w:rsidTr="00B2154A">
        <w:tc>
          <w:tcPr>
            <w:tcW w:w="711" w:type="dxa"/>
            <w:shd w:val="clear" w:color="auto" w:fill="FFFFFF" w:themeFill="background1"/>
            <w:vAlign w:val="center"/>
          </w:tcPr>
          <w:p w14:paraId="5F5BD8B1" w14:textId="1325FFE4"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color w:val="000000"/>
                <w:sz w:val="20"/>
                <w:szCs w:val="20"/>
              </w:rPr>
              <w:t>SA.</w:t>
            </w:r>
            <w:r w:rsidR="00E96F43" w:rsidRPr="009A4DCA">
              <w:rPr>
                <w:rFonts w:ascii="Arial Narrow" w:hAnsi="Arial Narrow"/>
                <w:color w:val="000000"/>
                <w:sz w:val="20"/>
                <w:szCs w:val="20"/>
              </w:rPr>
              <w:t>6</w:t>
            </w:r>
          </w:p>
        </w:tc>
        <w:tc>
          <w:tcPr>
            <w:tcW w:w="3293" w:type="dxa"/>
            <w:shd w:val="clear" w:color="auto" w:fill="FFFFFF" w:themeFill="background1"/>
            <w:vAlign w:val="center"/>
          </w:tcPr>
          <w:p w14:paraId="6194D883" w14:textId="1542FD8F" w:rsidR="00A06A75" w:rsidRPr="009A4DCA" w:rsidRDefault="009C6BB2" w:rsidP="008C1CDB">
            <w:pPr>
              <w:keepNext/>
              <w:keepLines/>
              <w:jc w:val="left"/>
              <w:rPr>
                <w:rFonts w:ascii="Arial Narrow" w:hAnsi="Arial Narrow"/>
                <w:color w:val="000000"/>
                <w:sz w:val="20"/>
                <w:szCs w:val="20"/>
              </w:rPr>
            </w:pPr>
            <w:r w:rsidRPr="009A4DCA">
              <w:rPr>
                <w:rFonts w:ascii="Arial Narrow" w:hAnsi="Arial Narrow"/>
                <w:color w:val="000000"/>
                <w:sz w:val="20"/>
                <w:szCs w:val="20"/>
              </w:rPr>
              <w:t>In-hospital case fatality rate</w:t>
            </w:r>
            <w:r w:rsidRPr="009A4DCA" w:rsidDel="009C6BB2">
              <w:rPr>
                <w:rFonts w:ascii="Arial Narrow" w:hAnsi="Arial Narrow"/>
                <w:sz w:val="20"/>
                <w:szCs w:val="20"/>
              </w:rPr>
              <w:t xml:space="preserve"> </w:t>
            </w:r>
            <w:r w:rsidR="00A06A75" w:rsidRPr="009A4DCA">
              <w:rPr>
                <w:rFonts w:ascii="Arial Narrow" w:hAnsi="Arial Narrow"/>
                <w:sz w:val="20"/>
                <w:szCs w:val="20"/>
              </w:rPr>
              <w:t>= 4.22%</w:t>
            </w:r>
          </w:p>
        </w:tc>
        <w:tc>
          <w:tcPr>
            <w:tcW w:w="1289" w:type="dxa"/>
            <w:shd w:val="clear" w:color="auto" w:fill="FFFFFF" w:themeFill="background1"/>
            <w:vAlign w:val="center"/>
          </w:tcPr>
          <w:p w14:paraId="26430E1B" w14:textId="4931774B"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474"/>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4"/>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4"/>
                <w14:textFill>
                  <w14:solidFill>
                    <w14:srgbClr w14:val="000000">
                      <w14:alpha w14:val="100000"/>
                    </w14:srgbClr>
                  </w14:solidFill>
                </w14:textFill>
              </w:rPr>
              <w:t xml:space="preserve">　</w:t>
            </w:r>
          </w:p>
        </w:tc>
        <w:tc>
          <w:tcPr>
            <w:tcW w:w="1146" w:type="dxa"/>
            <w:shd w:val="clear" w:color="auto" w:fill="FFFFFF" w:themeFill="background1"/>
            <w:vAlign w:val="center"/>
          </w:tcPr>
          <w:p w14:paraId="7580E697" w14:textId="77777777"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0.0059</w:t>
            </w:r>
          </w:p>
        </w:tc>
        <w:tc>
          <w:tcPr>
            <w:tcW w:w="1289" w:type="dxa"/>
            <w:shd w:val="clear" w:color="auto" w:fill="FFFFFF" w:themeFill="background1"/>
            <w:vAlign w:val="center"/>
          </w:tcPr>
          <w:p w14:paraId="6D1B2551" w14:textId="21438016"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473"/>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3"/>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73"/>
                <w14:textFill>
                  <w14:solidFill>
                    <w14:srgbClr w14:val="000000">
                      <w14:alpha w14:val="100000"/>
                    </w14:srgbClr>
                  </w14:solidFill>
                </w14:textFill>
              </w:rPr>
              <w:t xml:space="preserve">　</w:t>
            </w:r>
            <w:r w:rsidR="00BA0411">
              <w:rPr>
                <w:rFonts w:ascii="Arial Narrow" w:hAnsi="Arial Narrow"/>
                <w:b/>
                <w:color w:val="000000"/>
                <w:sz w:val="20"/>
                <w:szCs w:val="20"/>
              </w:rPr>
              <w:t xml:space="preserve"> </w:t>
            </w:r>
            <w:r w:rsidR="00BA0411">
              <w:rPr>
                <w:rFonts w:ascii="Arial Narrow" w:hAnsi="Arial Narrow"/>
                <w:b/>
                <w:color w:val="000000"/>
                <w:sz w:val="20"/>
                <w:szCs w:val="20"/>
                <w:vertAlign w:val="superscript"/>
              </w:rPr>
              <w:t>1</w:t>
            </w:r>
          </w:p>
        </w:tc>
        <w:tc>
          <w:tcPr>
            <w:tcW w:w="1289" w:type="dxa"/>
            <w:shd w:val="clear" w:color="auto" w:fill="FFFFFF" w:themeFill="background1"/>
            <w:vAlign w:val="center"/>
          </w:tcPr>
          <w:p w14:paraId="45737502" w14:textId="7699D568" w:rsidR="00A06A75" w:rsidRPr="009A4DCA" w:rsidRDefault="00A06A75" w:rsidP="008C1CDB">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72"/>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2"/>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72"/>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06A75" w:rsidRPr="009A4DCA" w14:paraId="08BA1F12" w14:textId="77777777" w:rsidTr="00B2154A">
        <w:tc>
          <w:tcPr>
            <w:tcW w:w="9017" w:type="dxa"/>
            <w:gridSpan w:val="6"/>
            <w:shd w:val="clear" w:color="auto" w:fill="FFFFFF" w:themeFill="background1"/>
            <w:vAlign w:val="center"/>
          </w:tcPr>
          <w:p w14:paraId="735E6E4B" w14:textId="77777777" w:rsidR="00A06A75" w:rsidRPr="009A4DCA" w:rsidRDefault="00A06A75" w:rsidP="008C1CDB">
            <w:pPr>
              <w:keepNext/>
              <w:keepLines/>
              <w:jc w:val="left"/>
              <w:rPr>
                <w:rFonts w:ascii="Arial Narrow" w:hAnsi="Arial Narrow"/>
                <w:color w:val="000000"/>
                <w:sz w:val="20"/>
                <w:szCs w:val="20"/>
              </w:rPr>
            </w:pPr>
            <w:r w:rsidRPr="009A4DCA">
              <w:rPr>
                <w:rFonts w:ascii="Arial Narrow" w:hAnsi="Arial Narrow"/>
                <w:b/>
                <w:bCs/>
                <w:color w:val="000000"/>
                <w:sz w:val="20"/>
                <w:szCs w:val="20"/>
              </w:rPr>
              <w:t>Case incidence rates (base case hospital: 597 per 100,000 person-years)</w:t>
            </w:r>
          </w:p>
        </w:tc>
      </w:tr>
      <w:tr w:rsidR="007C540D" w:rsidRPr="009A4DCA" w14:paraId="1FC086C4" w14:textId="77777777" w:rsidTr="00BB4944">
        <w:tc>
          <w:tcPr>
            <w:tcW w:w="711" w:type="dxa"/>
            <w:shd w:val="clear" w:color="auto" w:fill="FFFFFF" w:themeFill="background1"/>
            <w:vAlign w:val="center"/>
          </w:tcPr>
          <w:p w14:paraId="12041432" w14:textId="763C31BE"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SA.7</w:t>
            </w:r>
          </w:p>
        </w:tc>
        <w:tc>
          <w:tcPr>
            <w:tcW w:w="3293" w:type="dxa"/>
            <w:shd w:val="clear" w:color="auto" w:fill="FFFFFF" w:themeFill="background1"/>
            <w:vAlign w:val="center"/>
          </w:tcPr>
          <w:p w14:paraId="41877E42" w14:textId="42093950" w:rsidR="007C540D" w:rsidRPr="009A4DCA" w:rsidRDefault="007C540D" w:rsidP="007C540D">
            <w:pPr>
              <w:keepNext/>
              <w:keepLines/>
              <w:jc w:val="left"/>
              <w:rPr>
                <w:rFonts w:ascii="Arial Narrow" w:hAnsi="Arial Narrow"/>
                <w:color w:val="000000"/>
                <w:sz w:val="20"/>
                <w:szCs w:val="20"/>
              </w:rPr>
            </w:pPr>
            <w:r w:rsidRPr="009A4DCA">
              <w:rPr>
                <w:rFonts w:ascii="Arial Narrow" w:hAnsi="Arial Narrow"/>
                <w:color w:val="000000"/>
                <w:sz w:val="20"/>
                <w:szCs w:val="20"/>
              </w:rPr>
              <w:t>AIHW hospital incidence for 75+ multiplied by 1.5 (576 per 100,000 person-years)</w:t>
            </w:r>
          </w:p>
        </w:tc>
        <w:tc>
          <w:tcPr>
            <w:tcW w:w="1289" w:type="dxa"/>
            <w:shd w:val="clear" w:color="auto" w:fill="FFFFFF" w:themeFill="background1"/>
            <w:vAlign w:val="center"/>
          </w:tcPr>
          <w:p w14:paraId="06037762" w14:textId="0C3BB6B1" w:rsidR="007C540D" w:rsidRPr="009A4DCA" w:rsidRDefault="007C540D"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488"/>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8"/>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8"/>
                <w14:textFill>
                  <w14:solidFill>
                    <w14:srgbClr w14:val="000000">
                      <w14:alpha w14:val="100000"/>
                    </w14:srgbClr>
                  </w14:solidFill>
                </w14:textFill>
              </w:rPr>
              <w:t xml:space="preserve">　</w:t>
            </w:r>
          </w:p>
        </w:tc>
        <w:tc>
          <w:tcPr>
            <w:tcW w:w="1146" w:type="dxa"/>
            <w:shd w:val="clear" w:color="auto" w:fill="FFFFFF" w:themeFill="background1"/>
            <w:vAlign w:val="center"/>
          </w:tcPr>
          <w:p w14:paraId="4E079011" w14:textId="6EB1762F" w:rsidR="007C540D" w:rsidRPr="009A4DCA" w:rsidRDefault="007C540D"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0.0095</w:t>
            </w:r>
          </w:p>
        </w:tc>
        <w:tc>
          <w:tcPr>
            <w:tcW w:w="1289" w:type="dxa"/>
            <w:shd w:val="clear" w:color="auto" w:fill="FFFFFF" w:themeFill="background1"/>
            <w:vAlign w:val="center"/>
          </w:tcPr>
          <w:p w14:paraId="132EAF20" w14:textId="716A5E08" w:rsidR="007C540D" w:rsidRPr="009A4DCA" w:rsidRDefault="007C540D"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487"/>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7"/>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87"/>
                <w14:textFill>
                  <w14:solidFill>
                    <w14:srgbClr w14:val="000000">
                      <w14:alpha w14:val="100000"/>
                    </w14:srgbClr>
                  </w14:solidFill>
                </w14:textFill>
              </w:rPr>
              <w:t xml:space="preserve">　</w:t>
            </w:r>
            <w:r w:rsidR="00BA0411">
              <w:rPr>
                <w:rFonts w:ascii="Arial Narrow" w:hAnsi="Arial Narrow"/>
                <w:b/>
                <w:color w:val="000000"/>
                <w:sz w:val="20"/>
                <w:szCs w:val="20"/>
              </w:rPr>
              <w:t xml:space="preserve"> </w:t>
            </w:r>
            <w:r w:rsidR="00BA0411">
              <w:rPr>
                <w:rFonts w:ascii="Arial Narrow" w:hAnsi="Arial Narrow"/>
                <w:b/>
                <w:color w:val="000000"/>
                <w:sz w:val="20"/>
                <w:szCs w:val="20"/>
                <w:vertAlign w:val="superscript"/>
              </w:rPr>
              <w:t>1</w:t>
            </w:r>
          </w:p>
        </w:tc>
        <w:tc>
          <w:tcPr>
            <w:tcW w:w="1289" w:type="dxa"/>
            <w:shd w:val="clear" w:color="auto" w:fill="FFFFFF" w:themeFill="background1"/>
            <w:vAlign w:val="center"/>
          </w:tcPr>
          <w:p w14:paraId="01011507" w14:textId="549708B1" w:rsidR="007C540D" w:rsidRPr="009A4DCA" w:rsidRDefault="007C540D"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86"/>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6"/>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6"/>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7C540D" w:rsidRPr="009A4DCA" w14:paraId="7F364423" w14:textId="77777777" w:rsidTr="006778B5">
        <w:tc>
          <w:tcPr>
            <w:tcW w:w="9017" w:type="dxa"/>
            <w:gridSpan w:val="6"/>
            <w:shd w:val="clear" w:color="auto" w:fill="FFFFFF" w:themeFill="background1"/>
            <w:vAlign w:val="center"/>
          </w:tcPr>
          <w:p w14:paraId="116E8E85" w14:textId="2B9B84E2" w:rsidR="007C540D" w:rsidRPr="009A4DCA" w:rsidRDefault="007C540D" w:rsidP="007C540D">
            <w:pPr>
              <w:keepNext/>
              <w:keepLines/>
              <w:jc w:val="left"/>
              <w:rPr>
                <w:rFonts w:ascii="Arial Narrow" w:hAnsi="Arial Narrow"/>
                <w:color w:val="000000"/>
                <w:sz w:val="20"/>
                <w:szCs w:val="20"/>
              </w:rPr>
            </w:pPr>
            <w:r w:rsidRPr="009A4DCA">
              <w:rPr>
                <w:rFonts w:ascii="Arial Narrow" w:hAnsi="Arial Narrow"/>
                <w:b/>
                <w:bCs/>
                <w:color w:val="000000"/>
                <w:sz w:val="20"/>
                <w:szCs w:val="20"/>
              </w:rPr>
              <w:t>ATAGI advice (AIHW hospital incidence and In-hospital case fatality rate)</w:t>
            </w:r>
          </w:p>
        </w:tc>
      </w:tr>
      <w:tr w:rsidR="007C540D" w:rsidRPr="009A4DCA" w14:paraId="6603E80F" w14:textId="77777777" w:rsidTr="00B2154A">
        <w:tc>
          <w:tcPr>
            <w:tcW w:w="711" w:type="dxa"/>
            <w:shd w:val="clear" w:color="auto" w:fill="FFFFFF" w:themeFill="background1"/>
            <w:vAlign w:val="center"/>
          </w:tcPr>
          <w:p w14:paraId="6746B7B3" w14:textId="76E4E14C"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SA.8</w:t>
            </w:r>
          </w:p>
        </w:tc>
        <w:tc>
          <w:tcPr>
            <w:tcW w:w="3293" w:type="dxa"/>
            <w:shd w:val="clear" w:color="auto" w:fill="FFFFFF" w:themeFill="background1"/>
            <w:vAlign w:val="center"/>
          </w:tcPr>
          <w:p w14:paraId="1F0236C8" w14:textId="470EA04D" w:rsidR="007C540D" w:rsidRPr="009A4DCA" w:rsidRDefault="007C540D" w:rsidP="007C540D">
            <w:pPr>
              <w:keepNext/>
              <w:keepLines/>
              <w:jc w:val="left"/>
              <w:rPr>
                <w:rFonts w:ascii="Arial Narrow" w:hAnsi="Arial Narrow"/>
                <w:color w:val="000000"/>
                <w:sz w:val="20"/>
                <w:szCs w:val="20"/>
              </w:rPr>
            </w:pPr>
            <w:r w:rsidRPr="009A4DCA">
              <w:rPr>
                <w:rFonts w:ascii="Arial Narrow" w:hAnsi="Arial Narrow"/>
                <w:color w:val="000000"/>
                <w:sz w:val="20"/>
                <w:szCs w:val="20"/>
              </w:rPr>
              <w:t>AIHW hospital incidence (576 per 100,000) + hCFR (4.22%)</w:t>
            </w:r>
            <w:r w:rsidRPr="009A4DCA">
              <w:rPr>
                <w:rFonts w:ascii="Arial Narrow" w:hAnsi="Arial Narrow"/>
                <w:color w:val="000000"/>
                <w:sz w:val="20"/>
                <w:szCs w:val="20"/>
                <w:vertAlign w:val="superscript"/>
              </w:rPr>
              <w:t xml:space="preserve"> </w:t>
            </w:r>
          </w:p>
        </w:tc>
        <w:tc>
          <w:tcPr>
            <w:tcW w:w="1289" w:type="dxa"/>
            <w:shd w:val="clear" w:color="auto" w:fill="FFFFFF" w:themeFill="background1"/>
            <w:vAlign w:val="center"/>
          </w:tcPr>
          <w:p w14:paraId="32FC4796" w14:textId="2DCC3522" w:rsidR="007C540D" w:rsidRPr="009A4DCA" w:rsidRDefault="007C540D" w:rsidP="007C540D">
            <w:pPr>
              <w:keepNext/>
              <w:keepLines/>
              <w:jc w:val="center"/>
              <w:rPr>
                <w:rFonts w:ascii="Arial Narrow" w:hAnsi="Arial Narrow"/>
                <w:bCs/>
                <w:color w:val="000000"/>
                <w:sz w:val="20"/>
                <w:szCs w:val="20"/>
              </w:rPr>
            </w:pPr>
            <w:r w:rsidRPr="009A4DCA">
              <w:rPr>
                <w:rFonts w:ascii="Arial Narrow" w:hAnsi="Arial Narrow"/>
                <w:bCs/>
                <w:color w:val="000000"/>
                <w:sz w:val="20"/>
                <w:szCs w:val="20"/>
              </w:rPr>
              <w:t>$</w:t>
            </w:r>
            <w:r w:rsidR="00E44A34" w:rsidRPr="00E44A34">
              <w:rPr>
                <w:rFonts w:ascii="Arial Narrow" w:hAnsi="Arial Narrow" w:hint="eastAsia"/>
                <w:bCs/>
                <w:color w:val="000000"/>
                <w:w w:val="15"/>
                <w:sz w:val="20"/>
                <w:szCs w:val="20"/>
                <w:shd w:val="solid" w:color="000000" w:fill="000000"/>
                <w:fitText w:val="66" w:id="-762047485"/>
                <w14:textFill>
                  <w14:solidFill>
                    <w14:srgbClr w14:val="000000">
                      <w14:alpha w14:val="100000"/>
                    </w14:srgbClr>
                  </w14:solidFill>
                </w14:textFill>
              </w:rPr>
              <w:t xml:space="preserve">　</w:t>
            </w:r>
            <w:r w:rsidR="00E44A34" w:rsidRPr="00E44A34">
              <w:rPr>
                <w:rFonts w:ascii="Arial Narrow" w:hAnsi="Arial Narrow"/>
                <w:bCs/>
                <w:color w:val="000000"/>
                <w:w w:val="15"/>
                <w:sz w:val="20"/>
                <w:szCs w:val="20"/>
                <w:shd w:val="solid" w:color="000000" w:fill="000000"/>
                <w:fitText w:val="66" w:id="-762047485"/>
                <w14:textFill>
                  <w14:solidFill>
                    <w14:srgbClr w14:val="000000">
                      <w14:alpha w14:val="100000"/>
                    </w14:srgbClr>
                  </w14:solidFill>
                </w14:textFill>
              </w:rPr>
              <w:t>|</w:t>
            </w:r>
            <w:r w:rsidR="00E44A34" w:rsidRPr="00E44A34">
              <w:rPr>
                <w:rFonts w:ascii="Arial Narrow" w:hAnsi="Arial Narrow" w:hint="eastAsia"/>
                <w:bCs/>
                <w:color w:val="000000"/>
                <w:w w:val="15"/>
                <w:sz w:val="20"/>
                <w:szCs w:val="20"/>
                <w:shd w:val="solid" w:color="000000" w:fill="000000"/>
                <w:fitText w:val="66" w:id="-762047485"/>
                <w14:textFill>
                  <w14:solidFill>
                    <w14:srgbClr w14:val="000000">
                      <w14:alpha w14:val="100000"/>
                    </w14:srgbClr>
                  </w14:solidFill>
                </w14:textFill>
              </w:rPr>
              <w:t xml:space="preserve">　</w:t>
            </w:r>
          </w:p>
        </w:tc>
        <w:tc>
          <w:tcPr>
            <w:tcW w:w="1146" w:type="dxa"/>
            <w:shd w:val="clear" w:color="auto" w:fill="FFFFFF" w:themeFill="background1"/>
            <w:vAlign w:val="center"/>
          </w:tcPr>
          <w:p w14:paraId="1353106C" w14:textId="77777777" w:rsidR="007C540D" w:rsidRPr="009A4DCA" w:rsidRDefault="007C540D" w:rsidP="007C540D">
            <w:pPr>
              <w:keepNext/>
              <w:keepLines/>
              <w:jc w:val="center"/>
              <w:rPr>
                <w:rFonts w:ascii="Arial Narrow" w:hAnsi="Arial Narrow"/>
                <w:color w:val="000000"/>
                <w:sz w:val="20"/>
                <w:szCs w:val="20"/>
              </w:rPr>
            </w:pPr>
            <w:r w:rsidRPr="009A4DCA">
              <w:rPr>
                <w:rFonts w:ascii="Arial Narrow" w:hAnsi="Arial Narrow"/>
                <w:color w:val="000000"/>
                <w:sz w:val="20"/>
                <w:szCs w:val="20"/>
              </w:rPr>
              <w:t>0.0057</w:t>
            </w:r>
          </w:p>
        </w:tc>
        <w:tc>
          <w:tcPr>
            <w:tcW w:w="1289" w:type="dxa"/>
            <w:shd w:val="clear" w:color="auto" w:fill="FFFFFF" w:themeFill="background1"/>
            <w:vAlign w:val="center"/>
          </w:tcPr>
          <w:p w14:paraId="74A9CB49" w14:textId="20C09ECE" w:rsidR="007C540D" w:rsidRPr="009A4DCA" w:rsidRDefault="007C540D" w:rsidP="007C540D">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484"/>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4"/>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84"/>
                <w14:textFill>
                  <w14:solidFill>
                    <w14:srgbClr w14:val="000000">
                      <w14:alpha w14:val="100000"/>
                    </w14:srgbClr>
                  </w14:solidFill>
                </w14:textFill>
              </w:rPr>
              <w:t xml:space="preserve">　</w:t>
            </w:r>
            <w:r w:rsidR="00BA0411">
              <w:rPr>
                <w:rFonts w:ascii="Arial Narrow" w:hAnsi="Arial Narrow"/>
                <w:b/>
                <w:color w:val="000000"/>
                <w:sz w:val="20"/>
                <w:szCs w:val="20"/>
              </w:rPr>
              <w:t xml:space="preserve"> </w:t>
            </w:r>
            <w:r w:rsidR="00BA0411">
              <w:rPr>
                <w:rFonts w:ascii="Arial Narrow" w:hAnsi="Arial Narrow"/>
                <w:b/>
                <w:color w:val="000000"/>
                <w:sz w:val="20"/>
                <w:szCs w:val="20"/>
                <w:vertAlign w:val="superscript"/>
              </w:rPr>
              <w:t>1</w:t>
            </w:r>
          </w:p>
        </w:tc>
        <w:tc>
          <w:tcPr>
            <w:tcW w:w="1289" w:type="dxa"/>
            <w:shd w:val="clear" w:color="auto" w:fill="FFFFFF" w:themeFill="background1"/>
            <w:vAlign w:val="center"/>
          </w:tcPr>
          <w:p w14:paraId="30E8975F" w14:textId="78B5AF0E" w:rsidR="007C540D" w:rsidRPr="009A4DCA" w:rsidRDefault="007C540D" w:rsidP="007C540D">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483"/>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3"/>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3"/>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7C540D" w:rsidRPr="009A4DCA" w14:paraId="42273419" w14:textId="77777777" w:rsidTr="00B2154A">
        <w:tc>
          <w:tcPr>
            <w:tcW w:w="9017" w:type="dxa"/>
            <w:gridSpan w:val="6"/>
            <w:shd w:val="clear" w:color="auto" w:fill="FFFFFF" w:themeFill="background1"/>
            <w:vAlign w:val="center"/>
          </w:tcPr>
          <w:p w14:paraId="3EEA6B67" w14:textId="77777777" w:rsidR="007C540D" w:rsidRPr="009A4DCA" w:rsidRDefault="007C540D" w:rsidP="007C540D">
            <w:pPr>
              <w:keepNext/>
              <w:keepLines/>
              <w:jc w:val="left"/>
              <w:rPr>
                <w:rFonts w:ascii="Arial Narrow" w:hAnsi="Arial Narrow"/>
                <w:b/>
                <w:color w:val="000000"/>
                <w:sz w:val="20"/>
                <w:szCs w:val="20"/>
                <w:highlight w:val="yellow"/>
              </w:rPr>
            </w:pPr>
            <w:r w:rsidRPr="009A4DCA">
              <w:rPr>
                <w:rFonts w:ascii="Arial Narrow" w:hAnsi="Arial Narrow"/>
                <w:b/>
                <w:color w:val="000000"/>
                <w:sz w:val="20"/>
                <w:szCs w:val="20"/>
              </w:rPr>
              <w:t>Vaccine efficacy peak (base case: outpatient (65.1%), emergency (70.4%), hospitalised (84.6%))</w:t>
            </w:r>
          </w:p>
        </w:tc>
      </w:tr>
      <w:tr w:rsidR="007C540D" w:rsidRPr="009A4DCA" w14:paraId="69E06A09" w14:textId="77777777" w:rsidTr="00B2154A">
        <w:tc>
          <w:tcPr>
            <w:tcW w:w="711" w:type="dxa"/>
            <w:shd w:val="clear" w:color="auto" w:fill="FFFFFF" w:themeFill="background1"/>
            <w:vAlign w:val="center"/>
          </w:tcPr>
          <w:p w14:paraId="75066936" w14:textId="4069CCE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SA.9</w:t>
            </w:r>
          </w:p>
        </w:tc>
        <w:tc>
          <w:tcPr>
            <w:tcW w:w="3293" w:type="dxa"/>
            <w:shd w:val="clear" w:color="auto" w:fill="FFFFFF" w:themeFill="background1"/>
            <w:vAlign w:val="center"/>
          </w:tcPr>
          <w:p w14:paraId="11FF3D6C" w14:textId="7777777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Hospital = 50% (low value)</w:t>
            </w:r>
          </w:p>
        </w:tc>
        <w:tc>
          <w:tcPr>
            <w:tcW w:w="1289" w:type="dxa"/>
            <w:shd w:val="clear" w:color="auto" w:fill="FFFFFF" w:themeFill="background1"/>
            <w:vAlign w:val="center"/>
          </w:tcPr>
          <w:p w14:paraId="07E41501" w14:textId="065111EC"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2"/>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2"/>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2"/>
                <w14:textFill>
                  <w14:solidFill>
                    <w14:srgbClr w14:val="000000">
                      <w14:alpha w14:val="100000"/>
                    </w14:srgbClr>
                  </w14:solidFill>
                </w14:textFill>
              </w:rPr>
              <w:t xml:space="preserve">　</w:t>
            </w:r>
          </w:p>
        </w:tc>
        <w:tc>
          <w:tcPr>
            <w:tcW w:w="1146" w:type="dxa"/>
            <w:shd w:val="clear" w:color="auto" w:fill="FFFFFF" w:themeFill="background1"/>
            <w:vAlign w:val="center"/>
          </w:tcPr>
          <w:p w14:paraId="540686C0"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0.0048</w:t>
            </w:r>
          </w:p>
        </w:tc>
        <w:tc>
          <w:tcPr>
            <w:tcW w:w="1289" w:type="dxa"/>
            <w:shd w:val="clear" w:color="auto" w:fill="FFFFFF" w:themeFill="background1"/>
            <w:vAlign w:val="center"/>
          </w:tcPr>
          <w:p w14:paraId="196C6738" w14:textId="625C7865"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81"/>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1"/>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81"/>
                <w14:textFill>
                  <w14:solidFill>
                    <w14:srgbClr w14:val="000000">
                      <w14:alpha w14:val="100000"/>
                    </w14:srgbClr>
                  </w14:solidFill>
                </w14:textFill>
              </w:rPr>
              <w:t xml:space="preserve">　</w:t>
            </w:r>
            <w:r w:rsidR="00D40E11">
              <w:rPr>
                <w:rFonts w:ascii="Arial Narrow" w:hAnsi="Arial Narrow"/>
                <w:b/>
                <w:color w:val="000000"/>
                <w:sz w:val="20"/>
                <w:szCs w:val="20"/>
              </w:rPr>
              <w:t xml:space="preserve"> </w:t>
            </w:r>
            <w:r w:rsidR="00D40E11">
              <w:rPr>
                <w:rFonts w:ascii="Arial Narrow" w:hAnsi="Arial Narrow"/>
                <w:b/>
                <w:color w:val="000000"/>
                <w:sz w:val="20"/>
                <w:szCs w:val="20"/>
                <w:vertAlign w:val="superscript"/>
              </w:rPr>
              <w:t>2</w:t>
            </w:r>
          </w:p>
        </w:tc>
        <w:tc>
          <w:tcPr>
            <w:tcW w:w="1289" w:type="dxa"/>
            <w:shd w:val="clear" w:color="auto" w:fill="FFFFFF" w:themeFill="background1"/>
            <w:vAlign w:val="center"/>
          </w:tcPr>
          <w:p w14:paraId="6EC07F4C" w14:textId="2415458C"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80"/>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0"/>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80"/>
                <w14:textFill>
                  <w14:solidFill>
                    <w14:srgbClr w14:val="000000">
                      <w14:alpha w14:val="100000"/>
                    </w14:srgbClr>
                  </w14:solidFill>
                </w14:textFill>
              </w:rPr>
              <w:t xml:space="preserve">　</w:t>
            </w:r>
            <w:r w:rsidRPr="009A4DCA">
              <w:rPr>
                <w:rFonts w:ascii="Arial Narrow" w:hAnsi="Arial Narrow"/>
                <w:sz w:val="20"/>
                <w:szCs w:val="20"/>
              </w:rPr>
              <w:t>%</w:t>
            </w:r>
          </w:p>
        </w:tc>
      </w:tr>
      <w:tr w:rsidR="007C540D" w:rsidRPr="009A4DCA" w14:paraId="71D31A5A" w14:textId="77777777" w:rsidTr="00B2154A">
        <w:tc>
          <w:tcPr>
            <w:tcW w:w="711" w:type="dxa"/>
            <w:shd w:val="clear" w:color="auto" w:fill="FFFFFF" w:themeFill="background1"/>
            <w:vAlign w:val="center"/>
          </w:tcPr>
          <w:p w14:paraId="6150DCF8" w14:textId="029D80ED"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SA.10</w:t>
            </w:r>
          </w:p>
        </w:tc>
        <w:tc>
          <w:tcPr>
            <w:tcW w:w="3293" w:type="dxa"/>
            <w:shd w:val="clear" w:color="auto" w:fill="FFFFFF" w:themeFill="background1"/>
            <w:vAlign w:val="center"/>
          </w:tcPr>
          <w:p w14:paraId="763A000A" w14:textId="7777777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Hospital = 100% (high value)</w:t>
            </w:r>
          </w:p>
        </w:tc>
        <w:tc>
          <w:tcPr>
            <w:tcW w:w="1289" w:type="dxa"/>
            <w:shd w:val="clear" w:color="auto" w:fill="FFFFFF" w:themeFill="background1"/>
            <w:vAlign w:val="center"/>
          </w:tcPr>
          <w:p w14:paraId="2A2079B1" w14:textId="2D0D50D6"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9"/>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9"/>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9"/>
                <w14:textFill>
                  <w14:solidFill>
                    <w14:srgbClr w14:val="000000">
                      <w14:alpha w14:val="100000"/>
                    </w14:srgbClr>
                  </w14:solidFill>
                </w14:textFill>
              </w:rPr>
              <w:t xml:space="preserve">　</w:t>
            </w:r>
          </w:p>
        </w:tc>
        <w:tc>
          <w:tcPr>
            <w:tcW w:w="1146" w:type="dxa"/>
            <w:shd w:val="clear" w:color="auto" w:fill="FFFFFF" w:themeFill="background1"/>
            <w:vAlign w:val="center"/>
          </w:tcPr>
          <w:p w14:paraId="3AE95118"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0.0116</w:t>
            </w:r>
          </w:p>
        </w:tc>
        <w:tc>
          <w:tcPr>
            <w:tcW w:w="1289" w:type="dxa"/>
            <w:shd w:val="clear" w:color="auto" w:fill="FFFFFF" w:themeFill="background1"/>
            <w:vAlign w:val="center"/>
          </w:tcPr>
          <w:p w14:paraId="23D8DEBC" w14:textId="1512C42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8"/>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8"/>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78"/>
                <w14:textFill>
                  <w14:solidFill>
                    <w14:srgbClr w14:val="000000">
                      <w14:alpha w14:val="100000"/>
                    </w14:srgbClr>
                  </w14:solidFill>
                </w14:textFill>
              </w:rPr>
              <w:t xml:space="preserve">　</w:t>
            </w:r>
            <w:r w:rsidR="00D40E11">
              <w:rPr>
                <w:rFonts w:ascii="Arial Narrow" w:hAnsi="Arial Narrow"/>
                <w:b/>
                <w:color w:val="000000"/>
                <w:sz w:val="20"/>
                <w:szCs w:val="20"/>
              </w:rPr>
              <w:t xml:space="preserve"> </w:t>
            </w:r>
            <w:r w:rsidR="00D40E11">
              <w:rPr>
                <w:rFonts w:ascii="Arial Narrow" w:hAnsi="Arial Narrow"/>
                <w:b/>
                <w:color w:val="000000"/>
                <w:sz w:val="20"/>
                <w:szCs w:val="20"/>
                <w:vertAlign w:val="superscript"/>
              </w:rPr>
              <w:t>3</w:t>
            </w:r>
          </w:p>
        </w:tc>
        <w:tc>
          <w:tcPr>
            <w:tcW w:w="1289" w:type="dxa"/>
            <w:shd w:val="clear" w:color="auto" w:fill="FFFFFF" w:themeFill="background1"/>
            <w:vAlign w:val="center"/>
          </w:tcPr>
          <w:p w14:paraId="51E5A40B" w14:textId="5C35542A"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3"/>
                <w:sz w:val="20"/>
                <w:szCs w:val="20"/>
                <w:shd w:val="solid" w:color="000000" w:fill="000000"/>
                <w:fitText w:val="106" w:id="-762047477"/>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477"/>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477"/>
                <w14:textFill>
                  <w14:solidFill>
                    <w14:srgbClr w14:val="000000">
                      <w14:alpha w14:val="100000"/>
                    </w14:srgbClr>
                  </w14:solidFill>
                </w14:textFill>
              </w:rPr>
              <w:t xml:space="preserve">　</w:t>
            </w:r>
            <w:r w:rsidRPr="009A4DCA">
              <w:rPr>
                <w:rFonts w:ascii="Arial Narrow" w:hAnsi="Arial Narrow"/>
                <w:sz w:val="20"/>
                <w:szCs w:val="20"/>
              </w:rPr>
              <w:t>%</w:t>
            </w:r>
          </w:p>
        </w:tc>
      </w:tr>
      <w:tr w:rsidR="007C540D" w:rsidRPr="009A4DCA" w14:paraId="7ECC1A75" w14:textId="77777777" w:rsidTr="00B2154A">
        <w:tc>
          <w:tcPr>
            <w:tcW w:w="9017" w:type="dxa"/>
            <w:gridSpan w:val="6"/>
            <w:shd w:val="clear" w:color="auto" w:fill="FFFFFF" w:themeFill="background1"/>
            <w:vAlign w:val="center"/>
          </w:tcPr>
          <w:p w14:paraId="4AA6DF2A" w14:textId="77777777" w:rsidR="007C540D" w:rsidRPr="009A4DCA" w:rsidRDefault="007C540D" w:rsidP="007C540D">
            <w:pPr>
              <w:keepNext/>
              <w:keepLines/>
              <w:jc w:val="left"/>
              <w:rPr>
                <w:rFonts w:ascii="Arial Narrow" w:hAnsi="Arial Narrow"/>
                <w:color w:val="000000"/>
                <w:sz w:val="20"/>
                <w:szCs w:val="20"/>
              </w:rPr>
            </w:pPr>
            <w:r w:rsidRPr="009A4DCA">
              <w:rPr>
                <w:rFonts w:ascii="Arial Narrow" w:hAnsi="Arial Narrow"/>
                <w:b/>
                <w:color w:val="000000"/>
                <w:sz w:val="20"/>
                <w:szCs w:val="20"/>
              </w:rPr>
              <w:t>Vaccine efficacy timepoints (base case: titration (1.51%), extrapolation (6 months) truncation (48 months))</w:t>
            </w:r>
          </w:p>
        </w:tc>
      </w:tr>
      <w:tr w:rsidR="007C540D" w:rsidRPr="009A4DCA" w14:paraId="780DF5B0" w14:textId="77777777" w:rsidTr="00B2154A">
        <w:tc>
          <w:tcPr>
            <w:tcW w:w="711" w:type="dxa"/>
            <w:shd w:val="clear" w:color="auto" w:fill="FFFFFF" w:themeFill="background1"/>
            <w:vAlign w:val="center"/>
          </w:tcPr>
          <w:p w14:paraId="771FF04A" w14:textId="7A2546A0"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SA.11</w:t>
            </w:r>
          </w:p>
        </w:tc>
        <w:tc>
          <w:tcPr>
            <w:tcW w:w="3293" w:type="dxa"/>
            <w:shd w:val="clear" w:color="auto" w:fill="FFFFFF" w:themeFill="background1"/>
            <w:vAlign w:val="center"/>
          </w:tcPr>
          <w:p w14:paraId="1F523568" w14:textId="7777777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Truncation = 36 months</w:t>
            </w:r>
          </w:p>
        </w:tc>
        <w:tc>
          <w:tcPr>
            <w:tcW w:w="1289" w:type="dxa"/>
            <w:shd w:val="clear" w:color="auto" w:fill="FFFFFF" w:themeFill="background1"/>
            <w:vAlign w:val="center"/>
          </w:tcPr>
          <w:p w14:paraId="2FD78743" w14:textId="1AD46100"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6"/>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6"/>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6"/>
                <w14:textFill>
                  <w14:solidFill>
                    <w14:srgbClr w14:val="000000">
                      <w14:alpha w14:val="100000"/>
                    </w14:srgbClr>
                  </w14:solidFill>
                </w14:textFill>
              </w:rPr>
              <w:t xml:space="preserve">　</w:t>
            </w:r>
          </w:p>
        </w:tc>
        <w:tc>
          <w:tcPr>
            <w:tcW w:w="1146" w:type="dxa"/>
            <w:shd w:val="clear" w:color="auto" w:fill="FFFFFF" w:themeFill="background1"/>
            <w:vAlign w:val="center"/>
          </w:tcPr>
          <w:p w14:paraId="7A6CDCD1"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0.0081</w:t>
            </w:r>
          </w:p>
        </w:tc>
        <w:tc>
          <w:tcPr>
            <w:tcW w:w="1289" w:type="dxa"/>
            <w:shd w:val="clear" w:color="auto" w:fill="FFFFFF" w:themeFill="background1"/>
            <w:vAlign w:val="center"/>
          </w:tcPr>
          <w:p w14:paraId="3D604911" w14:textId="054E575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5"/>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5"/>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75"/>
                <w14:textFill>
                  <w14:solidFill>
                    <w14:srgbClr w14:val="000000">
                      <w14:alpha w14:val="100000"/>
                    </w14:srgbClr>
                  </w14:solidFill>
                </w14:textFill>
              </w:rPr>
              <w:t xml:space="preserve">　</w:t>
            </w:r>
            <w:r w:rsidR="00BA0411">
              <w:rPr>
                <w:rFonts w:ascii="Arial Narrow" w:hAnsi="Arial Narrow"/>
                <w:b/>
                <w:color w:val="000000"/>
                <w:sz w:val="20"/>
                <w:szCs w:val="20"/>
              </w:rPr>
              <w:t xml:space="preserve"> </w:t>
            </w:r>
            <w:r w:rsidR="00BA0411">
              <w:rPr>
                <w:rFonts w:ascii="Arial Narrow" w:hAnsi="Arial Narrow"/>
                <w:b/>
                <w:color w:val="000000"/>
                <w:sz w:val="20"/>
                <w:szCs w:val="20"/>
                <w:vertAlign w:val="superscript"/>
              </w:rPr>
              <w:t>1</w:t>
            </w:r>
          </w:p>
        </w:tc>
        <w:tc>
          <w:tcPr>
            <w:tcW w:w="1289" w:type="dxa"/>
            <w:shd w:val="clear" w:color="auto" w:fill="FFFFFF" w:themeFill="background1"/>
            <w:vAlign w:val="center"/>
          </w:tcPr>
          <w:p w14:paraId="31DFF6DB" w14:textId="5DFE0E04"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74"/>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74"/>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474"/>
                <w14:textFill>
                  <w14:solidFill>
                    <w14:srgbClr w14:val="000000">
                      <w14:alpha w14:val="100000"/>
                    </w14:srgbClr>
                  </w14:solidFill>
                </w14:textFill>
              </w:rPr>
              <w:t xml:space="preserve">　</w:t>
            </w:r>
            <w:r w:rsidRPr="009A4DCA">
              <w:rPr>
                <w:rFonts w:ascii="Arial Narrow" w:hAnsi="Arial Narrow"/>
                <w:sz w:val="20"/>
                <w:szCs w:val="20"/>
              </w:rPr>
              <w:t>%</w:t>
            </w:r>
          </w:p>
        </w:tc>
      </w:tr>
      <w:tr w:rsidR="007C540D" w:rsidRPr="009A4DCA" w14:paraId="57E974FB" w14:textId="77777777" w:rsidTr="00B2154A">
        <w:tc>
          <w:tcPr>
            <w:tcW w:w="711" w:type="dxa"/>
            <w:shd w:val="clear" w:color="auto" w:fill="FFFFFF" w:themeFill="background1"/>
            <w:vAlign w:val="center"/>
          </w:tcPr>
          <w:p w14:paraId="58E768E6" w14:textId="173D96CE"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SA.12</w:t>
            </w:r>
          </w:p>
        </w:tc>
        <w:tc>
          <w:tcPr>
            <w:tcW w:w="3293" w:type="dxa"/>
            <w:shd w:val="clear" w:color="auto" w:fill="FFFFFF" w:themeFill="background1"/>
            <w:vAlign w:val="center"/>
          </w:tcPr>
          <w:p w14:paraId="40B0175F" w14:textId="77777777" w:rsidR="007C540D" w:rsidRPr="009A4DCA" w:rsidRDefault="007C540D" w:rsidP="007C540D">
            <w:pPr>
              <w:keepNext/>
              <w:keepLines/>
              <w:jc w:val="left"/>
              <w:rPr>
                <w:rFonts w:ascii="Arial Narrow" w:hAnsi="Arial Narrow"/>
                <w:sz w:val="20"/>
                <w:szCs w:val="20"/>
              </w:rPr>
            </w:pPr>
            <w:r w:rsidRPr="009A4DCA">
              <w:rPr>
                <w:rFonts w:ascii="Arial Narrow" w:hAnsi="Arial Narrow"/>
                <w:sz w:val="20"/>
                <w:szCs w:val="20"/>
              </w:rPr>
              <w:t>Truncation = 24 months</w:t>
            </w:r>
            <w:r w:rsidRPr="009A4DCA">
              <w:rPr>
                <w:rFonts w:ascii="Arial Narrow" w:hAnsi="Arial Narrow"/>
                <w:color w:val="000000"/>
                <w:sz w:val="20"/>
                <w:szCs w:val="20"/>
                <w:vertAlign w:val="superscript"/>
              </w:rPr>
              <w:t xml:space="preserve"> a</w:t>
            </w:r>
          </w:p>
        </w:tc>
        <w:tc>
          <w:tcPr>
            <w:tcW w:w="1289" w:type="dxa"/>
            <w:shd w:val="clear" w:color="auto" w:fill="FFFFFF" w:themeFill="background1"/>
            <w:vAlign w:val="center"/>
          </w:tcPr>
          <w:p w14:paraId="3E7D6CDB" w14:textId="45D55455"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73"/>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73"/>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73"/>
                <w14:textFill>
                  <w14:solidFill>
                    <w14:srgbClr w14:val="000000">
                      <w14:alpha w14:val="100000"/>
                    </w14:srgbClr>
                  </w14:solidFill>
                </w14:textFill>
              </w:rPr>
              <w:t xml:space="preserve">　</w:t>
            </w:r>
          </w:p>
        </w:tc>
        <w:tc>
          <w:tcPr>
            <w:tcW w:w="1146" w:type="dxa"/>
            <w:shd w:val="clear" w:color="auto" w:fill="FFFFFF" w:themeFill="background1"/>
            <w:vAlign w:val="center"/>
          </w:tcPr>
          <w:p w14:paraId="6CC5E320" w14:textId="7777777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0.0061</w:t>
            </w:r>
          </w:p>
        </w:tc>
        <w:tc>
          <w:tcPr>
            <w:tcW w:w="1289" w:type="dxa"/>
            <w:shd w:val="clear" w:color="auto" w:fill="FFFFFF" w:themeFill="background1"/>
            <w:vAlign w:val="center"/>
          </w:tcPr>
          <w:p w14:paraId="7EA72D18" w14:textId="495CD680"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72"/>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72"/>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472"/>
                <w14:textFill>
                  <w14:solidFill>
                    <w14:srgbClr w14:val="000000">
                      <w14:alpha w14:val="100000"/>
                    </w14:srgbClr>
                  </w14:solidFill>
                </w14:textFill>
              </w:rPr>
              <w:t xml:space="preserve">　</w:t>
            </w:r>
            <w:r w:rsidR="00D40E11">
              <w:rPr>
                <w:rFonts w:ascii="Arial Narrow" w:hAnsi="Arial Narrow"/>
                <w:b/>
                <w:color w:val="000000"/>
                <w:sz w:val="20"/>
                <w:szCs w:val="20"/>
              </w:rPr>
              <w:t xml:space="preserve"> </w:t>
            </w:r>
            <w:r w:rsidR="00D40E11">
              <w:rPr>
                <w:rFonts w:ascii="Arial Narrow" w:hAnsi="Arial Narrow"/>
                <w:b/>
                <w:color w:val="000000"/>
                <w:sz w:val="20"/>
                <w:szCs w:val="20"/>
                <w:vertAlign w:val="superscript"/>
              </w:rPr>
              <w:t>4</w:t>
            </w:r>
          </w:p>
        </w:tc>
        <w:tc>
          <w:tcPr>
            <w:tcW w:w="1289" w:type="dxa"/>
            <w:shd w:val="clear" w:color="auto" w:fill="FFFFFF" w:themeFill="background1"/>
            <w:vAlign w:val="center"/>
          </w:tcPr>
          <w:p w14:paraId="6E79F644" w14:textId="2DB0D917" w:rsidR="007C540D" w:rsidRPr="009A4DCA" w:rsidRDefault="007C540D" w:rsidP="007C540D">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488"/>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488"/>
                <w14:textFill>
                  <w14:solidFill>
                    <w14:srgbClr w14:val="000000">
                      <w14:alpha w14:val="100000"/>
                    </w14:srgbClr>
                  </w14:solidFill>
                </w14:textFill>
              </w:rPr>
              <w:t>|</w:t>
            </w:r>
            <w:r w:rsidR="00E44A34" w:rsidRPr="00E44A34">
              <w:rPr>
                <w:rFonts w:ascii="Arial Narrow" w:hAnsi="Arial Narrow" w:hint="eastAsia"/>
                <w:color w:val="000000"/>
                <w:spacing w:val="1"/>
                <w:w w:val="30"/>
                <w:sz w:val="20"/>
                <w:szCs w:val="20"/>
                <w:shd w:val="solid" w:color="000000" w:fill="000000"/>
                <w:fitText w:val="133" w:id="-762047488"/>
                <w14:textFill>
                  <w14:solidFill>
                    <w14:srgbClr w14:val="000000">
                      <w14:alpha w14:val="100000"/>
                    </w14:srgbClr>
                  </w14:solidFill>
                </w14:textFill>
              </w:rPr>
              <w:t xml:space="preserve">　</w:t>
            </w:r>
            <w:r w:rsidRPr="009A4DCA">
              <w:rPr>
                <w:rFonts w:ascii="Arial Narrow" w:hAnsi="Arial Narrow"/>
                <w:sz w:val="20"/>
                <w:szCs w:val="20"/>
              </w:rPr>
              <w:t>%</w:t>
            </w:r>
          </w:p>
        </w:tc>
      </w:tr>
    </w:tbl>
    <w:p w14:paraId="486A50B0" w14:textId="3728A236" w:rsidR="00A06A75" w:rsidRPr="009A4DCA" w:rsidRDefault="00A06A75" w:rsidP="00A06A75">
      <w:pPr>
        <w:pStyle w:val="FooterTableFigure"/>
        <w:keepNext/>
        <w:keepLines/>
        <w:rPr>
          <w:i/>
        </w:rPr>
      </w:pPr>
      <w:r w:rsidRPr="009A4DCA">
        <w:t xml:space="preserve">Source: Table 3.9.5, p128 of the submission; </w:t>
      </w:r>
      <w:r w:rsidR="007C540D" w:rsidRPr="009A4DCA">
        <w:t>‘ABRYSVO_Older Adults_CEA_July’</w:t>
      </w:r>
      <w:r w:rsidR="007C540D" w:rsidRPr="009A4DCA">
        <w:rPr>
          <w:i/>
          <w:iCs/>
        </w:rPr>
        <w:t xml:space="preserve"> </w:t>
      </w:r>
      <w:r w:rsidR="007C540D" w:rsidRPr="009A4DCA">
        <w:t>spreadsheet, with additional analyses performed during the evaluation.</w:t>
      </w:r>
    </w:p>
    <w:p w14:paraId="75AA7CE6" w14:textId="1122BF85" w:rsidR="00A63485" w:rsidRPr="009A4DCA" w:rsidRDefault="00A06A75" w:rsidP="00A63485">
      <w:pPr>
        <w:pStyle w:val="FooterTableFigure"/>
        <w:keepNext/>
        <w:keepLines/>
        <w:spacing w:after="0"/>
      </w:pPr>
      <w:r w:rsidRPr="009A4DCA">
        <w:t>AIHW = Australian Institute of Health and Welfare; CEA = cost effectiveness analysis; ICER = incremental cost-effectiveness; Incr = incremental; QALY = quality-adjusted life year; SA = sensitivity analysis.</w:t>
      </w:r>
      <w:r w:rsidR="00A63485">
        <w:t xml:space="preserve"> </w:t>
      </w:r>
    </w:p>
    <w:p w14:paraId="16E6F9A5" w14:textId="77777777" w:rsidR="00A63485" w:rsidRPr="009A6D58" w:rsidRDefault="00A63485" w:rsidP="00A6348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603F7D9" w14:textId="625C3777" w:rsidR="00A63485" w:rsidRPr="009A6D58" w:rsidRDefault="00A63485" w:rsidP="00A6348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842865" w:rsidRPr="00842865">
        <w:rPr>
          <w:rFonts w:ascii="Arial Narrow" w:hAnsi="Arial Narrow"/>
          <w:i/>
          <w:sz w:val="18"/>
          <w:szCs w:val="18"/>
        </w:rPr>
        <w:t>$5,000 to &lt; $15,000</w:t>
      </w:r>
    </w:p>
    <w:p w14:paraId="51481B0E" w14:textId="7CF2CE19" w:rsidR="00A63485" w:rsidRPr="009A6D58" w:rsidRDefault="00A63485" w:rsidP="00607910">
      <w:pPr>
        <w:tabs>
          <w:tab w:val="left" w:pos="664"/>
        </w:tab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607910" w:rsidRPr="00607910">
        <w:rPr>
          <w:rFonts w:ascii="Arial Narrow" w:hAnsi="Arial Narrow"/>
          <w:i/>
          <w:sz w:val="18"/>
          <w:szCs w:val="18"/>
        </w:rPr>
        <w:t>$25,000 to &lt; $35,000</w:t>
      </w:r>
    </w:p>
    <w:p w14:paraId="5642DABA" w14:textId="65EAE573" w:rsidR="00A63485" w:rsidRDefault="00A63485" w:rsidP="00A6348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412FDC" w:rsidRPr="00412FDC">
        <w:rPr>
          <w:rFonts w:ascii="Arial Narrow" w:hAnsi="Arial Narrow"/>
          <w:i/>
          <w:sz w:val="18"/>
          <w:szCs w:val="18"/>
        </w:rPr>
        <w:t>$0 to &lt; $5,000</w:t>
      </w:r>
    </w:p>
    <w:p w14:paraId="3DCC6401" w14:textId="377117AC" w:rsidR="00A06A75" w:rsidRPr="00A63485" w:rsidRDefault="00A63485" w:rsidP="00A6348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BB4944" w:rsidRPr="00BB4944">
        <w:rPr>
          <w:rFonts w:ascii="Arial Narrow" w:hAnsi="Arial Narrow"/>
          <w:i/>
          <w:sz w:val="18"/>
          <w:szCs w:val="18"/>
        </w:rPr>
        <w:t>$15,000 to &lt; $25,000</w:t>
      </w:r>
    </w:p>
    <w:p w14:paraId="6AE2F460" w14:textId="6157612E" w:rsidR="00645C2C" w:rsidRPr="009A4DCA" w:rsidRDefault="00645C2C" w:rsidP="00991D60">
      <w:pPr>
        <w:pStyle w:val="3-BodyText"/>
        <w:numPr>
          <w:ilvl w:val="1"/>
          <w:numId w:val="1"/>
        </w:numPr>
      </w:pPr>
      <w:r w:rsidRPr="009A4DCA">
        <w:t xml:space="preserve">The results of key univariate sensitivity analyses for the population of </w:t>
      </w:r>
      <w:r w:rsidR="00DF75E2" w:rsidRPr="009A4DCA">
        <w:t>adults with at least one risk factor aged 60 to 74 years</w:t>
      </w:r>
      <w:r w:rsidRPr="009A4DCA">
        <w:t xml:space="preserve"> are summarised in </w:t>
      </w:r>
      <w:r w:rsidR="00A576A3" w:rsidRPr="009A4DCA">
        <w:fldChar w:fldCharType="begin"/>
      </w:r>
      <w:r w:rsidR="00A576A3" w:rsidRPr="009A4DCA">
        <w:instrText xml:space="preserve"> REF _Ref177428165 \h </w:instrText>
      </w:r>
      <w:r w:rsidR="00A576A3" w:rsidRPr="009A4DCA">
        <w:fldChar w:fldCharType="separate"/>
      </w:r>
      <w:r w:rsidR="007B2F50" w:rsidRPr="009A4DCA">
        <w:t xml:space="preserve">Table </w:t>
      </w:r>
      <w:r w:rsidR="007B2F50">
        <w:rPr>
          <w:noProof/>
        </w:rPr>
        <w:t>20</w:t>
      </w:r>
      <w:r w:rsidR="00A576A3" w:rsidRPr="009A4DCA">
        <w:fldChar w:fldCharType="end"/>
      </w:r>
      <w:r w:rsidRPr="009A4DCA">
        <w:t xml:space="preserve">. </w:t>
      </w:r>
    </w:p>
    <w:p w14:paraId="1FC60056" w14:textId="6887A781" w:rsidR="00645C2C" w:rsidRPr="009A4DCA" w:rsidRDefault="00645C2C" w:rsidP="00BE2884">
      <w:pPr>
        <w:pStyle w:val="Caption"/>
        <w:rPr>
          <w:color w:val="000000"/>
          <w:szCs w:val="20"/>
        </w:rPr>
      </w:pPr>
      <w:bookmarkStart w:id="80" w:name="_Ref177428165"/>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20</w:t>
      </w:r>
      <w:r w:rsidR="00491347">
        <w:fldChar w:fldCharType="end"/>
      </w:r>
      <w:bookmarkEnd w:id="80"/>
      <w:r w:rsidRPr="009A4DCA">
        <w:t>:</w:t>
      </w:r>
      <w:r w:rsidRPr="009A4DCA">
        <w:rPr>
          <w:rStyle w:val="CommentReference"/>
          <w:b/>
          <w:szCs w:val="24"/>
        </w:rPr>
        <w:t xml:space="preserve"> Sensitivity analyses for population</w:t>
      </w:r>
      <w:r w:rsidR="00A576A3" w:rsidRPr="009A4DCA">
        <w:rPr>
          <w:rStyle w:val="CommentReference"/>
          <w:b/>
          <w:szCs w:val="24"/>
        </w:rPr>
        <w:t xml:space="preserve">: </w:t>
      </w:r>
      <w:r w:rsidR="00A576A3" w:rsidRPr="009A4DCA">
        <w:t>adults with at least one risk factor aged 60 to 74 years</w:t>
      </w:r>
    </w:p>
    <w:tbl>
      <w:tblPr>
        <w:tblStyle w:val="PBACtable10"/>
        <w:tblW w:w="5000" w:type="pct"/>
        <w:shd w:val="clear" w:color="auto" w:fill="FFFFFF" w:themeFill="background1"/>
        <w:tblLayout w:type="fixed"/>
        <w:tblLook w:val="04A0" w:firstRow="1" w:lastRow="0" w:firstColumn="1" w:lastColumn="0" w:noHBand="0" w:noVBand="1"/>
      </w:tblPr>
      <w:tblGrid>
        <w:gridCol w:w="711"/>
        <w:gridCol w:w="3293"/>
        <w:gridCol w:w="1289"/>
        <w:gridCol w:w="1146"/>
        <w:gridCol w:w="1289"/>
        <w:gridCol w:w="1289"/>
      </w:tblGrid>
      <w:tr w:rsidR="00A576A3" w:rsidRPr="009A4DCA" w14:paraId="5B7F6DD4" w14:textId="77777777" w:rsidTr="008C1CDB">
        <w:trPr>
          <w:tblHeader/>
        </w:trPr>
        <w:tc>
          <w:tcPr>
            <w:tcW w:w="4004" w:type="dxa"/>
            <w:gridSpan w:val="2"/>
            <w:shd w:val="clear" w:color="auto" w:fill="FFFFFF" w:themeFill="background1"/>
            <w:vAlign w:val="center"/>
          </w:tcPr>
          <w:p w14:paraId="2A6B9B07" w14:textId="77777777" w:rsidR="00A576A3" w:rsidRPr="009A4DCA" w:rsidRDefault="00A576A3" w:rsidP="00BE2884">
            <w:pPr>
              <w:keepNext/>
              <w:keepLines/>
              <w:jc w:val="left"/>
              <w:rPr>
                <w:rFonts w:ascii="Arial Narrow" w:hAnsi="Arial Narrow"/>
                <w:b/>
                <w:color w:val="000000"/>
                <w:sz w:val="20"/>
                <w:szCs w:val="20"/>
              </w:rPr>
            </w:pPr>
            <w:r w:rsidRPr="009A4DCA">
              <w:rPr>
                <w:rFonts w:ascii="Arial Narrow" w:hAnsi="Arial Narrow"/>
                <w:b/>
                <w:color w:val="000000"/>
                <w:sz w:val="20"/>
                <w:szCs w:val="20"/>
              </w:rPr>
              <w:t>Sensitivity analyses</w:t>
            </w:r>
          </w:p>
        </w:tc>
        <w:tc>
          <w:tcPr>
            <w:tcW w:w="1289" w:type="dxa"/>
            <w:shd w:val="clear" w:color="auto" w:fill="FFFFFF" w:themeFill="background1"/>
          </w:tcPr>
          <w:p w14:paraId="7D272AAA" w14:textId="77777777" w:rsidR="00A576A3" w:rsidRPr="009A4DCA" w:rsidRDefault="00A576A3"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Incr costs</w:t>
            </w:r>
          </w:p>
        </w:tc>
        <w:tc>
          <w:tcPr>
            <w:tcW w:w="1146" w:type="dxa"/>
            <w:shd w:val="clear" w:color="auto" w:fill="FFFFFF" w:themeFill="background1"/>
          </w:tcPr>
          <w:p w14:paraId="629CB4C4" w14:textId="77777777" w:rsidR="00A576A3" w:rsidRPr="009A4DCA" w:rsidRDefault="00A576A3"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Incr QALYs</w:t>
            </w:r>
          </w:p>
        </w:tc>
        <w:tc>
          <w:tcPr>
            <w:tcW w:w="1289" w:type="dxa"/>
            <w:shd w:val="clear" w:color="auto" w:fill="FFFFFF" w:themeFill="background1"/>
          </w:tcPr>
          <w:p w14:paraId="30CFAA88" w14:textId="77777777" w:rsidR="00A576A3" w:rsidRPr="009A4DCA" w:rsidRDefault="00A576A3"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ICER</w:t>
            </w:r>
          </w:p>
        </w:tc>
        <w:tc>
          <w:tcPr>
            <w:tcW w:w="1289" w:type="dxa"/>
            <w:shd w:val="clear" w:color="auto" w:fill="FFFFFF" w:themeFill="background1"/>
            <w:vAlign w:val="center"/>
          </w:tcPr>
          <w:p w14:paraId="29CDE964" w14:textId="77777777" w:rsidR="00A576A3" w:rsidRPr="009A4DCA" w:rsidRDefault="00A576A3" w:rsidP="00BE2884">
            <w:pPr>
              <w:keepNext/>
              <w:keepLines/>
              <w:ind w:left="-57" w:right="-57"/>
              <w:jc w:val="center"/>
              <w:rPr>
                <w:rFonts w:ascii="Arial Narrow" w:hAnsi="Arial Narrow"/>
                <w:b/>
                <w:color w:val="000000"/>
                <w:sz w:val="20"/>
                <w:szCs w:val="20"/>
              </w:rPr>
            </w:pPr>
            <w:r w:rsidRPr="009A4DCA">
              <w:rPr>
                <w:rFonts w:ascii="Arial Narrow" w:hAnsi="Arial Narrow"/>
                <w:b/>
                <w:color w:val="000000"/>
                <w:sz w:val="20"/>
                <w:szCs w:val="20"/>
              </w:rPr>
              <w:t>% change from base case</w:t>
            </w:r>
          </w:p>
        </w:tc>
      </w:tr>
      <w:tr w:rsidR="00A576A3" w:rsidRPr="009A4DCA" w14:paraId="5C4543D2" w14:textId="77777777" w:rsidTr="008C1CDB">
        <w:tc>
          <w:tcPr>
            <w:tcW w:w="4004" w:type="dxa"/>
            <w:gridSpan w:val="2"/>
            <w:shd w:val="clear" w:color="auto" w:fill="FFFFFF" w:themeFill="background1"/>
            <w:vAlign w:val="center"/>
          </w:tcPr>
          <w:p w14:paraId="42A54950" w14:textId="77777777" w:rsidR="00A576A3" w:rsidRPr="009A4DCA" w:rsidRDefault="00A576A3" w:rsidP="00BE2884">
            <w:pPr>
              <w:keepNext/>
              <w:keepLines/>
              <w:jc w:val="left"/>
              <w:rPr>
                <w:rFonts w:ascii="Arial Narrow" w:hAnsi="Arial Narrow"/>
                <w:b/>
                <w:sz w:val="20"/>
              </w:rPr>
            </w:pPr>
            <w:r w:rsidRPr="009A4DCA">
              <w:rPr>
                <w:rFonts w:ascii="Arial Narrow" w:hAnsi="Arial Narrow"/>
                <w:b/>
                <w:color w:val="000000"/>
                <w:sz w:val="20"/>
                <w:szCs w:val="20"/>
              </w:rPr>
              <w:t>Base case (discounted) – adults with at least one risk factor aged 60 to 74 years</w:t>
            </w:r>
          </w:p>
        </w:tc>
        <w:tc>
          <w:tcPr>
            <w:tcW w:w="1289" w:type="dxa"/>
            <w:shd w:val="clear" w:color="auto" w:fill="FFFFFF" w:themeFill="background1"/>
            <w:vAlign w:val="center"/>
          </w:tcPr>
          <w:p w14:paraId="59FA6019" w14:textId="77CB4469" w:rsidR="00A576A3" w:rsidRPr="009A4DCA" w:rsidRDefault="00A576A3"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w:t>
            </w:r>
            <w:r w:rsidR="00E44A34" w:rsidRPr="00E44A34">
              <w:rPr>
                <w:rFonts w:ascii="Arial Narrow" w:hAnsi="Arial Narrow" w:hint="eastAsia"/>
                <w:b/>
                <w:color w:val="000000"/>
                <w:w w:val="20"/>
                <w:sz w:val="20"/>
                <w:szCs w:val="20"/>
                <w:shd w:val="solid" w:color="000000" w:fill="000000"/>
                <w:fitText w:val="93" w:id="-762047487"/>
                <w14:textFill>
                  <w14:solidFill>
                    <w14:srgbClr w14:val="000000">
                      <w14:alpha w14:val="100000"/>
                    </w14:srgbClr>
                  </w14:solidFill>
                </w14:textFill>
              </w:rPr>
              <w:t xml:space="preserve">　</w:t>
            </w:r>
            <w:r w:rsidR="00E44A34" w:rsidRPr="00E44A34">
              <w:rPr>
                <w:rFonts w:ascii="Arial Narrow" w:hAnsi="Arial Narrow"/>
                <w:b/>
                <w:color w:val="000000"/>
                <w:w w:val="20"/>
                <w:sz w:val="20"/>
                <w:szCs w:val="20"/>
                <w:shd w:val="solid" w:color="000000" w:fill="000000"/>
                <w:fitText w:val="93" w:id="-762047487"/>
                <w14:textFill>
                  <w14:solidFill>
                    <w14:srgbClr w14:val="000000">
                      <w14:alpha w14:val="100000"/>
                    </w14:srgbClr>
                  </w14:solidFill>
                </w14:textFill>
              </w:rPr>
              <w:t>|</w:t>
            </w:r>
            <w:r w:rsidR="00E44A34" w:rsidRPr="00E44A34">
              <w:rPr>
                <w:rFonts w:ascii="Arial Narrow" w:hAnsi="Arial Narrow" w:hint="eastAsia"/>
                <w:b/>
                <w:color w:val="000000"/>
                <w:w w:val="20"/>
                <w:sz w:val="20"/>
                <w:szCs w:val="20"/>
                <w:shd w:val="solid" w:color="000000" w:fill="000000"/>
                <w:fitText w:val="93" w:id="-762047487"/>
                <w14:textFill>
                  <w14:solidFill>
                    <w14:srgbClr w14:val="000000">
                      <w14:alpha w14:val="100000"/>
                    </w14:srgbClr>
                  </w14:solidFill>
                </w14:textFill>
              </w:rPr>
              <w:t xml:space="preserve">　</w:t>
            </w:r>
          </w:p>
        </w:tc>
        <w:tc>
          <w:tcPr>
            <w:tcW w:w="1146" w:type="dxa"/>
            <w:shd w:val="clear" w:color="auto" w:fill="FFFFFF" w:themeFill="background1"/>
            <w:vAlign w:val="center"/>
          </w:tcPr>
          <w:p w14:paraId="75457758" w14:textId="77777777" w:rsidR="00A576A3" w:rsidRPr="009A4DCA" w:rsidRDefault="00A576A3"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0.011</w:t>
            </w:r>
          </w:p>
        </w:tc>
        <w:tc>
          <w:tcPr>
            <w:tcW w:w="1289" w:type="dxa"/>
            <w:shd w:val="clear" w:color="auto" w:fill="FFFFFF" w:themeFill="background1"/>
            <w:vAlign w:val="center"/>
          </w:tcPr>
          <w:p w14:paraId="05006A20" w14:textId="7DE1598A" w:rsidR="00A576A3" w:rsidRPr="00BB4944" w:rsidRDefault="00A576A3" w:rsidP="00BE2884">
            <w:pPr>
              <w:keepNext/>
              <w:keepLines/>
              <w:jc w:val="center"/>
              <w:rPr>
                <w:rFonts w:ascii="Arial Narrow" w:hAnsi="Arial Narrow"/>
                <w:b/>
                <w:color w:val="000000"/>
                <w:sz w:val="20"/>
                <w:szCs w:val="20"/>
                <w:vertAlign w:val="superscript"/>
              </w:rPr>
            </w:pPr>
            <w:r w:rsidRPr="009A4DCA">
              <w:rPr>
                <w:rFonts w:ascii="Arial Narrow" w:hAnsi="Arial Narrow"/>
                <w:b/>
                <w:color w:val="000000"/>
                <w:sz w:val="20"/>
                <w:szCs w:val="20"/>
              </w:rPr>
              <w:t>$</w:t>
            </w:r>
            <w:r w:rsidR="00E44A34" w:rsidRPr="00E44A34">
              <w:rPr>
                <w:rFonts w:ascii="Arial Narrow" w:hAnsi="Arial Narrow" w:hint="eastAsia"/>
                <w:b/>
                <w:color w:val="000000"/>
                <w:w w:val="32"/>
                <w:sz w:val="20"/>
                <w:szCs w:val="20"/>
                <w:shd w:val="solid" w:color="000000" w:fill="000000"/>
                <w:fitText w:val="147" w:id="-762047486"/>
                <w14:textFill>
                  <w14:solidFill>
                    <w14:srgbClr w14:val="000000">
                      <w14:alpha w14:val="100000"/>
                    </w14:srgbClr>
                  </w14:solidFill>
                </w14:textFill>
              </w:rPr>
              <w:t xml:space="preserve">　</w:t>
            </w:r>
            <w:r w:rsidR="00E44A34" w:rsidRPr="00E44A34">
              <w:rPr>
                <w:rFonts w:ascii="Arial Narrow" w:hAnsi="Arial Narrow"/>
                <w:b/>
                <w:color w:val="000000"/>
                <w:w w:val="32"/>
                <w:sz w:val="20"/>
                <w:szCs w:val="20"/>
                <w:shd w:val="solid" w:color="000000" w:fill="000000"/>
                <w:fitText w:val="147" w:id="-762047486"/>
                <w14:textFill>
                  <w14:solidFill>
                    <w14:srgbClr w14:val="000000">
                      <w14:alpha w14:val="100000"/>
                    </w14:srgbClr>
                  </w14:solidFill>
                </w14:textFill>
              </w:rPr>
              <w:t>|</w:t>
            </w:r>
            <w:r w:rsidR="00E44A34" w:rsidRPr="00E44A34">
              <w:rPr>
                <w:rFonts w:ascii="Arial Narrow" w:hAnsi="Arial Narrow" w:hint="eastAsia"/>
                <w:b/>
                <w:color w:val="000000"/>
                <w:w w:val="32"/>
                <w:sz w:val="20"/>
                <w:szCs w:val="20"/>
                <w:shd w:val="solid" w:color="000000" w:fill="000000"/>
                <w:fitText w:val="147" w:id="-762047486"/>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1</w:t>
            </w:r>
          </w:p>
        </w:tc>
        <w:tc>
          <w:tcPr>
            <w:tcW w:w="1289" w:type="dxa"/>
            <w:shd w:val="clear" w:color="auto" w:fill="FFFFFF" w:themeFill="background1"/>
            <w:vAlign w:val="center"/>
          </w:tcPr>
          <w:p w14:paraId="7BF40A8A" w14:textId="77777777" w:rsidR="00A576A3" w:rsidRPr="009A4DCA" w:rsidRDefault="00A576A3" w:rsidP="00BE2884">
            <w:pPr>
              <w:keepNext/>
              <w:keepLines/>
              <w:jc w:val="center"/>
              <w:rPr>
                <w:rFonts w:ascii="Arial Narrow" w:hAnsi="Arial Narrow"/>
                <w:b/>
                <w:color w:val="000000"/>
                <w:sz w:val="20"/>
                <w:szCs w:val="20"/>
              </w:rPr>
            </w:pPr>
            <w:r w:rsidRPr="009A4DCA">
              <w:rPr>
                <w:rFonts w:ascii="Arial Narrow" w:hAnsi="Arial Narrow"/>
                <w:b/>
                <w:color w:val="000000"/>
                <w:sz w:val="20"/>
                <w:szCs w:val="20"/>
              </w:rPr>
              <w:t>–</w:t>
            </w:r>
          </w:p>
        </w:tc>
      </w:tr>
      <w:tr w:rsidR="00E03A06" w:rsidRPr="009A4DCA" w14:paraId="6434DC44" w14:textId="77777777" w:rsidTr="00961531">
        <w:tc>
          <w:tcPr>
            <w:tcW w:w="9017" w:type="dxa"/>
            <w:gridSpan w:val="6"/>
            <w:shd w:val="clear" w:color="auto" w:fill="FFFFFF" w:themeFill="background1"/>
            <w:vAlign w:val="center"/>
          </w:tcPr>
          <w:p w14:paraId="6847BA82" w14:textId="1B31501E" w:rsidR="00A576A3" w:rsidRPr="009A4DCA" w:rsidRDefault="00A576A3" w:rsidP="00BE2884">
            <w:pPr>
              <w:keepNext/>
              <w:keepLines/>
              <w:jc w:val="left"/>
              <w:rPr>
                <w:rFonts w:ascii="Arial Narrow" w:hAnsi="Arial Narrow"/>
                <w:b/>
                <w:color w:val="000000"/>
                <w:sz w:val="20"/>
                <w:szCs w:val="20"/>
              </w:rPr>
            </w:pPr>
            <w:r w:rsidRPr="009A4DCA">
              <w:rPr>
                <w:rFonts w:ascii="Arial Narrow" w:hAnsi="Arial Narrow"/>
                <w:b/>
                <w:color w:val="000000"/>
                <w:sz w:val="20"/>
                <w:szCs w:val="20"/>
              </w:rPr>
              <w:t>Maximum age/time horizon (base case: 100 years of age)</w:t>
            </w:r>
          </w:p>
        </w:tc>
      </w:tr>
      <w:tr w:rsidR="00AD6F0B" w:rsidRPr="009A4DCA" w14:paraId="4599F1A4" w14:textId="77777777" w:rsidTr="00961531">
        <w:tc>
          <w:tcPr>
            <w:tcW w:w="711" w:type="dxa"/>
            <w:shd w:val="clear" w:color="auto" w:fill="FFFFFF" w:themeFill="background1"/>
            <w:vAlign w:val="center"/>
          </w:tcPr>
          <w:p w14:paraId="6264AB6B" w14:textId="7371F66D" w:rsidR="00A576A3" w:rsidRPr="009A4DCA" w:rsidRDefault="00A576A3" w:rsidP="00BE2884">
            <w:pPr>
              <w:keepNext/>
              <w:keepLines/>
              <w:jc w:val="left"/>
              <w:rPr>
                <w:rFonts w:ascii="Arial Narrow" w:hAnsi="Arial Narrow"/>
                <w:sz w:val="20"/>
                <w:szCs w:val="20"/>
              </w:rPr>
            </w:pPr>
            <w:r w:rsidRPr="009A4DCA">
              <w:rPr>
                <w:rFonts w:ascii="Arial Narrow" w:hAnsi="Arial Narrow"/>
                <w:sz w:val="20"/>
                <w:szCs w:val="20"/>
              </w:rPr>
              <w:t>SA.1</w:t>
            </w:r>
          </w:p>
        </w:tc>
        <w:tc>
          <w:tcPr>
            <w:tcW w:w="3293" w:type="dxa"/>
            <w:shd w:val="clear" w:color="auto" w:fill="FFFFFF" w:themeFill="background1"/>
            <w:vAlign w:val="center"/>
          </w:tcPr>
          <w:p w14:paraId="4B110049" w14:textId="1C73404C" w:rsidR="00A576A3" w:rsidRPr="009A4DCA" w:rsidRDefault="00A576A3" w:rsidP="00BE2884">
            <w:pPr>
              <w:keepNext/>
              <w:keepLines/>
              <w:jc w:val="left"/>
              <w:rPr>
                <w:rFonts w:ascii="Arial Narrow" w:hAnsi="Arial Narrow"/>
                <w:sz w:val="20"/>
                <w:szCs w:val="20"/>
              </w:rPr>
            </w:pPr>
            <w:r w:rsidRPr="009A4DCA">
              <w:rPr>
                <w:rFonts w:ascii="Arial Narrow" w:hAnsi="Arial Narrow"/>
                <w:sz w:val="20"/>
                <w:szCs w:val="20"/>
              </w:rPr>
              <w:t>Age 90 (low value)</w:t>
            </w:r>
          </w:p>
        </w:tc>
        <w:tc>
          <w:tcPr>
            <w:tcW w:w="1289" w:type="dxa"/>
            <w:shd w:val="clear" w:color="auto" w:fill="FFFFFF" w:themeFill="background1"/>
          </w:tcPr>
          <w:p w14:paraId="6644D73F" w14:textId="048EC489" w:rsidR="00A576A3" w:rsidRPr="009A4DCA" w:rsidRDefault="00A576A3"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485"/>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485"/>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485"/>
                <w14:textFill>
                  <w14:solidFill>
                    <w14:srgbClr w14:val="000000">
                      <w14:alpha w14:val="100000"/>
                    </w14:srgbClr>
                  </w14:solidFill>
                </w14:textFill>
              </w:rPr>
              <w:t xml:space="preserve">　</w:t>
            </w:r>
          </w:p>
        </w:tc>
        <w:tc>
          <w:tcPr>
            <w:tcW w:w="1146" w:type="dxa"/>
            <w:shd w:val="clear" w:color="auto" w:fill="FFFFFF" w:themeFill="background1"/>
          </w:tcPr>
          <w:p w14:paraId="7A0266D9" w14:textId="2563FB6B" w:rsidR="00A576A3" w:rsidRPr="009A4DCA" w:rsidRDefault="00A576A3" w:rsidP="00BE2884">
            <w:pPr>
              <w:keepNext/>
              <w:keepLines/>
              <w:jc w:val="center"/>
              <w:rPr>
                <w:rFonts w:ascii="Arial Narrow" w:hAnsi="Arial Narrow"/>
                <w:sz w:val="20"/>
                <w:szCs w:val="20"/>
              </w:rPr>
            </w:pPr>
            <w:r w:rsidRPr="009A4DCA">
              <w:rPr>
                <w:rFonts w:ascii="Arial Narrow" w:hAnsi="Arial Narrow"/>
                <w:sz w:val="20"/>
                <w:szCs w:val="20"/>
              </w:rPr>
              <w:t>0.0101</w:t>
            </w:r>
          </w:p>
        </w:tc>
        <w:tc>
          <w:tcPr>
            <w:tcW w:w="1289" w:type="dxa"/>
            <w:shd w:val="clear" w:color="auto" w:fill="FFFFFF" w:themeFill="background1"/>
            <w:vAlign w:val="bottom"/>
          </w:tcPr>
          <w:p w14:paraId="4930804D" w14:textId="32388BFC" w:rsidR="00A576A3" w:rsidRPr="009A4DCA" w:rsidRDefault="00A576A3"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484"/>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484"/>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484"/>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1</w:t>
            </w:r>
          </w:p>
        </w:tc>
        <w:tc>
          <w:tcPr>
            <w:tcW w:w="1289" w:type="dxa"/>
            <w:shd w:val="clear" w:color="auto" w:fill="FFFFFF" w:themeFill="background1"/>
            <w:vAlign w:val="center"/>
          </w:tcPr>
          <w:p w14:paraId="64B6F259" w14:textId="19511C8D" w:rsidR="00A576A3" w:rsidRPr="009A4DCA" w:rsidRDefault="00A576A3"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232"/>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32"/>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32"/>
                <w14:textFill>
                  <w14:solidFill>
                    <w14:srgbClr w14:val="000000">
                      <w14:alpha w14:val="100000"/>
                    </w14:srgbClr>
                  </w14:solidFill>
                </w14:textFill>
              </w:rPr>
              <w:t xml:space="preserve">　</w:t>
            </w:r>
            <w:r w:rsidRPr="009A4DCA">
              <w:rPr>
                <w:rFonts w:ascii="Arial Narrow" w:hAnsi="Arial Narrow"/>
                <w:sz w:val="20"/>
                <w:szCs w:val="20"/>
              </w:rPr>
              <w:t>%</w:t>
            </w:r>
          </w:p>
        </w:tc>
      </w:tr>
      <w:tr w:rsidR="00AD6F0B" w:rsidRPr="009A4DCA" w14:paraId="282F5F87" w14:textId="77777777" w:rsidTr="00961531">
        <w:tc>
          <w:tcPr>
            <w:tcW w:w="711" w:type="dxa"/>
            <w:shd w:val="clear" w:color="auto" w:fill="FFFFFF" w:themeFill="background1"/>
            <w:vAlign w:val="center"/>
          </w:tcPr>
          <w:p w14:paraId="03794F3C" w14:textId="30CF1749" w:rsidR="00A576A3" w:rsidRPr="009A4DCA" w:rsidRDefault="00A576A3" w:rsidP="00BE2884">
            <w:pPr>
              <w:keepNext/>
              <w:keepLines/>
              <w:jc w:val="left"/>
              <w:rPr>
                <w:rFonts w:ascii="Arial Narrow" w:hAnsi="Arial Narrow"/>
                <w:sz w:val="20"/>
                <w:szCs w:val="20"/>
              </w:rPr>
            </w:pPr>
            <w:r w:rsidRPr="009A4DCA">
              <w:rPr>
                <w:rFonts w:ascii="Arial Narrow" w:hAnsi="Arial Narrow"/>
                <w:sz w:val="20"/>
                <w:szCs w:val="20"/>
              </w:rPr>
              <w:t>SA.</w:t>
            </w:r>
            <w:r w:rsidR="00EA1FD3" w:rsidRPr="009A4DCA">
              <w:rPr>
                <w:rFonts w:ascii="Arial Narrow" w:hAnsi="Arial Narrow"/>
                <w:sz w:val="20"/>
                <w:szCs w:val="20"/>
              </w:rPr>
              <w:t>2</w:t>
            </w:r>
          </w:p>
        </w:tc>
        <w:tc>
          <w:tcPr>
            <w:tcW w:w="3293" w:type="dxa"/>
            <w:shd w:val="clear" w:color="auto" w:fill="FFFFFF" w:themeFill="background1"/>
            <w:vAlign w:val="center"/>
          </w:tcPr>
          <w:p w14:paraId="5FE15895" w14:textId="1DA4CAAF" w:rsidR="00A576A3" w:rsidRPr="009A4DCA" w:rsidRDefault="00A576A3" w:rsidP="00BE2884">
            <w:pPr>
              <w:keepNext/>
              <w:keepLines/>
              <w:jc w:val="left"/>
              <w:rPr>
                <w:rFonts w:ascii="Arial Narrow" w:hAnsi="Arial Narrow"/>
                <w:color w:val="000000"/>
                <w:sz w:val="20"/>
                <w:szCs w:val="20"/>
              </w:rPr>
            </w:pPr>
            <w:r w:rsidRPr="009A4DCA">
              <w:rPr>
                <w:rFonts w:ascii="Arial Narrow" w:hAnsi="Arial Narrow"/>
                <w:color w:val="000000"/>
                <w:sz w:val="20"/>
                <w:szCs w:val="20"/>
              </w:rPr>
              <w:t>4 years</w:t>
            </w:r>
          </w:p>
        </w:tc>
        <w:tc>
          <w:tcPr>
            <w:tcW w:w="1289" w:type="dxa"/>
            <w:shd w:val="clear" w:color="auto" w:fill="FFFFFF" w:themeFill="background1"/>
          </w:tcPr>
          <w:p w14:paraId="63103746" w14:textId="0D62E7DF" w:rsidR="00A576A3" w:rsidRPr="009A4DCA" w:rsidRDefault="00A576A3"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231"/>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31"/>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31"/>
                <w14:textFill>
                  <w14:solidFill>
                    <w14:srgbClr w14:val="000000">
                      <w14:alpha w14:val="100000"/>
                    </w14:srgbClr>
                  </w14:solidFill>
                </w14:textFill>
              </w:rPr>
              <w:t xml:space="preserve">　</w:t>
            </w:r>
          </w:p>
        </w:tc>
        <w:tc>
          <w:tcPr>
            <w:tcW w:w="1146" w:type="dxa"/>
            <w:shd w:val="clear" w:color="auto" w:fill="FFFFFF" w:themeFill="background1"/>
          </w:tcPr>
          <w:p w14:paraId="00256EE5" w14:textId="5BBED4CE" w:rsidR="00A576A3" w:rsidRPr="009A4DCA" w:rsidRDefault="00A576A3" w:rsidP="00BE2884">
            <w:pPr>
              <w:keepNext/>
              <w:keepLines/>
              <w:jc w:val="center"/>
              <w:rPr>
                <w:rFonts w:ascii="Arial Narrow" w:hAnsi="Arial Narrow"/>
                <w:sz w:val="20"/>
                <w:szCs w:val="20"/>
              </w:rPr>
            </w:pPr>
            <w:r w:rsidRPr="009A4DCA">
              <w:rPr>
                <w:rFonts w:ascii="Arial Narrow" w:hAnsi="Arial Narrow"/>
                <w:sz w:val="20"/>
                <w:szCs w:val="20"/>
              </w:rPr>
              <w:t>0.0024</w:t>
            </w:r>
          </w:p>
        </w:tc>
        <w:tc>
          <w:tcPr>
            <w:tcW w:w="1289" w:type="dxa"/>
            <w:shd w:val="clear" w:color="auto" w:fill="FFFFFF" w:themeFill="background1"/>
            <w:vAlign w:val="bottom"/>
          </w:tcPr>
          <w:p w14:paraId="371C0156" w14:textId="2AB78004" w:rsidR="00A576A3" w:rsidRPr="009A4DCA" w:rsidRDefault="00A576A3"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30"/>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30"/>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230"/>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2</w:t>
            </w:r>
          </w:p>
        </w:tc>
        <w:tc>
          <w:tcPr>
            <w:tcW w:w="1289" w:type="dxa"/>
            <w:shd w:val="clear" w:color="auto" w:fill="FFFFFF" w:themeFill="background1"/>
            <w:vAlign w:val="center"/>
          </w:tcPr>
          <w:p w14:paraId="486C1849" w14:textId="4F1BC025" w:rsidR="00A576A3" w:rsidRPr="009A4DCA" w:rsidRDefault="00A576A3"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3"/>
                <w:sz w:val="20"/>
                <w:szCs w:val="20"/>
                <w:shd w:val="solid" w:color="000000" w:fill="000000"/>
                <w:fitText w:val="106" w:id="-762047229"/>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229"/>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229"/>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216104" w:rsidRPr="009A4DCA" w14:paraId="153476E2" w14:textId="77777777" w:rsidTr="008C1CDB">
        <w:tc>
          <w:tcPr>
            <w:tcW w:w="9017" w:type="dxa"/>
            <w:gridSpan w:val="6"/>
            <w:shd w:val="clear" w:color="auto" w:fill="FFFFFF" w:themeFill="background1"/>
            <w:vAlign w:val="center"/>
          </w:tcPr>
          <w:p w14:paraId="3B1AFBA3" w14:textId="01963410" w:rsidR="00216104" w:rsidRPr="009A4DCA" w:rsidRDefault="00216104" w:rsidP="00BE2884">
            <w:pPr>
              <w:keepNext/>
              <w:keepLines/>
              <w:rPr>
                <w:rFonts w:ascii="Arial Narrow" w:hAnsi="Arial Narrow"/>
                <w:color w:val="000000"/>
                <w:sz w:val="20"/>
                <w:szCs w:val="20"/>
              </w:rPr>
            </w:pPr>
            <w:r w:rsidRPr="009A4DCA">
              <w:rPr>
                <w:rFonts w:ascii="Arial Narrow" w:hAnsi="Arial Narrow"/>
                <w:b/>
                <w:color w:val="000000"/>
                <w:sz w:val="20"/>
                <w:szCs w:val="20"/>
              </w:rPr>
              <w:t>Discount rate (base case: 5% for both costs and health outcomes)</w:t>
            </w:r>
          </w:p>
        </w:tc>
      </w:tr>
      <w:tr w:rsidR="00D579E9" w:rsidRPr="009A4DCA" w14:paraId="3EF9BC5A" w14:textId="77777777" w:rsidTr="00E267CA">
        <w:tc>
          <w:tcPr>
            <w:tcW w:w="711" w:type="dxa"/>
            <w:shd w:val="clear" w:color="auto" w:fill="FFFFFF" w:themeFill="background1"/>
            <w:vAlign w:val="center"/>
          </w:tcPr>
          <w:p w14:paraId="121C1A5A" w14:textId="13BD09B7" w:rsidR="00D579E9" w:rsidRPr="009A4DCA" w:rsidRDefault="00D579E9" w:rsidP="00BE2884">
            <w:pPr>
              <w:keepNext/>
              <w:keepLines/>
              <w:jc w:val="left"/>
              <w:rPr>
                <w:rFonts w:ascii="Arial Narrow" w:hAnsi="Arial Narrow"/>
                <w:sz w:val="20"/>
                <w:szCs w:val="20"/>
              </w:rPr>
            </w:pPr>
            <w:r w:rsidRPr="009A4DCA">
              <w:rPr>
                <w:rFonts w:ascii="Arial Narrow" w:hAnsi="Arial Narrow"/>
                <w:sz w:val="20"/>
                <w:szCs w:val="20"/>
              </w:rPr>
              <w:t>SA.</w:t>
            </w:r>
            <w:r w:rsidR="00EA1FD3" w:rsidRPr="009A4DCA">
              <w:rPr>
                <w:rFonts w:ascii="Arial Narrow" w:hAnsi="Arial Narrow"/>
                <w:sz w:val="20"/>
                <w:szCs w:val="20"/>
              </w:rPr>
              <w:t>3</w:t>
            </w:r>
          </w:p>
        </w:tc>
        <w:tc>
          <w:tcPr>
            <w:tcW w:w="3293" w:type="dxa"/>
            <w:shd w:val="clear" w:color="auto" w:fill="FFFFFF" w:themeFill="background1"/>
            <w:vAlign w:val="center"/>
          </w:tcPr>
          <w:p w14:paraId="5B2B9F66" w14:textId="5475F8EF" w:rsidR="00D579E9" w:rsidRPr="009A4DCA" w:rsidRDefault="00D579E9" w:rsidP="00BE2884">
            <w:pPr>
              <w:keepNext/>
              <w:keepLines/>
              <w:jc w:val="left"/>
              <w:rPr>
                <w:rFonts w:ascii="Arial Narrow" w:hAnsi="Arial Narrow"/>
                <w:color w:val="000000"/>
                <w:sz w:val="20"/>
                <w:szCs w:val="20"/>
              </w:rPr>
            </w:pPr>
            <w:r w:rsidRPr="009A4DCA">
              <w:rPr>
                <w:rFonts w:ascii="Arial Narrow" w:hAnsi="Arial Narrow"/>
                <w:sz w:val="20"/>
                <w:szCs w:val="20"/>
              </w:rPr>
              <w:t xml:space="preserve">0% for both costs and health outcomes </w:t>
            </w:r>
          </w:p>
        </w:tc>
        <w:tc>
          <w:tcPr>
            <w:tcW w:w="1289" w:type="dxa"/>
            <w:shd w:val="clear" w:color="auto" w:fill="FFFFFF" w:themeFill="background1"/>
            <w:vAlign w:val="center"/>
          </w:tcPr>
          <w:p w14:paraId="338EE871" w14:textId="42063925" w:rsidR="00D579E9" w:rsidRPr="009A4DCA" w:rsidRDefault="00D579E9" w:rsidP="00BE2884">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228"/>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8"/>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8"/>
                <w14:textFill>
                  <w14:solidFill>
                    <w14:srgbClr w14:val="000000">
                      <w14:alpha w14:val="100000"/>
                    </w14:srgbClr>
                  </w14:solidFill>
                </w14:textFill>
              </w:rPr>
              <w:t xml:space="preserve">　</w:t>
            </w:r>
          </w:p>
        </w:tc>
        <w:tc>
          <w:tcPr>
            <w:tcW w:w="1146" w:type="dxa"/>
            <w:shd w:val="clear" w:color="auto" w:fill="FFFFFF" w:themeFill="background1"/>
            <w:vAlign w:val="center"/>
          </w:tcPr>
          <w:p w14:paraId="0C780F78" w14:textId="7FE9D650" w:rsidR="00D579E9" w:rsidRPr="009A4DCA" w:rsidRDefault="00D579E9" w:rsidP="00BE2884">
            <w:pPr>
              <w:keepNext/>
              <w:keepLines/>
              <w:jc w:val="center"/>
              <w:rPr>
                <w:rFonts w:ascii="Arial Narrow" w:hAnsi="Arial Narrow"/>
                <w:color w:val="000000"/>
                <w:sz w:val="20"/>
                <w:szCs w:val="20"/>
              </w:rPr>
            </w:pPr>
            <w:r w:rsidRPr="009A4DCA">
              <w:rPr>
                <w:rFonts w:ascii="Arial Narrow" w:hAnsi="Arial Narrow"/>
                <w:sz w:val="20"/>
                <w:szCs w:val="20"/>
              </w:rPr>
              <w:t>0.0179</w:t>
            </w:r>
          </w:p>
        </w:tc>
        <w:tc>
          <w:tcPr>
            <w:tcW w:w="1289" w:type="dxa"/>
            <w:shd w:val="clear" w:color="auto" w:fill="FFFFFF" w:themeFill="background1"/>
            <w:vAlign w:val="center"/>
          </w:tcPr>
          <w:p w14:paraId="74F62EF4" w14:textId="6257668A" w:rsidR="00D579E9" w:rsidRPr="009A4DCA" w:rsidRDefault="00D579E9" w:rsidP="00BE2884">
            <w:pPr>
              <w:keepNext/>
              <w:keepLines/>
              <w:jc w:val="center"/>
              <w:rPr>
                <w:rFonts w:ascii="Arial Narrow" w:hAnsi="Arial Narrow"/>
                <w:color w:val="000000"/>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227"/>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7"/>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227"/>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1</w:t>
            </w:r>
          </w:p>
        </w:tc>
        <w:tc>
          <w:tcPr>
            <w:tcW w:w="1289" w:type="dxa"/>
            <w:shd w:val="clear" w:color="auto" w:fill="FFFFFF" w:themeFill="background1"/>
            <w:vAlign w:val="center"/>
          </w:tcPr>
          <w:p w14:paraId="237447F8" w14:textId="44DA5761" w:rsidR="00D579E9" w:rsidRPr="009A4DCA" w:rsidRDefault="00D579E9"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3"/>
                <w:sz w:val="20"/>
                <w:szCs w:val="20"/>
                <w:shd w:val="solid" w:color="000000" w:fill="000000"/>
                <w:fitText w:val="106" w:id="-762047226"/>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226"/>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226"/>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D579E9" w:rsidRPr="009A4DCA" w14:paraId="1397CDCA" w14:textId="77777777" w:rsidTr="003C1507">
        <w:tc>
          <w:tcPr>
            <w:tcW w:w="711" w:type="dxa"/>
            <w:shd w:val="clear" w:color="auto" w:fill="FFFFFF" w:themeFill="background1"/>
            <w:vAlign w:val="center"/>
          </w:tcPr>
          <w:p w14:paraId="79D6FD4D" w14:textId="562A5BD0" w:rsidR="00D579E9" w:rsidRPr="009A4DCA" w:rsidRDefault="00D579E9" w:rsidP="00BE2884">
            <w:pPr>
              <w:keepNext/>
              <w:keepLines/>
              <w:jc w:val="left"/>
              <w:rPr>
                <w:rFonts w:ascii="Arial Narrow" w:hAnsi="Arial Narrow"/>
                <w:sz w:val="20"/>
                <w:szCs w:val="20"/>
              </w:rPr>
            </w:pPr>
            <w:r w:rsidRPr="009A4DCA">
              <w:rPr>
                <w:rFonts w:ascii="Arial Narrow" w:hAnsi="Arial Narrow"/>
                <w:sz w:val="20"/>
                <w:szCs w:val="20"/>
              </w:rPr>
              <w:t>SA.</w:t>
            </w:r>
            <w:r w:rsidR="00EA1FD3" w:rsidRPr="009A4DCA">
              <w:rPr>
                <w:rFonts w:ascii="Arial Narrow" w:hAnsi="Arial Narrow"/>
                <w:sz w:val="20"/>
                <w:szCs w:val="20"/>
              </w:rPr>
              <w:t>4</w:t>
            </w:r>
          </w:p>
        </w:tc>
        <w:tc>
          <w:tcPr>
            <w:tcW w:w="3293" w:type="dxa"/>
            <w:shd w:val="clear" w:color="auto" w:fill="FFFFFF" w:themeFill="background1"/>
            <w:vAlign w:val="center"/>
          </w:tcPr>
          <w:p w14:paraId="47C06577" w14:textId="247494B1" w:rsidR="00D579E9" w:rsidRPr="009A4DCA" w:rsidRDefault="00D579E9" w:rsidP="00BE2884">
            <w:pPr>
              <w:keepNext/>
              <w:keepLines/>
              <w:jc w:val="left"/>
              <w:rPr>
                <w:rFonts w:ascii="Arial Narrow" w:hAnsi="Arial Narrow"/>
                <w:color w:val="000000"/>
                <w:sz w:val="20"/>
                <w:szCs w:val="20"/>
              </w:rPr>
            </w:pPr>
            <w:r w:rsidRPr="009A4DCA">
              <w:rPr>
                <w:rFonts w:ascii="Arial Narrow" w:hAnsi="Arial Narrow"/>
                <w:sz w:val="20"/>
                <w:szCs w:val="20"/>
              </w:rPr>
              <w:t xml:space="preserve">3.5% for both costs and health outcomes </w:t>
            </w:r>
          </w:p>
        </w:tc>
        <w:tc>
          <w:tcPr>
            <w:tcW w:w="1289" w:type="dxa"/>
            <w:shd w:val="clear" w:color="auto" w:fill="FFFFFF" w:themeFill="background1"/>
            <w:vAlign w:val="center"/>
          </w:tcPr>
          <w:p w14:paraId="3B014EB0" w14:textId="572C9DF7" w:rsidR="00D579E9" w:rsidRPr="009A4DCA" w:rsidRDefault="00D579E9"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225"/>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5"/>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5"/>
                <w14:textFill>
                  <w14:solidFill>
                    <w14:srgbClr w14:val="000000">
                      <w14:alpha w14:val="100000"/>
                    </w14:srgbClr>
                  </w14:solidFill>
                </w14:textFill>
              </w:rPr>
              <w:t xml:space="preserve">　</w:t>
            </w:r>
          </w:p>
        </w:tc>
        <w:tc>
          <w:tcPr>
            <w:tcW w:w="1146" w:type="dxa"/>
            <w:shd w:val="clear" w:color="auto" w:fill="FFFFFF" w:themeFill="background1"/>
            <w:vAlign w:val="bottom"/>
          </w:tcPr>
          <w:p w14:paraId="3C348237" w14:textId="237C780F" w:rsidR="00D579E9" w:rsidRPr="009A4DCA" w:rsidRDefault="00D579E9" w:rsidP="00BE2884">
            <w:pPr>
              <w:keepNext/>
              <w:keepLines/>
              <w:jc w:val="center"/>
              <w:rPr>
                <w:rFonts w:ascii="Arial Narrow" w:hAnsi="Arial Narrow"/>
                <w:sz w:val="20"/>
                <w:szCs w:val="20"/>
              </w:rPr>
            </w:pPr>
            <w:r w:rsidRPr="009A4DCA">
              <w:rPr>
                <w:rFonts w:ascii="Arial Narrow" w:hAnsi="Arial Narrow"/>
                <w:sz w:val="20"/>
                <w:szCs w:val="20"/>
              </w:rPr>
              <w:t>0.0123</w:t>
            </w:r>
          </w:p>
        </w:tc>
        <w:tc>
          <w:tcPr>
            <w:tcW w:w="1289" w:type="dxa"/>
            <w:shd w:val="clear" w:color="auto" w:fill="FFFFFF" w:themeFill="background1"/>
            <w:vAlign w:val="center"/>
          </w:tcPr>
          <w:p w14:paraId="45744E5F" w14:textId="5C5E22C8" w:rsidR="00D579E9" w:rsidRPr="009A4DCA" w:rsidRDefault="00D579E9" w:rsidP="00BE288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224"/>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4"/>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224"/>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1</w:t>
            </w:r>
          </w:p>
        </w:tc>
        <w:tc>
          <w:tcPr>
            <w:tcW w:w="1289" w:type="dxa"/>
            <w:shd w:val="clear" w:color="auto" w:fill="FFFFFF" w:themeFill="background1"/>
            <w:vAlign w:val="center"/>
          </w:tcPr>
          <w:p w14:paraId="19EF7CEA" w14:textId="038DB610" w:rsidR="00D579E9" w:rsidRPr="009A4DCA" w:rsidRDefault="00D579E9"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3"/>
                <w:sz w:val="20"/>
                <w:szCs w:val="20"/>
                <w:shd w:val="solid" w:color="000000" w:fill="000000"/>
                <w:fitText w:val="106" w:id="-762047223"/>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223"/>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223"/>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576A3" w:rsidRPr="009A4DCA" w14:paraId="0AA4BE0D" w14:textId="77777777" w:rsidTr="008C1CDB">
        <w:tc>
          <w:tcPr>
            <w:tcW w:w="9017" w:type="dxa"/>
            <w:gridSpan w:val="6"/>
            <w:shd w:val="clear" w:color="auto" w:fill="FFFFFF" w:themeFill="background1"/>
            <w:vAlign w:val="center"/>
          </w:tcPr>
          <w:p w14:paraId="1E50539F" w14:textId="77777777" w:rsidR="00A576A3" w:rsidRPr="009A4DCA" w:rsidRDefault="00A576A3" w:rsidP="00BE2884">
            <w:pPr>
              <w:keepNext/>
              <w:keepLines/>
              <w:jc w:val="left"/>
              <w:rPr>
                <w:rFonts w:ascii="Arial Narrow" w:hAnsi="Arial Narrow"/>
                <w:color w:val="000000"/>
                <w:sz w:val="20"/>
                <w:szCs w:val="20"/>
              </w:rPr>
            </w:pPr>
            <w:r w:rsidRPr="009A4DCA">
              <w:rPr>
                <w:rFonts w:ascii="Arial Narrow" w:hAnsi="Arial Narrow"/>
                <w:b/>
                <w:bCs/>
                <w:color w:val="000000"/>
                <w:sz w:val="20"/>
                <w:szCs w:val="20"/>
              </w:rPr>
              <w:t>Mortality rate (base case: 43 per 100,000)</w:t>
            </w:r>
          </w:p>
        </w:tc>
      </w:tr>
      <w:tr w:rsidR="00A576A3" w:rsidRPr="009A4DCA" w14:paraId="4CA2D22F" w14:textId="77777777" w:rsidTr="00BB4944">
        <w:tc>
          <w:tcPr>
            <w:tcW w:w="711" w:type="dxa"/>
            <w:shd w:val="clear" w:color="auto" w:fill="FFFFFF" w:themeFill="background1"/>
            <w:vAlign w:val="center"/>
          </w:tcPr>
          <w:p w14:paraId="6D1BB08B" w14:textId="32112C74" w:rsidR="00A576A3" w:rsidRPr="009A4DCA" w:rsidRDefault="00A576A3" w:rsidP="00BE2884">
            <w:pPr>
              <w:keepNext/>
              <w:keepLines/>
              <w:jc w:val="left"/>
              <w:rPr>
                <w:rFonts w:ascii="Arial Narrow" w:hAnsi="Arial Narrow"/>
                <w:color w:val="000000"/>
                <w:sz w:val="20"/>
                <w:szCs w:val="20"/>
              </w:rPr>
            </w:pPr>
            <w:r w:rsidRPr="009A4DCA">
              <w:rPr>
                <w:rFonts w:ascii="Arial Narrow" w:hAnsi="Arial Narrow"/>
                <w:sz w:val="20"/>
                <w:szCs w:val="20"/>
              </w:rPr>
              <w:t>SA.5</w:t>
            </w:r>
          </w:p>
        </w:tc>
        <w:tc>
          <w:tcPr>
            <w:tcW w:w="3293" w:type="dxa"/>
            <w:shd w:val="clear" w:color="auto" w:fill="FFFFFF" w:themeFill="background1"/>
            <w:vAlign w:val="center"/>
          </w:tcPr>
          <w:p w14:paraId="5A50AAB2" w14:textId="0C406803" w:rsidR="00A576A3" w:rsidRPr="009A4DCA" w:rsidRDefault="00A576A3" w:rsidP="00BE2884">
            <w:pPr>
              <w:keepNext/>
              <w:keepLines/>
              <w:jc w:val="left"/>
              <w:rPr>
                <w:rFonts w:ascii="Arial Narrow" w:hAnsi="Arial Narrow"/>
                <w:color w:val="000000"/>
                <w:sz w:val="20"/>
                <w:szCs w:val="20"/>
              </w:rPr>
            </w:pPr>
            <w:r w:rsidRPr="009A4DCA">
              <w:rPr>
                <w:rFonts w:ascii="Arial Narrow" w:hAnsi="Arial Narrow"/>
                <w:color w:val="000000"/>
                <w:sz w:val="20"/>
                <w:szCs w:val="20"/>
              </w:rPr>
              <w:t>12.03 per 100,000</w:t>
            </w:r>
            <w:r w:rsidR="00496174" w:rsidRPr="009A4DCA">
              <w:rPr>
                <w:rFonts w:ascii="Arial Narrow" w:hAnsi="Arial Narrow"/>
                <w:color w:val="000000"/>
                <w:sz w:val="20"/>
                <w:szCs w:val="20"/>
                <w:vertAlign w:val="superscript"/>
              </w:rPr>
              <w:t xml:space="preserve"> </w:t>
            </w:r>
            <w:r w:rsidR="00496174" w:rsidRPr="009A4DCA">
              <w:rPr>
                <w:rFonts w:ascii="Arial Narrow" w:hAnsi="Arial Narrow"/>
                <w:color w:val="000000"/>
                <w:sz w:val="20"/>
                <w:szCs w:val="20"/>
              </w:rPr>
              <w:t>(lower CI reported in Australian modelling study)</w:t>
            </w:r>
          </w:p>
        </w:tc>
        <w:tc>
          <w:tcPr>
            <w:tcW w:w="1289" w:type="dxa"/>
            <w:shd w:val="clear" w:color="auto" w:fill="FFFFFF" w:themeFill="background1"/>
            <w:vAlign w:val="center"/>
          </w:tcPr>
          <w:p w14:paraId="63B16593" w14:textId="3ECAEFD5" w:rsidR="00A576A3" w:rsidRPr="009A4DCA" w:rsidRDefault="00A576A3"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222"/>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2"/>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2"/>
                <w14:textFill>
                  <w14:solidFill>
                    <w14:srgbClr w14:val="000000">
                      <w14:alpha w14:val="100000"/>
                    </w14:srgbClr>
                  </w14:solidFill>
                </w14:textFill>
              </w:rPr>
              <w:t xml:space="preserve">　</w:t>
            </w:r>
          </w:p>
        </w:tc>
        <w:tc>
          <w:tcPr>
            <w:tcW w:w="1146" w:type="dxa"/>
            <w:shd w:val="clear" w:color="auto" w:fill="FFFFFF" w:themeFill="background1"/>
            <w:vAlign w:val="center"/>
          </w:tcPr>
          <w:p w14:paraId="27929C5C" w14:textId="77777777" w:rsidR="00A576A3" w:rsidRPr="009A4DCA" w:rsidRDefault="00A576A3"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0.0033</w:t>
            </w:r>
          </w:p>
        </w:tc>
        <w:tc>
          <w:tcPr>
            <w:tcW w:w="1289" w:type="dxa"/>
            <w:shd w:val="clear" w:color="auto" w:fill="FFFFFF" w:themeFill="background1"/>
            <w:vAlign w:val="center"/>
          </w:tcPr>
          <w:p w14:paraId="3E8534BD" w14:textId="59D63514" w:rsidR="00A576A3" w:rsidRPr="009A4DCA" w:rsidRDefault="00A576A3"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21"/>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1"/>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221"/>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3</w:t>
            </w:r>
          </w:p>
        </w:tc>
        <w:tc>
          <w:tcPr>
            <w:tcW w:w="1289" w:type="dxa"/>
            <w:shd w:val="clear" w:color="auto" w:fill="FFFFFF" w:themeFill="background1"/>
            <w:vAlign w:val="center"/>
          </w:tcPr>
          <w:p w14:paraId="1744FCCC" w14:textId="0A0870F6" w:rsidR="00A576A3" w:rsidRPr="009A4DCA" w:rsidRDefault="00A576A3" w:rsidP="00BB4944">
            <w:pPr>
              <w:keepNext/>
              <w:keepLines/>
              <w:jc w:val="center"/>
              <w:rPr>
                <w:rFonts w:ascii="Arial Narrow" w:hAnsi="Arial Narrow"/>
                <w:color w:val="000000"/>
                <w:sz w:val="20"/>
                <w:szCs w:val="20"/>
                <w:highlight w:val="yellow"/>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220"/>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20"/>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20"/>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576A3" w:rsidRPr="009A4DCA" w14:paraId="370583CE" w14:textId="77777777" w:rsidTr="008C1CDB">
        <w:tc>
          <w:tcPr>
            <w:tcW w:w="711" w:type="dxa"/>
            <w:shd w:val="clear" w:color="auto" w:fill="FFFFFF" w:themeFill="background1"/>
            <w:vAlign w:val="center"/>
          </w:tcPr>
          <w:p w14:paraId="27E125ED" w14:textId="57E33B93" w:rsidR="00A576A3" w:rsidRPr="009A4DCA" w:rsidRDefault="00A576A3" w:rsidP="00BE2884">
            <w:pPr>
              <w:keepNext/>
              <w:keepLines/>
              <w:jc w:val="left"/>
              <w:rPr>
                <w:rFonts w:ascii="Arial Narrow" w:hAnsi="Arial Narrow"/>
                <w:color w:val="000000"/>
                <w:sz w:val="20"/>
                <w:szCs w:val="20"/>
              </w:rPr>
            </w:pPr>
            <w:r w:rsidRPr="009A4DCA">
              <w:rPr>
                <w:rFonts w:ascii="Arial Narrow" w:hAnsi="Arial Narrow"/>
                <w:color w:val="000000"/>
                <w:sz w:val="20"/>
                <w:szCs w:val="20"/>
              </w:rPr>
              <w:t>SA.</w:t>
            </w:r>
            <w:r w:rsidR="00EA1FD3" w:rsidRPr="009A4DCA">
              <w:rPr>
                <w:rFonts w:ascii="Arial Narrow" w:hAnsi="Arial Narrow"/>
                <w:color w:val="000000"/>
                <w:sz w:val="20"/>
                <w:szCs w:val="20"/>
              </w:rPr>
              <w:t>6</w:t>
            </w:r>
          </w:p>
        </w:tc>
        <w:tc>
          <w:tcPr>
            <w:tcW w:w="3293" w:type="dxa"/>
            <w:shd w:val="clear" w:color="auto" w:fill="FFFFFF" w:themeFill="background1"/>
            <w:vAlign w:val="center"/>
          </w:tcPr>
          <w:p w14:paraId="0378BF21" w14:textId="00F49705" w:rsidR="00A576A3" w:rsidRPr="009A4DCA" w:rsidRDefault="009C6BB2" w:rsidP="00BE2884">
            <w:pPr>
              <w:keepNext/>
              <w:keepLines/>
              <w:jc w:val="left"/>
              <w:rPr>
                <w:rFonts w:ascii="Arial Narrow" w:hAnsi="Arial Narrow"/>
                <w:color w:val="000000"/>
                <w:sz w:val="20"/>
                <w:szCs w:val="20"/>
              </w:rPr>
            </w:pPr>
            <w:r w:rsidRPr="009A4DCA">
              <w:rPr>
                <w:rFonts w:ascii="Arial Narrow" w:hAnsi="Arial Narrow"/>
                <w:color w:val="000000"/>
                <w:sz w:val="20"/>
                <w:szCs w:val="20"/>
              </w:rPr>
              <w:t>In-hospital case fatality rate</w:t>
            </w:r>
            <w:r w:rsidRPr="009A4DCA" w:rsidDel="009C6BB2">
              <w:rPr>
                <w:rFonts w:ascii="Arial Narrow" w:hAnsi="Arial Narrow"/>
                <w:sz w:val="20"/>
                <w:szCs w:val="20"/>
              </w:rPr>
              <w:t xml:space="preserve"> </w:t>
            </w:r>
            <w:r w:rsidR="00A576A3" w:rsidRPr="009A4DCA">
              <w:rPr>
                <w:rFonts w:ascii="Arial Narrow" w:hAnsi="Arial Narrow"/>
                <w:sz w:val="20"/>
                <w:szCs w:val="20"/>
              </w:rPr>
              <w:t>= 4.22%</w:t>
            </w:r>
          </w:p>
        </w:tc>
        <w:tc>
          <w:tcPr>
            <w:tcW w:w="1289" w:type="dxa"/>
            <w:shd w:val="clear" w:color="auto" w:fill="FFFFFF" w:themeFill="background1"/>
            <w:vAlign w:val="center"/>
          </w:tcPr>
          <w:p w14:paraId="4A491A26" w14:textId="6E871855" w:rsidR="00A576A3" w:rsidRPr="009A4DCA" w:rsidRDefault="00A576A3"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219"/>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19"/>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19"/>
                <w14:textFill>
                  <w14:solidFill>
                    <w14:srgbClr w14:val="000000">
                      <w14:alpha w14:val="100000"/>
                    </w14:srgbClr>
                  </w14:solidFill>
                </w14:textFill>
              </w:rPr>
              <w:t xml:space="preserve">　</w:t>
            </w:r>
          </w:p>
        </w:tc>
        <w:tc>
          <w:tcPr>
            <w:tcW w:w="1146" w:type="dxa"/>
            <w:shd w:val="clear" w:color="auto" w:fill="FFFFFF" w:themeFill="background1"/>
            <w:vAlign w:val="bottom"/>
          </w:tcPr>
          <w:p w14:paraId="717CF061" w14:textId="77777777" w:rsidR="00A576A3" w:rsidRPr="009A4DCA" w:rsidRDefault="00A576A3"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0.0044</w:t>
            </w:r>
          </w:p>
        </w:tc>
        <w:tc>
          <w:tcPr>
            <w:tcW w:w="1289" w:type="dxa"/>
            <w:shd w:val="clear" w:color="auto" w:fill="FFFFFF" w:themeFill="background1"/>
            <w:vAlign w:val="center"/>
          </w:tcPr>
          <w:p w14:paraId="611EAB81" w14:textId="6443D106" w:rsidR="00A576A3" w:rsidRPr="009A4DCA" w:rsidRDefault="00A576A3"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18"/>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18"/>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218"/>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4</w:t>
            </w:r>
          </w:p>
        </w:tc>
        <w:tc>
          <w:tcPr>
            <w:tcW w:w="1289" w:type="dxa"/>
            <w:shd w:val="clear" w:color="auto" w:fill="FFFFFF" w:themeFill="background1"/>
            <w:vAlign w:val="center"/>
          </w:tcPr>
          <w:p w14:paraId="70A64DD9" w14:textId="36011A39" w:rsidR="00A576A3" w:rsidRPr="009A4DCA" w:rsidRDefault="00A576A3" w:rsidP="00BE288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217"/>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17"/>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17"/>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4F79D6" w:rsidRPr="009A4DCA" w14:paraId="44866E4B" w14:textId="77777777" w:rsidTr="004F79D6">
        <w:tc>
          <w:tcPr>
            <w:tcW w:w="711" w:type="dxa"/>
            <w:shd w:val="clear" w:color="auto" w:fill="FFFFFF" w:themeFill="background1"/>
            <w:vAlign w:val="center"/>
          </w:tcPr>
          <w:p w14:paraId="7F5B8ED9" w14:textId="5A139DE7" w:rsidR="004F79D6" w:rsidRPr="009A4DCA" w:rsidRDefault="004B5341" w:rsidP="004F79D6">
            <w:pPr>
              <w:keepNext/>
              <w:keepLines/>
              <w:jc w:val="left"/>
              <w:rPr>
                <w:rFonts w:ascii="Arial Narrow" w:hAnsi="Arial Narrow"/>
                <w:color w:val="000000"/>
                <w:sz w:val="20"/>
                <w:szCs w:val="20"/>
              </w:rPr>
            </w:pPr>
            <w:r w:rsidRPr="009A4DCA">
              <w:rPr>
                <w:rFonts w:ascii="Arial Narrow" w:hAnsi="Arial Narrow"/>
                <w:sz w:val="20"/>
                <w:szCs w:val="20"/>
              </w:rPr>
              <w:t>SA.7</w:t>
            </w:r>
          </w:p>
        </w:tc>
        <w:tc>
          <w:tcPr>
            <w:tcW w:w="3293" w:type="dxa"/>
            <w:shd w:val="clear" w:color="auto" w:fill="FFFFFF" w:themeFill="background1"/>
            <w:vAlign w:val="center"/>
          </w:tcPr>
          <w:p w14:paraId="76841F87" w14:textId="31DE7D08" w:rsidR="004F79D6" w:rsidRPr="009A4DCA" w:rsidRDefault="004F79D6" w:rsidP="004F79D6">
            <w:pPr>
              <w:keepNext/>
              <w:keepLines/>
              <w:jc w:val="left"/>
              <w:rPr>
                <w:rFonts w:ascii="Arial Narrow" w:hAnsi="Arial Narrow"/>
                <w:color w:val="000000"/>
                <w:sz w:val="20"/>
                <w:szCs w:val="20"/>
                <w:highlight w:val="yellow"/>
              </w:rPr>
            </w:pPr>
            <w:r w:rsidRPr="009A4DCA">
              <w:rPr>
                <w:rFonts w:ascii="Arial Narrow" w:hAnsi="Arial Narrow"/>
                <w:color w:val="000000"/>
                <w:sz w:val="20"/>
                <w:szCs w:val="20"/>
              </w:rPr>
              <w:t>In-hospital case fatality rate</w:t>
            </w:r>
            <w:r w:rsidRPr="009A4DCA" w:rsidDel="009C6BB2">
              <w:rPr>
                <w:rFonts w:ascii="Arial Narrow" w:hAnsi="Arial Narrow"/>
                <w:sz w:val="20"/>
                <w:szCs w:val="20"/>
              </w:rPr>
              <w:t xml:space="preserve"> </w:t>
            </w:r>
            <w:r w:rsidRPr="009A4DCA">
              <w:rPr>
                <w:rFonts w:ascii="Arial Narrow" w:hAnsi="Arial Narrow"/>
                <w:sz w:val="20"/>
                <w:szCs w:val="20"/>
              </w:rPr>
              <w:t>= 3.83%</w:t>
            </w:r>
          </w:p>
        </w:tc>
        <w:tc>
          <w:tcPr>
            <w:tcW w:w="1289" w:type="dxa"/>
            <w:shd w:val="clear" w:color="auto" w:fill="FFFFFF" w:themeFill="background1"/>
            <w:vAlign w:val="center"/>
          </w:tcPr>
          <w:p w14:paraId="45BA7242" w14:textId="35AD7381" w:rsidR="004F79D6" w:rsidRPr="009A4DCA" w:rsidRDefault="004F79D6" w:rsidP="004F79D6">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216"/>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16"/>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16"/>
                <w14:textFill>
                  <w14:solidFill>
                    <w14:srgbClr w14:val="000000">
                      <w14:alpha w14:val="100000"/>
                    </w14:srgbClr>
                  </w14:solidFill>
                </w14:textFill>
              </w:rPr>
              <w:t xml:space="preserve">　</w:t>
            </w:r>
          </w:p>
        </w:tc>
        <w:tc>
          <w:tcPr>
            <w:tcW w:w="1146" w:type="dxa"/>
            <w:shd w:val="clear" w:color="auto" w:fill="FFFFFF" w:themeFill="background1"/>
            <w:vAlign w:val="bottom"/>
          </w:tcPr>
          <w:p w14:paraId="1CBE1D54" w14:textId="6099E1B8" w:rsidR="004F79D6" w:rsidRPr="009A4DCA" w:rsidRDefault="004F79D6" w:rsidP="004F79D6">
            <w:pPr>
              <w:keepNext/>
              <w:keepLines/>
              <w:jc w:val="center"/>
              <w:rPr>
                <w:rFonts w:ascii="Arial Narrow" w:hAnsi="Arial Narrow"/>
                <w:color w:val="000000"/>
                <w:sz w:val="20"/>
                <w:szCs w:val="20"/>
              </w:rPr>
            </w:pPr>
            <w:r w:rsidRPr="009A4DCA">
              <w:rPr>
                <w:rFonts w:ascii="Arial Narrow" w:hAnsi="Arial Narrow"/>
                <w:color w:val="000000"/>
                <w:sz w:val="20"/>
                <w:szCs w:val="20"/>
              </w:rPr>
              <w:t>0.0041</w:t>
            </w:r>
          </w:p>
        </w:tc>
        <w:tc>
          <w:tcPr>
            <w:tcW w:w="1289" w:type="dxa"/>
            <w:shd w:val="clear" w:color="auto" w:fill="FFFFFF" w:themeFill="background1"/>
            <w:vAlign w:val="center"/>
          </w:tcPr>
          <w:p w14:paraId="4477E0B4" w14:textId="4AD6FC40" w:rsidR="004F79D6" w:rsidRPr="009A4DCA" w:rsidRDefault="004F79D6" w:rsidP="004F79D6">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32"/>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32"/>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232"/>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4</w:t>
            </w:r>
          </w:p>
        </w:tc>
        <w:tc>
          <w:tcPr>
            <w:tcW w:w="1289" w:type="dxa"/>
            <w:shd w:val="clear" w:color="auto" w:fill="FFFFFF" w:themeFill="background1"/>
            <w:vAlign w:val="center"/>
          </w:tcPr>
          <w:p w14:paraId="45F43447" w14:textId="5D79DA84" w:rsidR="004F79D6" w:rsidRPr="009A4DCA" w:rsidRDefault="004F79D6" w:rsidP="004F79D6">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231"/>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31"/>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31"/>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A576A3" w:rsidRPr="009A4DCA" w14:paraId="78160085" w14:textId="77777777" w:rsidTr="008C1CDB">
        <w:tc>
          <w:tcPr>
            <w:tcW w:w="9017" w:type="dxa"/>
            <w:gridSpan w:val="6"/>
            <w:shd w:val="clear" w:color="auto" w:fill="FFFFFF" w:themeFill="background1"/>
            <w:vAlign w:val="center"/>
          </w:tcPr>
          <w:p w14:paraId="699E46FB" w14:textId="4FA3E8B8" w:rsidR="00A576A3" w:rsidRPr="009A4DCA" w:rsidRDefault="00A576A3" w:rsidP="00BE2884">
            <w:pPr>
              <w:keepNext/>
              <w:keepLines/>
              <w:jc w:val="left"/>
              <w:rPr>
                <w:rFonts w:ascii="Arial Narrow" w:hAnsi="Arial Narrow"/>
                <w:color w:val="000000"/>
                <w:sz w:val="20"/>
                <w:szCs w:val="20"/>
              </w:rPr>
            </w:pPr>
            <w:r w:rsidRPr="009A4DCA">
              <w:rPr>
                <w:rFonts w:ascii="Arial Narrow" w:hAnsi="Arial Narrow"/>
                <w:b/>
                <w:bCs/>
                <w:color w:val="000000"/>
                <w:sz w:val="20"/>
                <w:szCs w:val="20"/>
              </w:rPr>
              <w:t>Case incidence rates (base case hospital: 398 per 100,000</w:t>
            </w:r>
            <w:r w:rsidR="00C85DB7" w:rsidRPr="009A4DCA">
              <w:rPr>
                <w:rFonts w:ascii="Arial Narrow" w:hAnsi="Arial Narrow"/>
                <w:b/>
                <w:bCs/>
                <w:color w:val="000000"/>
                <w:sz w:val="20"/>
                <w:szCs w:val="20"/>
              </w:rPr>
              <w:t xml:space="preserve"> person-years</w:t>
            </w:r>
            <w:r w:rsidRPr="009A4DCA">
              <w:rPr>
                <w:rFonts w:ascii="Arial Narrow" w:hAnsi="Arial Narrow"/>
                <w:b/>
                <w:bCs/>
                <w:color w:val="000000"/>
                <w:sz w:val="20"/>
                <w:szCs w:val="20"/>
              </w:rPr>
              <w:t>)</w:t>
            </w:r>
          </w:p>
        </w:tc>
      </w:tr>
      <w:tr w:rsidR="00D8761F" w:rsidRPr="009A4DCA" w14:paraId="3B843D16" w14:textId="77777777" w:rsidTr="00BB4944">
        <w:tc>
          <w:tcPr>
            <w:tcW w:w="711" w:type="dxa"/>
            <w:shd w:val="clear" w:color="auto" w:fill="FFFFFF" w:themeFill="background1"/>
            <w:vAlign w:val="center"/>
          </w:tcPr>
          <w:p w14:paraId="344D5B81" w14:textId="5EC03FE1" w:rsidR="00ED172B" w:rsidRPr="009A4DCA" w:rsidRDefault="00EA1FD3" w:rsidP="00ED172B">
            <w:pPr>
              <w:keepNext/>
              <w:keepLines/>
              <w:jc w:val="left"/>
              <w:rPr>
                <w:rFonts w:ascii="Arial Narrow" w:hAnsi="Arial Narrow"/>
                <w:sz w:val="20"/>
                <w:szCs w:val="20"/>
              </w:rPr>
            </w:pPr>
            <w:r w:rsidRPr="009A4DCA">
              <w:rPr>
                <w:rFonts w:ascii="Arial Narrow" w:hAnsi="Arial Narrow"/>
                <w:sz w:val="20"/>
                <w:szCs w:val="20"/>
              </w:rPr>
              <w:t>SA.</w:t>
            </w:r>
            <w:r w:rsidR="004B5341" w:rsidRPr="009A4DCA">
              <w:rPr>
                <w:rFonts w:ascii="Arial Narrow" w:hAnsi="Arial Narrow"/>
                <w:sz w:val="20"/>
                <w:szCs w:val="20"/>
              </w:rPr>
              <w:t>8</w:t>
            </w:r>
          </w:p>
        </w:tc>
        <w:tc>
          <w:tcPr>
            <w:tcW w:w="3293" w:type="dxa"/>
            <w:shd w:val="clear" w:color="auto" w:fill="FFFFFF" w:themeFill="background1"/>
            <w:vAlign w:val="center"/>
          </w:tcPr>
          <w:p w14:paraId="16BC2F9E" w14:textId="36B90E0E" w:rsidR="00ED172B" w:rsidRPr="009A4DCA" w:rsidRDefault="00ED172B" w:rsidP="00ED172B">
            <w:pPr>
              <w:keepNext/>
              <w:keepLines/>
              <w:jc w:val="left"/>
              <w:rPr>
                <w:rFonts w:ascii="Arial Narrow" w:hAnsi="Arial Narrow"/>
                <w:color w:val="000000"/>
                <w:sz w:val="20"/>
                <w:szCs w:val="20"/>
              </w:rPr>
            </w:pPr>
            <w:r w:rsidRPr="009A4DCA">
              <w:rPr>
                <w:rFonts w:ascii="Arial Narrow" w:hAnsi="Arial Narrow"/>
                <w:color w:val="000000"/>
                <w:sz w:val="20"/>
                <w:szCs w:val="20"/>
              </w:rPr>
              <w:t xml:space="preserve">AIHW hospital incidence </w:t>
            </w:r>
            <w:r w:rsidR="00DB34D9" w:rsidRPr="009A4DCA">
              <w:rPr>
                <w:rFonts w:ascii="Arial Narrow" w:hAnsi="Arial Narrow"/>
                <w:color w:val="000000"/>
                <w:sz w:val="20"/>
                <w:szCs w:val="20"/>
              </w:rPr>
              <w:t>for 75+</w:t>
            </w:r>
            <w:r w:rsidRPr="009A4DCA">
              <w:rPr>
                <w:rFonts w:ascii="Arial Narrow" w:hAnsi="Arial Narrow"/>
                <w:color w:val="000000"/>
                <w:sz w:val="20"/>
                <w:szCs w:val="20"/>
              </w:rPr>
              <w:t>(384 per 100,000</w:t>
            </w:r>
            <w:r w:rsidR="00186AF2" w:rsidRPr="009A4DCA">
              <w:rPr>
                <w:rFonts w:ascii="Arial Narrow" w:hAnsi="Arial Narrow"/>
                <w:color w:val="000000"/>
                <w:sz w:val="20"/>
                <w:szCs w:val="20"/>
              </w:rPr>
              <w:t xml:space="preserve"> person-years</w:t>
            </w:r>
            <w:r w:rsidRPr="009A4DCA">
              <w:rPr>
                <w:rFonts w:ascii="Arial Narrow" w:hAnsi="Arial Narrow"/>
                <w:color w:val="000000"/>
                <w:sz w:val="20"/>
                <w:szCs w:val="20"/>
              </w:rPr>
              <w:t>)</w:t>
            </w:r>
          </w:p>
        </w:tc>
        <w:tc>
          <w:tcPr>
            <w:tcW w:w="1289" w:type="dxa"/>
            <w:shd w:val="clear" w:color="auto" w:fill="FFFFFF" w:themeFill="background1"/>
            <w:vAlign w:val="center"/>
          </w:tcPr>
          <w:p w14:paraId="4C7B8C60" w14:textId="3ED77E61" w:rsidR="00ED172B" w:rsidRPr="009A4DCA" w:rsidRDefault="00ED172B" w:rsidP="00BB4944">
            <w:pPr>
              <w:keepNext/>
              <w:keepLines/>
              <w:jc w:val="center"/>
              <w:rPr>
                <w:rFonts w:ascii="Arial Narrow" w:hAnsi="Arial Narrow"/>
                <w:bCs/>
                <w:sz w:val="20"/>
                <w:szCs w:val="20"/>
              </w:rPr>
            </w:pPr>
            <w:r w:rsidRPr="009A4DCA">
              <w:rPr>
                <w:rFonts w:ascii="Arial Narrow" w:hAnsi="Arial Narrow"/>
                <w:bCs/>
                <w:sz w:val="20"/>
                <w:szCs w:val="20"/>
              </w:rPr>
              <w:t>$</w:t>
            </w:r>
            <w:r w:rsidR="00E44A34" w:rsidRPr="00E44A34">
              <w:rPr>
                <w:rFonts w:ascii="Arial Narrow" w:hAnsi="Arial Narrow" w:hint="eastAsia"/>
                <w:bCs/>
                <w:color w:val="000000"/>
                <w:w w:val="15"/>
                <w:sz w:val="20"/>
                <w:szCs w:val="20"/>
                <w:shd w:val="solid" w:color="000000" w:fill="000000"/>
                <w:fitText w:val="66" w:id="-762047230"/>
                <w14:textFill>
                  <w14:solidFill>
                    <w14:srgbClr w14:val="000000">
                      <w14:alpha w14:val="100000"/>
                    </w14:srgbClr>
                  </w14:solidFill>
                </w14:textFill>
              </w:rPr>
              <w:t xml:space="preserve">　</w:t>
            </w:r>
            <w:r w:rsidR="00E44A34" w:rsidRPr="00E44A34">
              <w:rPr>
                <w:rFonts w:ascii="Arial Narrow" w:hAnsi="Arial Narrow"/>
                <w:bCs/>
                <w:color w:val="000000"/>
                <w:w w:val="15"/>
                <w:sz w:val="20"/>
                <w:szCs w:val="20"/>
                <w:shd w:val="solid" w:color="000000" w:fill="000000"/>
                <w:fitText w:val="66" w:id="-762047230"/>
                <w14:textFill>
                  <w14:solidFill>
                    <w14:srgbClr w14:val="000000">
                      <w14:alpha w14:val="100000"/>
                    </w14:srgbClr>
                  </w14:solidFill>
                </w14:textFill>
              </w:rPr>
              <w:t>|</w:t>
            </w:r>
            <w:r w:rsidR="00E44A34" w:rsidRPr="00E44A34">
              <w:rPr>
                <w:rFonts w:ascii="Arial Narrow" w:hAnsi="Arial Narrow" w:hint="eastAsia"/>
                <w:bCs/>
                <w:color w:val="000000"/>
                <w:w w:val="15"/>
                <w:sz w:val="20"/>
                <w:szCs w:val="20"/>
                <w:shd w:val="solid" w:color="000000" w:fill="000000"/>
                <w:fitText w:val="66" w:id="-762047230"/>
                <w14:textFill>
                  <w14:solidFill>
                    <w14:srgbClr w14:val="000000">
                      <w14:alpha w14:val="100000"/>
                    </w14:srgbClr>
                  </w14:solidFill>
                </w14:textFill>
              </w:rPr>
              <w:t xml:space="preserve">　</w:t>
            </w:r>
          </w:p>
        </w:tc>
        <w:tc>
          <w:tcPr>
            <w:tcW w:w="1146" w:type="dxa"/>
            <w:shd w:val="clear" w:color="auto" w:fill="FFFFFF" w:themeFill="background1"/>
            <w:vAlign w:val="center"/>
          </w:tcPr>
          <w:p w14:paraId="3AC51FC2" w14:textId="7CA0E372" w:rsidR="00ED172B" w:rsidRPr="009A4DCA" w:rsidRDefault="00ED172B" w:rsidP="00BB4944">
            <w:pPr>
              <w:keepNext/>
              <w:keepLines/>
              <w:jc w:val="center"/>
              <w:rPr>
                <w:rFonts w:ascii="Arial Narrow" w:hAnsi="Arial Narrow"/>
                <w:bCs/>
                <w:sz w:val="20"/>
                <w:szCs w:val="20"/>
              </w:rPr>
            </w:pPr>
            <w:r w:rsidRPr="009A4DCA">
              <w:rPr>
                <w:rFonts w:ascii="Arial Narrow" w:hAnsi="Arial Narrow"/>
                <w:bCs/>
                <w:sz w:val="20"/>
                <w:szCs w:val="20"/>
              </w:rPr>
              <w:t>0.0</w:t>
            </w:r>
            <w:r w:rsidR="00B509D3" w:rsidRPr="009A4DCA">
              <w:rPr>
                <w:rFonts w:ascii="Arial Narrow" w:hAnsi="Arial Narrow"/>
                <w:bCs/>
                <w:sz w:val="20"/>
                <w:szCs w:val="20"/>
              </w:rPr>
              <w:t>106</w:t>
            </w:r>
          </w:p>
        </w:tc>
        <w:tc>
          <w:tcPr>
            <w:tcW w:w="1289" w:type="dxa"/>
            <w:shd w:val="clear" w:color="auto" w:fill="FFFFFF" w:themeFill="background1"/>
            <w:vAlign w:val="center"/>
          </w:tcPr>
          <w:p w14:paraId="376029FF" w14:textId="0E1E6B95" w:rsidR="00ED172B" w:rsidRPr="009A4DCA" w:rsidRDefault="00B509D3" w:rsidP="00BB4944">
            <w:pPr>
              <w:keepNext/>
              <w:keepLines/>
              <w:jc w:val="center"/>
              <w:rPr>
                <w:rFonts w:ascii="Arial Narrow" w:hAnsi="Arial Narrow"/>
                <w:bCs/>
                <w:sz w:val="20"/>
                <w:szCs w:val="20"/>
              </w:rPr>
            </w:pPr>
            <w:r w:rsidRPr="009A4DCA">
              <w:rPr>
                <w:rFonts w:ascii="Arial Narrow" w:hAnsi="Arial Narrow"/>
                <w:bCs/>
                <w:sz w:val="20"/>
                <w:szCs w:val="20"/>
              </w:rPr>
              <w:t>$</w:t>
            </w:r>
            <w:r w:rsidR="00E44A34" w:rsidRPr="00E44A34">
              <w:rPr>
                <w:rFonts w:ascii="Arial Narrow" w:hAnsi="Arial Narrow" w:hint="eastAsia"/>
                <w:bCs/>
                <w:color w:val="000000"/>
                <w:w w:val="24"/>
                <w:sz w:val="20"/>
                <w:szCs w:val="20"/>
                <w:shd w:val="solid" w:color="000000" w:fill="000000"/>
                <w:fitText w:val="107" w:id="-762047229"/>
                <w14:textFill>
                  <w14:solidFill>
                    <w14:srgbClr w14:val="000000">
                      <w14:alpha w14:val="100000"/>
                    </w14:srgbClr>
                  </w14:solidFill>
                </w14:textFill>
              </w:rPr>
              <w:t xml:space="preserve">　</w:t>
            </w:r>
            <w:r w:rsidR="00E44A34" w:rsidRPr="00E44A34">
              <w:rPr>
                <w:rFonts w:ascii="Arial Narrow" w:hAnsi="Arial Narrow"/>
                <w:bCs/>
                <w:color w:val="000000"/>
                <w:w w:val="24"/>
                <w:sz w:val="20"/>
                <w:szCs w:val="20"/>
                <w:shd w:val="solid" w:color="000000" w:fill="000000"/>
                <w:fitText w:val="107" w:id="-762047229"/>
                <w14:textFill>
                  <w14:solidFill>
                    <w14:srgbClr w14:val="000000">
                      <w14:alpha w14:val="100000"/>
                    </w14:srgbClr>
                  </w14:solidFill>
                </w14:textFill>
              </w:rPr>
              <w:t>|</w:t>
            </w:r>
            <w:r w:rsidR="00E44A34" w:rsidRPr="00E44A34">
              <w:rPr>
                <w:rFonts w:ascii="Arial Narrow" w:hAnsi="Arial Narrow" w:hint="eastAsia"/>
                <w:bCs/>
                <w:color w:val="000000"/>
                <w:w w:val="24"/>
                <w:sz w:val="20"/>
                <w:szCs w:val="20"/>
                <w:shd w:val="solid" w:color="000000" w:fill="000000"/>
                <w:fitText w:val="107" w:id="-762047229"/>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1</w:t>
            </w:r>
          </w:p>
        </w:tc>
        <w:tc>
          <w:tcPr>
            <w:tcW w:w="1289" w:type="dxa"/>
            <w:shd w:val="clear" w:color="auto" w:fill="FFFFFF" w:themeFill="background1"/>
            <w:vAlign w:val="center"/>
          </w:tcPr>
          <w:p w14:paraId="7F37F147" w14:textId="7E121F95" w:rsidR="00ED172B" w:rsidRPr="009A4DCA" w:rsidRDefault="004B7C94" w:rsidP="00BB4944">
            <w:pPr>
              <w:keepNext/>
              <w:keepLines/>
              <w:jc w:val="center"/>
              <w:rPr>
                <w:rFonts w:ascii="Arial Narrow" w:hAnsi="Arial Narrow"/>
                <w:bCs/>
                <w:sz w:val="20"/>
                <w:szCs w:val="20"/>
              </w:rPr>
            </w:pPr>
            <w:r w:rsidRPr="009A4DCA">
              <w:rPr>
                <w:rFonts w:ascii="Arial Narrow" w:hAnsi="Arial Narrow"/>
                <w:bCs/>
                <w:sz w:val="20"/>
                <w:szCs w:val="20"/>
              </w:rPr>
              <w:t>+</w:t>
            </w:r>
            <w:r w:rsidR="00E44A34" w:rsidRPr="00E44A34">
              <w:rPr>
                <w:rFonts w:ascii="Arial Narrow" w:hAnsi="Arial Narrow" w:hint="eastAsia"/>
                <w:bCs/>
                <w:color w:val="000000"/>
                <w:w w:val="30"/>
                <w:sz w:val="20"/>
                <w:szCs w:val="20"/>
                <w:shd w:val="solid" w:color="000000" w:fill="000000"/>
                <w:fitText w:val="133" w:id="-762047228"/>
                <w14:textFill>
                  <w14:solidFill>
                    <w14:srgbClr w14:val="000000">
                      <w14:alpha w14:val="100000"/>
                    </w14:srgbClr>
                  </w14:solidFill>
                </w14:textFill>
              </w:rPr>
              <w:t xml:space="preserve">　</w:t>
            </w:r>
            <w:r w:rsidR="00E44A34" w:rsidRPr="00E44A34">
              <w:rPr>
                <w:rFonts w:ascii="Arial Narrow" w:hAnsi="Arial Narrow"/>
                <w:bCs/>
                <w:color w:val="000000"/>
                <w:w w:val="30"/>
                <w:sz w:val="20"/>
                <w:szCs w:val="20"/>
                <w:shd w:val="solid" w:color="000000" w:fill="000000"/>
                <w:fitText w:val="133" w:id="-762047228"/>
                <w14:textFill>
                  <w14:solidFill>
                    <w14:srgbClr w14:val="000000">
                      <w14:alpha w14:val="100000"/>
                    </w14:srgbClr>
                  </w14:solidFill>
                </w14:textFill>
              </w:rPr>
              <w:t>|</w:t>
            </w:r>
            <w:r w:rsidR="00E44A34" w:rsidRPr="00E44A34">
              <w:rPr>
                <w:rFonts w:ascii="Arial Narrow" w:hAnsi="Arial Narrow" w:hint="eastAsia"/>
                <w:bCs/>
                <w:color w:val="000000"/>
                <w:w w:val="30"/>
                <w:sz w:val="20"/>
                <w:szCs w:val="20"/>
                <w:shd w:val="solid" w:color="000000" w:fill="000000"/>
                <w:fitText w:val="133" w:id="-762047228"/>
                <w14:textFill>
                  <w14:solidFill>
                    <w14:srgbClr w14:val="000000">
                      <w14:alpha w14:val="100000"/>
                    </w14:srgbClr>
                  </w14:solidFill>
                </w14:textFill>
              </w:rPr>
              <w:t xml:space="preserve">　</w:t>
            </w:r>
            <w:r w:rsidRPr="009A4DCA">
              <w:rPr>
                <w:rFonts w:ascii="Arial Narrow" w:hAnsi="Arial Narrow"/>
                <w:bCs/>
                <w:sz w:val="20"/>
                <w:szCs w:val="20"/>
              </w:rPr>
              <w:t>%</w:t>
            </w:r>
          </w:p>
        </w:tc>
      </w:tr>
      <w:tr w:rsidR="004F79D6" w:rsidRPr="009A4DCA" w14:paraId="2E249267" w14:textId="77777777" w:rsidTr="00BB4944">
        <w:tc>
          <w:tcPr>
            <w:tcW w:w="711" w:type="dxa"/>
            <w:shd w:val="clear" w:color="auto" w:fill="FFFFFF" w:themeFill="background1"/>
            <w:vAlign w:val="center"/>
          </w:tcPr>
          <w:p w14:paraId="57BB705F" w14:textId="3B94A615" w:rsidR="004F79D6" w:rsidRPr="009A4DCA" w:rsidRDefault="007C540D" w:rsidP="004F79D6">
            <w:pPr>
              <w:keepNext/>
              <w:keepLines/>
              <w:jc w:val="left"/>
              <w:rPr>
                <w:rFonts w:ascii="Arial Narrow" w:hAnsi="Arial Narrow"/>
                <w:sz w:val="20"/>
                <w:szCs w:val="20"/>
                <w:highlight w:val="yellow"/>
              </w:rPr>
            </w:pPr>
            <w:r w:rsidRPr="009A4DCA">
              <w:rPr>
                <w:rFonts w:ascii="Arial Narrow" w:hAnsi="Arial Narrow"/>
                <w:sz w:val="20"/>
                <w:szCs w:val="20"/>
              </w:rPr>
              <w:t>SA.</w:t>
            </w:r>
            <w:r w:rsidR="004B5341" w:rsidRPr="009A4DCA">
              <w:rPr>
                <w:rFonts w:ascii="Arial Narrow" w:hAnsi="Arial Narrow"/>
                <w:sz w:val="20"/>
                <w:szCs w:val="20"/>
              </w:rPr>
              <w:t>9</w:t>
            </w:r>
          </w:p>
        </w:tc>
        <w:tc>
          <w:tcPr>
            <w:tcW w:w="3293" w:type="dxa"/>
            <w:shd w:val="clear" w:color="auto" w:fill="FFFFFF" w:themeFill="background1"/>
            <w:vAlign w:val="center"/>
          </w:tcPr>
          <w:p w14:paraId="4CD2D1E4" w14:textId="3DF9ADCD" w:rsidR="004F79D6" w:rsidRPr="009A4DCA" w:rsidRDefault="004F79D6" w:rsidP="004F79D6">
            <w:pPr>
              <w:keepNext/>
              <w:keepLines/>
              <w:jc w:val="left"/>
              <w:rPr>
                <w:rFonts w:ascii="Arial Narrow" w:hAnsi="Arial Narrow"/>
                <w:color w:val="000000"/>
                <w:sz w:val="20"/>
                <w:szCs w:val="20"/>
              </w:rPr>
            </w:pPr>
            <w:r w:rsidRPr="009A4DCA">
              <w:rPr>
                <w:rFonts w:ascii="Arial Narrow" w:hAnsi="Arial Narrow"/>
                <w:color w:val="000000"/>
                <w:sz w:val="20"/>
                <w:szCs w:val="20"/>
              </w:rPr>
              <w:t>AIHW hospital incidence for 60+(197 per 100,000 person-years)</w:t>
            </w:r>
          </w:p>
        </w:tc>
        <w:tc>
          <w:tcPr>
            <w:tcW w:w="1289" w:type="dxa"/>
            <w:shd w:val="clear" w:color="auto" w:fill="FFFFFF" w:themeFill="background1"/>
            <w:vAlign w:val="center"/>
          </w:tcPr>
          <w:p w14:paraId="4ECAE873" w14:textId="1CCF4012"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227"/>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7"/>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7"/>
                <w14:textFill>
                  <w14:solidFill>
                    <w14:srgbClr w14:val="000000">
                      <w14:alpha w14:val="100000"/>
                    </w14:srgbClr>
                  </w14:solidFill>
                </w14:textFill>
              </w:rPr>
              <w:t xml:space="preserve">　</w:t>
            </w:r>
          </w:p>
        </w:tc>
        <w:tc>
          <w:tcPr>
            <w:tcW w:w="1146" w:type="dxa"/>
            <w:shd w:val="clear" w:color="auto" w:fill="FFFFFF" w:themeFill="background1"/>
            <w:vAlign w:val="center"/>
          </w:tcPr>
          <w:p w14:paraId="59446EB3" w14:textId="4C2985BF"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0.0104</w:t>
            </w:r>
          </w:p>
        </w:tc>
        <w:tc>
          <w:tcPr>
            <w:tcW w:w="1289" w:type="dxa"/>
            <w:shd w:val="clear" w:color="auto" w:fill="FFFFFF" w:themeFill="background1"/>
            <w:vAlign w:val="center"/>
          </w:tcPr>
          <w:p w14:paraId="3157AA96" w14:textId="4A4A385A"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26"/>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6"/>
                <w14:textFill>
                  <w14:solidFill>
                    <w14:srgbClr w14:val="000000">
                      <w14:alpha w14:val="100000"/>
                    </w14:srgbClr>
                  </w14:solidFill>
                </w14:textFill>
              </w:rPr>
              <w:t>|</w:t>
            </w:r>
            <w:r w:rsidR="00E44A34" w:rsidRPr="00E44A34">
              <w:rPr>
                <w:rFonts w:ascii="Arial Narrow" w:hAnsi="Arial Narrow" w:hint="eastAsia"/>
                <w:color w:val="000000"/>
                <w:w w:val="24"/>
                <w:sz w:val="20"/>
                <w:szCs w:val="20"/>
                <w:shd w:val="solid" w:color="000000" w:fill="000000"/>
                <w:fitText w:val="107" w:id="-762047226"/>
                <w14:textFill>
                  <w14:solidFill>
                    <w14:srgbClr w14:val="000000">
                      <w14:alpha w14:val="100000"/>
                    </w14:srgbClr>
                  </w14:solidFill>
                </w14:textFill>
              </w:rPr>
              <w:t xml:space="preserve">　</w:t>
            </w:r>
            <w:r w:rsidR="00EA3221">
              <w:rPr>
                <w:rFonts w:ascii="Arial Narrow" w:hAnsi="Arial Narrow"/>
                <w:b/>
                <w:color w:val="000000"/>
                <w:sz w:val="20"/>
                <w:szCs w:val="20"/>
              </w:rPr>
              <w:t xml:space="preserve"> </w:t>
            </w:r>
            <w:r w:rsidR="00EA3221">
              <w:rPr>
                <w:rFonts w:ascii="Arial Narrow" w:hAnsi="Arial Narrow"/>
                <w:b/>
                <w:color w:val="000000"/>
                <w:sz w:val="20"/>
                <w:szCs w:val="20"/>
                <w:vertAlign w:val="superscript"/>
              </w:rPr>
              <w:t>5</w:t>
            </w:r>
          </w:p>
        </w:tc>
        <w:tc>
          <w:tcPr>
            <w:tcW w:w="1289" w:type="dxa"/>
            <w:shd w:val="clear" w:color="auto" w:fill="FFFFFF" w:themeFill="background1"/>
            <w:vAlign w:val="center"/>
          </w:tcPr>
          <w:p w14:paraId="0B380301" w14:textId="657ECEF7"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225"/>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25"/>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25"/>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4F79D6" w:rsidRPr="009A4DCA" w14:paraId="436F4C63" w14:textId="77777777" w:rsidTr="00BB4944">
        <w:tc>
          <w:tcPr>
            <w:tcW w:w="711" w:type="dxa"/>
            <w:shd w:val="clear" w:color="auto" w:fill="FFFFFF" w:themeFill="background1"/>
            <w:vAlign w:val="center"/>
          </w:tcPr>
          <w:p w14:paraId="03A8EEE7" w14:textId="0349004B" w:rsidR="004F79D6" w:rsidRPr="009A4DCA" w:rsidRDefault="007C540D" w:rsidP="004F79D6">
            <w:pPr>
              <w:keepNext/>
              <w:keepLines/>
              <w:jc w:val="left"/>
              <w:rPr>
                <w:rFonts w:ascii="Arial Narrow" w:hAnsi="Arial Narrow"/>
                <w:sz w:val="20"/>
                <w:szCs w:val="20"/>
                <w:highlight w:val="yellow"/>
              </w:rPr>
            </w:pPr>
            <w:r w:rsidRPr="009A4DCA">
              <w:rPr>
                <w:rFonts w:ascii="Arial Narrow" w:hAnsi="Arial Narrow"/>
                <w:sz w:val="20"/>
                <w:szCs w:val="20"/>
              </w:rPr>
              <w:t>SA.</w:t>
            </w:r>
            <w:r w:rsidR="004B5341" w:rsidRPr="009A4DCA">
              <w:rPr>
                <w:rFonts w:ascii="Arial Narrow" w:hAnsi="Arial Narrow"/>
                <w:sz w:val="20"/>
                <w:szCs w:val="20"/>
              </w:rPr>
              <w:t>10</w:t>
            </w:r>
          </w:p>
        </w:tc>
        <w:tc>
          <w:tcPr>
            <w:tcW w:w="3293" w:type="dxa"/>
            <w:shd w:val="clear" w:color="auto" w:fill="FFFFFF" w:themeFill="background1"/>
            <w:vAlign w:val="center"/>
          </w:tcPr>
          <w:p w14:paraId="02E1BCAF" w14:textId="46F6EB9B" w:rsidR="004F79D6" w:rsidRPr="009A4DCA" w:rsidRDefault="004F79D6" w:rsidP="004F79D6">
            <w:pPr>
              <w:keepNext/>
              <w:keepLines/>
              <w:jc w:val="left"/>
              <w:rPr>
                <w:rFonts w:ascii="Arial Narrow" w:hAnsi="Arial Narrow"/>
                <w:color w:val="000000"/>
                <w:sz w:val="20"/>
                <w:szCs w:val="20"/>
              </w:rPr>
            </w:pPr>
            <w:r w:rsidRPr="009A4DCA">
              <w:rPr>
                <w:rFonts w:ascii="Arial Narrow" w:hAnsi="Arial Narrow"/>
                <w:color w:val="000000"/>
                <w:sz w:val="20"/>
                <w:szCs w:val="20"/>
              </w:rPr>
              <w:t>Australian modelling study for 60 to 74 years (107 per 100,000 person-years)</w:t>
            </w:r>
          </w:p>
        </w:tc>
        <w:tc>
          <w:tcPr>
            <w:tcW w:w="1289" w:type="dxa"/>
            <w:shd w:val="clear" w:color="auto" w:fill="FFFFFF" w:themeFill="background1"/>
            <w:vAlign w:val="center"/>
          </w:tcPr>
          <w:p w14:paraId="291031DC" w14:textId="677A8B51"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224"/>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4"/>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4"/>
                <w14:textFill>
                  <w14:solidFill>
                    <w14:srgbClr w14:val="000000">
                      <w14:alpha w14:val="100000"/>
                    </w14:srgbClr>
                  </w14:solidFill>
                </w14:textFill>
              </w:rPr>
              <w:t xml:space="preserve">　</w:t>
            </w:r>
          </w:p>
        </w:tc>
        <w:tc>
          <w:tcPr>
            <w:tcW w:w="1146" w:type="dxa"/>
            <w:shd w:val="clear" w:color="auto" w:fill="FFFFFF" w:themeFill="background1"/>
            <w:vAlign w:val="center"/>
          </w:tcPr>
          <w:p w14:paraId="6D5585CF" w14:textId="3207F38B"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0.0103</w:t>
            </w:r>
          </w:p>
        </w:tc>
        <w:tc>
          <w:tcPr>
            <w:tcW w:w="1289" w:type="dxa"/>
            <w:shd w:val="clear" w:color="auto" w:fill="FFFFFF" w:themeFill="background1"/>
            <w:vAlign w:val="center"/>
          </w:tcPr>
          <w:p w14:paraId="04FB5296" w14:textId="4DF1C4D6"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23"/>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3"/>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223"/>
                <w14:textFill>
                  <w14:solidFill>
                    <w14:srgbClr w14:val="000000">
                      <w14:alpha w14:val="100000"/>
                    </w14:srgbClr>
                  </w14:solidFill>
                </w14:textFill>
              </w:rPr>
              <w:t xml:space="preserve">　</w:t>
            </w:r>
            <w:r w:rsidR="00EA3221">
              <w:rPr>
                <w:rFonts w:ascii="Arial Narrow" w:hAnsi="Arial Narrow"/>
                <w:b/>
                <w:color w:val="000000"/>
                <w:sz w:val="20"/>
                <w:szCs w:val="20"/>
              </w:rPr>
              <w:t xml:space="preserve"> </w:t>
            </w:r>
            <w:r w:rsidR="00EA3221">
              <w:rPr>
                <w:rFonts w:ascii="Arial Narrow" w:hAnsi="Arial Narrow"/>
                <w:b/>
                <w:color w:val="000000"/>
                <w:sz w:val="20"/>
                <w:szCs w:val="20"/>
                <w:vertAlign w:val="superscript"/>
              </w:rPr>
              <w:t>5</w:t>
            </w:r>
          </w:p>
        </w:tc>
        <w:tc>
          <w:tcPr>
            <w:tcW w:w="1289" w:type="dxa"/>
            <w:shd w:val="clear" w:color="auto" w:fill="FFFFFF" w:themeFill="background1"/>
            <w:vAlign w:val="center"/>
          </w:tcPr>
          <w:p w14:paraId="389BE5B0" w14:textId="7E6DDFA0"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222"/>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22"/>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22"/>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D8761F" w:rsidRPr="009A4DCA" w14:paraId="0FC86E25" w14:textId="77777777">
        <w:tc>
          <w:tcPr>
            <w:tcW w:w="9017" w:type="dxa"/>
            <w:gridSpan w:val="6"/>
            <w:shd w:val="clear" w:color="auto" w:fill="FFFFFF" w:themeFill="background1"/>
            <w:vAlign w:val="center"/>
          </w:tcPr>
          <w:p w14:paraId="003F19AB" w14:textId="69FB0460" w:rsidR="0032151C" w:rsidRPr="009A4DCA" w:rsidRDefault="0032151C" w:rsidP="0032151C">
            <w:pPr>
              <w:keepNext/>
              <w:keepLines/>
              <w:jc w:val="left"/>
              <w:rPr>
                <w:rFonts w:ascii="Arial Narrow" w:hAnsi="Arial Narrow"/>
                <w:bCs/>
                <w:sz w:val="20"/>
                <w:szCs w:val="20"/>
              </w:rPr>
            </w:pPr>
            <w:r w:rsidRPr="009A4DCA">
              <w:rPr>
                <w:rFonts w:ascii="Arial Narrow" w:hAnsi="Arial Narrow"/>
                <w:b/>
                <w:bCs/>
                <w:color w:val="000000"/>
                <w:sz w:val="20"/>
                <w:szCs w:val="20"/>
              </w:rPr>
              <w:t>AIHW hospital incidence and In-hospital case fatality rate</w:t>
            </w:r>
          </w:p>
        </w:tc>
      </w:tr>
      <w:tr w:rsidR="00247AC4" w:rsidRPr="009A4DCA" w14:paraId="58E8D1F4" w14:textId="77777777" w:rsidTr="00BB4944">
        <w:tc>
          <w:tcPr>
            <w:tcW w:w="711" w:type="dxa"/>
            <w:shd w:val="clear" w:color="auto" w:fill="FFFFFF" w:themeFill="background1"/>
            <w:vAlign w:val="center"/>
          </w:tcPr>
          <w:p w14:paraId="7F1ED963" w14:textId="78280DC2"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SA.</w:t>
            </w:r>
            <w:r w:rsidR="007C540D" w:rsidRPr="009A4DCA">
              <w:rPr>
                <w:rFonts w:ascii="Arial Narrow" w:hAnsi="Arial Narrow"/>
                <w:sz w:val="20"/>
                <w:szCs w:val="20"/>
              </w:rPr>
              <w:t>1</w:t>
            </w:r>
            <w:r w:rsidR="004B5341" w:rsidRPr="009A4DCA">
              <w:rPr>
                <w:rFonts w:ascii="Arial Narrow" w:hAnsi="Arial Narrow"/>
                <w:sz w:val="20"/>
                <w:szCs w:val="20"/>
              </w:rPr>
              <w:t>1</w:t>
            </w:r>
          </w:p>
        </w:tc>
        <w:tc>
          <w:tcPr>
            <w:tcW w:w="3293" w:type="dxa"/>
            <w:shd w:val="clear" w:color="auto" w:fill="FFFFFF" w:themeFill="background1"/>
            <w:vAlign w:val="center"/>
          </w:tcPr>
          <w:p w14:paraId="5D869A88" w14:textId="2B688A2B" w:rsidR="00247AC4" w:rsidRPr="009A4DCA" w:rsidRDefault="00247AC4" w:rsidP="00247AC4">
            <w:pPr>
              <w:keepNext/>
              <w:keepLines/>
              <w:jc w:val="left"/>
              <w:rPr>
                <w:rFonts w:ascii="Arial Narrow" w:hAnsi="Arial Narrow"/>
                <w:color w:val="000000"/>
                <w:sz w:val="20"/>
                <w:szCs w:val="20"/>
              </w:rPr>
            </w:pPr>
            <w:bookmarkStart w:id="81" w:name="_Hlk182948581"/>
            <w:r w:rsidRPr="009A4DCA">
              <w:rPr>
                <w:rFonts w:ascii="Arial Narrow" w:hAnsi="Arial Narrow"/>
                <w:color w:val="000000"/>
                <w:sz w:val="20"/>
                <w:szCs w:val="20"/>
              </w:rPr>
              <w:t>AIHW hospital incidence (384 per 100,000) + hCFR (4.22%)</w:t>
            </w:r>
            <w:bookmarkEnd w:id="81"/>
          </w:p>
        </w:tc>
        <w:tc>
          <w:tcPr>
            <w:tcW w:w="1289" w:type="dxa"/>
            <w:shd w:val="clear" w:color="auto" w:fill="FFFFFF" w:themeFill="background1"/>
            <w:vAlign w:val="center"/>
          </w:tcPr>
          <w:p w14:paraId="0FE33F15" w14:textId="302663EB" w:rsidR="00247AC4" w:rsidRPr="009A4DCA" w:rsidRDefault="00247AC4" w:rsidP="00BB4944">
            <w:pPr>
              <w:keepNext/>
              <w:keepLines/>
              <w:jc w:val="center"/>
              <w:rPr>
                <w:rFonts w:ascii="Arial Narrow" w:hAnsi="Arial Narrow"/>
                <w:bCs/>
                <w:sz w:val="20"/>
                <w:szCs w:val="20"/>
              </w:rPr>
            </w:pPr>
            <w:r w:rsidRPr="009A4DCA">
              <w:rPr>
                <w:rFonts w:ascii="Arial Narrow" w:hAnsi="Arial Narrow"/>
                <w:bCs/>
                <w:sz w:val="20"/>
                <w:szCs w:val="20"/>
              </w:rPr>
              <w:t>$</w:t>
            </w:r>
            <w:r w:rsidR="00E44A34" w:rsidRPr="00E44A34">
              <w:rPr>
                <w:rFonts w:ascii="Arial Narrow" w:hAnsi="Arial Narrow" w:hint="eastAsia"/>
                <w:bCs/>
                <w:color w:val="000000"/>
                <w:w w:val="15"/>
                <w:sz w:val="20"/>
                <w:szCs w:val="20"/>
                <w:shd w:val="solid" w:color="000000" w:fill="000000"/>
                <w:fitText w:val="66" w:id="-762047221"/>
                <w14:textFill>
                  <w14:solidFill>
                    <w14:srgbClr w14:val="000000">
                      <w14:alpha w14:val="100000"/>
                    </w14:srgbClr>
                  </w14:solidFill>
                </w14:textFill>
              </w:rPr>
              <w:t xml:space="preserve">　</w:t>
            </w:r>
            <w:r w:rsidR="00E44A34" w:rsidRPr="00E44A34">
              <w:rPr>
                <w:rFonts w:ascii="Arial Narrow" w:hAnsi="Arial Narrow"/>
                <w:bCs/>
                <w:color w:val="000000"/>
                <w:w w:val="15"/>
                <w:sz w:val="20"/>
                <w:szCs w:val="20"/>
                <w:shd w:val="solid" w:color="000000" w:fill="000000"/>
                <w:fitText w:val="66" w:id="-762047221"/>
                <w14:textFill>
                  <w14:solidFill>
                    <w14:srgbClr w14:val="000000">
                      <w14:alpha w14:val="100000"/>
                    </w14:srgbClr>
                  </w14:solidFill>
                </w14:textFill>
              </w:rPr>
              <w:t>|</w:t>
            </w:r>
            <w:r w:rsidR="00E44A34" w:rsidRPr="00E44A34">
              <w:rPr>
                <w:rFonts w:ascii="Arial Narrow" w:hAnsi="Arial Narrow" w:hint="eastAsia"/>
                <w:bCs/>
                <w:color w:val="000000"/>
                <w:w w:val="15"/>
                <w:sz w:val="20"/>
                <w:szCs w:val="20"/>
                <w:shd w:val="solid" w:color="000000" w:fill="000000"/>
                <w:fitText w:val="66" w:id="-762047221"/>
                <w14:textFill>
                  <w14:solidFill>
                    <w14:srgbClr w14:val="000000">
                      <w14:alpha w14:val="100000"/>
                    </w14:srgbClr>
                  </w14:solidFill>
                </w14:textFill>
              </w:rPr>
              <w:t xml:space="preserve">　</w:t>
            </w:r>
          </w:p>
        </w:tc>
        <w:tc>
          <w:tcPr>
            <w:tcW w:w="1146" w:type="dxa"/>
            <w:shd w:val="clear" w:color="auto" w:fill="FFFFFF" w:themeFill="background1"/>
            <w:vAlign w:val="center"/>
          </w:tcPr>
          <w:p w14:paraId="1BF7BCC8" w14:textId="77777777" w:rsidR="00247AC4" w:rsidRPr="009A4DCA" w:rsidRDefault="00247AC4" w:rsidP="00BB4944">
            <w:pPr>
              <w:keepNext/>
              <w:keepLines/>
              <w:jc w:val="center"/>
              <w:rPr>
                <w:rFonts w:ascii="Arial Narrow" w:hAnsi="Arial Narrow"/>
                <w:bCs/>
                <w:sz w:val="20"/>
                <w:szCs w:val="20"/>
              </w:rPr>
            </w:pPr>
            <w:r w:rsidRPr="009A4DCA">
              <w:rPr>
                <w:rFonts w:ascii="Arial Narrow" w:hAnsi="Arial Narrow"/>
                <w:bCs/>
                <w:sz w:val="20"/>
                <w:szCs w:val="20"/>
              </w:rPr>
              <w:t>0.0043</w:t>
            </w:r>
          </w:p>
        </w:tc>
        <w:tc>
          <w:tcPr>
            <w:tcW w:w="1289" w:type="dxa"/>
            <w:shd w:val="clear" w:color="auto" w:fill="FFFFFF" w:themeFill="background1"/>
            <w:vAlign w:val="center"/>
          </w:tcPr>
          <w:p w14:paraId="0A120852" w14:textId="42CD3F85" w:rsidR="00247AC4" w:rsidRPr="009A4DCA" w:rsidRDefault="00247AC4" w:rsidP="00BB4944">
            <w:pPr>
              <w:keepNext/>
              <w:keepLines/>
              <w:jc w:val="center"/>
              <w:rPr>
                <w:rFonts w:ascii="Arial Narrow" w:hAnsi="Arial Narrow"/>
                <w:bCs/>
                <w:sz w:val="20"/>
                <w:szCs w:val="20"/>
              </w:rPr>
            </w:pPr>
            <w:r w:rsidRPr="009A4DCA">
              <w:rPr>
                <w:rFonts w:ascii="Arial Narrow" w:hAnsi="Arial Narrow"/>
                <w:bCs/>
                <w:sz w:val="20"/>
                <w:szCs w:val="20"/>
              </w:rPr>
              <w:t>$</w:t>
            </w:r>
            <w:r w:rsidR="00E44A34" w:rsidRPr="00E44A34">
              <w:rPr>
                <w:rFonts w:ascii="Arial Narrow" w:hAnsi="Arial Narrow" w:hint="eastAsia"/>
                <w:bCs/>
                <w:color w:val="000000"/>
                <w:w w:val="24"/>
                <w:sz w:val="20"/>
                <w:szCs w:val="20"/>
                <w:shd w:val="solid" w:color="000000" w:fill="000000"/>
                <w:fitText w:val="107" w:id="-762047220"/>
                <w14:textFill>
                  <w14:solidFill>
                    <w14:srgbClr w14:val="000000">
                      <w14:alpha w14:val="100000"/>
                    </w14:srgbClr>
                  </w14:solidFill>
                </w14:textFill>
              </w:rPr>
              <w:t xml:space="preserve">　</w:t>
            </w:r>
            <w:r w:rsidR="00E44A34" w:rsidRPr="00E44A34">
              <w:rPr>
                <w:rFonts w:ascii="Arial Narrow" w:hAnsi="Arial Narrow"/>
                <w:bCs/>
                <w:color w:val="000000"/>
                <w:w w:val="24"/>
                <w:sz w:val="20"/>
                <w:szCs w:val="20"/>
                <w:shd w:val="solid" w:color="000000" w:fill="000000"/>
                <w:fitText w:val="107" w:id="-762047220"/>
                <w14:textFill>
                  <w14:solidFill>
                    <w14:srgbClr w14:val="000000">
                      <w14:alpha w14:val="100000"/>
                    </w14:srgbClr>
                  </w14:solidFill>
                </w14:textFill>
              </w:rPr>
              <w:t>|</w:t>
            </w:r>
            <w:r w:rsidR="00E44A34" w:rsidRPr="00E44A34">
              <w:rPr>
                <w:rFonts w:ascii="Arial Narrow" w:hAnsi="Arial Narrow" w:hint="eastAsia"/>
                <w:bCs/>
                <w:color w:val="000000"/>
                <w:spacing w:val="3"/>
                <w:w w:val="24"/>
                <w:sz w:val="20"/>
                <w:szCs w:val="20"/>
                <w:shd w:val="solid" w:color="000000" w:fill="000000"/>
                <w:fitText w:val="107" w:id="-762047220"/>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4</w:t>
            </w:r>
          </w:p>
        </w:tc>
        <w:tc>
          <w:tcPr>
            <w:tcW w:w="1289" w:type="dxa"/>
            <w:shd w:val="clear" w:color="auto" w:fill="FFFFFF" w:themeFill="background1"/>
            <w:vAlign w:val="center"/>
          </w:tcPr>
          <w:p w14:paraId="70D5E616" w14:textId="539C77B0" w:rsidR="00247AC4" w:rsidRPr="009A4DCA" w:rsidRDefault="00247AC4" w:rsidP="00BB4944">
            <w:pPr>
              <w:keepNext/>
              <w:keepLines/>
              <w:jc w:val="center"/>
              <w:rPr>
                <w:rFonts w:ascii="Arial Narrow" w:hAnsi="Arial Narrow"/>
                <w:bCs/>
                <w:sz w:val="20"/>
                <w:szCs w:val="20"/>
              </w:rPr>
            </w:pPr>
            <w:r w:rsidRPr="009A4DCA">
              <w:rPr>
                <w:rFonts w:ascii="Arial Narrow" w:hAnsi="Arial Narrow"/>
                <w:bCs/>
                <w:sz w:val="20"/>
                <w:szCs w:val="20"/>
              </w:rPr>
              <w:t>+</w:t>
            </w:r>
            <w:r w:rsidR="00E44A34" w:rsidRPr="00E44A34">
              <w:rPr>
                <w:rFonts w:ascii="Arial Narrow" w:hAnsi="Arial Narrow" w:hint="eastAsia"/>
                <w:bCs/>
                <w:color w:val="000000"/>
                <w:w w:val="30"/>
                <w:sz w:val="20"/>
                <w:szCs w:val="20"/>
                <w:shd w:val="solid" w:color="000000" w:fill="000000"/>
                <w:fitText w:val="133" w:id="-762047219"/>
                <w14:textFill>
                  <w14:solidFill>
                    <w14:srgbClr w14:val="000000">
                      <w14:alpha w14:val="100000"/>
                    </w14:srgbClr>
                  </w14:solidFill>
                </w14:textFill>
              </w:rPr>
              <w:t xml:space="preserve">　</w:t>
            </w:r>
            <w:r w:rsidR="00E44A34" w:rsidRPr="00E44A34">
              <w:rPr>
                <w:rFonts w:ascii="Arial Narrow" w:hAnsi="Arial Narrow"/>
                <w:bCs/>
                <w:color w:val="000000"/>
                <w:w w:val="30"/>
                <w:sz w:val="20"/>
                <w:szCs w:val="20"/>
                <w:shd w:val="solid" w:color="000000" w:fill="000000"/>
                <w:fitText w:val="133" w:id="-762047219"/>
                <w14:textFill>
                  <w14:solidFill>
                    <w14:srgbClr w14:val="000000">
                      <w14:alpha w14:val="100000"/>
                    </w14:srgbClr>
                  </w14:solidFill>
                </w14:textFill>
              </w:rPr>
              <w:t>|</w:t>
            </w:r>
            <w:r w:rsidR="00E44A34" w:rsidRPr="00E44A34">
              <w:rPr>
                <w:rFonts w:ascii="Arial Narrow" w:hAnsi="Arial Narrow" w:hint="eastAsia"/>
                <w:bCs/>
                <w:color w:val="000000"/>
                <w:w w:val="30"/>
                <w:sz w:val="20"/>
                <w:szCs w:val="20"/>
                <w:shd w:val="solid" w:color="000000" w:fill="000000"/>
                <w:fitText w:val="133" w:id="-762047219"/>
                <w14:textFill>
                  <w14:solidFill>
                    <w14:srgbClr w14:val="000000">
                      <w14:alpha w14:val="100000"/>
                    </w14:srgbClr>
                  </w14:solidFill>
                </w14:textFill>
              </w:rPr>
              <w:t xml:space="preserve">　</w:t>
            </w:r>
            <w:r w:rsidRPr="009A4DCA">
              <w:rPr>
                <w:rFonts w:ascii="Arial Narrow" w:hAnsi="Arial Narrow"/>
                <w:bCs/>
                <w:sz w:val="20"/>
                <w:szCs w:val="20"/>
              </w:rPr>
              <w:t>%</w:t>
            </w:r>
          </w:p>
        </w:tc>
      </w:tr>
      <w:tr w:rsidR="004F79D6" w:rsidRPr="009A4DCA" w14:paraId="5D8207E0" w14:textId="77777777" w:rsidTr="00BB4944">
        <w:tc>
          <w:tcPr>
            <w:tcW w:w="711" w:type="dxa"/>
            <w:shd w:val="clear" w:color="auto" w:fill="FFFFFF" w:themeFill="background1"/>
            <w:vAlign w:val="center"/>
          </w:tcPr>
          <w:p w14:paraId="6B4EC008" w14:textId="55B6320E" w:rsidR="004F79D6" w:rsidRPr="009A4DCA" w:rsidRDefault="007C540D" w:rsidP="004F79D6">
            <w:pPr>
              <w:keepNext/>
              <w:keepLines/>
              <w:jc w:val="left"/>
              <w:rPr>
                <w:rFonts w:ascii="Arial Narrow" w:hAnsi="Arial Narrow"/>
                <w:sz w:val="20"/>
                <w:szCs w:val="20"/>
              </w:rPr>
            </w:pPr>
            <w:r w:rsidRPr="009A4DCA">
              <w:rPr>
                <w:rFonts w:ascii="Arial Narrow" w:hAnsi="Arial Narrow"/>
                <w:sz w:val="20"/>
                <w:szCs w:val="20"/>
              </w:rPr>
              <w:t>SA.1</w:t>
            </w:r>
            <w:r w:rsidR="004B5341" w:rsidRPr="009A4DCA">
              <w:rPr>
                <w:rFonts w:ascii="Arial Narrow" w:hAnsi="Arial Narrow"/>
                <w:sz w:val="20"/>
                <w:szCs w:val="20"/>
              </w:rPr>
              <w:t>2</w:t>
            </w:r>
          </w:p>
        </w:tc>
        <w:tc>
          <w:tcPr>
            <w:tcW w:w="3293" w:type="dxa"/>
            <w:shd w:val="clear" w:color="auto" w:fill="FFFFFF" w:themeFill="background1"/>
            <w:vAlign w:val="center"/>
          </w:tcPr>
          <w:p w14:paraId="4729E41F" w14:textId="374BEB90" w:rsidR="004F79D6" w:rsidRPr="009A4DCA" w:rsidRDefault="004F79D6" w:rsidP="004F79D6">
            <w:pPr>
              <w:keepNext/>
              <w:keepLines/>
              <w:jc w:val="left"/>
              <w:rPr>
                <w:rFonts w:ascii="Arial Narrow" w:hAnsi="Arial Narrow"/>
                <w:color w:val="000000"/>
                <w:sz w:val="20"/>
                <w:szCs w:val="20"/>
              </w:rPr>
            </w:pPr>
            <w:r w:rsidRPr="009A4DCA">
              <w:rPr>
                <w:rFonts w:ascii="Arial Narrow" w:hAnsi="Arial Narrow"/>
                <w:color w:val="000000"/>
                <w:sz w:val="20"/>
                <w:szCs w:val="20"/>
              </w:rPr>
              <w:t>Alternative: AIHW hospital incidence (197 per 100,000) + hCFR (3.83%)</w:t>
            </w:r>
          </w:p>
        </w:tc>
        <w:tc>
          <w:tcPr>
            <w:tcW w:w="1289" w:type="dxa"/>
            <w:shd w:val="clear" w:color="auto" w:fill="FFFFFF" w:themeFill="background1"/>
            <w:vAlign w:val="center"/>
          </w:tcPr>
          <w:p w14:paraId="2D2164C9" w14:textId="77A452BB"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218"/>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18"/>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18"/>
                <w14:textFill>
                  <w14:solidFill>
                    <w14:srgbClr w14:val="000000">
                      <w14:alpha w14:val="100000"/>
                    </w14:srgbClr>
                  </w14:solidFill>
                </w14:textFill>
              </w:rPr>
              <w:t xml:space="preserve">　</w:t>
            </w:r>
          </w:p>
        </w:tc>
        <w:tc>
          <w:tcPr>
            <w:tcW w:w="1146" w:type="dxa"/>
            <w:shd w:val="clear" w:color="auto" w:fill="FFFFFF" w:themeFill="background1"/>
            <w:vAlign w:val="center"/>
          </w:tcPr>
          <w:p w14:paraId="75243F98" w14:textId="22DDF4C0"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0.0020</w:t>
            </w:r>
          </w:p>
        </w:tc>
        <w:tc>
          <w:tcPr>
            <w:tcW w:w="1289" w:type="dxa"/>
            <w:shd w:val="clear" w:color="auto" w:fill="FFFFFF" w:themeFill="background1"/>
            <w:vAlign w:val="center"/>
          </w:tcPr>
          <w:p w14:paraId="0AA89C7D" w14:textId="1A4E831E" w:rsidR="004F79D6" w:rsidRPr="009A4DCA" w:rsidRDefault="004F79D6" w:rsidP="00BB4944">
            <w:pPr>
              <w:keepNext/>
              <w:keepLines/>
              <w:jc w:val="center"/>
              <w:rPr>
                <w:rFonts w:ascii="Arial Narrow" w:hAnsi="Arial Narrow"/>
                <w:color w:val="000000"/>
                <w:sz w:val="20"/>
                <w:szCs w:val="20"/>
              </w:rPr>
            </w:pPr>
            <w:r w:rsidRPr="00B35352">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17"/>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17"/>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217"/>
                <w14:textFill>
                  <w14:solidFill>
                    <w14:srgbClr w14:val="000000">
                      <w14:alpha w14:val="100000"/>
                    </w14:srgbClr>
                  </w14:solidFill>
                </w14:textFill>
              </w:rPr>
              <w:t xml:space="preserve">　</w:t>
            </w:r>
            <w:r w:rsidR="00EA3221">
              <w:rPr>
                <w:rFonts w:ascii="Arial Narrow" w:hAnsi="Arial Narrow"/>
                <w:b/>
                <w:color w:val="000000"/>
                <w:sz w:val="20"/>
                <w:szCs w:val="20"/>
              </w:rPr>
              <w:t xml:space="preserve"> </w:t>
            </w:r>
            <w:r w:rsidR="00EA3221">
              <w:rPr>
                <w:rFonts w:ascii="Arial Narrow" w:hAnsi="Arial Narrow"/>
                <w:b/>
                <w:color w:val="000000"/>
                <w:sz w:val="20"/>
                <w:szCs w:val="20"/>
                <w:vertAlign w:val="superscript"/>
              </w:rPr>
              <w:t>6</w:t>
            </w:r>
          </w:p>
        </w:tc>
        <w:tc>
          <w:tcPr>
            <w:tcW w:w="1289" w:type="dxa"/>
            <w:shd w:val="clear" w:color="auto" w:fill="FFFFFF" w:themeFill="background1"/>
            <w:vAlign w:val="center"/>
          </w:tcPr>
          <w:p w14:paraId="01881B0A" w14:textId="60294AF3" w:rsidR="004F79D6" w:rsidRPr="009A4DCA" w:rsidRDefault="004F79D6"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30"/>
                <w:sz w:val="20"/>
                <w:szCs w:val="20"/>
                <w:shd w:val="solid" w:color="000000" w:fill="000000"/>
                <w:fitText w:val="133" w:id="-762047216"/>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16"/>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16"/>
                <w14:textFill>
                  <w14:solidFill>
                    <w14:srgbClr w14:val="000000">
                      <w14:alpha w14:val="100000"/>
                    </w14:srgbClr>
                  </w14:solidFill>
                </w14:textFill>
              </w:rPr>
              <w:t xml:space="preserve">　</w:t>
            </w:r>
            <w:r w:rsidRPr="009A4DCA">
              <w:rPr>
                <w:rFonts w:ascii="Arial Narrow" w:hAnsi="Arial Narrow"/>
                <w:color w:val="000000"/>
                <w:sz w:val="20"/>
                <w:szCs w:val="20"/>
              </w:rPr>
              <w:t>%</w:t>
            </w:r>
          </w:p>
        </w:tc>
      </w:tr>
      <w:tr w:rsidR="00247AC4" w:rsidRPr="009A4DCA" w14:paraId="70CE2807" w14:textId="77777777" w:rsidTr="008C1CDB">
        <w:tc>
          <w:tcPr>
            <w:tcW w:w="9017" w:type="dxa"/>
            <w:gridSpan w:val="6"/>
            <w:shd w:val="clear" w:color="auto" w:fill="FFFFFF" w:themeFill="background1"/>
            <w:vAlign w:val="center"/>
          </w:tcPr>
          <w:p w14:paraId="76CB5022" w14:textId="77777777" w:rsidR="00247AC4" w:rsidRPr="009A4DCA" w:rsidRDefault="00247AC4" w:rsidP="00247AC4">
            <w:pPr>
              <w:keepNext/>
              <w:keepLines/>
              <w:jc w:val="left"/>
              <w:rPr>
                <w:rFonts w:ascii="Arial Narrow" w:hAnsi="Arial Narrow"/>
                <w:b/>
                <w:color w:val="000000"/>
                <w:sz w:val="20"/>
                <w:szCs w:val="20"/>
              </w:rPr>
            </w:pPr>
            <w:r w:rsidRPr="009A4DCA">
              <w:rPr>
                <w:rFonts w:ascii="Arial Narrow" w:hAnsi="Arial Narrow"/>
                <w:b/>
                <w:color w:val="000000"/>
                <w:sz w:val="20"/>
                <w:szCs w:val="20"/>
              </w:rPr>
              <w:t>Vaccine efficacy peak (base case: outpatient (65.1%), emergency (70.4%), hospitalised (84.6%))</w:t>
            </w:r>
          </w:p>
        </w:tc>
      </w:tr>
      <w:tr w:rsidR="00247AC4" w:rsidRPr="009A4DCA" w14:paraId="7955DB7F" w14:textId="77777777" w:rsidTr="008C1CDB">
        <w:tc>
          <w:tcPr>
            <w:tcW w:w="711" w:type="dxa"/>
            <w:shd w:val="clear" w:color="auto" w:fill="FFFFFF" w:themeFill="background1"/>
            <w:vAlign w:val="center"/>
          </w:tcPr>
          <w:p w14:paraId="2FE2822A" w14:textId="46EB85F7"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SA.</w:t>
            </w:r>
            <w:r w:rsidR="007C540D" w:rsidRPr="009A4DCA">
              <w:rPr>
                <w:rFonts w:ascii="Arial Narrow" w:hAnsi="Arial Narrow"/>
                <w:sz w:val="20"/>
                <w:szCs w:val="20"/>
              </w:rPr>
              <w:t>1</w:t>
            </w:r>
            <w:r w:rsidR="004B5341" w:rsidRPr="009A4DCA">
              <w:rPr>
                <w:rFonts w:ascii="Arial Narrow" w:hAnsi="Arial Narrow"/>
                <w:sz w:val="20"/>
                <w:szCs w:val="20"/>
              </w:rPr>
              <w:t>3</w:t>
            </w:r>
          </w:p>
        </w:tc>
        <w:tc>
          <w:tcPr>
            <w:tcW w:w="3293" w:type="dxa"/>
            <w:shd w:val="clear" w:color="auto" w:fill="FFFFFF" w:themeFill="background1"/>
            <w:vAlign w:val="center"/>
          </w:tcPr>
          <w:p w14:paraId="1FA85535" w14:textId="77777777"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Hospital = 50% (low value)</w:t>
            </w:r>
          </w:p>
        </w:tc>
        <w:tc>
          <w:tcPr>
            <w:tcW w:w="1289" w:type="dxa"/>
            <w:shd w:val="clear" w:color="auto" w:fill="FFFFFF" w:themeFill="background1"/>
            <w:vAlign w:val="center"/>
          </w:tcPr>
          <w:p w14:paraId="17D9A4D4" w14:textId="65F26DFD"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232"/>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32"/>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32"/>
                <w14:textFill>
                  <w14:solidFill>
                    <w14:srgbClr w14:val="000000">
                      <w14:alpha w14:val="100000"/>
                    </w14:srgbClr>
                  </w14:solidFill>
                </w14:textFill>
              </w:rPr>
              <w:t xml:space="preserve">　</w:t>
            </w:r>
          </w:p>
        </w:tc>
        <w:tc>
          <w:tcPr>
            <w:tcW w:w="1146" w:type="dxa"/>
            <w:shd w:val="clear" w:color="auto" w:fill="FFFFFF" w:themeFill="background1"/>
            <w:vAlign w:val="center"/>
          </w:tcPr>
          <w:p w14:paraId="139512F0" w14:textId="77777777"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0.0053</w:t>
            </w:r>
          </w:p>
        </w:tc>
        <w:tc>
          <w:tcPr>
            <w:tcW w:w="1289" w:type="dxa"/>
            <w:shd w:val="clear" w:color="auto" w:fill="FFFFFF" w:themeFill="background1"/>
            <w:vAlign w:val="center"/>
          </w:tcPr>
          <w:p w14:paraId="59044452" w14:textId="781B439F"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231"/>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31"/>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231"/>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4</w:t>
            </w:r>
          </w:p>
        </w:tc>
        <w:tc>
          <w:tcPr>
            <w:tcW w:w="1289" w:type="dxa"/>
            <w:shd w:val="clear" w:color="auto" w:fill="FFFFFF" w:themeFill="background1"/>
            <w:vAlign w:val="center"/>
          </w:tcPr>
          <w:p w14:paraId="13BDF467" w14:textId="6F4523F0"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230"/>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30"/>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30"/>
                <w14:textFill>
                  <w14:solidFill>
                    <w14:srgbClr w14:val="000000">
                      <w14:alpha w14:val="100000"/>
                    </w14:srgbClr>
                  </w14:solidFill>
                </w14:textFill>
              </w:rPr>
              <w:t xml:space="preserve">　</w:t>
            </w:r>
            <w:r w:rsidRPr="009A4DCA">
              <w:rPr>
                <w:rFonts w:ascii="Arial Narrow" w:hAnsi="Arial Narrow"/>
                <w:sz w:val="20"/>
                <w:szCs w:val="20"/>
              </w:rPr>
              <w:t>%</w:t>
            </w:r>
          </w:p>
        </w:tc>
      </w:tr>
      <w:tr w:rsidR="00247AC4" w:rsidRPr="009A4DCA" w14:paraId="56B80552" w14:textId="77777777" w:rsidTr="008C1CDB">
        <w:tc>
          <w:tcPr>
            <w:tcW w:w="711" w:type="dxa"/>
            <w:shd w:val="clear" w:color="auto" w:fill="FFFFFF" w:themeFill="background1"/>
            <w:vAlign w:val="center"/>
          </w:tcPr>
          <w:p w14:paraId="6DD28D4C" w14:textId="2D8C4FD3"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SA.</w:t>
            </w:r>
            <w:r w:rsidR="00EA1FD3" w:rsidRPr="009A4DCA">
              <w:rPr>
                <w:rFonts w:ascii="Arial Narrow" w:hAnsi="Arial Narrow"/>
                <w:sz w:val="20"/>
                <w:szCs w:val="20"/>
              </w:rPr>
              <w:t>1</w:t>
            </w:r>
            <w:r w:rsidR="004B5341" w:rsidRPr="009A4DCA">
              <w:rPr>
                <w:rFonts w:ascii="Arial Narrow" w:hAnsi="Arial Narrow"/>
                <w:sz w:val="20"/>
                <w:szCs w:val="20"/>
              </w:rPr>
              <w:t>4</w:t>
            </w:r>
          </w:p>
        </w:tc>
        <w:tc>
          <w:tcPr>
            <w:tcW w:w="3293" w:type="dxa"/>
            <w:shd w:val="clear" w:color="auto" w:fill="FFFFFF" w:themeFill="background1"/>
            <w:vAlign w:val="center"/>
          </w:tcPr>
          <w:p w14:paraId="418387AF" w14:textId="77777777"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Hospital = 100% (high value)</w:t>
            </w:r>
          </w:p>
        </w:tc>
        <w:tc>
          <w:tcPr>
            <w:tcW w:w="1289" w:type="dxa"/>
            <w:shd w:val="clear" w:color="auto" w:fill="FFFFFF" w:themeFill="background1"/>
            <w:vAlign w:val="center"/>
          </w:tcPr>
          <w:p w14:paraId="6DF90DC7" w14:textId="557BEF05"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229"/>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9"/>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9"/>
                <w14:textFill>
                  <w14:solidFill>
                    <w14:srgbClr w14:val="000000">
                      <w14:alpha w14:val="100000"/>
                    </w14:srgbClr>
                  </w14:solidFill>
                </w14:textFill>
              </w:rPr>
              <w:t xml:space="preserve">　</w:t>
            </w:r>
          </w:p>
        </w:tc>
        <w:tc>
          <w:tcPr>
            <w:tcW w:w="1146" w:type="dxa"/>
            <w:shd w:val="clear" w:color="auto" w:fill="FFFFFF" w:themeFill="background1"/>
            <w:vAlign w:val="center"/>
          </w:tcPr>
          <w:p w14:paraId="069276E5" w14:textId="77777777"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0.0130</w:t>
            </w:r>
          </w:p>
        </w:tc>
        <w:tc>
          <w:tcPr>
            <w:tcW w:w="1289" w:type="dxa"/>
            <w:shd w:val="clear" w:color="auto" w:fill="FFFFFF" w:themeFill="background1"/>
            <w:vAlign w:val="center"/>
          </w:tcPr>
          <w:p w14:paraId="3BE7DC60" w14:textId="448F56A6"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228"/>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8"/>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228"/>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1</w:t>
            </w:r>
          </w:p>
        </w:tc>
        <w:tc>
          <w:tcPr>
            <w:tcW w:w="1289" w:type="dxa"/>
            <w:shd w:val="clear" w:color="auto" w:fill="FFFFFF" w:themeFill="background1"/>
            <w:vAlign w:val="center"/>
          </w:tcPr>
          <w:p w14:paraId="48FE16A8" w14:textId="520FC855" w:rsidR="00247AC4" w:rsidRPr="009A4DCA" w:rsidRDefault="00247AC4" w:rsidP="00247AC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3"/>
                <w:sz w:val="20"/>
                <w:szCs w:val="20"/>
                <w:shd w:val="solid" w:color="000000" w:fill="000000"/>
                <w:fitText w:val="106" w:id="-762047227"/>
                <w14:textFill>
                  <w14:solidFill>
                    <w14:srgbClr w14:val="000000">
                      <w14:alpha w14:val="100000"/>
                    </w14:srgbClr>
                  </w14:solidFill>
                </w14:textFill>
              </w:rPr>
              <w:t xml:space="preserve">　</w:t>
            </w:r>
            <w:r w:rsidR="00E44A34" w:rsidRPr="00E44A34">
              <w:rPr>
                <w:rFonts w:ascii="Arial Narrow" w:hAnsi="Arial Narrow"/>
                <w:color w:val="000000"/>
                <w:w w:val="23"/>
                <w:sz w:val="20"/>
                <w:szCs w:val="20"/>
                <w:shd w:val="solid" w:color="000000" w:fill="000000"/>
                <w:fitText w:val="106" w:id="-762047227"/>
                <w14:textFill>
                  <w14:solidFill>
                    <w14:srgbClr w14:val="000000">
                      <w14:alpha w14:val="100000"/>
                    </w14:srgbClr>
                  </w14:solidFill>
                </w14:textFill>
              </w:rPr>
              <w:t>|</w:t>
            </w:r>
            <w:r w:rsidR="00E44A34" w:rsidRPr="00E44A34">
              <w:rPr>
                <w:rFonts w:ascii="Arial Narrow" w:hAnsi="Arial Narrow" w:hint="eastAsia"/>
                <w:color w:val="000000"/>
                <w:w w:val="23"/>
                <w:sz w:val="20"/>
                <w:szCs w:val="20"/>
                <w:shd w:val="solid" w:color="000000" w:fill="000000"/>
                <w:fitText w:val="106" w:id="-762047227"/>
                <w14:textFill>
                  <w14:solidFill>
                    <w14:srgbClr w14:val="000000">
                      <w14:alpha w14:val="100000"/>
                    </w14:srgbClr>
                  </w14:solidFill>
                </w14:textFill>
              </w:rPr>
              <w:t xml:space="preserve">　</w:t>
            </w:r>
            <w:r w:rsidRPr="009A4DCA">
              <w:rPr>
                <w:rFonts w:ascii="Arial Narrow" w:hAnsi="Arial Narrow"/>
                <w:sz w:val="20"/>
                <w:szCs w:val="20"/>
              </w:rPr>
              <w:t>%</w:t>
            </w:r>
          </w:p>
        </w:tc>
      </w:tr>
      <w:tr w:rsidR="00247AC4" w:rsidRPr="009A4DCA" w14:paraId="02F78E76" w14:textId="77777777" w:rsidTr="008C1CDB">
        <w:tc>
          <w:tcPr>
            <w:tcW w:w="9017" w:type="dxa"/>
            <w:gridSpan w:val="6"/>
            <w:shd w:val="clear" w:color="auto" w:fill="FFFFFF" w:themeFill="background1"/>
            <w:vAlign w:val="center"/>
          </w:tcPr>
          <w:p w14:paraId="03738D12" w14:textId="77777777" w:rsidR="00247AC4" w:rsidRPr="009A4DCA" w:rsidRDefault="00247AC4" w:rsidP="00247AC4">
            <w:pPr>
              <w:keepNext/>
              <w:keepLines/>
              <w:jc w:val="left"/>
              <w:rPr>
                <w:rFonts w:ascii="Arial Narrow" w:hAnsi="Arial Narrow"/>
                <w:color w:val="000000"/>
                <w:sz w:val="20"/>
                <w:szCs w:val="20"/>
              </w:rPr>
            </w:pPr>
            <w:r w:rsidRPr="009A4DCA">
              <w:rPr>
                <w:rFonts w:ascii="Arial Narrow" w:hAnsi="Arial Narrow"/>
                <w:b/>
                <w:color w:val="000000"/>
                <w:sz w:val="20"/>
                <w:szCs w:val="20"/>
              </w:rPr>
              <w:t>Vaccine efficacy timepoints (base case: titration (1.51%), extrapolation (6 months) truncation (48 months))</w:t>
            </w:r>
          </w:p>
        </w:tc>
      </w:tr>
      <w:tr w:rsidR="00247AC4" w:rsidRPr="009A4DCA" w14:paraId="58999A95" w14:textId="77777777" w:rsidTr="00BB4944">
        <w:tc>
          <w:tcPr>
            <w:tcW w:w="711" w:type="dxa"/>
            <w:shd w:val="clear" w:color="auto" w:fill="FFFFFF" w:themeFill="background1"/>
            <w:vAlign w:val="center"/>
          </w:tcPr>
          <w:p w14:paraId="6E20EAB4" w14:textId="5DFBF94C"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SA.</w:t>
            </w:r>
            <w:r w:rsidR="00EA1FD3" w:rsidRPr="009A4DCA">
              <w:rPr>
                <w:rFonts w:ascii="Arial Narrow" w:hAnsi="Arial Narrow"/>
                <w:sz w:val="20"/>
                <w:szCs w:val="20"/>
              </w:rPr>
              <w:t>1</w:t>
            </w:r>
            <w:r w:rsidR="004B5341" w:rsidRPr="009A4DCA">
              <w:rPr>
                <w:rFonts w:ascii="Arial Narrow" w:hAnsi="Arial Narrow"/>
                <w:sz w:val="20"/>
                <w:szCs w:val="20"/>
              </w:rPr>
              <w:t>5</w:t>
            </w:r>
          </w:p>
        </w:tc>
        <w:tc>
          <w:tcPr>
            <w:tcW w:w="3293" w:type="dxa"/>
            <w:shd w:val="clear" w:color="auto" w:fill="FFFFFF" w:themeFill="background1"/>
            <w:vAlign w:val="center"/>
          </w:tcPr>
          <w:p w14:paraId="7FD8F12D" w14:textId="77777777"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Truncation = 36 months</w:t>
            </w:r>
          </w:p>
        </w:tc>
        <w:tc>
          <w:tcPr>
            <w:tcW w:w="1289" w:type="dxa"/>
            <w:shd w:val="clear" w:color="auto" w:fill="FFFFFF" w:themeFill="background1"/>
            <w:vAlign w:val="center"/>
          </w:tcPr>
          <w:p w14:paraId="40A950F2" w14:textId="6BA39F75" w:rsidR="00247AC4" w:rsidRPr="009A4DCA" w:rsidRDefault="00247AC4" w:rsidP="00BB494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226"/>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6"/>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6"/>
                <w14:textFill>
                  <w14:solidFill>
                    <w14:srgbClr w14:val="000000">
                      <w14:alpha w14:val="100000"/>
                    </w14:srgbClr>
                  </w14:solidFill>
                </w14:textFill>
              </w:rPr>
              <w:t xml:space="preserve">　</w:t>
            </w:r>
          </w:p>
        </w:tc>
        <w:tc>
          <w:tcPr>
            <w:tcW w:w="1146" w:type="dxa"/>
            <w:shd w:val="clear" w:color="auto" w:fill="FFFFFF" w:themeFill="background1"/>
            <w:vAlign w:val="center"/>
          </w:tcPr>
          <w:p w14:paraId="3A9328A9" w14:textId="0B5AD527" w:rsidR="00247AC4" w:rsidRPr="009A4DCA" w:rsidRDefault="00247AC4" w:rsidP="00BB4944">
            <w:pPr>
              <w:keepNext/>
              <w:keepLines/>
              <w:jc w:val="center"/>
              <w:rPr>
                <w:rFonts w:ascii="Arial Narrow" w:hAnsi="Arial Narrow"/>
                <w:sz w:val="20"/>
                <w:szCs w:val="20"/>
              </w:rPr>
            </w:pPr>
            <w:r w:rsidRPr="009A4DCA">
              <w:rPr>
                <w:rFonts w:ascii="Arial Narrow" w:hAnsi="Arial Narrow"/>
                <w:sz w:val="20"/>
                <w:szCs w:val="20"/>
              </w:rPr>
              <w:t>0.0090</w:t>
            </w:r>
          </w:p>
        </w:tc>
        <w:tc>
          <w:tcPr>
            <w:tcW w:w="1289" w:type="dxa"/>
            <w:shd w:val="clear" w:color="auto" w:fill="FFFFFF" w:themeFill="background1"/>
            <w:vAlign w:val="center"/>
          </w:tcPr>
          <w:p w14:paraId="3A8B9F94" w14:textId="23A49011" w:rsidR="00247AC4" w:rsidRPr="009A4DCA" w:rsidRDefault="00247AC4" w:rsidP="00BB494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225"/>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5"/>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225"/>
                <w14:textFill>
                  <w14:solidFill>
                    <w14:srgbClr w14:val="000000">
                      <w14:alpha w14:val="100000"/>
                    </w14:srgbClr>
                  </w14:solidFill>
                </w14:textFill>
              </w:rPr>
              <w:t xml:space="preserve">　</w:t>
            </w:r>
            <w:r w:rsidR="00BB4944">
              <w:rPr>
                <w:rFonts w:ascii="Arial Narrow" w:hAnsi="Arial Narrow"/>
                <w:b/>
                <w:color w:val="000000"/>
                <w:sz w:val="20"/>
                <w:szCs w:val="20"/>
              </w:rPr>
              <w:t xml:space="preserve"> </w:t>
            </w:r>
            <w:r w:rsidR="00BB4944">
              <w:rPr>
                <w:rFonts w:ascii="Arial Narrow" w:hAnsi="Arial Narrow"/>
                <w:b/>
                <w:color w:val="000000"/>
                <w:sz w:val="20"/>
                <w:szCs w:val="20"/>
                <w:vertAlign w:val="superscript"/>
              </w:rPr>
              <w:t>1</w:t>
            </w:r>
          </w:p>
        </w:tc>
        <w:tc>
          <w:tcPr>
            <w:tcW w:w="1289" w:type="dxa"/>
            <w:shd w:val="clear" w:color="auto" w:fill="FFFFFF" w:themeFill="background1"/>
            <w:vAlign w:val="center"/>
          </w:tcPr>
          <w:p w14:paraId="1975D5D9" w14:textId="4A822A29" w:rsidR="00247AC4" w:rsidRPr="009A4DCA" w:rsidRDefault="00247AC4" w:rsidP="00BB4944">
            <w:pPr>
              <w:keepNext/>
              <w:keepLines/>
              <w:jc w:val="center"/>
              <w:rPr>
                <w:rFonts w:ascii="Arial Narrow" w:hAnsi="Arial Narrow"/>
                <w:sz w:val="20"/>
                <w:szCs w:val="20"/>
              </w:rPr>
            </w:pPr>
            <w:r w:rsidRPr="009A4DCA">
              <w:rPr>
                <w:rFonts w:ascii="Arial Narrow" w:hAnsi="Arial Narrow"/>
                <w:bCs/>
                <w:sz w:val="20"/>
                <w:szCs w:val="20"/>
              </w:rPr>
              <w:t>+</w:t>
            </w:r>
            <w:r w:rsidR="00E44A34" w:rsidRPr="00E44A34">
              <w:rPr>
                <w:rFonts w:ascii="Arial Narrow" w:hAnsi="Arial Narrow" w:hint="eastAsia"/>
                <w:bCs/>
                <w:color w:val="000000"/>
                <w:w w:val="30"/>
                <w:sz w:val="20"/>
                <w:szCs w:val="20"/>
                <w:shd w:val="solid" w:color="000000" w:fill="000000"/>
                <w:fitText w:val="133" w:id="-762047224"/>
                <w14:textFill>
                  <w14:solidFill>
                    <w14:srgbClr w14:val="000000">
                      <w14:alpha w14:val="100000"/>
                    </w14:srgbClr>
                  </w14:solidFill>
                </w14:textFill>
              </w:rPr>
              <w:t xml:space="preserve">　</w:t>
            </w:r>
            <w:r w:rsidR="00E44A34" w:rsidRPr="00E44A34">
              <w:rPr>
                <w:rFonts w:ascii="Arial Narrow" w:hAnsi="Arial Narrow"/>
                <w:bCs/>
                <w:color w:val="000000"/>
                <w:w w:val="30"/>
                <w:sz w:val="20"/>
                <w:szCs w:val="20"/>
                <w:shd w:val="solid" w:color="000000" w:fill="000000"/>
                <w:fitText w:val="133" w:id="-762047224"/>
                <w14:textFill>
                  <w14:solidFill>
                    <w14:srgbClr w14:val="000000">
                      <w14:alpha w14:val="100000"/>
                    </w14:srgbClr>
                  </w14:solidFill>
                </w14:textFill>
              </w:rPr>
              <w:t>|</w:t>
            </w:r>
            <w:r w:rsidR="00E44A34" w:rsidRPr="00E44A34">
              <w:rPr>
                <w:rFonts w:ascii="Arial Narrow" w:hAnsi="Arial Narrow" w:hint="eastAsia"/>
                <w:bCs/>
                <w:color w:val="000000"/>
                <w:w w:val="30"/>
                <w:sz w:val="20"/>
                <w:szCs w:val="20"/>
                <w:shd w:val="solid" w:color="000000" w:fill="000000"/>
                <w:fitText w:val="133" w:id="-762047224"/>
                <w14:textFill>
                  <w14:solidFill>
                    <w14:srgbClr w14:val="000000">
                      <w14:alpha w14:val="100000"/>
                    </w14:srgbClr>
                  </w14:solidFill>
                </w14:textFill>
              </w:rPr>
              <w:t xml:space="preserve">　</w:t>
            </w:r>
            <w:r w:rsidRPr="009A4DCA">
              <w:rPr>
                <w:rFonts w:ascii="Arial Narrow" w:hAnsi="Arial Narrow"/>
                <w:bCs/>
                <w:sz w:val="20"/>
                <w:szCs w:val="20"/>
              </w:rPr>
              <w:t>%</w:t>
            </w:r>
          </w:p>
        </w:tc>
      </w:tr>
      <w:tr w:rsidR="00247AC4" w:rsidRPr="009A4DCA" w14:paraId="45BE4FDF" w14:textId="77777777" w:rsidTr="00BB4944">
        <w:tc>
          <w:tcPr>
            <w:tcW w:w="711" w:type="dxa"/>
            <w:shd w:val="clear" w:color="auto" w:fill="FFFFFF" w:themeFill="background1"/>
            <w:vAlign w:val="center"/>
          </w:tcPr>
          <w:p w14:paraId="29E78390" w14:textId="2893CA30"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SA.</w:t>
            </w:r>
            <w:r w:rsidR="00EA1FD3" w:rsidRPr="009A4DCA">
              <w:rPr>
                <w:rFonts w:ascii="Arial Narrow" w:hAnsi="Arial Narrow"/>
                <w:sz w:val="20"/>
                <w:szCs w:val="20"/>
              </w:rPr>
              <w:t>1</w:t>
            </w:r>
            <w:r w:rsidR="004B5341" w:rsidRPr="009A4DCA">
              <w:rPr>
                <w:rFonts w:ascii="Arial Narrow" w:hAnsi="Arial Narrow"/>
                <w:sz w:val="20"/>
                <w:szCs w:val="20"/>
              </w:rPr>
              <w:t>6</w:t>
            </w:r>
          </w:p>
        </w:tc>
        <w:tc>
          <w:tcPr>
            <w:tcW w:w="3293" w:type="dxa"/>
            <w:shd w:val="clear" w:color="auto" w:fill="FFFFFF" w:themeFill="background1"/>
            <w:vAlign w:val="center"/>
          </w:tcPr>
          <w:p w14:paraId="31AEFC89" w14:textId="77777777" w:rsidR="00247AC4" w:rsidRPr="009A4DCA" w:rsidRDefault="00247AC4" w:rsidP="00247AC4">
            <w:pPr>
              <w:keepNext/>
              <w:keepLines/>
              <w:jc w:val="left"/>
              <w:rPr>
                <w:rFonts w:ascii="Arial Narrow" w:hAnsi="Arial Narrow"/>
                <w:sz w:val="20"/>
                <w:szCs w:val="20"/>
              </w:rPr>
            </w:pPr>
            <w:r w:rsidRPr="009A4DCA">
              <w:rPr>
                <w:rFonts w:ascii="Arial Narrow" w:hAnsi="Arial Narrow"/>
                <w:sz w:val="20"/>
                <w:szCs w:val="20"/>
              </w:rPr>
              <w:t>Truncation = 24 months</w:t>
            </w:r>
            <w:r w:rsidRPr="009A4DCA">
              <w:rPr>
                <w:rFonts w:ascii="Arial Narrow" w:hAnsi="Arial Narrow"/>
                <w:color w:val="000000"/>
                <w:sz w:val="20"/>
                <w:szCs w:val="20"/>
                <w:vertAlign w:val="superscript"/>
              </w:rPr>
              <w:t xml:space="preserve"> a</w:t>
            </w:r>
          </w:p>
        </w:tc>
        <w:tc>
          <w:tcPr>
            <w:tcW w:w="1289" w:type="dxa"/>
            <w:shd w:val="clear" w:color="auto" w:fill="FFFFFF" w:themeFill="background1"/>
            <w:vAlign w:val="center"/>
          </w:tcPr>
          <w:p w14:paraId="211AE9B7" w14:textId="0AD055C2" w:rsidR="00247AC4" w:rsidRPr="009A4DCA" w:rsidRDefault="00247AC4" w:rsidP="00BB494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15"/>
                <w:sz w:val="20"/>
                <w:szCs w:val="20"/>
                <w:shd w:val="solid" w:color="000000" w:fill="000000"/>
                <w:fitText w:val="66" w:id="-762047223"/>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3"/>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3"/>
                <w14:textFill>
                  <w14:solidFill>
                    <w14:srgbClr w14:val="000000">
                      <w14:alpha w14:val="100000"/>
                    </w14:srgbClr>
                  </w14:solidFill>
                </w14:textFill>
              </w:rPr>
              <w:t xml:space="preserve">　</w:t>
            </w:r>
          </w:p>
        </w:tc>
        <w:tc>
          <w:tcPr>
            <w:tcW w:w="1146" w:type="dxa"/>
            <w:shd w:val="clear" w:color="auto" w:fill="FFFFFF" w:themeFill="background1"/>
            <w:vAlign w:val="center"/>
          </w:tcPr>
          <w:p w14:paraId="2084D212" w14:textId="77777777" w:rsidR="00247AC4" w:rsidRPr="009A4DCA" w:rsidRDefault="00247AC4" w:rsidP="00BB4944">
            <w:pPr>
              <w:keepNext/>
              <w:keepLines/>
              <w:jc w:val="center"/>
              <w:rPr>
                <w:rFonts w:ascii="Arial Narrow" w:hAnsi="Arial Narrow"/>
                <w:sz w:val="20"/>
                <w:szCs w:val="20"/>
              </w:rPr>
            </w:pPr>
            <w:r w:rsidRPr="009A4DCA">
              <w:rPr>
                <w:rFonts w:ascii="Arial Narrow" w:hAnsi="Arial Narrow"/>
                <w:sz w:val="20"/>
                <w:szCs w:val="20"/>
              </w:rPr>
              <w:t>0.0067</w:t>
            </w:r>
          </w:p>
        </w:tc>
        <w:tc>
          <w:tcPr>
            <w:tcW w:w="1289" w:type="dxa"/>
            <w:shd w:val="clear" w:color="auto" w:fill="FFFFFF" w:themeFill="background1"/>
            <w:vAlign w:val="center"/>
          </w:tcPr>
          <w:p w14:paraId="227BC60C" w14:textId="591767BC" w:rsidR="00247AC4" w:rsidRPr="009A4DCA" w:rsidRDefault="00247AC4" w:rsidP="00BB494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24"/>
                <w:sz w:val="20"/>
                <w:szCs w:val="20"/>
                <w:shd w:val="solid" w:color="000000" w:fill="000000"/>
                <w:fitText w:val="107" w:id="-762047222"/>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22"/>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222"/>
                <w14:textFill>
                  <w14:solidFill>
                    <w14:srgbClr w14:val="000000">
                      <w14:alpha w14:val="100000"/>
                    </w14:srgbClr>
                  </w14:solidFill>
                </w14:textFill>
              </w:rPr>
              <w:t xml:space="preserve">　</w:t>
            </w:r>
            <w:r w:rsidR="00EA3221">
              <w:rPr>
                <w:rFonts w:ascii="Arial Narrow" w:hAnsi="Arial Narrow"/>
                <w:b/>
                <w:color w:val="000000"/>
                <w:sz w:val="20"/>
                <w:szCs w:val="20"/>
              </w:rPr>
              <w:t xml:space="preserve"> </w:t>
            </w:r>
            <w:r w:rsidR="00EA3221">
              <w:rPr>
                <w:rFonts w:ascii="Arial Narrow" w:hAnsi="Arial Narrow"/>
                <w:b/>
                <w:color w:val="000000"/>
                <w:sz w:val="20"/>
                <w:szCs w:val="20"/>
                <w:vertAlign w:val="superscript"/>
              </w:rPr>
              <w:t>5</w:t>
            </w:r>
          </w:p>
        </w:tc>
        <w:tc>
          <w:tcPr>
            <w:tcW w:w="1289" w:type="dxa"/>
            <w:shd w:val="clear" w:color="auto" w:fill="FFFFFF" w:themeFill="background1"/>
            <w:vAlign w:val="center"/>
          </w:tcPr>
          <w:p w14:paraId="0169751B" w14:textId="7FA19A10" w:rsidR="00247AC4" w:rsidRPr="009A4DCA" w:rsidRDefault="00247AC4" w:rsidP="00BB4944">
            <w:pPr>
              <w:keepNext/>
              <w:keepLines/>
              <w:jc w:val="center"/>
              <w:rPr>
                <w:rFonts w:ascii="Arial Narrow" w:hAnsi="Arial Narrow"/>
                <w:sz w:val="20"/>
                <w:szCs w:val="20"/>
              </w:rPr>
            </w:pPr>
            <w:r w:rsidRPr="009A4DCA">
              <w:rPr>
                <w:rFonts w:ascii="Arial Narrow" w:hAnsi="Arial Narrow"/>
                <w:sz w:val="20"/>
                <w:szCs w:val="20"/>
              </w:rPr>
              <w:t>+</w:t>
            </w:r>
            <w:r w:rsidR="00E44A34" w:rsidRPr="00E44A34">
              <w:rPr>
                <w:rFonts w:ascii="Arial Narrow" w:hAnsi="Arial Narrow" w:hint="eastAsia"/>
                <w:color w:val="000000"/>
                <w:w w:val="30"/>
                <w:sz w:val="20"/>
                <w:szCs w:val="20"/>
                <w:shd w:val="solid" w:color="000000" w:fill="000000"/>
                <w:fitText w:val="133" w:id="-762047221"/>
                <w14:textFill>
                  <w14:solidFill>
                    <w14:srgbClr w14:val="000000">
                      <w14:alpha w14:val="100000"/>
                    </w14:srgbClr>
                  </w14:solidFill>
                </w14:textFill>
              </w:rPr>
              <w:t xml:space="preserve">　</w:t>
            </w:r>
            <w:r w:rsidR="00E44A34" w:rsidRPr="00E44A34">
              <w:rPr>
                <w:rFonts w:ascii="Arial Narrow" w:hAnsi="Arial Narrow"/>
                <w:color w:val="000000"/>
                <w:w w:val="30"/>
                <w:sz w:val="20"/>
                <w:szCs w:val="20"/>
                <w:shd w:val="solid" w:color="000000" w:fill="000000"/>
                <w:fitText w:val="133" w:id="-762047221"/>
                <w14:textFill>
                  <w14:solidFill>
                    <w14:srgbClr w14:val="000000">
                      <w14:alpha w14:val="100000"/>
                    </w14:srgbClr>
                  </w14:solidFill>
                </w14:textFill>
              </w:rPr>
              <w:t>|</w:t>
            </w:r>
            <w:r w:rsidR="00E44A34" w:rsidRPr="00E44A34">
              <w:rPr>
                <w:rFonts w:ascii="Arial Narrow" w:hAnsi="Arial Narrow" w:hint="eastAsia"/>
                <w:color w:val="000000"/>
                <w:w w:val="30"/>
                <w:sz w:val="20"/>
                <w:szCs w:val="20"/>
                <w:shd w:val="solid" w:color="000000" w:fill="000000"/>
                <w:fitText w:val="133" w:id="-762047221"/>
                <w14:textFill>
                  <w14:solidFill>
                    <w14:srgbClr w14:val="000000">
                      <w14:alpha w14:val="100000"/>
                    </w14:srgbClr>
                  </w14:solidFill>
                </w14:textFill>
              </w:rPr>
              <w:t xml:space="preserve">　</w:t>
            </w:r>
            <w:r w:rsidRPr="009A4DCA">
              <w:rPr>
                <w:rFonts w:ascii="Arial Narrow" w:hAnsi="Arial Narrow"/>
                <w:sz w:val="20"/>
                <w:szCs w:val="20"/>
              </w:rPr>
              <w:t>%</w:t>
            </w:r>
          </w:p>
        </w:tc>
      </w:tr>
      <w:tr w:rsidR="003A420E" w:rsidRPr="009A4DCA" w14:paraId="21C86CB2" w14:textId="77777777" w:rsidTr="00BB4944">
        <w:tc>
          <w:tcPr>
            <w:tcW w:w="4004" w:type="dxa"/>
            <w:gridSpan w:val="2"/>
            <w:shd w:val="clear" w:color="auto" w:fill="FFFFFF" w:themeFill="background1"/>
            <w:vAlign w:val="center"/>
          </w:tcPr>
          <w:p w14:paraId="4B013AF0" w14:textId="3ED82030" w:rsidR="003A420E" w:rsidRPr="009A4DCA" w:rsidRDefault="003A420E" w:rsidP="00247AC4">
            <w:pPr>
              <w:keepNext/>
              <w:keepLines/>
              <w:jc w:val="left"/>
              <w:rPr>
                <w:rFonts w:ascii="Arial Narrow" w:hAnsi="Arial Narrow"/>
                <w:b/>
                <w:bCs/>
                <w:sz w:val="20"/>
                <w:szCs w:val="20"/>
              </w:rPr>
            </w:pPr>
            <w:r w:rsidRPr="009A4DCA">
              <w:rPr>
                <w:rFonts w:ascii="Arial Narrow" w:hAnsi="Arial Narrow"/>
                <w:b/>
                <w:bCs/>
                <w:sz w:val="20"/>
                <w:szCs w:val="20"/>
              </w:rPr>
              <w:t>Exploratory analysis</w:t>
            </w:r>
          </w:p>
        </w:tc>
        <w:tc>
          <w:tcPr>
            <w:tcW w:w="1289" w:type="dxa"/>
            <w:shd w:val="clear" w:color="auto" w:fill="FFFFFF" w:themeFill="background1"/>
            <w:vAlign w:val="center"/>
          </w:tcPr>
          <w:p w14:paraId="093EEC06" w14:textId="77777777" w:rsidR="003A420E" w:rsidRPr="009A4DCA" w:rsidRDefault="003A420E" w:rsidP="00BB4944">
            <w:pPr>
              <w:keepNext/>
              <w:keepLines/>
              <w:jc w:val="center"/>
              <w:rPr>
                <w:rFonts w:ascii="Arial Narrow" w:hAnsi="Arial Narrow"/>
                <w:sz w:val="20"/>
                <w:szCs w:val="20"/>
              </w:rPr>
            </w:pPr>
          </w:p>
        </w:tc>
        <w:tc>
          <w:tcPr>
            <w:tcW w:w="1146" w:type="dxa"/>
            <w:shd w:val="clear" w:color="auto" w:fill="FFFFFF" w:themeFill="background1"/>
            <w:vAlign w:val="center"/>
          </w:tcPr>
          <w:p w14:paraId="4DF145B2" w14:textId="77777777" w:rsidR="003A420E" w:rsidRPr="009A4DCA" w:rsidRDefault="003A420E" w:rsidP="00BB4944">
            <w:pPr>
              <w:keepNext/>
              <w:keepLines/>
              <w:jc w:val="center"/>
              <w:rPr>
                <w:rFonts w:ascii="Arial Narrow" w:hAnsi="Arial Narrow"/>
                <w:sz w:val="20"/>
                <w:szCs w:val="20"/>
              </w:rPr>
            </w:pPr>
          </w:p>
        </w:tc>
        <w:tc>
          <w:tcPr>
            <w:tcW w:w="1289" w:type="dxa"/>
            <w:shd w:val="clear" w:color="auto" w:fill="FFFFFF" w:themeFill="background1"/>
            <w:vAlign w:val="center"/>
          </w:tcPr>
          <w:p w14:paraId="3C0B9B40" w14:textId="77777777" w:rsidR="003A420E" w:rsidRPr="009A4DCA" w:rsidRDefault="003A420E" w:rsidP="00BB4944">
            <w:pPr>
              <w:keepNext/>
              <w:keepLines/>
              <w:jc w:val="center"/>
              <w:rPr>
                <w:rFonts w:ascii="Arial Narrow" w:hAnsi="Arial Narrow"/>
                <w:sz w:val="20"/>
                <w:szCs w:val="20"/>
              </w:rPr>
            </w:pPr>
          </w:p>
        </w:tc>
        <w:tc>
          <w:tcPr>
            <w:tcW w:w="1289" w:type="dxa"/>
            <w:shd w:val="clear" w:color="auto" w:fill="FFFFFF" w:themeFill="background1"/>
            <w:vAlign w:val="center"/>
          </w:tcPr>
          <w:p w14:paraId="244FBB12" w14:textId="77777777" w:rsidR="003A420E" w:rsidRPr="009A4DCA" w:rsidRDefault="003A420E" w:rsidP="00BB4944">
            <w:pPr>
              <w:keepNext/>
              <w:keepLines/>
              <w:jc w:val="center"/>
              <w:rPr>
                <w:rFonts w:ascii="Arial Narrow" w:hAnsi="Arial Narrow"/>
                <w:sz w:val="20"/>
                <w:szCs w:val="20"/>
              </w:rPr>
            </w:pPr>
          </w:p>
        </w:tc>
      </w:tr>
      <w:tr w:rsidR="003A420E" w:rsidRPr="009A4DCA" w14:paraId="2E333F1B" w14:textId="77777777" w:rsidTr="00BB4944">
        <w:tc>
          <w:tcPr>
            <w:tcW w:w="711" w:type="dxa"/>
            <w:shd w:val="clear" w:color="auto" w:fill="FFFFFF" w:themeFill="background1"/>
            <w:vAlign w:val="center"/>
          </w:tcPr>
          <w:p w14:paraId="044DA722" w14:textId="3E3D8F03" w:rsidR="003A420E" w:rsidRPr="009A4DCA" w:rsidRDefault="007C540D" w:rsidP="003A420E">
            <w:pPr>
              <w:keepNext/>
              <w:keepLines/>
              <w:jc w:val="left"/>
              <w:rPr>
                <w:rFonts w:ascii="Arial Narrow" w:hAnsi="Arial Narrow"/>
                <w:sz w:val="20"/>
                <w:szCs w:val="20"/>
              </w:rPr>
            </w:pPr>
            <w:r w:rsidRPr="009A4DCA">
              <w:rPr>
                <w:rFonts w:ascii="Arial Narrow" w:hAnsi="Arial Narrow"/>
                <w:sz w:val="20"/>
                <w:szCs w:val="20"/>
              </w:rPr>
              <w:t>SA.</w:t>
            </w:r>
            <w:r w:rsidR="00A01428" w:rsidRPr="009A4DCA">
              <w:rPr>
                <w:rFonts w:ascii="Arial Narrow" w:hAnsi="Arial Narrow"/>
                <w:sz w:val="20"/>
                <w:szCs w:val="20"/>
              </w:rPr>
              <w:t>17</w:t>
            </w:r>
          </w:p>
        </w:tc>
        <w:tc>
          <w:tcPr>
            <w:tcW w:w="3293" w:type="dxa"/>
            <w:shd w:val="clear" w:color="auto" w:fill="FFFFFF" w:themeFill="background1"/>
            <w:vAlign w:val="center"/>
          </w:tcPr>
          <w:p w14:paraId="321166F2" w14:textId="5DA5B2D2" w:rsidR="003A420E" w:rsidRPr="009A4DCA" w:rsidRDefault="003A420E" w:rsidP="003A420E">
            <w:pPr>
              <w:keepNext/>
              <w:keepLines/>
              <w:jc w:val="left"/>
              <w:rPr>
                <w:rFonts w:ascii="Arial Narrow" w:hAnsi="Arial Narrow"/>
                <w:sz w:val="20"/>
                <w:szCs w:val="20"/>
              </w:rPr>
            </w:pPr>
            <w:r w:rsidRPr="009A4DCA">
              <w:rPr>
                <w:rFonts w:ascii="Arial Narrow" w:hAnsi="Arial Narrow"/>
                <w:color w:val="000000"/>
                <w:sz w:val="20"/>
                <w:szCs w:val="20"/>
              </w:rPr>
              <w:t>Alternative: AIHW hospital incidence (197 per 100,000) + hCFR (3.83%) + truncation 2 years</w:t>
            </w:r>
          </w:p>
        </w:tc>
        <w:tc>
          <w:tcPr>
            <w:tcW w:w="1289" w:type="dxa"/>
            <w:shd w:val="clear" w:color="auto" w:fill="FFFFFF" w:themeFill="background1"/>
            <w:vAlign w:val="center"/>
          </w:tcPr>
          <w:p w14:paraId="60A7101A" w14:textId="272E44CB" w:rsidR="003A420E" w:rsidRPr="009A4DCA" w:rsidRDefault="003A420E"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w:t>
            </w:r>
            <w:r w:rsidR="00E44A34" w:rsidRPr="00E44A34">
              <w:rPr>
                <w:rFonts w:ascii="Arial Narrow" w:hAnsi="Arial Narrow" w:hint="eastAsia"/>
                <w:color w:val="000000"/>
                <w:w w:val="15"/>
                <w:sz w:val="20"/>
                <w:szCs w:val="20"/>
                <w:shd w:val="solid" w:color="000000" w:fill="000000"/>
                <w:fitText w:val="66" w:id="-762047220"/>
                <w14:textFill>
                  <w14:solidFill>
                    <w14:srgbClr w14:val="000000">
                      <w14:alpha w14:val="100000"/>
                    </w14:srgbClr>
                  </w14:solidFill>
                </w14:textFill>
              </w:rPr>
              <w:t xml:space="preserve">　</w:t>
            </w:r>
            <w:r w:rsidR="00E44A34" w:rsidRPr="00E44A34">
              <w:rPr>
                <w:rFonts w:ascii="Arial Narrow" w:hAnsi="Arial Narrow"/>
                <w:color w:val="000000"/>
                <w:w w:val="15"/>
                <w:sz w:val="20"/>
                <w:szCs w:val="20"/>
                <w:shd w:val="solid" w:color="000000" w:fill="000000"/>
                <w:fitText w:val="66" w:id="-762047220"/>
                <w14:textFill>
                  <w14:solidFill>
                    <w14:srgbClr w14:val="000000">
                      <w14:alpha w14:val="100000"/>
                    </w14:srgbClr>
                  </w14:solidFill>
                </w14:textFill>
              </w:rPr>
              <w:t>|</w:t>
            </w:r>
            <w:r w:rsidR="00E44A34" w:rsidRPr="00E44A34">
              <w:rPr>
                <w:rFonts w:ascii="Arial Narrow" w:hAnsi="Arial Narrow" w:hint="eastAsia"/>
                <w:color w:val="000000"/>
                <w:w w:val="15"/>
                <w:sz w:val="20"/>
                <w:szCs w:val="20"/>
                <w:shd w:val="solid" w:color="000000" w:fill="000000"/>
                <w:fitText w:val="66" w:id="-762047220"/>
                <w14:textFill>
                  <w14:solidFill>
                    <w14:srgbClr w14:val="000000">
                      <w14:alpha w14:val="100000"/>
                    </w14:srgbClr>
                  </w14:solidFill>
                </w14:textFill>
              </w:rPr>
              <w:t xml:space="preserve">　</w:t>
            </w:r>
          </w:p>
        </w:tc>
        <w:tc>
          <w:tcPr>
            <w:tcW w:w="1146" w:type="dxa"/>
            <w:shd w:val="clear" w:color="auto" w:fill="FFFFFF" w:themeFill="background1"/>
            <w:vAlign w:val="center"/>
          </w:tcPr>
          <w:p w14:paraId="0421AC83" w14:textId="2777782F" w:rsidR="003A420E" w:rsidRPr="009A4DCA" w:rsidRDefault="003A420E" w:rsidP="00BB4944">
            <w:pPr>
              <w:keepNext/>
              <w:keepLines/>
              <w:jc w:val="center"/>
              <w:rPr>
                <w:rFonts w:ascii="Arial Narrow" w:hAnsi="Arial Narrow"/>
                <w:color w:val="000000"/>
                <w:sz w:val="20"/>
                <w:szCs w:val="20"/>
              </w:rPr>
            </w:pPr>
            <w:r w:rsidRPr="009A4DCA">
              <w:rPr>
                <w:rFonts w:ascii="Arial Narrow" w:hAnsi="Arial Narrow"/>
                <w:color w:val="000000"/>
                <w:sz w:val="20"/>
                <w:szCs w:val="20"/>
              </w:rPr>
              <w:t>0.0013</w:t>
            </w:r>
          </w:p>
        </w:tc>
        <w:tc>
          <w:tcPr>
            <w:tcW w:w="1289" w:type="dxa"/>
            <w:shd w:val="clear" w:color="auto" w:fill="FFFFFF" w:themeFill="background1"/>
            <w:vAlign w:val="center"/>
          </w:tcPr>
          <w:p w14:paraId="1AE3C2C2" w14:textId="5D6E5951" w:rsidR="003A420E" w:rsidRPr="00B35352" w:rsidRDefault="003A420E" w:rsidP="00BB4944">
            <w:pPr>
              <w:keepNext/>
              <w:keepLines/>
              <w:jc w:val="center"/>
              <w:rPr>
                <w:rFonts w:ascii="Arial Narrow" w:hAnsi="Arial Narrow"/>
                <w:color w:val="000000"/>
                <w:sz w:val="20"/>
                <w:szCs w:val="20"/>
              </w:rPr>
            </w:pPr>
            <w:r w:rsidRPr="00B35352">
              <w:rPr>
                <w:rFonts w:ascii="Arial Narrow" w:hAnsi="Arial Narrow"/>
                <w:color w:val="000000"/>
                <w:sz w:val="20"/>
                <w:szCs w:val="20"/>
              </w:rPr>
              <w:t>$</w:t>
            </w:r>
            <w:r w:rsidR="00E44A34" w:rsidRPr="00E44A34">
              <w:rPr>
                <w:rFonts w:ascii="Arial Narrow" w:hAnsi="Arial Narrow" w:hint="eastAsia"/>
                <w:color w:val="000000"/>
                <w:w w:val="24"/>
                <w:sz w:val="20"/>
                <w:szCs w:val="20"/>
                <w:shd w:val="solid" w:color="000000" w:fill="000000"/>
                <w:fitText w:val="107" w:id="-762047219"/>
                <w14:textFill>
                  <w14:solidFill>
                    <w14:srgbClr w14:val="000000">
                      <w14:alpha w14:val="100000"/>
                    </w14:srgbClr>
                  </w14:solidFill>
                </w14:textFill>
              </w:rPr>
              <w:t xml:space="preserve">　</w:t>
            </w:r>
            <w:r w:rsidR="00E44A34" w:rsidRPr="00E44A34">
              <w:rPr>
                <w:rFonts w:ascii="Arial Narrow" w:hAnsi="Arial Narrow"/>
                <w:color w:val="000000"/>
                <w:w w:val="24"/>
                <w:sz w:val="20"/>
                <w:szCs w:val="20"/>
                <w:shd w:val="solid" w:color="000000" w:fill="000000"/>
                <w:fitText w:val="107" w:id="-762047219"/>
                <w14:textFill>
                  <w14:solidFill>
                    <w14:srgbClr w14:val="000000">
                      <w14:alpha w14:val="100000"/>
                    </w14:srgbClr>
                  </w14:solidFill>
                </w14:textFill>
              </w:rPr>
              <w:t>|</w:t>
            </w:r>
            <w:r w:rsidR="00E44A34" w:rsidRPr="00E44A34">
              <w:rPr>
                <w:rFonts w:ascii="Arial Narrow" w:hAnsi="Arial Narrow" w:hint="eastAsia"/>
                <w:color w:val="000000"/>
                <w:spacing w:val="3"/>
                <w:w w:val="24"/>
                <w:sz w:val="20"/>
                <w:szCs w:val="20"/>
                <w:shd w:val="solid" w:color="000000" w:fill="000000"/>
                <w:fitText w:val="107" w:id="-762047219"/>
                <w14:textFill>
                  <w14:solidFill>
                    <w14:srgbClr w14:val="000000">
                      <w14:alpha w14:val="100000"/>
                    </w14:srgbClr>
                  </w14:solidFill>
                </w14:textFill>
              </w:rPr>
              <w:t xml:space="preserve">　</w:t>
            </w:r>
            <w:r w:rsidR="00CA0047">
              <w:rPr>
                <w:rFonts w:ascii="Arial Narrow" w:hAnsi="Arial Narrow"/>
                <w:b/>
                <w:color w:val="000000"/>
                <w:sz w:val="20"/>
                <w:szCs w:val="20"/>
              </w:rPr>
              <w:t xml:space="preserve"> </w:t>
            </w:r>
            <w:r w:rsidR="00CA0047">
              <w:rPr>
                <w:rFonts w:ascii="Arial Narrow" w:hAnsi="Arial Narrow"/>
                <w:b/>
                <w:color w:val="000000"/>
                <w:sz w:val="20"/>
                <w:szCs w:val="20"/>
                <w:vertAlign w:val="superscript"/>
              </w:rPr>
              <w:t>7</w:t>
            </w:r>
          </w:p>
        </w:tc>
        <w:tc>
          <w:tcPr>
            <w:tcW w:w="1289" w:type="dxa"/>
            <w:shd w:val="clear" w:color="auto" w:fill="FFFFFF" w:themeFill="background1"/>
            <w:vAlign w:val="center"/>
          </w:tcPr>
          <w:p w14:paraId="2EB3438D" w14:textId="6179919B" w:rsidR="003A420E" w:rsidRPr="00B35352" w:rsidRDefault="003A420E" w:rsidP="00BB4944">
            <w:pPr>
              <w:jc w:val="center"/>
              <w:rPr>
                <w:rFonts w:ascii="Arial Narrow" w:hAnsi="Arial Narrow"/>
                <w:color w:val="000000"/>
                <w:sz w:val="20"/>
                <w:szCs w:val="20"/>
              </w:rPr>
            </w:pPr>
            <w:r w:rsidRPr="00B35352">
              <w:rPr>
                <w:rFonts w:ascii="Arial Narrow" w:hAnsi="Arial Narrow"/>
                <w:color w:val="000000"/>
                <w:sz w:val="20"/>
                <w:szCs w:val="20"/>
              </w:rPr>
              <w:t>+</w:t>
            </w:r>
            <w:r w:rsidR="00E44A34">
              <w:rPr>
                <w:rFonts w:ascii="Arial Narrow" w:hAnsi="Arial Narrow" w:hint="eastAsia"/>
                <w:color w:val="000000"/>
                <w:w w:val="30"/>
                <w:sz w:val="20"/>
                <w:szCs w:val="20"/>
                <w:shd w:val="solid" w:color="000000" w:fill="000000"/>
                <w:fitText w:val="133" w:id="-762047218"/>
                <w14:textFill>
                  <w14:solidFill>
                    <w14:srgbClr w14:val="000000">
                      <w14:alpha w14:val="100000"/>
                    </w14:srgbClr>
                  </w14:solidFill>
                </w14:textFill>
              </w:rPr>
              <w:t xml:space="preserve">　</w:t>
            </w:r>
            <w:r w:rsidR="00E44A34">
              <w:rPr>
                <w:rFonts w:ascii="Arial Narrow" w:hAnsi="Arial Narrow"/>
                <w:color w:val="000000"/>
                <w:w w:val="30"/>
                <w:sz w:val="20"/>
                <w:szCs w:val="20"/>
                <w:shd w:val="solid" w:color="000000" w:fill="000000"/>
                <w:fitText w:val="133" w:id="-762047218"/>
                <w14:textFill>
                  <w14:solidFill>
                    <w14:srgbClr w14:val="000000">
                      <w14:alpha w14:val="100000"/>
                    </w14:srgbClr>
                  </w14:solidFill>
                </w14:textFill>
              </w:rPr>
              <w:t>|</w:t>
            </w:r>
            <w:r w:rsidR="00E44A34">
              <w:rPr>
                <w:rFonts w:ascii="Arial Narrow" w:hAnsi="Arial Narrow" w:hint="eastAsia"/>
                <w:color w:val="000000"/>
                <w:w w:val="30"/>
                <w:sz w:val="20"/>
                <w:szCs w:val="20"/>
                <w:shd w:val="solid" w:color="000000" w:fill="000000"/>
                <w:fitText w:val="133" w:id="-762047218"/>
                <w14:textFill>
                  <w14:solidFill>
                    <w14:srgbClr w14:val="000000">
                      <w14:alpha w14:val="100000"/>
                    </w14:srgbClr>
                  </w14:solidFill>
                </w14:textFill>
              </w:rPr>
              <w:t xml:space="preserve">　</w:t>
            </w:r>
            <w:r w:rsidRPr="00B35352">
              <w:rPr>
                <w:rFonts w:ascii="Arial Narrow" w:hAnsi="Arial Narrow"/>
                <w:color w:val="000000"/>
                <w:sz w:val="20"/>
                <w:szCs w:val="20"/>
              </w:rPr>
              <w:t>%</w:t>
            </w:r>
          </w:p>
        </w:tc>
      </w:tr>
    </w:tbl>
    <w:p w14:paraId="579BD2A6" w14:textId="49E4D3F7" w:rsidR="00DB7DF1" w:rsidRPr="009A4DCA" w:rsidRDefault="00DB7DF1" w:rsidP="00BE2884">
      <w:pPr>
        <w:pStyle w:val="FooterTableFigure"/>
        <w:keepNext/>
        <w:keepLines/>
        <w:rPr>
          <w:i/>
        </w:rPr>
      </w:pPr>
      <w:r w:rsidRPr="009A4DCA">
        <w:t xml:space="preserve">Source: Table 3.9.4, p126 of the submission; </w:t>
      </w:r>
      <w:r w:rsidR="007C540D" w:rsidRPr="009A4DCA">
        <w:t>‘ABRYSVO_Older Adults_CEA_July’</w:t>
      </w:r>
      <w:r w:rsidR="007C540D" w:rsidRPr="009A4DCA">
        <w:rPr>
          <w:i/>
          <w:iCs/>
        </w:rPr>
        <w:t xml:space="preserve"> </w:t>
      </w:r>
      <w:r w:rsidR="007C540D" w:rsidRPr="009A4DCA">
        <w:t>spreadsheet, with additional analyses performed during the evaluation.</w:t>
      </w:r>
    </w:p>
    <w:p w14:paraId="30972141" w14:textId="5DBE1886" w:rsidR="00645C2C" w:rsidRDefault="00DB7DF1" w:rsidP="000104E2">
      <w:pPr>
        <w:pStyle w:val="FooterTableFigure"/>
        <w:keepNext/>
        <w:keepLines/>
        <w:spacing w:after="0"/>
      </w:pPr>
      <w:r w:rsidRPr="009A4DCA">
        <w:t>AIHW = Australian Institute of Health and Welfare; CEA = cost effectiveness analysis; ICER = incremental cost-effectiveness; Incr = incremental; QALY = quality-adjusted life year; SA = sensitivity analysis.</w:t>
      </w:r>
    </w:p>
    <w:p w14:paraId="5B20CAE1" w14:textId="77777777" w:rsidR="000104E2" w:rsidRPr="009A6D58" w:rsidRDefault="000104E2" w:rsidP="000104E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414111A" w14:textId="69205BA6" w:rsidR="000104E2" w:rsidRPr="009A6D58" w:rsidRDefault="000104E2" w:rsidP="000104E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5D740C" w:rsidRPr="005D740C">
        <w:rPr>
          <w:rFonts w:ascii="Arial Narrow" w:hAnsi="Arial Narrow"/>
          <w:i/>
          <w:sz w:val="18"/>
          <w:szCs w:val="18"/>
        </w:rPr>
        <w:t>$5,000 to &lt; $15,000</w:t>
      </w:r>
    </w:p>
    <w:p w14:paraId="60E0D37B" w14:textId="1104C2FD" w:rsidR="000104E2" w:rsidRPr="009A6D58" w:rsidRDefault="000104E2" w:rsidP="000104E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F62F13" w:rsidRPr="00F62F13">
        <w:rPr>
          <w:rFonts w:ascii="Arial Narrow" w:hAnsi="Arial Narrow"/>
          <w:i/>
          <w:sz w:val="18"/>
          <w:szCs w:val="18"/>
        </w:rPr>
        <w:t>$45,000 to &lt; $55,000</w:t>
      </w:r>
    </w:p>
    <w:p w14:paraId="2C1E0900" w14:textId="36FC448E" w:rsidR="000104E2" w:rsidRDefault="000104E2" w:rsidP="000104E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03C55" w:rsidRPr="00103C55">
        <w:rPr>
          <w:rFonts w:ascii="Arial Narrow" w:hAnsi="Arial Narrow"/>
          <w:i/>
          <w:sz w:val="18"/>
          <w:szCs w:val="18"/>
        </w:rPr>
        <w:t>$35,000 to &lt; $45,000</w:t>
      </w:r>
    </w:p>
    <w:p w14:paraId="174C0D62" w14:textId="1EB3D5AB" w:rsidR="000104E2" w:rsidRDefault="000104E2" w:rsidP="000104E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85458D" w:rsidRPr="0085458D">
        <w:rPr>
          <w:rFonts w:ascii="Arial Narrow" w:hAnsi="Arial Narrow"/>
          <w:i/>
          <w:sz w:val="18"/>
          <w:szCs w:val="18"/>
        </w:rPr>
        <w:t>$25,000 to &lt; $35,000</w:t>
      </w:r>
    </w:p>
    <w:p w14:paraId="5BAA2DE9" w14:textId="2F82858F" w:rsidR="000104E2" w:rsidRDefault="000104E2" w:rsidP="000104E2">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857FAF" w:rsidRPr="00857FAF">
        <w:rPr>
          <w:rFonts w:ascii="Arial Narrow" w:hAnsi="Arial Narrow"/>
          <w:i/>
          <w:sz w:val="18"/>
          <w:szCs w:val="18"/>
        </w:rPr>
        <w:t>$15,000 to &lt; $25,000</w:t>
      </w:r>
    </w:p>
    <w:p w14:paraId="2AB01E29" w14:textId="30671DC3" w:rsidR="000104E2" w:rsidRDefault="000104E2" w:rsidP="000104E2">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691499" w:rsidRPr="00691499">
        <w:rPr>
          <w:rFonts w:ascii="Arial Narrow" w:hAnsi="Arial Narrow"/>
          <w:i/>
          <w:sz w:val="18"/>
          <w:szCs w:val="18"/>
        </w:rPr>
        <w:t>$95,000 to &lt; $115,000</w:t>
      </w:r>
    </w:p>
    <w:p w14:paraId="156D9406" w14:textId="31B30CFC" w:rsidR="000104E2" w:rsidRPr="000104E2" w:rsidRDefault="000104E2" w:rsidP="000104E2">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68794A" w:rsidRPr="0068794A">
        <w:rPr>
          <w:rFonts w:ascii="Arial Narrow" w:hAnsi="Arial Narrow"/>
          <w:i/>
          <w:sz w:val="18"/>
          <w:szCs w:val="18"/>
        </w:rPr>
        <w:t>$135,000 to &lt; $155,000</w:t>
      </w:r>
    </w:p>
    <w:p w14:paraId="3B460751" w14:textId="792CD868" w:rsidR="00185AF2" w:rsidRPr="009A4DCA" w:rsidRDefault="00693023" w:rsidP="00DE6D4C">
      <w:pPr>
        <w:pStyle w:val="3-BodyText"/>
        <w:numPr>
          <w:ilvl w:val="1"/>
          <w:numId w:val="1"/>
        </w:numPr>
        <w:spacing w:before="120"/>
      </w:pPr>
      <w:bookmarkStart w:id="82" w:name="_Ref179932940"/>
      <w:r w:rsidRPr="009A4DCA">
        <w:t>The submission presented scenario analyses for alternative populations of adults aged </w:t>
      </w:r>
      <w:r w:rsidRPr="009A4DCA">
        <w:rPr>
          <w:rFonts w:cs="Calibri"/>
        </w:rPr>
        <w:t xml:space="preserve">≥65 years, </w:t>
      </w:r>
      <w:r w:rsidRPr="009A4DCA">
        <w:t>aged </w:t>
      </w:r>
      <w:r w:rsidRPr="009A4DCA">
        <w:rPr>
          <w:rFonts w:cs="Calibri"/>
        </w:rPr>
        <w:t xml:space="preserve">≥70 years, and </w:t>
      </w:r>
      <w:r w:rsidRPr="009A4DCA">
        <w:t>aged </w:t>
      </w:r>
      <w:r w:rsidRPr="009A4DCA">
        <w:rPr>
          <w:rFonts w:cs="Calibri"/>
        </w:rPr>
        <w:t>≥80 years.</w:t>
      </w:r>
      <w:r w:rsidRPr="009A4DCA">
        <w:t xml:space="preserve"> B</w:t>
      </w:r>
      <w:r w:rsidR="00DA50F1" w:rsidRPr="009A4DCA">
        <w:t>ased on the different scenarios</w:t>
      </w:r>
      <w:r w:rsidR="00C4220E" w:rsidRPr="009A4DCA">
        <w:t>, the</w:t>
      </w:r>
      <w:r w:rsidR="00536F07" w:rsidRPr="009A4DCA">
        <w:t xml:space="preserve"> ESC </w:t>
      </w:r>
      <w:r w:rsidR="00E31D92" w:rsidRPr="009A4DCA">
        <w:t>noted</w:t>
      </w:r>
      <w:r w:rsidR="00536F07" w:rsidRPr="009A4DCA">
        <w:t xml:space="preserve"> that the</w:t>
      </w:r>
      <w:r w:rsidR="00C4220E" w:rsidRPr="009A4DCA">
        <w:t xml:space="preserve"> key drivers of the model </w:t>
      </w:r>
      <w:r w:rsidR="00DA50F1" w:rsidRPr="009A4DCA">
        <w:t>were</w:t>
      </w:r>
      <w:r w:rsidR="00911E7D" w:rsidRPr="009A4DCA">
        <w:t>:</w:t>
      </w:r>
      <w:bookmarkEnd w:id="82"/>
      <w:r w:rsidR="00DA50F1" w:rsidRPr="009A4DCA">
        <w:t xml:space="preserve"> </w:t>
      </w:r>
    </w:p>
    <w:p w14:paraId="0FD30C32" w14:textId="50647AEA" w:rsidR="00185AF2" w:rsidRPr="009A4DCA" w:rsidRDefault="00DA50F1" w:rsidP="00300EB9">
      <w:pPr>
        <w:pStyle w:val="3-BodyText"/>
        <w:numPr>
          <w:ilvl w:val="0"/>
          <w:numId w:val="34"/>
        </w:numPr>
        <w:spacing w:before="120"/>
        <w:ind w:left="1134" w:hanging="357"/>
      </w:pPr>
      <w:r w:rsidRPr="009A4DCA">
        <w:lastRenderedPageBreak/>
        <w:t xml:space="preserve">the age-based </w:t>
      </w:r>
      <w:r w:rsidR="005928EE" w:rsidRPr="009A4DCA">
        <w:t>eligibility criterion</w:t>
      </w:r>
      <w:r w:rsidR="00911E7D" w:rsidRPr="009A4DCA">
        <w:t xml:space="preserve"> </w:t>
      </w:r>
      <w:r w:rsidRPr="009A4DCA">
        <w:t>for vaccination</w:t>
      </w:r>
      <w:r w:rsidR="00185AF2" w:rsidRPr="009A4DCA">
        <w:t>;</w:t>
      </w:r>
      <w:r w:rsidRPr="009A4DCA">
        <w:t xml:space="preserve"> </w:t>
      </w:r>
    </w:p>
    <w:p w14:paraId="24EDE6EC" w14:textId="6A83AB4C" w:rsidR="00185AF2" w:rsidRPr="009A4DCA" w:rsidRDefault="00C61C00" w:rsidP="00300EB9">
      <w:pPr>
        <w:pStyle w:val="3-BodyText"/>
        <w:numPr>
          <w:ilvl w:val="0"/>
          <w:numId w:val="34"/>
        </w:numPr>
        <w:spacing w:before="120"/>
        <w:ind w:left="1134" w:hanging="357"/>
      </w:pPr>
      <w:r w:rsidRPr="009A4DCA">
        <w:t xml:space="preserve">ATAGI’s Advice using the AIHW </w:t>
      </w:r>
      <w:r w:rsidR="00DA50F1" w:rsidRPr="009A4DCA">
        <w:t>hospital incidence</w:t>
      </w:r>
      <w:r w:rsidRPr="009A4DCA">
        <w:t xml:space="preserve"> and case fatality</w:t>
      </w:r>
      <w:r w:rsidR="00DA50F1" w:rsidRPr="009A4DCA">
        <w:t xml:space="preserve"> rates</w:t>
      </w:r>
      <w:r w:rsidR="00185AF2" w:rsidRPr="009A4DCA">
        <w:t>;</w:t>
      </w:r>
      <w:r w:rsidR="00DA50F1" w:rsidRPr="009A4DCA">
        <w:t xml:space="preserve"> </w:t>
      </w:r>
    </w:p>
    <w:p w14:paraId="0AB5B5BE" w14:textId="77777777" w:rsidR="00185AF2" w:rsidRPr="009A4DCA" w:rsidRDefault="00DA50F1" w:rsidP="00300EB9">
      <w:pPr>
        <w:pStyle w:val="3-BodyText"/>
        <w:numPr>
          <w:ilvl w:val="0"/>
          <w:numId w:val="34"/>
        </w:numPr>
        <w:spacing w:before="120"/>
        <w:ind w:left="1134" w:hanging="357"/>
      </w:pPr>
      <w:r w:rsidRPr="009A4DCA">
        <w:t xml:space="preserve">the duration of vaccine effectiveness. </w:t>
      </w:r>
    </w:p>
    <w:p w14:paraId="6D148554" w14:textId="327F5D85" w:rsidR="00BE6932" w:rsidRPr="009A4DCA" w:rsidRDefault="009B036D" w:rsidP="00DE6D4C">
      <w:pPr>
        <w:pStyle w:val="3-BodyText"/>
        <w:spacing w:before="120"/>
      </w:pPr>
      <w:r w:rsidRPr="009A4DCA">
        <w:t>For the scenario u</w:t>
      </w:r>
      <w:r w:rsidR="00DA50F1" w:rsidRPr="009A4DCA">
        <w:t xml:space="preserve">sing the AIHW hospitalisation rate </w:t>
      </w:r>
      <w:r w:rsidR="005B1199" w:rsidRPr="009A4DCA">
        <w:t>(</w:t>
      </w:r>
      <w:r w:rsidR="00DA50F1" w:rsidRPr="009A4DCA">
        <w:t>384 per 100,000 per</w:t>
      </w:r>
      <w:r w:rsidR="005B1199" w:rsidRPr="009A4DCA">
        <w:t>son-</w:t>
      </w:r>
      <w:r w:rsidR="00DA50F1" w:rsidRPr="009A4DCA">
        <w:t>year</w:t>
      </w:r>
      <w:r w:rsidR="005B1199" w:rsidRPr="009A4DCA">
        <w:t>s</w:t>
      </w:r>
      <w:r w:rsidR="00DA50F1" w:rsidRPr="009A4DCA">
        <w:t xml:space="preserve"> </w:t>
      </w:r>
      <w:r w:rsidR="005B1199" w:rsidRPr="009A4DCA">
        <w:t xml:space="preserve">applied to </w:t>
      </w:r>
      <w:r w:rsidR="00D67EEB" w:rsidRPr="009A4DCA">
        <w:t>adults aged </w:t>
      </w:r>
      <w:r w:rsidR="00D67EEB" w:rsidRPr="009A4DCA">
        <w:rPr>
          <w:rFonts w:cs="Calibri"/>
        </w:rPr>
        <w:t>≥</w:t>
      </w:r>
      <w:r w:rsidR="00D67EEB" w:rsidRPr="009A4DCA">
        <w:t>75 years</w:t>
      </w:r>
      <w:r w:rsidR="005B1199" w:rsidRPr="009A4DCA">
        <w:t xml:space="preserve"> and adults with at least one risk factor aged 60 to 74</w:t>
      </w:r>
      <w:r w:rsidR="00BB299F">
        <w:t> </w:t>
      </w:r>
      <w:r w:rsidR="005B1199" w:rsidRPr="009A4DCA">
        <w:t xml:space="preserve">years; 576 per 100,000 person-years applied to adults aged ≥60 years) </w:t>
      </w:r>
      <w:r w:rsidR="00DA50F1" w:rsidRPr="009A4DCA">
        <w:t>combined with the mortality rate adjusted using the</w:t>
      </w:r>
      <w:r w:rsidR="007E3BF0" w:rsidRPr="009A4DCA">
        <w:t xml:space="preserve"> hCFR</w:t>
      </w:r>
      <w:r w:rsidR="00DA50F1" w:rsidRPr="009A4DCA">
        <w:t xml:space="preserve"> of 4.22%, the ICER </w:t>
      </w:r>
      <w:r w:rsidR="00BB332D" w:rsidRPr="009A4DCA">
        <w:t xml:space="preserve">increased </w:t>
      </w:r>
      <w:r w:rsidR="00DA50F1" w:rsidRPr="009A4DCA">
        <w:t>to</w:t>
      </w:r>
      <w:r w:rsidR="00BE6932" w:rsidRPr="009A4DCA">
        <w:t>:</w:t>
      </w:r>
      <w:r w:rsidR="00DA50F1" w:rsidRPr="009A4DCA">
        <w:t xml:space="preserve"> </w:t>
      </w:r>
    </w:p>
    <w:p w14:paraId="5BB3C86E" w14:textId="3B4DACFC" w:rsidR="00BE6932" w:rsidRPr="009A4DCA" w:rsidRDefault="0039199C" w:rsidP="00DE6D4C">
      <w:pPr>
        <w:pStyle w:val="3-BodyText"/>
        <w:numPr>
          <w:ilvl w:val="0"/>
          <w:numId w:val="31"/>
        </w:numPr>
        <w:spacing w:before="120"/>
        <w:ind w:left="1134" w:hanging="357"/>
      </w:pPr>
      <w:r w:rsidRPr="0039199C">
        <w:t>$55,000 to &lt; $75,000</w:t>
      </w:r>
      <w:r>
        <w:t xml:space="preserve"> </w:t>
      </w:r>
      <w:r w:rsidR="00BB332D" w:rsidRPr="009A4DCA">
        <w:t>in adults aged ≥75 years</w:t>
      </w:r>
      <w:r w:rsidR="00BE6932" w:rsidRPr="009A4DCA">
        <w:t xml:space="preserve"> (from </w:t>
      </w:r>
      <w:r w:rsidR="002E4CD2" w:rsidRPr="002E4CD2">
        <w:t>$15,000 to &lt; $25,000</w:t>
      </w:r>
      <w:r w:rsidR="00161856" w:rsidRPr="009A4DCA">
        <w:t>, +</w:t>
      </w:r>
      <w:r w:rsidR="00E44A34" w:rsidRPr="007B2F50">
        <w:rPr>
          <w:color w:val="000000"/>
          <w:w w:val="15"/>
          <w:shd w:val="solid" w:color="000000" w:fill="000000"/>
          <w:fitText w:val="-20" w:id="-762047217"/>
          <w14:textFill>
            <w14:solidFill>
              <w14:srgbClr w14:val="000000">
                <w14:alpha w14:val="100000"/>
              </w14:srgbClr>
            </w14:solidFill>
          </w14:textFill>
        </w:rPr>
        <w:t xml:space="preserve">|  </w:t>
      </w:r>
      <w:r w:rsidR="00E44A34" w:rsidRPr="007B2F50">
        <w:rPr>
          <w:color w:val="000000"/>
          <w:spacing w:val="-69"/>
          <w:w w:val="15"/>
          <w:shd w:val="solid" w:color="000000" w:fill="000000"/>
          <w:fitText w:val="-20" w:id="-762047217"/>
          <w14:textFill>
            <w14:solidFill>
              <w14:srgbClr w14:val="000000">
                <w14:alpha w14:val="100000"/>
              </w14:srgbClr>
            </w14:solidFill>
          </w14:textFill>
        </w:rPr>
        <w:t>|</w:t>
      </w:r>
      <w:r w:rsidR="00161856" w:rsidRPr="009A4DCA">
        <w:t>%</w:t>
      </w:r>
      <w:r w:rsidR="00BE6932" w:rsidRPr="009A4DCA">
        <w:t>);</w:t>
      </w:r>
      <w:r w:rsidR="00BB332D" w:rsidRPr="009A4DCA">
        <w:t xml:space="preserve"> </w:t>
      </w:r>
    </w:p>
    <w:p w14:paraId="64088374" w14:textId="60A69285" w:rsidR="00DA50F1" w:rsidRPr="009A4DCA" w:rsidRDefault="00A553A3" w:rsidP="00DE6D4C">
      <w:pPr>
        <w:pStyle w:val="3-BodyText"/>
        <w:numPr>
          <w:ilvl w:val="0"/>
          <w:numId w:val="31"/>
        </w:numPr>
        <w:spacing w:before="120"/>
        <w:ind w:left="1134" w:hanging="357"/>
      </w:pPr>
      <w:r w:rsidRPr="00A553A3">
        <w:t>$5,000 to &lt; $15,000</w:t>
      </w:r>
      <w:r>
        <w:t xml:space="preserve"> </w:t>
      </w:r>
      <w:r w:rsidR="00BB332D" w:rsidRPr="009A4DCA">
        <w:t>in Aboriginal and Torres Strait Islander people aged 60 to 74</w:t>
      </w:r>
      <w:r w:rsidR="00357051">
        <w:t> </w:t>
      </w:r>
      <w:r w:rsidR="00BB332D" w:rsidRPr="009A4DCA">
        <w:t>years</w:t>
      </w:r>
      <w:r w:rsidR="00BE6932" w:rsidRPr="009A4DCA">
        <w:t xml:space="preserve"> (from </w:t>
      </w:r>
      <w:r w:rsidRPr="00A553A3">
        <w:t>$5,000 to &lt; $15,000</w:t>
      </w:r>
      <w:r w:rsidR="00161856" w:rsidRPr="009A4DCA">
        <w:t>, +</w:t>
      </w:r>
      <w:r w:rsidR="00E44A34" w:rsidRPr="007B2F50">
        <w:rPr>
          <w:color w:val="000000"/>
          <w:w w:val="15"/>
          <w:shd w:val="solid" w:color="000000" w:fill="000000"/>
          <w:fitText w:val="-20" w:id="-762047216"/>
          <w14:textFill>
            <w14:solidFill>
              <w14:srgbClr w14:val="000000">
                <w14:alpha w14:val="100000"/>
              </w14:srgbClr>
            </w14:solidFill>
          </w14:textFill>
        </w:rPr>
        <w:t xml:space="preserve">|  </w:t>
      </w:r>
      <w:r w:rsidR="00E44A34" w:rsidRPr="007B2F50">
        <w:rPr>
          <w:color w:val="000000"/>
          <w:spacing w:val="-69"/>
          <w:w w:val="15"/>
          <w:shd w:val="solid" w:color="000000" w:fill="000000"/>
          <w:fitText w:val="-20" w:id="-762047216"/>
          <w14:textFill>
            <w14:solidFill>
              <w14:srgbClr w14:val="000000">
                <w14:alpha w14:val="100000"/>
              </w14:srgbClr>
            </w14:solidFill>
          </w14:textFill>
        </w:rPr>
        <w:t>|</w:t>
      </w:r>
      <w:r w:rsidR="00161856" w:rsidRPr="009A4DCA">
        <w:t>%</w:t>
      </w:r>
      <w:r w:rsidR="00BE6932" w:rsidRPr="009A4DCA">
        <w:t>)</w:t>
      </w:r>
      <w:r w:rsidR="00D67EEB" w:rsidRPr="009A4DCA">
        <w:t>;</w:t>
      </w:r>
      <w:r w:rsidR="00DA50F1" w:rsidRPr="009A4DCA">
        <w:t xml:space="preserve"> </w:t>
      </w:r>
    </w:p>
    <w:p w14:paraId="05962962" w14:textId="359EE2E7" w:rsidR="00D67EEB" w:rsidRPr="009A4DCA" w:rsidRDefault="00357051" w:rsidP="00DE6D4C">
      <w:pPr>
        <w:pStyle w:val="3-BodyText"/>
        <w:numPr>
          <w:ilvl w:val="0"/>
          <w:numId w:val="31"/>
        </w:numPr>
        <w:spacing w:before="120"/>
        <w:ind w:left="1134" w:hanging="357"/>
      </w:pPr>
      <w:r w:rsidRPr="00357051">
        <w:t>$25,000 to &lt; $35,000</w:t>
      </w:r>
      <w:r>
        <w:t xml:space="preserve"> </w:t>
      </w:r>
      <w:r w:rsidR="00D67EEB" w:rsidRPr="009A4DCA">
        <w:t xml:space="preserve">in adults with at least one risk factor aged 60 to 74 years (from </w:t>
      </w:r>
      <w:r w:rsidR="00A553A3" w:rsidRPr="00A553A3">
        <w:t>$5,000 to &lt; $15,000</w:t>
      </w:r>
      <w:r w:rsidR="00D67EEB" w:rsidRPr="009A4DCA">
        <w:t>, +</w:t>
      </w:r>
      <w:r w:rsidR="00E44A34" w:rsidRPr="007B2F50">
        <w:rPr>
          <w:color w:val="000000"/>
          <w:w w:val="15"/>
          <w:shd w:val="solid" w:color="000000" w:fill="000000"/>
          <w:fitText w:val="-20" w:id="-762047232"/>
          <w14:textFill>
            <w14:solidFill>
              <w14:srgbClr w14:val="000000">
                <w14:alpha w14:val="100000"/>
              </w14:srgbClr>
            </w14:solidFill>
          </w14:textFill>
        </w:rPr>
        <w:t xml:space="preserve">|  </w:t>
      </w:r>
      <w:r w:rsidR="00E44A34" w:rsidRPr="007B2F50">
        <w:rPr>
          <w:color w:val="000000"/>
          <w:spacing w:val="-69"/>
          <w:w w:val="15"/>
          <w:shd w:val="solid" w:color="000000" w:fill="000000"/>
          <w:fitText w:val="-20" w:id="-762047232"/>
          <w14:textFill>
            <w14:solidFill>
              <w14:srgbClr w14:val="000000">
                <w14:alpha w14:val="100000"/>
              </w14:srgbClr>
            </w14:solidFill>
          </w14:textFill>
        </w:rPr>
        <w:t>|</w:t>
      </w:r>
      <w:r w:rsidR="00D67EEB" w:rsidRPr="009A4DCA">
        <w:t>%).</w:t>
      </w:r>
    </w:p>
    <w:p w14:paraId="1503B310" w14:textId="77CEFA7C" w:rsidR="0027283A" w:rsidRPr="009A4DCA" w:rsidRDefault="000212B5" w:rsidP="00DE6D4C">
      <w:pPr>
        <w:pStyle w:val="3-BodyText"/>
        <w:spacing w:before="120"/>
      </w:pPr>
      <w:bookmarkStart w:id="83" w:name="_Ref183686572"/>
      <w:r w:rsidRPr="009A4DCA">
        <w:t>The PSCR stated</w:t>
      </w:r>
      <w:r w:rsidR="00E264DC" w:rsidRPr="009A4DCA">
        <w:t xml:space="preserve"> </w:t>
      </w:r>
      <w:r w:rsidRPr="009A4DCA">
        <w:t xml:space="preserve">that the model </w:t>
      </w:r>
      <w:r w:rsidR="00E264DC" w:rsidRPr="009A4DCA">
        <w:t>provided during the evaluation period, containing corrections to the waning estimates, should be used in place of the originally submitted model.</w:t>
      </w:r>
      <w:r w:rsidRPr="009A4DCA">
        <w:t xml:space="preserve"> </w:t>
      </w:r>
      <w:r w:rsidR="00E264DC" w:rsidRPr="009A4DCA">
        <w:t>Using this model, t</w:t>
      </w:r>
      <w:r w:rsidR="007E3BF0" w:rsidRPr="009A4DCA">
        <w:t xml:space="preserve">he PSCR provided a </w:t>
      </w:r>
      <w:r w:rsidR="003B48C5" w:rsidRPr="009A4DCA">
        <w:t>re-specified</w:t>
      </w:r>
      <w:r w:rsidR="007E3BF0" w:rsidRPr="009A4DCA">
        <w:t xml:space="preserve"> base case and 3</w:t>
      </w:r>
      <w:r w:rsidR="00ED4CB7" w:rsidRPr="009A4DCA">
        <w:t> </w:t>
      </w:r>
      <w:r w:rsidR="007E3BF0" w:rsidRPr="009A4DCA">
        <w:t xml:space="preserve">year vaccine efficacy truncation. The </w:t>
      </w:r>
      <w:r w:rsidR="00271CCD" w:rsidRPr="009A4DCA">
        <w:t>updated</w:t>
      </w:r>
      <w:r w:rsidR="007E3BF0" w:rsidRPr="009A4DCA">
        <w:t xml:space="preserve"> parameters</w:t>
      </w:r>
      <w:r w:rsidR="00271CCD" w:rsidRPr="009A4DCA">
        <w:t xml:space="preserve"> </w:t>
      </w:r>
      <w:r w:rsidR="00271CCD" w:rsidRPr="009A4DCA">
        <w:rPr>
          <w:szCs w:val="24"/>
        </w:rPr>
        <w:t>for each age/risk-based group</w:t>
      </w:r>
      <w:r w:rsidR="007E3BF0" w:rsidRPr="009A4DCA">
        <w:t xml:space="preserve"> were</w:t>
      </w:r>
      <w:r w:rsidR="00D556D3" w:rsidRPr="009A4DCA">
        <w:t>:</w:t>
      </w:r>
      <w:bookmarkEnd w:id="83"/>
    </w:p>
    <w:p w14:paraId="253CFD5B" w14:textId="6B5F516E" w:rsidR="00222077" w:rsidRPr="009A4DCA" w:rsidRDefault="008E7334" w:rsidP="00DE6D4C">
      <w:pPr>
        <w:pStyle w:val="3-BodyText"/>
        <w:numPr>
          <w:ilvl w:val="0"/>
          <w:numId w:val="36"/>
        </w:numPr>
        <w:spacing w:before="120"/>
        <w:ind w:left="1134" w:hanging="357"/>
      </w:pPr>
      <w:r w:rsidRPr="009A4DCA">
        <w:t xml:space="preserve">the </w:t>
      </w:r>
      <w:r w:rsidR="00222077" w:rsidRPr="009A4DCA">
        <w:t>ATAGI</w:t>
      </w:r>
      <w:r w:rsidR="003B48C5" w:rsidRPr="009A4DCA">
        <w:t>-</w:t>
      </w:r>
      <w:r w:rsidR="00222077" w:rsidRPr="009A4DCA">
        <w:t>recommended change to the source for estimated VE against RSV-outpatients</w:t>
      </w:r>
      <w:r w:rsidRPr="009A4DCA">
        <w:t xml:space="preserve"> (VE against RSV-LRTI ≥2 symptoms for VE relating to outpatient visits (VE: 65.1%; based on 58 cases in Season 1))</w:t>
      </w:r>
      <w:r w:rsidR="00222077" w:rsidRPr="009A4DCA">
        <w:t>;</w:t>
      </w:r>
    </w:p>
    <w:p w14:paraId="36E55D73" w14:textId="57938A68" w:rsidR="00222077" w:rsidRPr="009A4DCA" w:rsidRDefault="008E7334" w:rsidP="00DE6D4C">
      <w:pPr>
        <w:pStyle w:val="3-BodyText"/>
        <w:numPr>
          <w:ilvl w:val="0"/>
          <w:numId w:val="36"/>
        </w:numPr>
        <w:spacing w:before="120"/>
        <w:ind w:left="1134" w:hanging="357"/>
      </w:pPr>
      <w:r w:rsidRPr="009A4DCA">
        <w:t>the e</w:t>
      </w:r>
      <w:r w:rsidR="00222077" w:rsidRPr="009A4DCA">
        <w:t>valuator</w:t>
      </w:r>
      <w:r w:rsidR="003B48C5" w:rsidRPr="009A4DCA">
        <w:t>-</w:t>
      </w:r>
      <w:r w:rsidR="00222077" w:rsidRPr="009A4DCA">
        <w:t xml:space="preserve">recommended change in the source for population normal utility values </w:t>
      </w:r>
      <w:r w:rsidRPr="009A4DCA">
        <w:t>(an Australian algorithm for the EUROQoL EQ-5D-5L);</w:t>
      </w:r>
    </w:p>
    <w:p w14:paraId="153992DC" w14:textId="1403D074" w:rsidR="00CC796B" w:rsidRPr="009A4DCA" w:rsidRDefault="00CC796B" w:rsidP="00DE6D4C">
      <w:pPr>
        <w:pStyle w:val="3-BodyText"/>
        <w:numPr>
          <w:ilvl w:val="0"/>
          <w:numId w:val="36"/>
        </w:numPr>
        <w:spacing w:before="120"/>
        <w:ind w:left="1134" w:hanging="357"/>
      </w:pPr>
      <w:r w:rsidRPr="009A4DCA">
        <w:t xml:space="preserve">the duration of vaccine effectiveness of </w:t>
      </w:r>
      <w:r w:rsidR="009F7E95" w:rsidRPr="009A4DCA">
        <w:t>3</w:t>
      </w:r>
      <w:r w:rsidRPr="009A4DCA">
        <w:t xml:space="preserve"> years</w:t>
      </w:r>
      <w:r w:rsidR="009F7E95" w:rsidRPr="009A4DCA">
        <w:t xml:space="preserve"> as an additional scenario</w:t>
      </w:r>
      <w:r w:rsidR="008E7334" w:rsidRPr="009A4DCA">
        <w:t xml:space="preserve"> (4</w:t>
      </w:r>
      <w:r w:rsidR="00A07DD1" w:rsidRPr="009A4DCA">
        <w:t> </w:t>
      </w:r>
      <w:r w:rsidR="008E7334" w:rsidRPr="009A4DCA">
        <w:t>years base case)</w:t>
      </w:r>
      <w:r w:rsidR="00ED4CB7" w:rsidRPr="009A4DCA">
        <w:t>, calculated using the updated model</w:t>
      </w:r>
      <w:r w:rsidRPr="009A4DCA">
        <w:t>.</w:t>
      </w:r>
    </w:p>
    <w:p w14:paraId="43C4112E" w14:textId="0A04AFAA" w:rsidR="00D73A50" w:rsidRPr="009A4DCA" w:rsidRDefault="00A00189" w:rsidP="00DE6D4C">
      <w:pPr>
        <w:pStyle w:val="3-BodyText"/>
        <w:numPr>
          <w:ilvl w:val="0"/>
          <w:numId w:val="0"/>
        </w:numPr>
        <w:spacing w:before="120"/>
        <w:ind w:left="709" w:firstLine="11"/>
        <w:rPr>
          <w:rFonts w:eastAsiaTheme="majorEastAsia" w:cstheme="majorBidi"/>
          <w:bCs/>
          <w:spacing w:val="5"/>
          <w:kern w:val="28"/>
          <w:szCs w:val="24"/>
          <w:lang w:eastAsia="en-US"/>
        </w:rPr>
      </w:pPr>
      <w:r w:rsidRPr="009A4DCA">
        <w:t>The ICERs for the PSCR-respecified model are summarised in</w:t>
      </w:r>
      <w:r w:rsidR="00227A8B" w:rsidRPr="009A4DCA">
        <w:t xml:space="preserve"> </w:t>
      </w:r>
      <w:r w:rsidR="00A474D0" w:rsidRPr="009A4DCA">
        <w:fldChar w:fldCharType="begin"/>
      </w:r>
      <w:r w:rsidR="00A474D0" w:rsidRPr="009A4DCA">
        <w:instrText xml:space="preserve"> REF _Ref175677908 \h </w:instrText>
      </w:r>
      <w:r w:rsidR="00A474D0" w:rsidRPr="009A4DCA">
        <w:fldChar w:fldCharType="separate"/>
      </w:r>
      <w:r w:rsidR="007B2F50" w:rsidRPr="009A4DCA">
        <w:t xml:space="preserve">Table </w:t>
      </w:r>
      <w:r w:rsidR="007B2F50">
        <w:rPr>
          <w:noProof/>
        </w:rPr>
        <w:t>17</w:t>
      </w:r>
      <w:r w:rsidR="00A474D0" w:rsidRPr="009A4DCA">
        <w:fldChar w:fldCharType="end"/>
      </w:r>
      <w:r w:rsidR="00A474D0" w:rsidRPr="009A4DCA">
        <w:t xml:space="preserve"> above</w:t>
      </w:r>
      <w:r w:rsidRPr="009A4DCA">
        <w:t xml:space="preserve">. </w:t>
      </w:r>
    </w:p>
    <w:p w14:paraId="259ABE5A" w14:textId="479BA9DD" w:rsidR="00536F07" w:rsidRPr="009A4DCA" w:rsidRDefault="00536F07" w:rsidP="00DE6D4C">
      <w:pPr>
        <w:pStyle w:val="3-BodyText"/>
        <w:spacing w:before="120"/>
        <w:rPr>
          <w:rFonts w:eastAsiaTheme="majorEastAsia" w:cstheme="majorBidi"/>
          <w:b/>
          <w:spacing w:val="5"/>
          <w:kern w:val="28"/>
          <w:szCs w:val="24"/>
          <w:lang w:eastAsia="en-US"/>
        </w:rPr>
      </w:pPr>
      <w:bookmarkStart w:id="84" w:name="_Ref179932950"/>
      <w:r w:rsidRPr="009A4DCA">
        <w:rPr>
          <w:szCs w:val="24"/>
        </w:rPr>
        <w:t xml:space="preserve">The ESC considered that a reasonable </w:t>
      </w:r>
      <w:r w:rsidR="00E31D92" w:rsidRPr="009A4DCA">
        <w:rPr>
          <w:szCs w:val="24"/>
        </w:rPr>
        <w:t>model re-specification</w:t>
      </w:r>
      <w:r w:rsidR="00E264DC" w:rsidRPr="009A4DCA">
        <w:rPr>
          <w:szCs w:val="24"/>
        </w:rPr>
        <w:t xml:space="preserve"> (using the first model submitted for evaluation)</w:t>
      </w:r>
      <w:r w:rsidR="00E31D92" w:rsidRPr="009A4DCA">
        <w:rPr>
          <w:szCs w:val="24"/>
        </w:rPr>
        <w:t xml:space="preserve"> would be based on </w:t>
      </w:r>
      <w:r w:rsidR="00426FBF" w:rsidRPr="009A4DCA">
        <w:rPr>
          <w:szCs w:val="24"/>
        </w:rPr>
        <w:t>use of</w:t>
      </w:r>
      <w:r w:rsidR="00E31D92" w:rsidRPr="009A4DCA">
        <w:rPr>
          <w:szCs w:val="24"/>
        </w:rPr>
        <w:t xml:space="preserve"> </w:t>
      </w:r>
      <w:r w:rsidR="007E3BF0" w:rsidRPr="009A4DCA">
        <w:rPr>
          <w:szCs w:val="24"/>
        </w:rPr>
        <w:t xml:space="preserve">AIHW hospitalisation rate and hCFR </w:t>
      </w:r>
      <w:r w:rsidR="00E31D92" w:rsidRPr="009A4DCA">
        <w:rPr>
          <w:szCs w:val="24"/>
        </w:rPr>
        <w:t xml:space="preserve">and having VE truncated at 2 years to account for uncertain duration of protection, and therefore involving the following </w:t>
      </w:r>
      <w:r w:rsidR="00BA65DD" w:rsidRPr="009A4DCA">
        <w:rPr>
          <w:szCs w:val="24"/>
        </w:rPr>
        <w:t xml:space="preserve">changes to </w:t>
      </w:r>
      <w:r w:rsidR="00E31D92" w:rsidRPr="009A4DCA">
        <w:rPr>
          <w:szCs w:val="24"/>
        </w:rPr>
        <w:t>parameters:</w:t>
      </w:r>
      <w:bookmarkEnd w:id="84"/>
      <w:r w:rsidRPr="009A4DCA">
        <w:rPr>
          <w:rFonts w:eastAsiaTheme="majorEastAsia" w:cstheme="majorBidi"/>
          <w:b/>
          <w:spacing w:val="5"/>
          <w:kern w:val="28"/>
          <w:szCs w:val="24"/>
          <w:lang w:eastAsia="en-US"/>
        </w:rPr>
        <w:t xml:space="preserve"> </w:t>
      </w:r>
    </w:p>
    <w:p w14:paraId="38EC377A" w14:textId="124EC306" w:rsidR="00E31D92" w:rsidRPr="009A4DCA" w:rsidRDefault="00E31D92" w:rsidP="00DE6D4C">
      <w:pPr>
        <w:pStyle w:val="3-BodyText"/>
        <w:numPr>
          <w:ilvl w:val="0"/>
          <w:numId w:val="35"/>
        </w:numPr>
        <w:spacing w:before="120"/>
        <w:ind w:left="1134" w:hanging="357"/>
        <w:rPr>
          <w:rFonts w:eastAsiaTheme="majorEastAsia" w:cstheme="majorBidi"/>
          <w:b/>
          <w:spacing w:val="5"/>
          <w:kern w:val="28"/>
          <w:szCs w:val="24"/>
          <w:lang w:eastAsia="en-US"/>
        </w:rPr>
      </w:pPr>
      <w:r w:rsidRPr="009A4DCA">
        <w:t>the AIHW hospitalisation rate of 384 per 100,000 per</w:t>
      </w:r>
      <w:r w:rsidR="0033641F" w:rsidRPr="009A4DCA">
        <w:t>son-</w:t>
      </w:r>
      <w:r w:rsidRPr="009A4DCA">
        <w:t>year</w:t>
      </w:r>
      <w:r w:rsidR="0033641F" w:rsidRPr="009A4DCA">
        <w:t>s</w:t>
      </w:r>
      <w:r w:rsidR="00BA65DD" w:rsidRPr="009A4DCA">
        <w:t xml:space="preserve"> (adults 75 years and above) and </w:t>
      </w:r>
      <w:r w:rsidR="00347762" w:rsidRPr="009A4DCA">
        <w:t xml:space="preserve">576 per 100,000 person-years </w:t>
      </w:r>
      <w:r w:rsidR="00347762" w:rsidRPr="009A4DCA">
        <w:rPr>
          <w:iCs/>
        </w:rPr>
        <w:t xml:space="preserve">for </w:t>
      </w:r>
      <w:r w:rsidR="00347762" w:rsidRPr="009A4DCA">
        <w:t>Aboriginal and Torres Strait Islander adults aged 60 to 74 years</w:t>
      </w:r>
      <w:r w:rsidRPr="009A4DCA">
        <w:t xml:space="preserve">; </w:t>
      </w:r>
    </w:p>
    <w:p w14:paraId="0690A259" w14:textId="4F923B87" w:rsidR="00E31D92" w:rsidRPr="009A4DCA" w:rsidRDefault="00E31D92" w:rsidP="00DE6D4C">
      <w:pPr>
        <w:pStyle w:val="3-BodyText"/>
        <w:numPr>
          <w:ilvl w:val="0"/>
          <w:numId w:val="35"/>
        </w:numPr>
        <w:spacing w:before="120"/>
        <w:ind w:left="1134" w:hanging="357"/>
        <w:rPr>
          <w:rFonts w:eastAsiaTheme="majorEastAsia" w:cstheme="majorBidi"/>
          <w:b/>
          <w:spacing w:val="5"/>
          <w:kern w:val="28"/>
          <w:szCs w:val="24"/>
          <w:lang w:eastAsia="en-US"/>
        </w:rPr>
      </w:pPr>
      <w:r w:rsidRPr="009A4DCA">
        <w:t>the mortality rate adjusted using the case fatality rate ratio of 4.22%;</w:t>
      </w:r>
    </w:p>
    <w:p w14:paraId="33CCDBBF" w14:textId="24EEC754" w:rsidR="00E31D92" w:rsidRPr="009A4DCA" w:rsidRDefault="003C0EB0" w:rsidP="00DE6D4C">
      <w:pPr>
        <w:pStyle w:val="3-BodyText"/>
        <w:numPr>
          <w:ilvl w:val="0"/>
          <w:numId w:val="35"/>
        </w:numPr>
        <w:spacing w:before="120"/>
        <w:ind w:left="1134" w:hanging="357"/>
        <w:rPr>
          <w:rFonts w:eastAsiaTheme="majorEastAsia" w:cstheme="majorBidi"/>
          <w:b/>
          <w:spacing w:val="5"/>
          <w:kern w:val="28"/>
          <w:szCs w:val="24"/>
          <w:lang w:eastAsia="en-US"/>
        </w:rPr>
      </w:pPr>
      <w:r w:rsidRPr="009A4DCA">
        <w:rPr>
          <w:rFonts w:eastAsiaTheme="majorEastAsia" w:cstheme="majorBidi"/>
          <w:bCs/>
          <w:spacing w:val="5"/>
          <w:kern w:val="28"/>
          <w:szCs w:val="24"/>
          <w:lang w:eastAsia="en-US"/>
        </w:rPr>
        <w:t xml:space="preserve">the duration of </w:t>
      </w:r>
      <w:r w:rsidR="008E7334" w:rsidRPr="009A4DCA">
        <w:rPr>
          <w:rFonts w:eastAsiaTheme="majorEastAsia" w:cstheme="majorBidi"/>
          <w:bCs/>
          <w:spacing w:val="5"/>
          <w:kern w:val="28"/>
          <w:szCs w:val="24"/>
          <w:lang w:eastAsia="en-US"/>
        </w:rPr>
        <w:t>VE</w:t>
      </w:r>
      <w:r w:rsidRPr="009A4DCA">
        <w:rPr>
          <w:rFonts w:eastAsiaTheme="majorEastAsia" w:cstheme="majorBidi"/>
          <w:bCs/>
          <w:spacing w:val="5"/>
          <w:kern w:val="28"/>
          <w:szCs w:val="24"/>
          <w:lang w:eastAsia="en-US"/>
        </w:rPr>
        <w:t xml:space="preserve"> of 2 years.</w:t>
      </w:r>
    </w:p>
    <w:p w14:paraId="1CA47D46" w14:textId="344AE80D" w:rsidR="00890BA0" w:rsidRPr="00DE6D4C" w:rsidRDefault="004C5F3B" w:rsidP="00DE6D4C">
      <w:pPr>
        <w:pStyle w:val="3-BodyText"/>
        <w:numPr>
          <w:ilvl w:val="0"/>
          <w:numId w:val="0"/>
        </w:numPr>
        <w:spacing w:before="120"/>
        <w:ind w:left="709" w:firstLine="11"/>
        <w:rPr>
          <w:rFonts w:eastAsiaTheme="majorEastAsia" w:cstheme="majorBidi"/>
          <w:bCs/>
          <w:color w:val="FF0000"/>
          <w:spacing w:val="5"/>
          <w:kern w:val="28"/>
          <w:szCs w:val="24"/>
          <w:lang w:eastAsia="en-US"/>
        </w:rPr>
      </w:pPr>
      <w:r w:rsidRPr="009A4DCA">
        <w:rPr>
          <w:rFonts w:eastAsiaTheme="majorEastAsia" w:cstheme="majorBidi"/>
          <w:bCs/>
          <w:spacing w:val="5"/>
          <w:kern w:val="28"/>
          <w:szCs w:val="24"/>
          <w:lang w:eastAsia="en-US"/>
        </w:rPr>
        <w:t>The ICERs for the</w:t>
      </w:r>
      <w:r w:rsidR="00A00189" w:rsidRPr="009A4DCA">
        <w:rPr>
          <w:rFonts w:eastAsiaTheme="majorEastAsia" w:cstheme="majorBidi"/>
          <w:bCs/>
          <w:spacing w:val="5"/>
          <w:kern w:val="28"/>
          <w:szCs w:val="24"/>
          <w:lang w:eastAsia="en-US"/>
        </w:rPr>
        <w:t xml:space="preserve"> ESC</w:t>
      </w:r>
      <w:r w:rsidRPr="009A4DCA">
        <w:rPr>
          <w:rFonts w:eastAsiaTheme="majorEastAsia" w:cstheme="majorBidi"/>
          <w:bCs/>
          <w:spacing w:val="5"/>
          <w:kern w:val="28"/>
          <w:szCs w:val="24"/>
          <w:lang w:eastAsia="en-US"/>
        </w:rPr>
        <w:t xml:space="preserve"> re-specified </w:t>
      </w:r>
      <w:r w:rsidR="001F792D" w:rsidRPr="009A4DCA">
        <w:rPr>
          <w:rFonts w:eastAsiaTheme="majorEastAsia" w:cstheme="majorBidi"/>
          <w:bCs/>
          <w:spacing w:val="5"/>
          <w:kern w:val="28"/>
          <w:szCs w:val="24"/>
          <w:lang w:eastAsia="en-US"/>
        </w:rPr>
        <w:t>model</w:t>
      </w:r>
      <w:r w:rsidRPr="009A4DCA">
        <w:rPr>
          <w:rFonts w:eastAsiaTheme="majorEastAsia" w:cstheme="majorBidi"/>
          <w:bCs/>
          <w:spacing w:val="5"/>
          <w:kern w:val="28"/>
          <w:szCs w:val="24"/>
          <w:lang w:eastAsia="en-US"/>
        </w:rPr>
        <w:t xml:space="preserve"> </w:t>
      </w:r>
      <w:r w:rsidR="000C0E17" w:rsidRPr="009A4DCA">
        <w:rPr>
          <w:rFonts w:eastAsiaTheme="majorEastAsia" w:cstheme="majorBidi"/>
          <w:bCs/>
          <w:spacing w:val="5"/>
          <w:kern w:val="28"/>
          <w:szCs w:val="24"/>
          <w:lang w:eastAsia="en-US"/>
        </w:rPr>
        <w:t xml:space="preserve">have been added to </w:t>
      </w:r>
      <w:r w:rsidR="00A474D0" w:rsidRPr="009A4DCA">
        <w:rPr>
          <w:rFonts w:eastAsiaTheme="majorEastAsia" w:cstheme="majorBidi"/>
          <w:bCs/>
          <w:spacing w:val="5"/>
          <w:kern w:val="28"/>
          <w:szCs w:val="24"/>
          <w:lang w:eastAsia="en-US"/>
        </w:rPr>
        <w:fldChar w:fldCharType="begin"/>
      </w:r>
      <w:r w:rsidR="00A474D0" w:rsidRPr="009A4DCA">
        <w:rPr>
          <w:rFonts w:eastAsiaTheme="majorEastAsia" w:cstheme="majorBidi"/>
          <w:bCs/>
          <w:spacing w:val="5"/>
          <w:kern w:val="28"/>
          <w:szCs w:val="24"/>
          <w:lang w:eastAsia="en-US"/>
        </w:rPr>
        <w:instrText xml:space="preserve"> REF _Ref175677908 \h </w:instrText>
      </w:r>
      <w:r w:rsidR="00A474D0" w:rsidRPr="009A4DCA">
        <w:rPr>
          <w:rFonts w:eastAsiaTheme="majorEastAsia" w:cstheme="majorBidi"/>
          <w:bCs/>
          <w:spacing w:val="5"/>
          <w:kern w:val="28"/>
          <w:szCs w:val="24"/>
          <w:lang w:eastAsia="en-US"/>
        </w:rPr>
      </w:r>
      <w:r w:rsidR="00A474D0" w:rsidRPr="009A4DCA">
        <w:rPr>
          <w:rFonts w:eastAsiaTheme="majorEastAsia" w:cstheme="majorBidi"/>
          <w:bCs/>
          <w:spacing w:val="5"/>
          <w:kern w:val="28"/>
          <w:szCs w:val="24"/>
          <w:lang w:eastAsia="en-US"/>
        </w:rPr>
        <w:fldChar w:fldCharType="separate"/>
      </w:r>
      <w:r w:rsidR="007B2F50" w:rsidRPr="009A4DCA">
        <w:t xml:space="preserve">Table </w:t>
      </w:r>
      <w:r w:rsidR="007B2F50">
        <w:rPr>
          <w:noProof/>
        </w:rPr>
        <w:t>17</w:t>
      </w:r>
      <w:r w:rsidR="00A474D0" w:rsidRPr="009A4DCA">
        <w:rPr>
          <w:rFonts w:eastAsiaTheme="majorEastAsia" w:cstheme="majorBidi"/>
          <w:bCs/>
          <w:spacing w:val="5"/>
          <w:kern w:val="28"/>
          <w:szCs w:val="24"/>
          <w:lang w:eastAsia="en-US"/>
        </w:rPr>
        <w:fldChar w:fldCharType="end"/>
      </w:r>
      <w:r w:rsidR="00DE6D4C">
        <w:rPr>
          <w:rFonts w:eastAsiaTheme="majorEastAsia" w:cstheme="majorBidi"/>
          <w:bCs/>
          <w:spacing w:val="5"/>
          <w:kern w:val="28"/>
          <w:szCs w:val="24"/>
          <w:lang w:eastAsia="en-US"/>
        </w:rPr>
        <w:t xml:space="preserve"> </w:t>
      </w:r>
      <w:r w:rsidR="000C0E17" w:rsidRPr="009A4DCA">
        <w:rPr>
          <w:rFonts w:eastAsiaTheme="majorEastAsia" w:cstheme="majorBidi"/>
          <w:bCs/>
          <w:spacing w:val="5"/>
          <w:kern w:val="28"/>
          <w:szCs w:val="24"/>
          <w:lang w:eastAsia="en-US"/>
        </w:rPr>
        <w:t>above</w:t>
      </w:r>
      <w:r w:rsidR="00E96F43" w:rsidRPr="009A4DCA">
        <w:rPr>
          <w:rFonts w:eastAsiaTheme="majorEastAsia" w:cstheme="majorBidi"/>
          <w:bCs/>
          <w:spacing w:val="5"/>
          <w:kern w:val="28"/>
          <w:szCs w:val="24"/>
          <w:lang w:eastAsia="en-US"/>
        </w:rPr>
        <w:t>.</w:t>
      </w:r>
      <w:r w:rsidR="001D367B" w:rsidRPr="009A4DCA">
        <w:rPr>
          <w:rFonts w:eastAsiaTheme="majorEastAsia" w:cstheme="majorBidi"/>
          <w:bCs/>
          <w:color w:val="FF0000"/>
          <w:spacing w:val="5"/>
          <w:kern w:val="28"/>
          <w:szCs w:val="24"/>
          <w:lang w:eastAsia="en-US"/>
        </w:rPr>
        <w:t xml:space="preserve"> </w:t>
      </w:r>
    </w:p>
    <w:p w14:paraId="121C3274" w14:textId="3A78262D" w:rsidR="008B1FFF" w:rsidRPr="00E679E7" w:rsidRDefault="008B1FFF" w:rsidP="00E679E7">
      <w:pPr>
        <w:pStyle w:val="4-SubsectionHeading"/>
      </w:pPr>
      <w:bookmarkStart w:id="85" w:name="_Toc177558744"/>
      <w:bookmarkEnd w:id="63"/>
      <w:r w:rsidRPr="00E679E7">
        <w:lastRenderedPageBreak/>
        <w:t>RSVpreF cost per person</w:t>
      </w:r>
      <w:bookmarkEnd w:id="85"/>
    </w:p>
    <w:p w14:paraId="7E600DD2" w14:textId="13A0E3FB" w:rsidR="00D75B80" w:rsidRPr="009A4DCA" w:rsidRDefault="00D75B80" w:rsidP="005F7DA8">
      <w:pPr>
        <w:pStyle w:val="3-BodyText"/>
        <w:rPr>
          <w:lang w:eastAsia="en-US"/>
        </w:rPr>
      </w:pPr>
      <w:r w:rsidRPr="009A4DCA">
        <w:t>The proposed cost per dose of RSV</w:t>
      </w:r>
      <w:r w:rsidR="009A4DCA">
        <w:t>p</w:t>
      </w:r>
      <w:r w:rsidRPr="009A4DCA">
        <w:t>reF was $</w:t>
      </w:r>
      <w:r w:rsidR="00E44A34" w:rsidRPr="00E44A34">
        <w:rPr>
          <w:color w:val="000000"/>
          <w:w w:val="61"/>
          <w:shd w:val="solid" w:color="000000" w:fill="000000"/>
          <w:fitText w:val="474" w:id="-762047231"/>
          <w14:textFill>
            <w14:solidFill>
              <w14:srgbClr w14:val="000000">
                <w14:alpha w14:val="100000"/>
              </w14:srgbClr>
            </w14:solidFill>
          </w14:textFill>
        </w:rPr>
        <w:t>|||  ||</w:t>
      </w:r>
      <w:r w:rsidR="00E44A34" w:rsidRPr="00E44A34">
        <w:rPr>
          <w:color w:val="000000"/>
          <w:spacing w:val="4"/>
          <w:w w:val="61"/>
          <w:shd w:val="solid" w:color="000000" w:fill="000000"/>
          <w:fitText w:val="474" w:id="-762047231"/>
          <w14:textFill>
            <w14:solidFill>
              <w14:srgbClr w14:val="000000">
                <w14:alpha w14:val="100000"/>
              </w14:srgbClr>
            </w14:solidFill>
          </w14:textFill>
        </w:rPr>
        <w:t>|</w:t>
      </w:r>
      <w:r w:rsidRPr="009A4DCA">
        <w:t>. The submission request</w:t>
      </w:r>
      <w:r w:rsidR="00426FBF" w:rsidRPr="009A4DCA">
        <w:t>ed a single dose per patient</w:t>
      </w:r>
      <w:r w:rsidRPr="009A4DCA">
        <w:t xml:space="preserve"> for NIP listing.</w:t>
      </w:r>
      <w:r w:rsidR="00F979DE" w:rsidRPr="009A4DCA">
        <w:t xml:space="preserve"> </w:t>
      </w:r>
      <w:r w:rsidR="00991D60" w:rsidRPr="009A4DCA">
        <w:t xml:space="preserve">The need for revaccination with RSVpreF for the proposed populations of older adults has not yet been established (paragraph </w:t>
      </w:r>
      <w:r w:rsidR="00543BE5" w:rsidRPr="009A4DCA">
        <w:fldChar w:fldCharType="begin"/>
      </w:r>
      <w:r w:rsidR="00543BE5" w:rsidRPr="009A4DCA">
        <w:instrText xml:space="preserve"> REF _Ref177543344 \r \h </w:instrText>
      </w:r>
      <w:r w:rsidR="00543BE5" w:rsidRPr="009A4DCA">
        <w:fldChar w:fldCharType="separate"/>
      </w:r>
      <w:r w:rsidR="007B2F50">
        <w:t>3.4</w:t>
      </w:r>
      <w:r w:rsidR="00543BE5" w:rsidRPr="009A4DCA">
        <w:fldChar w:fldCharType="end"/>
      </w:r>
      <w:r w:rsidR="00543BE5" w:rsidRPr="009A4DCA">
        <w:t>)</w:t>
      </w:r>
      <w:r w:rsidR="00991D60" w:rsidRPr="009A4DCA">
        <w:t>.</w:t>
      </w:r>
    </w:p>
    <w:p w14:paraId="1F57D058" w14:textId="77777777" w:rsidR="00B60939" w:rsidRPr="00E679E7" w:rsidRDefault="00B60939" w:rsidP="00E679E7">
      <w:pPr>
        <w:pStyle w:val="4-SubsectionHeading"/>
      </w:pPr>
      <w:bookmarkStart w:id="86" w:name="_Toc22897647"/>
      <w:bookmarkStart w:id="87" w:name="_Toc177558745"/>
      <w:r w:rsidRPr="00E679E7">
        <w:t>Estimated PBS usage &amp; financial implications</w:t>
      </w:r>
      <w:bookmarkEnd w:id="86"/>
      <w:bookmarkEnd w:id="87"/>
    </w:p>
    <w:p w14:paraId="15474D27" w14:textId="6AB04BC6" w:rsidR="00C764F4" w:rsidRPr="009A4DCA" w:rsidRDefault="00C764F4" w:rsidP="00DE6D4C">
      <w:pPr>
        <w:pStyle w:val="3-BodyText"/>
        <w:numPr>
          <w:ilvl w:val="1"/>
          <w:numId w:val="1"/>
        </w:numPr>
        <w:spacing w:before="120"/>
      </w:pPr>
      <w:r w:rsidRPr="009A4DCA">
        <w:t xml:space="preserve">This submission </w:t>
      </w:r>
      <w:r w:rsidR="00DA3A40" w:rsidRPr="009A4DCA">
        <w:t>was not</w:t>
      </w:r>
      <w:r w:rsidRPr="009A4DCA">
        <w:t xml:space="preserve"> considered by DUSC.</w:t>
      </w:r>
    </w:p>
    <w:p w14:paraId="30309FAD" w14:textId="77777777" w:rsidR="007A17E4" w:rsidRPr="009A4DCA" w:rsidRDefault="00C764F4" w:rsidP="00DE6D4C">
      <w:pPr>
        <w:pStyle w:val="3-BodyText"/>
        <w:numPr>
          <w:ilvl w:val="1"/>
          <w:numId w:val="1"/>
        </w:numPr>
        <w:spacing w:before="120"/>
        <w:rPr>
          <w:iCs/>
        </w:rPr>
      </w:pPr>
      <w:r w:rsidRPr="009A4DCA">
        <w:t xml:space="preserve">The submission used an epidemiological approach to estimate the extent of use and financial impact of reimbursing a single dose of RSVpreF for: </w:t>
      </w:r>
    </w:p>
    <w:p w14:paraId="1A5E81FB" w14:textId="4C5F77E2" w:rsidR="007A17E4" w:rsidRPr="009A4DCA" w:rsidRDefault="00C764F4" w:rsidP="00DE6D4C">
      <w:pPr>
        <w:pStyle w:val="3-BodyText"/>
        <w:numPr>
          <w:ilvl w:val="0"/>
          <w:numId w:val="0"/>
        </w:numPr>
        <w:spacing w:before="120"/>
        <w:ind w:left="720"/>
      </w:pPr>
      <w:r w:rsidRPr="009A4DCA">
        <w:t xml:space="preserve">1) adults aged </w:t>
      </w:r>
      <w:r w:rsidRPr="009A4DCA">
        <w:rPr>
          <w:rFonts w:cs="Calibri"/>
        </w:rPr>
        <w:t>≥</w:t>
      </w:r>
      <w:r w:rsidRPr="009A4DCA">
        <w:t xml:space="preserve">75 years; </w:t>
      </w:r>
    </w:p>
    <w:p w14:paraId="6B678EFB" w14:textId="041940A7" w:rsidR="00C764F4" w:rsidRPr="009A4DCA" w:rsidRDefault="00063BDD" w:rsidP="00DE6D4C">
      <w:pPr>
        <w:pStyle w:val="3-BodyText"/>
        <w:numPr>
          <w:ilvl w:val="0"/>
          <w:numId w:val="0"/>
        </w:numPr>
        <w:spacing w:before="120"/>
        <w:ind w:left="720"/>
        <w:rPr>
          <w:iCs/>
        </w:rPr>
      </w:pPr>
      <w:r w:rsidRPr="009A4DCA">
        <w:t>2</w:t>
      </w:r>
      <w:r w:rsidR="00C764F4" w:rsidRPr="009A4DCA">
        <w:t xml:space="preserve">) Aboriginal and Torres Strait Islander peoples aged </w:t>
      </w:r>
      <w:r w:rsidR="00C764F4" w:rsidRPr="009A4DCA">
        <w:rPr>
          <w:rFonts w:cs="Calibri"/>
        </w:rPr>
        <w:t>60 - 74</w:t>
      </w:r>
      <w:r w:rsidR="00C764F4" w:rsidRPr="009A4DCA">
        <w:t> years</w:t>
      </w:r>
      <w:r w:rsidRPr="009A4DCA">
        <w:t>;</w:t>
      </w:r>
      <w:r w:rsidR="00C764F4" w:rsidRPr="009A4DCA">
        <w:rPr>
          <w:iCs/>
        </w:rPr>
        <w:t xml:space="preserve"> </w:t>
      </w:r>
    </w:p>
    <w:p w14:paraId="58BE6388" w14:textId="52C89468" w:rsidR="00063BDD" w:rsidRPr="00DE6D4C" w:rsidRDefault="00063BDD" w:rsidP="00DE6D4C">
      <w:pPr>
        <w:pStyle w:val="3-BodyText"/>
        <w:numPr>
          <w:ilvl w:val="0"/>
          <w:numId w:val="0"/>
        </w:numPr>
        <w:spacing w:before="120"/>
        <w:ind w:left="720"/>
      </w:pPr>
      <w:r w:rsidRPr="009A4DCA">
        <w:t xml:space="preserve">3) adults with at least one identified risk factor aged 60 - 74 years. </w:t>
      </w:r>
    </w:p>
    <w:p w14:paraId="7EE52DC3" w14:textId="5B73A64C" w:rsidR="00C764F4" w:rsidRPr="009A4DCA" w:rsidRDefault="00C764F4" w:rsidP="00DE6D4C">
      <w:pPr>
        <w:pStyle w:val="3-BodyText"/>
        <w:numPr>
          <w:ilvl w:val="1"/>
          <w:numId w:val="1"/>
        </w:numPr>
        <w:spacing w:before="120"/>
      </w:pPr>
      <w:r w:rsidRPr="009A4DCA">
        <w:t xml:space="preserve">Key inputs used by the submission are presented in </w:t>
      </w:r>
      <w:r w:rsidRPr="009A4DCA">
        <w:fldChar w:fldCharType="begin"/>
      </w:r>
      <w:r w:rsidRPr="009A4DCA">
        <w:instrText xml:space="preserve"> REF _Ref104805262 \h  \* MERGEFORMAT </w:instrText>
      </w:r>
      <w:r w:rsidRPr="009A4DCA">
        <w:fldChar w:fldCharType="separate"/>
      </w:r>
      <w:r w:rsidR="007B2F50" w:rsidRPr="009A4DCA">
        <w:t xml:space="preserve">Table </w:t>
      </w:r>
      <w:r w:rsidR="007B2F50">
        <w:t>21</w:t>
      </w:r>
      <w:r w:rsidRPr="009A4DCA">
        <w:fldChar w:fldCharType="end"/>
      </w:r>
      <w:r w:rsidRPr="009A4DCA">
        <w:t xml:space="preserve">. </w:t>
      </w:r>
    </w:p>
    <w:p w14:paraId="39199856" w14:textId="09AF3620" w:rsidR="00C764F4" w:rsidRPr="009A4DCA" w:rsidRDefault="00C764F4" w:rsidP="00C764F4">
      <w:pPr>
        <w:pStyle w:val="Caption"/>
        <w:rPr>
          <w:rStyle w:val="CommentReference"/>
          <w:b/>
          <w:szCs w:val="24"/>
        </w:rPr>
      </w:pPr>
      <w:bookmarkStart w:id="88" w:name="_Ref104805262"/>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21</w:t>
      </w:r>
      <w:r w:rsidR="00491347">
        <w:fldChar w:fldCharType="end"/>
      </w:r>
      <w:bookmarkEnd w:id="88"/>
      <w:r w:rsidRPr="009A4DCA">
        <w:t>:</w:t>
      </w:r>
      <w:r w:rsidRPr="009A4DCA">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3684"/>
        <w:gridCol w:w="3919"/>
      </w:tblGrid>
      <w:tr w:rsidR="00C764F4" w:rsidRPr="009A4DCA" w14:paraId="06E9F1E1" w14:textId="77777777" w:rsidTr="00973287">
        <w:trPr>
          <w:tblHeader/>
        </w:trPr>
        <w:tc>
          <w:tcPr>
            <w:tcW w:w="784" w:type="pct"/>
            <w:tcBorders>
              <w:bottom w:val="single" w:sz="4" w:space="0" w:color="auto"/>
            </w:tcBorders>
            <w:shd w:val="clear" w:color="auto" w:fill="auto"/>
          </w:tcPr>
          <w:p w14:paraId="25F5F6E2" w14:textId="77777777" w:rsidR="00C764F4" w:rsidRPr="009A4DCA" w:rsidRDefault="00C764F4" w:rsidP="001B654C">
            <w:pPr>
              <w:pStyle w:val="In-tableHeading"/>
              <w:rPr>
                <w:lang w:val="en-AU"/>
              </w:rPr>
            </w:pPr>
            <w:r w:rsidRPr="009A4DCA">
              <w:rPr>
                <w:lang w:val="en-AU"/>
              </w:rPr>
              <w:t>Parameter</w:t>
            </w:r>
          </w:p>
        </w:tc>
        <w:tc>
          <w:tcPr>
            <w:tcW w:w="2043" w:type="pct"/>
            <w:shd w:val="clear" w:color="auto" w:fill="auto"/>
          </w:tcPr>
          <w:p w14:paraId="680CF532" w14:textId="77777777" w:rsidR="00C764F4" w:rsidRPr="009A4DCA" w:rsidRDefault="00C764F4" w:rsidP="001B654C">
            <w:pPr>
              <w:pStyle w:val="In-tableHeading"/>
              <w:rPr>
                <w:lang w:val="en-AU"/>
              </w:rPr>
            </w:pPr>
            <w:r w:rsidRPr="009A4DCA">
              <w:rPr>
                <w:lang w:val="en-AU"/>
              </w:rPr>
              <w:t>Value applied and source</w:t>
            </w:r>
          </w:p>
        </w:tc>
        <w:tc>
          <w:tcPr>
            <w:tcW w:w="2173" w:type="pct"/>
            <w:shd w:val="clear" w:color="auto" w:fill="auto"/>
          </w:tcPr>
          <w:p w14:paraId="542768BD" w14:textId="42514513" w:rsidR="00C764F4" w:rsidRPr="009A4DCA" w:rsidRDefault="00044FAB" w:rsidP="001B654C">
            <w:pPr>
              <w:pStyle w:val="In-tableHeading"/>
              <w:rPr>
                <w:lang w:val="en-AU"/>
              </w:rPr>
            </w:pPr>
            <w:r w:rsidRPr="009A4DCA">
              <w:rPr>
                <w:lang w:val="en-AU"/>
              </w:rPr>
              <w:t>Evaluation c</w:t>
            </w:r>
            <w:r w:rsidR="00C764F4" w:rsidRPr="009A4DCA">
              <w:rPr>
                <w:lang w:val="en-AU"/>
              </w:rPr>
              <w:t>omment</w:t>
            </w:r>
          </w:p>
        </w:tc>
      </w:tr>
      <w:tr w:rsidR="00C764F4" w:rsidRPr="009A4DCA" w14:paraId="5C8629C7" w14:textId="77777777" w:rsidTr="00973287">
        <w:tc>
          <w:tcPr>
            <w:tcW w:w="784" w:type="pct"/>
            <w:tcBorders>
              <w:bottom w:val="single" w:sz="4" w:space="0" w:color="auto"/>
            </w:tcBorders>
            <w:shd w:val="clear" w:color="auto" w:fill="auto"/>
          </w:tcPr>
          <w:p w14:paraId="57F108B2" w14:textId="77777777" w:rsidR="00C764F4" w:rsidRPr="009A4DCA" w:rsidRDefault="00C764F4" w:rsidP="00E76F4F">
            <w:pPr>
              <w:pStyle w:val="TableText0"/>
            </w:pPr>
            <w:r w:rsidRPr="009A4DCA">
              <w:t>Incidence and prevalent population</w:t>
            </w:r>
          </w:p>
        </w:tc>
        <w:tc>
          <w:tcPr>
            <w:tcW w:w="2043" w:type="pct"/>
            <w:tcBorders>
              <w:bottom w:val="single" w:sz="4" w:space="0" w:color="auto"/>
            </w:tcBorders>
            <w:shd w:val="clear" w:color="auto" w:fill="auto"/>
          </w:tcPr>
          <w:p w14:paraId="54E78B33" w14:textId="77777777" w:rsidR="00C764F4" w:rsidRPr="009A4DCA" w:rsidRDefault="00C764F4" w:rsidP="00E76F4F">
            <w:pPr>
              <w:pStyle w:val="TableText0"/>
            </w:pPr>
            <w:r w:rsidRPr="009A4DCA">
              <w:rPr>
                <w:u w:val="single"/>
              </w:rPr>
              <w:t>Incident population</w:t>
            </w:r>
            <w:r w:rsidRPr="009A4DCA">
              <w:t xml:space="preserve">: people turning 75 years or 60 years old each year </w:t>
            </w:r>
          </w:p>
          <w:p w14:paraId="51D40B01" w14:textId="661C88E8" w:rsidR="00C764F4" w:rsidRPr="009A4DCA" w:rsidRDefault="00C764F4" w:rsidP="00E76F4F">
            <w:pPr>
              <w:pStyle w:val="TableText0"/>
            </w:pPr>
            <w:r w:rsidRPr="009A4DCA">
              <w:rPr>
                <w:u w:val="single"/>
              </w:rPr>
              <w:t>Prevalent population</w:t>
            </w:r>
            <w:r w:rsidRPr="009A4DCA">
              <w:t xml:space="preserve">: people aged &gt;75y, people with a risk condition aged 61-74y, and Aboriginal and Torres Strait Islander people aged 61-74y.  </w:t>
            </w:r>
          </w:p>
        </w:tc>
        <w:tc>
          <w:tcPr>
            <w:tcW w:w="2173" w:type="pct"/>
            <w:tcBorders>
              <w:bottom w:val="single" w:sz="4" w:space="0" w:color="auto"/>
            </w:tcBorders>
            <w:shd w:val="clear" w:color="auto" w:fill="auto"/>
          </w:tcPr>
          <w:p w14:paraId="4EB6F948" w14:textId="4A408B42" w:rsidR="006B1D6F" w:rsidRPr="009A4DCA" w:rsidRDefault="00C764F4" w:rsidP="00E76F4F">
            <w:pPr>
              <w:pStyle w:val="TableText0"/>
            </w:pPr>
            <w:r w:rsidRPr="009A4DCA">
              <w:t>It may have been more straightforward to include all individuals as part of the Year 1 prevalent pool (given that the same uptake rate is applied to prevalent and incident populations in Year 1, there is no impact anticipated on use).</w:t>
            </w:r>
          </w:p>
        </w:tc>
      </w:tr>
      <w:tr w:rsidR="00C764F4" w:rsidRPr="009A4DCA" w14:paraId="1A70179A" w14:textId="77777777" w:rsidTr="00973287">
        <w:tc>
          <w:tcPr>
            <w:tcW w:w="5000" w:type="pct"/>
            <w:gridSpan w:val="3"/>
            <w:tcBorders>
              <w:bottom w:val="single" w:sz="4" w:space="0" w:color="auto"/>
            </w:tcBorders>
            <w:shd w:val="clear" w:color="auto" w:fill="auto"/>
          </w:tcPr>
          <w:p w14:paraId="21FDA357" w14:textId="77777777" w:rsidR="00C764F4" w:rsidRPr="009A4DCA" w:rsidRDefault="00C764F4" w:rsidP="00E76F4F">
            <w:pPr>
              <w:pStyle w:val="TableText0"/>
            </w:pPr>
            <w:r w:rsidRPr="009A4DCA">
              <w:t>Size of eligible population</w:t>
            </w:r>
          </w:p>
        </w:tc>
      </w:tr>
      <w:tr w:rsidR="00C764F4" w:rsidRPr="009A4DCA" w14:paraId="56E3F9D7" w14:textId="77777777" w:rsidTr="00973287">
        <w:tc>
          <w:tcPr>
            <w:tcW w:w="784" w:type="pct"/>
            <w:tcBorders>
              <w:top w:val="single" w:sz="4" w:space="0" w:color="auto"/>
              <w:bottom w:val="single" w:sz="4" w:space="0" w:color="auto"/>
            </w:tcBorders>
            <w:shd w:val="clear" w:color="auto" w:fill="auto"/>
          </w:tcPr>
          <w:p w14:paraId="71F9C289" w14:textId="6FBD0E82" w:rsidR="00C764F4" w:rsidRPr="009A4DCA" w:rsidRDefault="00C764F4" w:rsidP="00E76F4F">
            <w:pPr>
              <w:pStyle w:val="TableText0"/>
            </w:pPr>
            <w:r w:rsidRPr="009A4DCA">
              <w:t>Adults aged ≥75 years</w:t>
            </w:r>
          </w:p>
        </w:tc>
        <w:tc>
          <w:tcPr>
            <w:tcW w:w="2043" w:type="pct"/>
            <w:tcBorders>
              <w:top w:val="single" w:sz="4" w:space="0" w:color="auto"/>
              <w:bottom w:val="single" w:sz="4" w:space="0" w:color="auto"/>
            </w:tcBorders>
            <w:shd w:val="clear" w:color="auto" w:fill="auto"/>
          </w:tcPr>
          <w:p w14:paraId="15A8E820" w14:textId="77777777" w:rsidR="00C764F4" w:rsidRPr="009A4DCA" w:rsidRDefault="00C764F4" w:rsidP="00E76F4F">
            <w:pPr>
              <w:pStyle w:val="Tabletext"/>
              <w:ind w:left="88"/>
            </w:pPr>
            <w:r w:rsidRPr="009A4DCA">
              <w:rPr>
                <w:szCs w:val="18"/>
              </w:rPr>
              <w:t>ABS 3222.0 - Population Projections, Australia, 2012 (base) to 2030 Series B</w:t>
            </w:r>
          </w:p>
        </w:tc>
        <w:tc>
          <w:tcPr>
            <w:tcW w:w="2173" w:type="pct"/>
            <w:tcBorders>
              <w:top w:val="single" w:sz="4" w:space="0" w:color="auto"/>
              <w:bottom w:val="single" w:sz="4" w:space="0" w:color="auto"/>
            </w:tcBorders>
            <w:shd w:val="clear" w:color="auto" w:fill="auto"/>
          </w:tcPr>
          <w:p w14:paraId="0BDDCBE6" w14:textId="01FEEBBD" w:rsidR="00F67110" w:rsidRPr="009A4DCA" w:rsidRDefault="00C764F4" w:rsidP="00E76F4F">
            <w:pPr>
              <w:pStyle w:val="TableText0"/>
            </w:pPr>
            <w:r w:rsidRPr="009A4DCA">
              <w:t xml:space="preserve">The submission applied </w:t>
            </w:r>
            <w:r w:rsidR="0060543D" w:rsidRPr="009A4DCA">
              <w:t>out</w:t>
            </w:r>
            <w:r w:rsidRPr="009A4DCA">
              <w:t>dated estimates from 2016 for population projection reported by the ABS. The most recent ABS statistics for Series 3222.0 use 2022 as the base year</w:t>
            </w:r>
            <w:r w:rsidRPr="009A4DCA">
              <w:rPr>
                <w:rStyle w:val="FootnoteReference"/>
                <w:iCs w:val="0"/>
              </w:rPr>
              <w:footnoteReference w:id="17"/>
            </w:r>
            <w:r w:rsidRPr="009A4DCA">
              <w:t xml:space="preserve"> (ABS 2023). Use of the older ABS projections underestimated the incidence population and the financial impact. This was not updated during the evaluation</w:t>
            </w:r>
            <w:r w:rsidR="00F67110" w:rsidRPr="009A4DCA">
              <w:t>, however updated estimates were provided in the PSCR</w:t>
            </w:r>
            <w:r w:rsidRPr="009A4DCA">
              <w:t>.</w:t>
            </w:r>
          </w:p>
        </w:tc>
      </w:tr>
      <w:tr w:rsidR="0060543D" w:rsidRPr="009A4DCA" w14:paraId="76964CE5" w14:textId="77777777" w:rsidTr="0060543D">
        <w:trPr>
          <w:cantSplit/>
        </w:trPr>
        <w:tc>
          <w:tcPr>
            <w:tcW w:w="784" w:type="pct"/>
            <w:tcBorders>
              <w:top w:val="single" w:sz="4" w:space="0" w:color="auto"/>
              <w:bottom w:val="single" w:sz="4" w:space="0" w:color="auto"/>
            </w:tcBorders>
            <w:shd w:val="clear" w:color="auto" w:fill="auto"/>
          </w:tcPr>
          <w:p w14:paraId="15DD54CD" w14:textId="7C1F555B" w:rsidR="0060543D" w:rsidRPr="009A4DCA" w:rsidRDefault="0060543D" w:rsidP="00E76F4F">
            <w:pPr>
              <w:pStyle w:val="TableText0"/>
            </w:pPr>
            <w:r w:rsidRPr="009A4DCA">
              <w:t>Aboriginal and Torres Strait Islander people aged 60 to 74 years</w:t>
            </w:r>
          </w:p>
        </w:tc>
        <w:tc>
          <w:tcPr>
            <w:tcW w:w="2043" w:type="pct"/>
            <w:tcBorders>
              <w:top w:val="single" w:sz="4" w:space="0" w:color="auto"/>
              <w:bottom w:val="single" w:sz="4" w:space="0" w:color="auto"/>
            </w:tcBorders>
            <w:shd w:val="clear" w:color="auto" w:fill="auto"/>
          </w:tcPr>
          <w:p w14:paraId="670AE6E1" w14:textId="591A85D5" w:rsidR="0060543D" w:rsidRPr="009A4DCA" w:rsidRDefault="0060543D" w:rsidP="00E76F4F">
            <w:pPr>
              <w:pStyle w:val="Tabletext"/>
              <w:ind w:left="88"/>
              <w:rPr>
                <w:szCs w:val="18"/>
              </w:rPr>
            </w:pPr>
            <w:r w:rsidRPr="009A4DCA">
              <w:t>ABS 3238.0, Series B and Estimates of Aboriginal and Torres Strait Islander Australians, Final Census 2021.</w:t>
            </w:r>
          </w:p>
        </w:tc>
        <w:tc>
          <w:tcPr>
            <w:tcW w:w="2173" w:type="pct"/>
            <w:tcBorders>
              <w:top w:val="single" w:sz="4" w:space="0" w:color="auto"/>
              <w:bottom w:val="single" w:sz="4" w:space="0" w:color="auto"/>
            </w:tcBorders>
            <w:shd w:val="clear" w:color="auto" w:fill="auto"/>
          </w:tcPr>
          <w:p w14:paraId="28483E99" w14:textId="58F71B2D" w:rsidR="0060543D" w:rsidRPr="009A4DCA" w:rsidRDefault="0060543D" w:rsidP="0060543D">
            <w:r w:rsidRPr="009A4DCA">
              <w:rPr>
                <w:rFonts w:ascii="Arial Narrow" w:eastAsiaTheme="majorEastAsia" w:hAnsi="Arial Narrow" w:cstheme="majorBidi"/>
                <w:bCs/>
                <w:iCs/>
                <w:sz w:val="20"/>
                <w:szCs w:val="18"/>
                <w:lang w:eastAsia="en-US"/>
              </w:rPr>
              <w:t>Use of ABS data as the source is reasonable. There is a more recent update of that data; ABS Series 3238.0 used 2011 as the base year</w:t>
            </w:r>
            <w:r w:rsidRPr="009A4DCA">
              <w:rPr>
                <w:rFonts w:ascii="Arial Narrow" w:eastAsiaTheme="majorEastAsia" w:hAnsi="Arial Narrow" w:cstheme="majorBidi"/>
                <w:bCs/>
                <w:iCs/>
                <w:sz w:val="20"/>
                <w:szCs w:val="18"/>
                <w:vertAlign w:val="superscript"/>
                <w:lang w:eastAsia="en-US"/>
              </w:rPr>
              <w:footnoteReference w:id="18"/>
            </w:r>
            <w:r w:rsidRPr="009A4DCA">
              <w:rPr>
                <w:rFonts w:ascii="Arial Narrow" w:eastAsiaTheme="majorEastAsia" w:hAnsi="Arial Narrow" w:cstheme="majorBidi"/>
                <w:bCs/>
                <w:iCs/>
                <w:sz w:val="20"/>
                <w:szCs w:val="18"/>
                <w:lang w:eastAsia="en-US"/>
              </w:rPr>
              <w:t xml:space="preserve"> but this was not released until 24 July 2024, after the submission cut-off date. These estimates were not updated during the evaluation. </w:t>
            </w:r>
          </w:p>
        </w:tc>
      </w:tr>
      <w:tr w:rsidR="0060543D" w:rsidRPr="009A4DCA" w14:paraId="77651BF7" w14:textId="77777777" w:rsidTr="00973287">
        <w:tc>
          <w:tcPr>
            <w:tcW w:w="784" w:type="pct"/>
            <w:tcBorders>
              <w:top w:val="single" w:sz="4" w:space="0" w:color="auto"/>
              <w:bottom w:val="single" w:sz="4" w:space="0" w:color="auto"/>
            </w:tcBorders>
            <w:shd w:val="clear" w:color="auto" w:fill="auto"/>
          </w:tcPr>
          <w:p w14:paraId="02F48B4B" w14:textId="77777777" w:rsidR="0060543D" w:rsidRPr="009A4DCA" w:rsidRDefault="0060543D" w:rsidP="00E76F4F">
            <w:pPr>
              <w:pStyle w:val="TableText0"/>
            </w:pPr>
            <w:r w:rsidRPr="009A4DCA">
              <w:t>Adults with at least one identified risk factor aged 60 to 74 years</w:t>
            </w:r>
          </w:p>
        </w:tc>
        <w:tc>
          <w:tcPr>
            <w:tcW w:w="2043" w:type="pct"/>
            <w:tcBorders>
              <w:bottom w:val="nil"/>
            </w:tcBorders>
            <w:shd w:val="clear" w:color="auto" w:fill="auto"/>
          </w:tcPr>
          <w:p w14:paraId="7A907C15" w14:textId="77777777" w:rsidR="0060543D" w:rsidRPr="009A4DCA" w:rsidRDefault="0060543D" w:rsidP="00C6762E">
            <w:pPr>
              <w:pStyle w:val="Tabletext"/>
              <w:numPr>
                <w:ilvl w:val="0"/>
                <w:numId w:val="15"/>
              </w:numPr>
              <w:ind w:left="382" w:hanging="294"/>
            </w:pPr>
            <w:r w:rsidRPr="009A4DCA">
              <w:t>Proportion of adults with at least one identified risk factor aged 60 - 74 years; ABS, Customised report, 2024 (Attachment 1 of the submission)</w:t>
            </w:r>
          </w:p>
          <w:p w14:paraId="13F5288C" w14:textId="77777777" w:rsidR="0060543D" w:rsidRPr="009A4DCA" w:rsidRDefault="0060543D" w:rsidP="00C6762E">
            <w:pPr>
              <w:pStyle w:val="Tabletext"/>
              <w:numPr>
                <w:ilvl w:val="0"/>
                <w:numId w:val="15"/>
              </w:numPr>
              <w:ind w:left="382" w:hanging="294"/>
            </w:pPr>
            <w:r w:rsidRPr="009A4DCA">
              <w:t>ABS 3222.0 - Population Projections, Australia, 2012 (base) to 2030 Series B</w:t>
            </w:r>
          </w:p>
        </w:tc>
        <w:tc>
          <w:tcPr>
            <w:tcW w:w="2173" w:type="pct"/>
            <w:tcBorders>
              <w:bottom w:val="nil"/>
            </w:tcBorders>
            <w:shd w:val="clear" w:color="auto" w:fill="auto"/>
          </w:tcPr>
          <w:p w14:paraId="3F213117" w14:textId="227B77FF" w:rsidR="0060543D" w:rsidRPr="009A4DCA" w:rsidRDefault="0060543D" w:rsidP="00E76F4F">
            <w:pPr>
              <w:pStyle w:val="TableText0"/>
            </w:pPr>
            <w:r w:rsidRPr="009A4DCA">
              <w:t xml:space="preserve">Source is reasonable. The customised report did not include persons with obesity, which has recently been listed as medical risk factor for severe RSV , and the submission did not justify exclusion for this condition. Sensitivity analyses were conducted by the submission using alternative estimates: 25% and 50%. </w:t>
            </w:r>
          </w:p>
        </w:tc>
      </w:tr>
      <w:tr w:rsidR="0060543D" w:rsidRPr="009A4DCA" w14:paraId="6ED7809B" w14:textId="77777777" w:rsidTr="00973287">
        <w:tc>
          <w:tcPr>
            <w:tcW w:w="784" w:type="pct"/>
            <w:tcBorders>
              <w:bottom w:val="single" w:sz="4" w:space="0" w:color="auto"/>
            </w:tcBorders>
            <w:shd w:val="clear" w:color="auto" w:fill="auto"/>
          </w:tcPr>
          <w:p w14:paraId="5ECE45CB" w14:textId="77777777" w:rsidR="0060543D" w:rsidRPr="009A4DCA" w:rsidRDefault="0060543D" w:rsidP="00E76F4F">
            <w:pPr>
              <w:pStyle w:val="TableText0"/>
            </w:pPr>
            <w:r w:rsidRPr="009A4DCA">
              <w:t>Uptake rate</w:t>
            </w:r>
          </w:p>
        </w:tc>
        <w:tc>
          <w:tcPr>
            <w:tcW w:w="2043" w:type="pct"/>
            <w:tcBorders>
              <w:bottom w:val="single" w:sz="4" w:space="0" w:color="auto"/>
            </w:tcBorders>
            <w:shd w:val="clear" w:color="auto" w:fill="auto"/>
          </w:tcPr>
          <w:p w14:paraId="2A58754F" w14:textId="54754E1C" w:rsidR="0060543D" w:rsidRPr="00B75245" w:rsidRDefault="0060543D" w:rsidP="00C6762E">
            <w:pPr>
              <w:pStyle w:val="Tabletext"/>
              <w:numPr>
                <w:ilvl w:val="0"/>
                <w:numId w:val="15"/>
              </w:numPr>
              <w:ind w:left="382" w:hanging="294"/>
            </w:pPr>
            <w:r w:rsidRPr="00B75245">
              <w:t xml:space="preserve">Adults aged ≥ 75 years: </w:t>
            </w:r>
            <w:r w:rsidR="00E44A34" w:rsidRPr="00E44A34">
              <w:rPr>
                <w:color w:val="000000"/>
                <w:spacing w:val="154"/>
                <w:shd w:val="solid" w:color="000000" w:fill="000000"/>
                <w:fitText w:val="240" w:id="-762047230"/>
                <w14:textFill>
                  <w14:solidFill>
                    <w14:srgbClr w14:val="000000">
                      <w14:alpha w14:val="100000"/>
                    </w14:srgbClr>
                  </w14:solidFill>
                </w14:textFill>
              </w:rPr>
              <w:t>|</w:t>
            </w:r>
            <w:r w:rsidR="00E44A34" w:rsidRPr="00E44A34">
              <w:rPr>
                <w:color w:val="000000"/>
                <w:spacing w:val="1"/>
                <w:shd w:val="solid" w:color="000000" w:fill="000000"/>
                <w:fitText w:val="240" w:id="-762047230"/>
                <w14:textFill>
                  <w14:solidFill>
                    <w14:srgbClr w14:val="000000">
                      <w14:alpha w14:val="100000"/>
                    </w14:srgbClr>
                  </w14:solidFill>
                </w14:textFill>
              </w:rPr>
              <w:t>|</w:t>
            </w:r>
            <w:r w:rsidRPr="00B75245">
              <w:t xml:space="preserve">% in Year 1 increasing to </w:t>
            </w:r>
            <w:r w:rsidR="00E44A34" w:rsidRPr="00E44A34">
              <w:rPr>
                <w:color w:val="000000"/>
                <w:shd w:val="solid" w:color="000000" w:fill="000000"/>
                <w14:textFill>
                  <w14:solidFill>
                    <w14:srgbClr w14:val="000000">
                      <w14:alpha w14:val="100000"/>
                    </w14:srgbClr>
                  </w14:solidFill>
                </w14:textFill>
              </w:rPr>
              <w:t>|</w:t>
            </w:r>
            <w:r w:rsidRPr="00B75245">
              <w:t xml:space="preserve">% in Year 3. </w:t>
            </w:r>
          </w:p>
          <w:p w14:paraId="1E991525" w14:textId="24AD83BF" w:rsidR="0060543D" w:rsidRPr="009A4DCA" w:rsidRDefault="0060543D" w:rsidP="00C6762E">
            <w:pPr>
              <w:pStyle w:val="Tabletext"/>
              <w:numPr>
                <w:ilvl w:val="0"/>
                <w:numId w:val="15"/>
              </w:numPr>
              <w:ind w:left="382" w:hanging="294"/>
            </w:pPr>
            <w:r w:rsidRPr="009A4DCA">
              <w:t xml:space="preserve">Aboriginal and Torres Strait Islander peoples aged 60 years, and Adults at high-risk aged 60 years: </w:t>
            </w:r>
            <w:r w:rsidR="00E44A34" w:rsidRPr="00E44A34">
              <w:rPr>
                <w:color w:val="000000"/>
                <w:shd w:val="solid" w:color="000000" w:fill="000000"/>
                <w14:textFill>
                  <w14:solidFill>
                    <w14:srgbClr w14:val="000000">
                      <w14:alpha w14:val="100000"/>
                    </w14:srgbClr>
                  </w14:solidFill>
                </w14:textFill>
              </w:rPr>
              <w:t>|</w:t>
            </w:r>
            <w:r w:rsidRPr="00301827">
              <w:t xml:space="preserve">% in Year 1 increasing to </w:t>
            </w:r>
            <w:r w:rsidR="00E44A34" w:rsidRPr="00E44A34">
              <w:rPr>
                <w:color w:val="000000"/>
                <w:shd w:val="solid" w:color="000000" w:fill="000000"/>
                <w14:textFill>
                  <w14:solidFill>
                    <w14:srgbClr w14:val="000000">
                      <w14:alpha w14:val="100000"/>
                    </w14:srgbClr>
                  </w14:solidFill>
                </w14:textFill>
              </w:rPr>
              <w:t>|</w:t>
            </w:r>
            <w:r w:rsidRPr="00301827">
              <w:t xml:space="preserve">% </w:t>
            </w:r>
            <w:r w:rsidRPr="009A4DCA">
              <w:t xml:space="preserve">in Year 3. </w:t>
            </w:r>
          </w:p>
          <w:p w14:paraId="71CCDDD1" w14:textId="77777777" w:rsidR="0060543D" w:rsidRPr="009A4DCA" w:rsidRDefault="0060543D" w:rsidP="00E76F4F">
            <w:pPr>
              <w:pStyle w:val="TableText0"/>
            </w:pPr>
            <w:r w:rsidRPr="009A4DCA">
              <w:t xml:space="preserve">Based on </w:t>
            </w:r>
          </w:p>
          <w:p w14:paraId="5B668FAA" w14:textId="77777777" w:rsidR="0060543D" w:rsidRPr="009A4DCA" w:rsidRDefault="0060543D" w:rsidP="00C6762E">
            <w:pPr>
              <w:pStyle w:val="Tabletext"/>
              <w:numPr>
                <w:ilvl w:val="0"/>
                <w:numId w:val="15"/>
              </w:numPr>
              <w:ind w:left="382" w:hanging="294"/>
            </w:pPr>
            <w:r w:rsidRPr="009A4DCA">
              <w:t xml:space="preserve">Uptake based on uptake for influenza vaccine, NCIRS, 2021/2022. </w:t>
            </w:r>
          </w:p>
          <w:p w14:paraId="08A2469A" w14:textId="77777777" w:rsidR="0060543D" w:rsidRPr="009A4DCA" w:rsidRDefault="0060543D" w:rsidP="00C6762E">
            <w:pPr>
              <w:pStyle w:val="Tabletext"/>
              <w:numPr>
                <w:ilvl w:val="0"/>
                <w:numId w:val="15"/>
              </w:numPr>
              <w:ind w:left="382" w:hanging="294"/>
            </w:pPr>
            <w:r w:rsidRPr="009A4DCA">
              <w:t>ATAGI Pre-Submission Advice to PBAC, December 2023 (p54).</w:t>
            </w:r>
          </w:p>
        </w:tc>
        <w:tc>
          <w:tcPr>
            <w:tcW w:w="2173" w:type="pct"/>
            <w:tcBorders>
              <w:bottom w:val="single" w:sz="4" w:space="0" w:color="auto"/>
            </w:tcBorders>
            <w:shd w:val="clear" w:color="auto" w:fill="auto"/>
          </w:tcPr>
          <w:p w14:paraId="1483F001" w14:textId="368AEDB0" w:rsidR="0060543D" w:rsidRPr="009A4DCA" w:rsidRDefault="0060543D" w:rsidP="00E76F4F">
            <w:pPr>
              <w:pStyle w:val="TableText0"/>
            </w:pPr>
            <w:r w:rsidRPr="009A4DCA">
              <w:t>These uptake rates were applied to persons that would be eligible for RSVpreF turning 75 years or 60 years old each year.</w:t>
            </w:r>
            <w:r w:rsidR="001E5FB4" w:rsidRPr="009A4DCA">
              <w:t xml:space="preserve"> The same uptake rate is applied to prevalent and incident populations in Year 1.</w:t>
            </w:r>
          </w:p>
          <w:p w14:paraId="249B2497" w14:textId="0FF96FA9" w:rsidR="0060543D" w:rsidRPr="009A4DCA" w:rsidRDefault="0060543D" w:rsidP="00E76F4F">
            <w:pPr>
              <w:pStyle w:val="TableText0"/>
            </w:pPr>
          </w:p>
        </w:tc>
      </w:tr>
      <w:tr w:rsidR="0060543D" w:rsidRPr="009A4DCA" w14:paraId="36681694" w14:textId="77777777" w:rsidTr="00973287">
        <w:tc>
          <w:tcPr>
            <w:tcW w:w="784" w:type="pct"/>
            <w:tcBorders>
              <w:right w:val="nil"/>
            </w:tcBorders>
            <w:shd w:val="clear" w:color="auto" w:fill="auto"/>
          </w:tcPr>
          <w:p w14:paraId="5C6DACA6" w14:textId="77777777" w:rsidR="0060543D" w:rsidRPr="009A4DCA" w:rsidRDefault="0060543D" w:rsidP="00E76F4F">
            <w:pPr>
              <w:pStyle w:val="TableText0"/>
            </w:pPr>
            <w:r w:rsidRPr="009A4DCA">
              <w:t>Costs</w:t>
            </w:r>
          </w:p>
        </w:tc>
        <w:tc>
          <w:tcPr>
            <w:tcW w:w="2043" w:type="pct"/>
            <w:tcBorders>
              <w:left w:val="nil"/>
              <w:right w:val="nil"/>
            </w:tcBorders>
            <w:shd w:val="clear" w:color="auto" w:fill="auto"/>
          </w:tcPr>
          <w:p w14:paraId="76853D55" w14:textId="77777777" w:rsidR="0060543D" w:rsidRPr="009A4DCA" w:rsidRDefault="0060543D" w:rsidP="00E76F4F">
            <w:pPr>
              <w:pStyle w:val="TableText0"/>
            </w:pPr>
          </w:p>
        </w:tc>
        <w:tc>
          <w:tcPr>
            <w:tcW w:w="2173" w:type="pct"/>
            <w:tcBorders>
              <w:left w:val="nil"/>
            </w:tcBorders>
            <w:shd w:val="clear" w:color="auto" w:fill="auto"/>
          </w:tcPr>
          <w:p w14:paraId="708EEEB2" w14:textId="77777777" w:rsidR="0060543D" w:rsidRPr="009A4DCA" w:rsidRDefault="0060543D" w:rsidP="00E76F4F">
            <w:pPr>
              <w:pStyle w:val="TableText0"/>
            </w:pPr>
          </w:p>
        </w:tc>
      </w:tr>
      <w:tr w:rsidR="0060543D" w:rsidRPr="009A4DCA" w14:paraId="50626FA0" w14:textId="77777777" w:rsidTr="00973287">
        <w:tc>
          <w:tcPr>
            <w:tcW w:w="784" w:type="pct"/>
            <w:shd w:val="clear" w:color="auto" w:fill="auto"/>
          </w:tcPr>
          <w:p w14:paraId="5237059B" w14:textId="77777777" w:rsidR="0060543D" w:rsidRPr="009A4DCA" w:rsidRDefault="0060543D" w:rsidP="00E76F4F">
            <w:pPr>
              <w:pStyle w:val="TableText0"/>
            </w:pPr>
            <w:r w:rsidRPr="009A4DCA">
              <w:t>RSVpreF Dose</w:t>
            </w:r>
          </w:p>
        </w:tc>
        <w:tc>
          <w:tcPr>
            <w:tcW w:w="2043" w:type="pct"/>
            <w:shd w:val="clear" w:color="auto" w:fill="auto"/>
          </w:tcPr>
          <w:p w14:paraId="23DEDCFC" w14:textId="77777777" w:rsidR="0060543D" w:rsidRPr="009A4DCA" w:rsidRDefault="0060543D" w:rsidP="00E76F4F">
            <w:pPr>
              <w:pStyle w:val="TableText0"/>
            </w:pPr>
            <w:r w:rsidRPr="009A4DCA">
              <w:t>Single dose of RSVpreF</w:t>
            </w:r>
          </w:p>
        </w:tc>
        <w:tc>
          <w:tcPr>
            <w:tcW w:w="2173" w:type="pct"/>
            <w:shd w:val="clear" w:color="auto" w:fill="auto"/>
          </w:tcPr>
          <w:p w14:paraId="37D06293" w14:textId="49F36E8F" w:rsidR="0060543D" w:rsidRPr="009A4DCA" w:rsidRDefault="0060543D" w:rsidP="00E76F4F">
            <w:pPr>
              <w:pStyle w:val="TableText0"/>
            </w:pPr>
            <w:r w:rsidRPr="009A4DCA">
              <w:t xml:space="preserve">This is consistent with the requested listing and the economic evaluation. </w:t>
            </w:r>
          </w:p>
        </w:tc>
      </w:tr>
      <w:tr w:rsidR="0060543D" w:rsidRPr="009A4DCA" w14:paraId="79D1B9C3" w14:textId="77777777" w:rsidTr="00973287">
        <w:tc>
          <w:tcPr>
            <w:tcW w:w="784" w:type="pct"/>
            <w:shd w:val="clear" w:color="auto" w:fill="auto"/>
          </w:tcPr>
          <w:p w14:paraId="6B613F3D" w14:textId="77777777" w:rsidR="0060543D" w:rsidRPr="009A4DCA" w:rsidRDefault="0060543D" w:rsidP="00E76F4F">
            <w:pPr>
              <w:pStyle w:val="TableText0"/>
            </w:pPr>
            <w:r w:rsidRPr="009A4DCA">
              <w:t xml:space="preserve">MBS item number 3, GP consultation (Level A) </w:t>
            </w:r>
          </w:p>
        </w:tc>
        <w:tc>
          <w:tcPr>
            <w:tcW w:w="2043" w:type="pct"/>
            <w:shd w:val="clear" w:color="auto" w:fill="auto"/>
          </w:tcPr>
          <w:p w14:paraId="0CC3F981" w14:textId="77777777" w:rsidR="0060543D" w:rsidRPr="009A4DCA" w:rsidRDefault="0060543D" w:rsidP="00E76F4F">
            <w:pPr>
              <w:pStyle w:val="TableText0"/>
            </w:pPr>
            <w:r w:rsidRPr="009A4DCA">
              <w:t>Marginal administration costs: $7</w:t>
            </w:r>
          </w:p>
          <w:p w14:paraId="55478488" w14:textId="77777777" w:rsidR="0060543D" w:rsidRPr="009A4DCA" w:rsidRDefault="0060543D" w:rsidP="00E76F4F">
            <w:pPr>
              <w:pStyle w:val="TableText0"/>
            </w:pPr>
            <w:r w:rsidRPr="009A4DCA">
              <w:t xml:space="preserve">GP consultation (Level A) MBS item number 3, benefit 100%, fee $19.60. </w:t>
            </w:r>
          </w:p>
          <w:p w14:paraId="33B437DD" w14:textId="77777777" w:rsidR="0060543D" w:rsidRPr="009A4DCA" w:rsidRDefault="0060543D" w:rsidP="00E76F4F">
            <w:pPr>
              <w:pStyle w:val="TableText0"/>
            </w:pPr>
            <w:r w:rsidRPr="009A4DCA">
              <w:t>Submission assumed cost is approx. 0.36 (=$7/$19.60) of a level A consultation per person.</w:t>
            </w:r>
          </w:p>
        </w:tc>
        <w:tc>
          <w:tcPr>
            <w:tcW w:w="2173" w:type="pct"/>
            <w:shd w:val="clear" w:color="auto" w:fill="auto"/>
          </w:tcPr>
          <w:p w14:paraId="23CFE6B0" w14:textId="229C68A9" w:rsidR="0060543D" w:rsidRPr="009A4DCA" w:rsidRDefault="0060543D" w:rsidP="00E76F4F">
            <w:pPr>
              <w:pStyle w:val="TableText0"/>
            </w:pPr>
            <w:r w:rsidRPr="009A4DCA">
              <w:t xml:space="preserve">This cost was proposed as a marginal administration cost. This assumption is consistent with the economic modelling. </w:t>
            </w:r>
          </w:p>
        </w:tc>
      </w:tr>
    </w:tbl>
    <w:p w14:paraId="7DD06725" w14:textId="77777777" w:rsidR="00C764F4" w:rsidRPr="009A4DCA" w:rsidRDefault="00C764F4" w:rsidP="00C764F4">
      <w:pPr>
        <w:pStyle w:val="FooterTableFigure"/>
      </w:pPr>
      <w:r w:rsidRPr="009A4DCA">
        <w:t xml:space="preserve">Source: Table 4.1.1 p137, Table 4.2.3 p140, p147 of the submission; Workbook provided by the submission UCM-Release-3-Workbook-RSV OA_ABRYSVO_July 2024.xlsx . </w:t>
      </w:r>
    </w:p>
    <w:p w14:paraId="2FA2E484" w14:textId="34148EC5" w:rsidR="00C764F4" w:rsidRPr="009A4DCA" w:rsidRDefault="00C764F4" w:rsidP="006F066B">
      <w:pPr>
        <w:pStyle w:val="FooterTableFigure"/>
      </w:pPr>
      <w:r w:rsidRPr="009A4DCA">
        <w:t xml:space="preserve">ABS=Australian Bureau of Statistics; ATAGI=Australian Technical Advisory Group on Immunisation; GP = general practitioner; MBS=Medical Benefits Schedule; </w:t>
      </w:r>
      <w:r w:rsidRPr="009A4DCA">
        <w:rPr>
          <w:rFonts w:eastAsiaTheme="majorEastAsia"/>
        </w:rPr>
        <w:t>NCIRS = National Centre for Immunisation Research and Surveillance;</w:t>
      </w:r>
      <w:r w:rsidRPr="009A4DCA">
        <w:t xml:space="preserve"> NIP=National Immunisation Program; PBAC=Pharmaceutical Benefit Advisory Committee; PBS=Pharmaceutical Benefits Scheme; RSV = respiratory syncytial virus</w:t>
      </w:r>
      <w:r w:rsidR="007F1E1D" w:rsidRPr="009A4DCA">
        <w:t xml:space="preserve">; RSVpreF = recombinant </w:t>
      </w:r>
      <w:r w:rsidR="007F1E1D" w:rsidRPr="009A4DCA">
        <w:rPr>
          <w:iCs/>
        </w:rPr>
        <w:t>RSV prefusion F protein vaccine; y = years</w:t>
      </w:r>
      <w:r w:rsidRPr="009A4DCA">
        <w:t xml:space="preserve">. </w:t>
      </w:r>
    </w:p>
    <w:p w14:paraId="6DD044CE" w14:textId="20628DE0" w:rsidR="00C764F4" w:rsidRPr="009A4DCA" w:rsidRDefault="00C764F4" w:rsidP="00336554">
      <w:pPr>
        <w:pStyle w:val="3-BodyText"/>
        <w:numPr>
          <w:ilvl w:val="1"/>
          <w:numId w:val="1"/>
        </w:numPr>
      </w:pPr>
      <w:r w:rsidRPr="009A4DCA">
        <w:lastRenderedPageBreak/>
        <w:t xml:space="preserve">The derivation of the vaccinated population and the net financial implications to the NIP and MBS are presented in </w:t>
      </w:r>
      <w:r w:rsidRPr="009A4DCA">
        <w:fldChar w:fldCharType="begin"/>
      </w:r>
      <w:r w:rsidRPr="009A4DCA">
        <w:instrText xml:space="preserve"> REF _Ref104805295 \h </w:instrText>
      </w:r>
      <w:r w:rsidRPr="009A4DCA">
        <w:fldChar w:fldCharType="separate"/>
      </w:r>
      <w:r w:rsidR="007B2F50" w:rsidRPr="009A4DCA">
        <w:t xml:space="preserve">Table </w:t>
      </w:r>
      <w:r w:rsidR="007B2F50">
        <w:rPr>
          <w:noProof/>
        </w:rPr>
        <w:t>22</w:t>
      </w:r>
      <w:r w:rsidRPr="009A4DCA">
        <w:fldChar w:fldCharType="end"/>
      </w:r>
      <w:r w:rsidRPr="009A4DCA">
        <w:t>.</w:t>
      </w:r>
    </w:p>
    <w:p w14:paraId="1269E6D4" w14:textId="53057C71" w:rsidR="00C764F4" w:rsidRPr="009A4DCA" w:rsidRDefault="00C764F4" w:rsidP="00BE2884">
      <w:pPr>
        <w:pStyle w:val="Caption"/>
      </w:pPr>
      <w:bookmarkStart w:id="89" w:name="_Ref104805295"/>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22</w:t>
      </w:r>
      <w:r w:rsidR="00491347">
        <w:fldChar w:fldCharType="end"/>
      </w:r>
      <w:bookmarkEnd w:id="89"/>
      <w:r w:rsidRPr="009A4DCA">
        <w:t>:</w:t>
      </w:r>
      <w:r w:rsidRPr="009A4DCA">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2"/>
        <w:gridCol w:w="1243"/>
        <w:gridCol w:w="1102"/>
        <w:gridCol w:w="1102"/>
        <w:gridCol w:w="1102"/>
        <w:gridCol w:w="1102"/>
        <w:gridCol w:w="1104"/>
      </w:tblGrid>
      <w:tr w:rsidR="00C764F4" w:rsidRPr="009A4DCA" w14:paraId="5B5B9A6C" w14:textId="77777777" w:rsidTr="007B2D29">
        <w:trPr>
          <w:tblHeader/>
        </w:trPr>
        <w:tc>
          <w:tcPr>
            <w:tcW w:w="1255" w:type="pct"/>
            <w:shd w:val="clear" w:color="auto" w:fill="auto"/>
            <w:vAlign w:val="center"/>
          </w:tcPr>
          <w:p w14:paraId="03C9055F" w14:textId="77777777" w:rsidR="00C764F4" w:rsidRPr="009A4DCA" w:rsidRDefault="00C764F4" w:rsidP="001B654C">
            <w:pPr>
              <w:pStyle w:val="In-tableHeading"/>
              <w:rPr>
                <w:lang w:val="en-AU"/>
              </w:rPr>
            </w:pPr>
          </w:p>
        </w:tc>
        <w:tc>
          <w:tcPr>
            <w:tcW w:w="689" w:type="pct"/>
            <w:shd w:val="clear" w:color="auto" w:fill="auto"/>
            <w:vAlign w:val="center"/>
          </w:tcPr>
          <w:p w14:paraId="51DFC362" w14:textId="77777777" w:rsidR="00C764F4" w:rsidRPr="009A4DCA" w:rsidRDefault="00C764F4" w:rsidP="00D820BD">
            <w:pPr>
              <w:pStyle w:val="Tabletext"/>
              <w:keepNext/>
              <w:keepLines/>
              <w:jc w:val="center"/>
              <w:rPr>
                <w:b/>
                <w:szCs w:val="18"/>
              </w:rPr>
            </w:pPr>
            <w:r w:rsidRPr="009A4DCA">
              <w:rPr>
                <w:b/>
                <w:szCs w:val="18"/>
              </w:rPr>
              <w:t>Year 1</w:t>
            </w:r>
          </w:p>
          <w:p w14:paraId="10577772" w14:textId="77777777" w:rsidR="00C764F4" w:rsidRPr="009A4DCA" w:rsidRDefault="00C764F4" w:rsidP="00D820BD">
            <w:pPr>
              <w:pStyle w:val="In-tableHeading"/>
              <w:jc w:val="center"/>
              <w:rPr>
                <w:lang w:val="en-AU"/>
              </w:rPr>
            </w:pPr>
            <w:r w:rsidRPr="009A4DCA">
              <w:rPr>
                <w:lang w:val="en-AU"/>
              </w:rPr>
              <w:t>2025</w:t>
            </w:r>
          </w:p>
        </w:tc>
        <w:tc>
          <w:tcPr>
            <w:tcW w:w="611" w:type="pct"/>
            <w:shd w:val="clear" w:color="auto" w:fill="auto"/>
            <w:vAlign w:val="center"/>
          </w:tcPr>
          <w:p w14:paraId="068E1906" w14:textId="77777777" w:rsidR="00C764F4" w:rsidRPr="009A4DCA" w:rsidRDefault="00C764F4" w:rsidP="00D820BD">
            <w:pPr>
              <w:pStyle w:val="Tabletext"/>
              <w:keepNext/>
              <w:keepLines/>
              <w:jc w:val="center"/>
              <w:rPr>
                <w:b/>
                <w:szCs w:val="18"/>
              </w:rPr>
            </w:pPr>
            <w:r w:rsidRPr="009A4DCA">
              <w:rPr>
                <w:b/>
                <w:szCs w:val="18"/>
              </w:rPr>
              <w:t>Year 2</w:t>
            </w:r>
          </w:p>
          <w:p w14:paraId="1462AF08" w14:textId="77777777" w:rsidR="00C764F4" w:rsidRPr="009A4DCA" w:rsidRDefault="00C764F4" w:rsidP="00D820BD">
            <w:pPr>
              <w:pStyle w:val="In-tableHeading"/>
              <w:jc w:val="center"/>
              <w:rPr>
                <w:lang w:val="en-AU"/>
              </w:rPr>
            </w:pPr>
            <w:r w:rsidRPr="009A4DCA">
              <w:rPr>
                <w:lang w:val="en-AU"/>
              </w:rPr>
              <w:t>2026</w:t>
            </w:r>
          </w:p>
        </w:tc>
        <w:tc>
          <w:tcPr>
            <w:tcW w:w="611" w:type="pct"/>
            <w:shd w:val="clear" w:color="auto" w:fill="auto"/>
            <w:vAlign w:val="center"/>
          </w:tcPr>
          <w:p w14:paraId="28E1940F" w14:textId="77777777" w:rsidR="00C764F4" w:rsidRPr="009A4DCA" w:rsidRDefault="00C764F4" w:rsidP="00D820BD">
            <w:pPr>
              <w:pStyle w:val="Tabletext"/>
              <w:keepNext/>
              <w:keepLines/>
              <w:jc w:val="center"/>
              <w:rPr>
                <w:b/>
                <w:szCs w:val="18"/>
              </w:rPr>
            </w:pPr>
            <w:r w:rsidRPr="009A4DCA">
              <w:rPr>
                <w:b/>
                <w:szCs w:val="18"/>
              </w:rPr>
              <w:t>Year 3</w:t>
            </w:r>
          </w:p>
          <w:p w14:paraId="70F9C83B" w14:textId="77777777" w:rsidR="00C764F4" w:rsidRPr="009A4DCA" w:rsidRDefault="00C764F4" w:rsidP="00D820BD">
            <w:pPr>
              <w:pStyle w:val="In-tableHeading"/>
              <w:jc w:val="center"/>
              <w:rPr>
                <w:lang w:val="en-AU"/>
              </w:rPr>
            </w:pPr>
            <w:r w:rsidRPr="009A4DCA">
              <w:rPr>
                <w:lang w:val="en-AU"/>
              </w:rPr>
              <w:t>2027</w:t>
            </w:r>
          </w:p>
        </w:tc>
        <w:tc>
          <w:tcPr>
            <w:tcW w:w="611" w:type="pct"/>
            <w:shd w:val="clear" w:color="auto" w:fill="auto"/>
            <w:vAlign w:val="center"/>
          </w:tcPr>
          <w:p w14:paraId="398375E5" w14:textId="77777777" w:rsidR="00C764F4" w:rsidRPr="009A4DCA" w:rsidRDefault="00C764F4" w:rsidP="00D820BD">
            <w:pPr>
              <w:pStyle w:val="Tabletext"/>
              <w:keepNext/>
              <w:keepLines/>
              <w:jc w:val="center"/>
              <w:rPr>
                <w:b/>
                <w:szCs w:val="18"/>
              </w:rPr>
            </w:pPr>
            <w:r w:rsidRPr="009A4DCA">
              <w:rPr>
                <w:b/>
                <w:szCs w:val="18"/>
              </w:rPr>
              <w:t>Year 4</w:t>
            </w:r>
          </w:p>
          <w:p w14:paraId="034EB2C7" w14:textId="77777777" w:rsidR="00C764F4" w:rsidRPr="009A4DCA" w:rsidRDefault="00C764F4" w:rsidP="00D820BD">
            <w:pPr>
              <w:pStyle w:val="In-tableHeading"/>
              <w:jc w:val="center"/>
              <w:rPr>
                <w:lang w:val="en-AU"/>
              </w:rPr>
            </w:pPr>
            <w:r w:rsidRPr="009A4DCA">
              <w:rPr>
                <w:lang w:val="en-AU"/>
              </w:rPr>
              <w:t>2028</w:t>
            </w:r>
          </w:p>
        </w:tc>
        <w:tc>
          <w:tcPr>
            <w:tcW w:w="611" w:type="pct"/>
            <w:shd w:val="clear" w:color="auto" w:fill="auto"/>
            <w:vAlign w:val="center"/>
          </w:tcPr>
          <w:p w14:paraId="7D2D34EF" w14:textId="77777777" w:rsidR="00C764F4" w:rsidRPr="009A4DCA" w:rsidRDefault="00C764F4" w:rsidP="00D820BD">
            <w:pPr>
              <w:pStyle w:val="Tabletext"/>
              <w:keepNext/>
              <w:keepLines/>
              <w:jc w:val="center"/>
              <w:rPr>
                <w:b/>
                <w:szCs w:val="18"/>
              </w:rPr>
            </w:pPr>
            <w:r w:rsidRPr="009A4DCA">
              <w:rPr>
                <w:b/>
                <w:szCs w:val="18"/>
              </w:rPr>
              <w:t>Year 5</w:t>
            </w:r>
          </w:p>
          <w:p w14:paraId="4A54C151" w14:textId="77777777" w:rsidR="00C764F4" w:rsidRPr="009A4DCA" w:rsidRDefault="00C764F4" w:rsidP="00D820BD">
            <w:pPr>
              <w:pStyle w:val="In-tableHeading"/>
              <w:jc w:val="center"/>
              <w:rPr>
                <w:lang w:val="en-AU"/>
              </w:rPr>
            </w:pPr>
            <w:r w:rsidRPr="009A4DCA">
              <w:rPr>
                <w:lang w:val="en-AU"/>
              </w:rPr>
              <w:t>2029</w:t>
            </w:r>
          </w:p>
        </w:tc>
        <w:tc>
          <w:tcPr>
            <w:tcW w:w="612" w:type="pct"/>
            <w:vAlign w:val="center"/>
          </w:tcPr>
          <w:p w14:paraId="30892102" w14:textId="77777777" w:rsidR="00C764F4" w:rsidRPr="009A4DCA" w:rsidRDefault="00C764F4" w:rsidP="00D820BD">
            <w:pPr>
              <w:pStyle w:val="Tabletext"/>
              <w:keepNext/>
              <w:keepLines/>
              <w:jc w:val="center"/>
              <w:rPr>
                <w:b/>
                <w:szCs w:val="18"/>
              </w:rPr>
            </w:pPr>
            <w:r w:rsidRPr="009A4DCA">
              <w:rPr>
                <w:b/>
                <w:szCs w:val="18"/>
              </w:rPr>
              <w:t>Year 6</w:t>
            </w:r>
          </w:p>
          <w:p w14:paraId="17C428BD" w14:textId="77777777" w:rsidR="00C764F4" w:rsidRPr="009A4DCA" w:rsidRDefault="00C764F4" w:rsidP="00D820BD">
            <w:pPr>
              <w:pStyle w:val="In-tableHeading"/>
              <w:jc w:val="center"/>
              <w:rPr>
                <w:lang w:val="en-AU"/>
              </w:rPr>
            </w:pPr>
            <w:r w:rsidRPr="009A4DCA">
              <w:rPr>
                <w:lang w:val="en-AU"/>
              </w:rPr>
              <w:t>2030</w:t>
            </w:r>
          </w:p>
        </w:tc>
      </w:tr>
      <w:tr w:rsidR="00C764F4" w:rsidRPr="009A4DCA" w14:paraId="08DFD36D" w14:textId="77777777" w:rsidTr="00973287">
        <w:tc>
          <w:tcPr>
            <w:tcW w:w="5000" w:type="pct"/>
            <w:gridSpan w:val="7"/>
            <w:shd w:val="clear" w:color="auto" w:fill="auto"/>
            <w:vAlign w:val="center"/>
          </w:tcPr>
          <w:p w14:paraId="6440112D" w14:textId="77777777" w:rsidR="00C764F4" w:rsidRPr="009A4DCA" w:rsidRDefault="00C764F4" w:rsidP="00336554">
            <w:pPr>
              <w:pStyle w:val="TableHeading0"/>
            </w:pPr>
            <w:r w:rsidRPr="009A4DCA">
              <w:t>Estimated extent of use</w:t>
            </w:r>
          </w:p>
        </w:tc>
      </w:tr>
      <w:tr w:rsidR="00C764F4" w:rsidRPr="009A4DCA" w14:paraId="43C8D533" w14:textId="77777777" w:rsidTr="007B2D29">
        <w:tc>
          <w:tcPr>
            <w:tcW w:w="1255" w:type="pct"/>
            <w:shd w:val="clear" w:color="auto" w:fill="auto"/>
            <w:vAlign w:val="center"/>
          </w:tcPr>
          <w:p w14:paraId="0DBEBB8A" w14:textId="77777777" w:rsidR="00C764F4" w:rsidRPr="009A4DCA" w:rsidRDefault="00C764F4" w:rsidP="00E76F4F">
            <w:pPr>
              <w:pStyle w:val="TableText0"/>
              <w:rPr>
                <w:rFonts w:ascii="Times" w:hAnsi="Times"/>
                <w:i/>
              </w:rPr>
            </w:pPr>
            <w:r w:rsidRPr="009A4DCA">
              <w:t>Total people vaccinated</w:t>
            </w:r>
          </w:p>
        </w:tc>
        <w:tc>
          <w:tcPr>
            <w:tcW w:w="689" w:type="pct"/>
            <w:shd w:val="clear" w:color="auto" w:fill="auto"/>
            <w:vAlign w:val="center"/>
          </w:tcPr>
          <w:p w14:paraId="692D66C9" w14:textId="65535C1E" w:rsidR="00C764F4" w:rsidRPr="00530B80" w:rsidRDefault="00E44A34" w:rsidP="00E76F4F">
            <w:pPr>
              <w:pStyle w:val="TableText0"/>
              <w:rPr>
                <w:i/>
                <w:highlight w:val="darkGray"/>
                <w:vertAlign w:val="superscript"/>
              </w:rPr>
            </w:pPr>
            <w:r w:rsidRPr="00E44A34">
              <w:rPr>
                <w:color w:val="000000"/>
                <w:spacing w:val="54"/>
                <w:shd w:val="solid" w:color="000000" w:fill="000000"/>
                <w:fitText w:val="333" w:id="-762047229"/>
                <w14:textFill>
                  <w14:solidFill>
                    <w14:srgbClr w14:val="000000">
                      <w14:alpha w14:val="100000"/>
                    </w14:srgbClr>
                  </w14:solidFill>
                </w14:textFill>
              </w:rPr>
              <w:t>|||</w:t>
            </w:r>
            <w:r w:rsidRPr="00E44A34">
              <w:rPr>
                <w:color w:val="000000"/>
                <w:spacing w:val="1"/>
                <w:shd w:val="solid" w:color="000000" w:fill="000000"/>
                <w:fitText w:val="333" w:id="-762047229"/>
                <w14:textFill>
                  <w14:solidFill>
                    <w14:srgbClr w14:val="000000">
                      <w14:alpha w14:val="100000"/>
                    </w14:srgbClr>
                  </w14:solidFill>
                </w14:textFill>
              </w:rPr>
              <w:t>|</w:t>
            </w:r>
            <w:r w:rsidR="00530B80" w:rsidRPr="001118EA">
              <w:rPr>
                <w:vertAlign w:val="superscript"/>
              </w:rPr>
              <w:t>1</w:t>
            </w:r>
          </w:p>
        </w:tc>
        <w:tc>
          <w:tcPr>
            <w:tcW w:w="611" w:type="pct"/>
            <w:shd w:val="clear" w:color="auto" w:fill="auto"/>
            <w:vAlign w:val="center"/>
          </w:tcPr>
          <w:p w14:paraId="0DCD1C11" w14:textId="04D0B1EE" w:rsidR="00C764F4" w:rsidRPr="007E5702" w:rsidRDefault="00E44A34" w:rsidP="00E76F4F">
            <w:pPr>
              <w:pStyle w:val="TableText0"/>
              <w:rPr>
                <w:i/>
                <w:highlight w:val="darkGray"/>
              </w:rPr>
            </w:pPr>
            <w:r w:rsidRPr="00E44A34">
              <w:rPr>
                <w:color w:val="000000"/>
                <w:spacing w:val="54"/>
                <w:shd w:val="solid" w:color="000000" w:fill="000000"/>
                <w:fitText w:val="333" w:id="-762047228"/>
                <w14:textFill>
                  <w14:solidFill>
                    <w14:srgbClr w14:val="000000">
                      <w14:alpha w14:val="100000"/>
                    </w14:srgbClr>
                  </w14:solidFill>
                </w14:textFill>
              </w:rPr>
              <w:t>|||</w:t>
            </w:r>
            <w:r w:rsidRPr="00E44A34">
              <w:rPr>
                <w:color w:val="000000"/>
                <w:spacing w:val="1"/>
                <w:shd w:val="solid" w:color="000000" w:fill="000000"/>
                <w:fitText w:val="333" w:id="-762047228"/>
                <w14:textFill>
                  <w14:solidFill>
                    <w14:srgbClr w14:val="000000">
                      <w14:alpha w14:val="100000"/>
                    </w14:srgbClr>
                  </w14:solidFill>
                </w14:textFill>
              </w:rPr>
              <w:t>|</w:t>
            </w:r>
            <w:r w:rsidR="00530B80" w:rsidRPr="001118EA">
              <w:rPr>
                <w:vertAlign w:val="superscript"/>
              </w:rPr>
              <w:t>1</w:t>
            </w:r>
          </w:p>
        </w:tc>
        <w:tc>
          <w:tcPr>
            <w:tcW w:w="611" w:type="pct"/>
            <w:shd w:val="clear" w:color="auto" w:fill="auto"/>
            <w:vAlign w:val="center"/>
          </w:tcPr>
          <w:p w14:paraId="10BA72FF" w14:textId="6F313233" w:rsidR="00C764F4" w:rsidRPr="00530B80" w:rsidRDefault="00E44A34" w:rsidP="00E76F4F">
            <w:pPr>
              <w:pStyle w:val="TableText0"/>
              <w:rPr>
                <w:i/>
                <w:highlight w:val="darkGray"/>
                <w:vertAlign w:val="superscript"/>
              </w:rPr>
            </w:pPr>
            <w:r w:rsidRPr="00E44A34">
              <w:rPr>
                <w:color w:val="000000"/>
                <w:spacing w:val="54"/>
                <w:shd w:val="solid" w:color="000000" w:fill="000000"/>
                <w:fitText w:val="333" w:id="-762047227"/>
                <w14:textFill>
                  <w14:solidFill>
                    <w14:srgbClr w14:val="000000">
                      <w14:alpha w14:val="100000"/>
                    </w14:srgbClr>
                  </w14:solidFill>
                </w14:textFill>
              </w:rPr>
              <w:t>|||</w:t>
            </w:r>
            <w:r w:rsidRPr="00E44A34">
              <w:rPr>
                <w:color w:val="000000"/>
                <w:spacing w:val="1"/>
                <w:shd w:val="solid" w:color="000000" w:fill="000000"/>
                <w:fitText w:val="333" w:id="-762047227"/>
                <w14:textFill>
                  <w14:solidFill>
                    <w14:srgbClr w14:val="000000">
                      <w14:alpha w14:val="100000"/>
                    </w14:srgbClr>
                  </w14:solidFill>
                </w14:textFill>
              </w:rPr>
              <w:t>|</w:t>
            </w:r>
            <w:r w:rsidR="00530B80" w:rsidRPr="001118EA">
              <w:rPr>
                <w:vertAlign w:val="superscript"/>
              </w:rPr>
              <w:t>2</w:t>
            </w:r>
          </w:p>
        </w:tc>
        <w:tc>
          <w:tcPr>
            <w:tcW w:w="611" w:type="pct"/>
            <w:shd w:val="clear" w:color="auto" w:fill="auto"/>
            <w:vAlign w:val="center"/>
          </w:tcPr>
          <w:p w14:paraId="5BDA6AAA" w14:textId="10D99D58" w:rsidR="00C764F4" w:rsidRPr="004D7236" w:rsidRDefault="00E44A34" w:rsidP="00E76F4F">
            <w:pPr>
              <w:pStyle w:val="TableText0"/>
              <w:rPr>
                <w:i/>
                <w:highlight w:val="darkGray"/>
                <w:vertAlign w:val="superscript"/>
              </w:rPr>
            </w:pPr>
            <w:r w:rsidRPr="00E44A34">
              <w:rPr>
                <w:color w:val="000000"/>
                <w:spacing w:val="54"/>
                <w:shd w:val="solid" w:color="000000" w:fill="000000"/>
                <w:fitText w:val="334" w:id="-762047226"/>
                <w14:textFill>
                  <w14:solidFill>
                    <w14:srgbClr w14:val="000000">
                      <w14:alpha w14:val="100000"/>
                    </w14:srgbClr>
                  </w14:solidFill>
                </w14:textFill>
              </w:rPr>
              <w:t>|||</w:t>
            </w:r>
            <w:r w:rsidRPr="00E44A34">
              <w:rPr>
                <w:color w:val="000000"/>
                <w:spacing w:val="2"/>
                <w:shd w:val="solid" w:color="000000" w:fill="000000"/>
                <w:fitText w:val="334" w:id="-762047226"/>
                <w14:textFill>
                  <w14:solidFill>
                    <w14:srgbClr w14:val="000000">
                      <w14:alpha w14:val="100000"/>
                    </w14:srgbClr>
                  </w14:solidFill>
                </w14:textFill>
              </w:rPr>
              <w:t>|</w:t>
            </w:r>
            <w:r w:rsidR="004D7236" w:rsidRPr="001118EA">
              <w:rPr>
                <w:vertAlign w:val="superscript"/>
              </w:rPr>
              <w:t>3</w:t>
            </w:r>
          </w:p>
        </w:tc>
        <w:tc>
          <w:tcPr>
            <w:tcW w:w="611" w:type="pct"/>
            <w:shd w:val="clear" w:color="auto" w:fill="auto"/>
            <w:vAlign w:val="center"/>
          </w:tcPr>
          <w:p w14:paraId="653AE747" w14:textId="41157599" w:rsidR="00C764F4" w:rsidRPr="007E5702" w:rsidRDefault="00E44A34" w:rsidP="00E76F4F">
            <w:pPr>
              <w:pStyle w:val="TableText0"/>
              <w:rPr>
                <w:i/>
                <w:highlight w:val="darkGray"/>
              </w:rPr>
            </w:pPr>
            <w:r w:rsidRPr="00E44A34">
              <w:rPr>
                <w:color w:val="000000"/>
                <w:spacing w:val="54"/>
                <w:shd w:val="solid" w:color="000000" w:fill="000000"/>
                <w:fitText w:val="333" w:id="-762047225"/>
                <w14:textFill>
                  <w14:solidFill>
                    <w14:srgbClr w14:val="000000">
                      <w14:alpha w14:val="100000"/>
                    </w14:srgbClr>
                  </w14:solidFill>
                </w14:textFill>
              </w:rPr>
              <w:t>|||</w:t>
            </w:r>
            <w:r w:rsidRPr="00E44A34">
              <w:rPr>
                <w:color w:val="000000"/>
                <w:spacing w:val="1"/>
                <w:shd w:val="solid" w:color="000000" w:fill="000000"/>
                <w:fitText w:val="333" w:id="-762047225"/>
                <w14:textFill>
                  <w14:solidFill>
                    <w14:srgbClr w14:val="000000">
                      <w14:alpha w14:val="100000"/>
                    </w14:srgbClr>
                  </w14:solidFill>
                </w14:textFill>
              </w:rPr>
              <w:t>|</w:t>
            </w:r>
            <w:r w:rsidR="004D7236" w:rsidRPr="001118EA">
              <w:rPr>
                <w:vertAlign w:val="superscript"/>
              </w:rPr>
              <w:t>3</w:t>
            </w:r>
          </w:p>
        </w:tc>
        <w:tc>
          <w:tcPr>
            <w:tcW w:w="612" w:type="pct"/>
            <w:vAlign w:val="center"/>
          </w:tcPr>
          <w:p w14:paraId="1FC781BC" w14:textId="3A933645" w:rsidR="00C764F4" w:rsidRPr="007E5702" w:rsidRDefault="00E44A34" w:rsidP="00E76F4F">
            <w:pPr>
              <w:pStyle w:val="TableText0"/>
              <w:rPr>
                <w:i/>
                <w:highlight w:val="darkGray"/>
              </w:rPr>
            </w:pPr>
            <w:r w:rsidRPr="00E44A34">
              <w:rPr>
                <w:color w:val="000000"/>
                <w:spacing w:val="54"/>
                <w:shd w:val="solid" w:color="000000" w:fill="000000"/>
                <w:fitText w:val="334" w:id="-762047224"/>
                <w14:textFill>
                  <w14:solidFill>
                    <w14:srgbClr w14:val="000000">
                      <w14:alpha w14:val="100000"/>
                    </w14:srgbClr>
                  </w14:solidFill>
                </w14:textFill>
              </w:rPr>
              <w:t>|||</w:t>
            </w:r>
            <w:r w:rsidRPr="00E44A34">
              <w:rPr>
                <w:color w:val="000000"/>
                <w:spacing w:val="2"/>
                <w:shd w:val="solid" w:color="000000" w:fill="000000"/>
                <w:fitText w:val="334" w:id="-762047224"/>
                <w14:textFill>
                  <w14:solidFill>
                    <w14:srgbClr w14:val="000000">
                      <w14:alpha w14:val="100000"/>
                    </w14:srgbClr>
                  </w14:solidFill>
                </w14:textFill>
              </w:rPr>
              <w:t>|</w:t>
            </w:r>
            <w:r w:rsidR="004D7236" w:rsidRPr="001118EA">
              <w:rPr>
                <w:vertAlign w:val="superscript"/>
              </w:rPr>
              <w:t>3</w:t>
            </w:r>
          </w:p>
        </w:tc>
      </w:tr>
      <w:tr w:rsidR="00C764F4" w:rsidRPr="009A4DCA" w14:paraId="0FB32F31" w14:textId="77777777" w:rsidTr="007B2D29">
        <w:tc>
          <w:tcPr>
            <w:tcW w:w="1255" w:type="pct"/>
            <w:shd w:val="clear" w:color="auto" w:fill="auto"/>
            <w:vAlign w:val="center"/>
          </w:tcPr>
          <w:p w14:paraId="0AA7DF72" w14:textId="00F048A6" w:rsidR="00C764F4" w:rsidRPr="009A4DCA" w:rsidRDefault="00C764F4" w:rsidP="00E76F4F">
            <w:pPr>
              <w:pStyle w:val="TableText0"/>
              <w:rPr>
                <w:i/>
              </w:rPr>
            </w:pPr>
            <w:r w:rsidRPr="009A4DCA">
              <w:t>Adults ≥75 years</w:t>
            </w:r>
          </w:p>
        </w:tc>
        <w:tc>
          <w:tcPr>
            <w:tcW w:w="689" w:type="pct"/>
            <w:shd w:val="clear" w:color="auto" w:fill="auto"/>
            <w:vAlign w:val="center"/>
          </w:tcPr>
          <w:p w14:paraId="6533CAB0" w14:textId="4B45278A" w:rsidR="00C764F4" w:rsidRPr="00570539" w:rsidRDefault="00E44A34" w:rsidP="00E76F4F">
            <w:pPr>
              <w:pStyle w:val="TableText0"/>
              <w:rPr>
                <w:i/>
                <w:highlight w:val="darkGray"/>
                <w:vertAlign w:val="superscript"/>
              </w:rPr>
            </w:pPr>
            <w:r w:rsidRPr="00E44A34">
              <w:rPr>
                <w:color w:val="000000"/>
                <w:spacing w:val="54"/>
                <w:shd w:val="solid" w:color="000000" w:fill="000000"/>
                <w:fitText w:val="333" w:id="-762047223"/>
                <w14:textFill>
                  <w14:solidFill>
                    <w14:srgbClr w14:val="000000">
                      <w14:alpha w14:val="100000"/>
                    </w14:srgbClr>
                  </w14:solidFill>
                </w14:textFill>
              </w:rPr>
              <w:t>|||</w:t>
            </w:r>
            <w:r w:rsidRPr="00E44A34">
              <w:rPr>
                <w:color w:val="000000"/>
                <w:spacing w:val="1"/>
                <w:shd w:val="solid" w:color="000000" w:fill="000000"/>
                <w:fitText w:val="333" w:id="-762047223"/>
                <w14:textFill>
                  <w14:solidFill>
                    <w14:srgbClr w14:val="000000">
                      <w14:alpha w14:val="100000"/>
                    </w14:srgbClr>
                  </w14:solidFill>
                </w14:textFill>
              </w:rPr>
              <w:t>|</w:t>
            </w:r>
            <w:r w:rsidR="00570539" w:rsidRPr="001118EA">
              <w:rPr>
                <w:vertAlign w:val="superscript"/>
              </w:rPr>
              <w:t>4</w:t>
            </w:r>
          </w:p>
        </w:tc>
        <w:tc>
          <w:tcPr>
            <w:tcW w:w="611" w:type="pct"/>
            <w:shd w:val="clear" w:color="auto" w:fill="auto"/>
            <w:vAlign w:val="center"/>
          </w:tcPr>
          <w:p w14:paraId="0EF3BD93" w14:textId="04A41280" w:rsidR="00C764F4" w:rsidRPr="00120024" w:rsidRDefault="00E44A34" w:rsidP="00E76F4F">
            <w:pPr>
              <w:pStyle w:val="TableText0"/>
              <w:rPr>
                <w:i/>
                <w:highlight w:val="darkGray"/>
                <w:vertAlign w:val="superscript"/>
              </w:rPr>
            </w:pPr>
            <w:r w:rsidRPr="00E44A34">
              <w:rPr>
                <w:color w:val="000000"/>
                <w:spacing w:val="54"/>
                <w:shd w:val="solid" w:color="000000" w:fill="000000"/>
                <w:fitText w:val="333" w:id="-762047222"/>
                <w14:textFill>
                  <w14:solidFill>
                    <w14:srgbClr w14:val="000000">
                      <w14:alpha w14:val="100000"/>
                    </w14:srgbClr>
                  </w14:solidFill>
                </w14:textFill>
              </w:rPr>
              <w:t>|||</w:t>
            </w:r>
            <w:r w:rsidRPr="00E44A34">
              <w:rPr>
                <w:color w:val="000000"/>
                <w:spacing w:val="1"/>
                <w:shd w:val="solid" w:color="000000" w:fill="000000"/>
                <w:fitText w:val="333" w:id="-762047222"/>
                <w14:textFill>
                  <w14:solidFill>
                    <w14:srgbClr w14:val="000000">
                      <w14:alpha w14:val="100000"/>
                    </w14:srgbClr>
                  </w14:solidFill>
                </w14:textFill>
              </w:rPr>
              <w:t>|</w:t>
            </w:r>
            <w:r w:rsidR="00120024" w:rsidRPr="001118EA">
              <w:rPr>
                <w:vertAlign w:val="superscript"/>
              </w:rPr>
              <w:t>5</w:t>
            </w:r>
          </w:p>
        </w:tc>
        <w:tc>
          <w:tcPr>
            <w:tcW w:w="611" w:type="pct"/>
            <w:shd w:val="clear" w:color="auto" w:fill="auto"/>
            <w:vAlign w:val="center"/>
          </w:tcPr>
          <w:p w14:paraId="37BC58A4" w14:textId="40C6EC15" w:rsidR="00C764F4" w:rsidRPr="007E5702" w:rsidRDefault="00E44A34" w:rsidP="00E76F4F">
            <w:pPr>
              <w:pStyle w:val="TableText0"/>
              <w:rPr>
                <w:i/>
                <w:highlight w:val="darkGray"/>
              </w:rPr>
            </w:pPr>
            <w:r w:rsidRPr="00E44A34">
              <w:rPr>
                <w:color w:val="000000"/>
                <w:spacing w:val="54"/>
                <w:shd w:val="solid" w:color="000000" w:fill="000000"/>
                <w:fitText w:val="333" w:id="-762047221"/>
                <w14:textFill>
                  <w14:solidFill>
                    <w14:srgbClr w14:val="000000">
                      <w14:alpha w14:val="100000"/>
                    </w14:srgbClr>
                  </w14:solidFill>
                </w14:textFill>
              </w:rPr>
              <w:t>|||</w:t>
            </w:r>
            <w:r w:rsidRPr="00E44A34">
              <w:rPr>
                <w:color w:val="000000"/>
                <w:spacing w:val="1"/>
                <w:shd w:val="solid" w:color="000000" w:fill="000000"/>
                <w:fitText w:val="333" w:id="-762047221"/>
                <w14:textFill>
                  <w14:solidFill>
                    <w14:srgbClr w14:val="000000">
                      <w14:alpha w14:val="100000"/>
                    </w14:srgbClr>
                  </w14:solidFill>
                </w14:textFill>
              </w:rPr>
              <w:t>|</w:t>
            </w:r>
            <w:r w:rsidR="00570539" w:rsidRPr="001118EA">
              <w:rPr>
                <w:vertAlign w:val="superscript"/>
              </w:rPr>
              <w:t>4</w:t>
            </w:r>
          </w:p>
        </w:tc>
        <w:tc>
          <w:tcPr>
            <w:tcW w:w="611" w:type="pct"/>
            <w:shd w:val="clear" w:color="auto" w:fill="auto"/>
            <w:vAlign w:val="center"/>
          </w:tcPr>
          <w:p w14:paraId="4FA153CF" w14:textId="5988CBE7" w:rsidR="00C764F4" w:rsidRPr="00120024" w:rsidRDefault="00E44A34" w:rsidP="00E76F4F">
            <w:pPr>
              <w:pStyle w:val="TableText0"/>
              <w:rPr>
                <w:i/>
                <w:highlight w:val="darkGray"/>
                <w:vertAlign w:val="superscript"/>
              </w:rPr>
            </w:pPr>
            <w:r w:rsidRPr="00E44A34">
              <w:rPr>
                <w:color w:val="000000"/>
                <w:spacing w:val="54"/>
                <w:shd w:val="solid" w:color="000000" w:fill="000000"/>
                <w:fitText w:val="334" w:id="-762047220"/>
                <w14:textFill>
                  <w14:solidFill>
                    <w14:srgbClr w14:val="000000">
                      <w14:alpha w14:val="100000"/>
                    </w14:srgbClr>
                  </w14:solidFill>
                </w14:textFill>
              </w:rPr>
              <w:t>|||</w:t>
            </w:r>
            <w:r w:rsidRPr="00E44A34">
              <w:rPr>
                <w:color w:val="000000"/>
                <w:spacing w:val="2"/>
                <w:shd w:val="solid" w:color="000000" w:fill="000000"/>
                <w:fitText w:val="334" w:id="-762047220"/>
                <w14:textFill>
                  <w14:solidFill>
                    <w14:srgbClr w14:val="000000">
                      <w14:alpha w14:val="100000"/>
                    </w14:srgbClr>
                  </w14:solidFill>
                </w14:textFill>
              </w:rPr>
              <w:t>|</w:t>
            </w:r>
            <w:r w:rsidR="00120024" w:rsidRPr="001118EA">
              <w:rPr>
                <w:vertAlign w:val="superscript"/>
              </w:rPr>
              <w:t>6</w:t>
            </w:r>
          </w:p>
        </w:tc>
        <w:tc>
          <w:tcPr>
            <w:tcW w:w="611" w:type="pct"/>
            <w:shd w:val="clear" w:color="auto" w:fill="auto"/>
            <w:vAlign w:val="center"/>
          </w:tcPr>
          <w:p w14:paraId="7B1909EE" w14:textId="0000EC96" w:rsidR="00C764F4" w:rsidRPr="007E5702" w:rsidRDefault="00E44A34" w:rsidP="00E76F4F">
            <w:pPr>
              <w:pStyle w:val="TableText0"/>
              <w:rPr>
                <w:i/>
                <w:highlight w:val="darkGray"/>
              </w:rPr>
            </w:pPr>
            <w:r w:rsidRPr="00E44A34">
              <w:rPr>
                <w:color w:val="000000"/>
                <w:spacing w:val="54"/>
                <w:shd w:val="solid" w:color="000000" w:fill="000000"/>
                <w:fitText w:val="333" w:id="-762047219"/>
                <w14:textFill>
                  <w14:solidFill>
                    <w14:srgbClr w14:val="000000">
                      <w14:alpha w14:val="100000"/>
                    </w14:srgbClr>
                  </w14:solidFill>
                </w14:textFill>
              </w:rPr>
              <w:t>|||</w:t>
            </w:r>
            <w:r w:rsidRPr="00E44A34">
              <w:rPr>
                <w:color w:val="000000"/>
                <w:spacing w:val="1"/>
                <w:shd w:val="solid" w:color="000000" w:fill="000000"/>
                <w:fitText w:val="333" w:id="-762047219"/>
                <w14:textFill>
                  <w14:solidFill>
                    <w14:srgbClr w14:val="000000">
                      <w14:alpha w14:val="100000"/>
                    </w14:srgbClr>
                  </w14:solidFill>
                </w14:textFill>
              </w:rPr>
              <w:t>|</w:t>
            </w:r>
            <w:r w:rsidR="00120024" w:rsidRPr="001118EA">
              <w:rPr>
                <w:vertAlign w:val="superscript"/>
              </w:rPr>
              <w:t>6</w:t>
            </w:r>
          </w:p>
        </w:tc>
        <w:tc>
          <w:tcPr>
            <w:tcW w:w="612" w:type="pct"/>
            <w:vAlign w:val="center"/>
          </w:tcPr>
          <w:p w14:paraId="0A9EF895" w14:textId="56C9D689" w:rsidR="00C764F4" w:rsidRPr="007E5702" w:rsidRDefault="00E44A34" w:rsidP="00E76F4F">
            <w:pPr>
              <w:pStyle w:val="TableText0"/>
              <w:rPr>
                <w:i/>
                <w:highlight w:val="darkGray"/>
              </w:rPr>
            </w:pPr>
            <w:r w:rsidRPr="00E44A34">
              <w:rPr>
                <w:color w:val="000000"/>
                <w:spacing w:val="54"/>
                <w:shd w:val="solid" w:color="000000" w:fill="000000"/>
                <w:fitText w:val="334" w:id="-762047218"/>
                <w14:textFill>
                  <w14:solidFill>
                    <w14:srgbClr w14:val="000000">
                      <w14:alpha w14:val="100000"/>
                    </w14:srgbClr>
                  </w14:solidFill>
                </w14:textFill>
              </w:rPr>
              <w:t>|||</w:t>
            </w:r>
            <w:r w:rsidRPr="00E44A34">
              <w:rPr>
                <w:color w:val="000000"/>
                <w:spacing w:val="2"/>
                <w:shd w:val="solid" w:color="000000" w:fill="000000"/>
                <w:fitText w:val="334" w:id="-762047218"/>
                <w14:textFill>
                  <w14:solidFill>
                    <w14:srgbClr w14:val="000000">
                      <w14:alpha w14:val="100000"/>
                    </w14:srgbClr>
                  </w14:solidFill>
                </w14:textFill>
              </w:rPr>
              <w:t>|</w:t>
            </w:r>
            <w:r w:rsidR="00120024" w:rsidRPr="001118EA">
              <w:rPr>
                <w:vertAlign w:val="superscript"/>
              </w:rPr>
              <w:t>6</w:t>
            </w:r>
          </w:p>
        </w:tc>
      </w:tr>
      <w:tr w:rsidR="00C764F4" w:rsidRPr="009A4DCA" w14:paraId="7DBA22DA" w14:textId="77777777" w:rsidTr="007B2D29">
        <w:tc>
          <w:tcPr>
            <w:tcW w:w="1255" w:type="pct"/>
            <w:shd w:val="clear" w:color="auto" w:fill="auto"/>
            <w:vAlign w:val="center"/>
          </w:tcPr>
          <w:p w14:paraId="68263414" w14:textId="77777777" w:rsidR="00C764F4" w:rsidRPr="009A4DCA" w:rsidRDefault="00C764F4" w:rsidP="00E76F4F">
            <w:pPr>
              <w:pStyle w:val="TableText0"/>
              <w:rPr>
                <w:i/>
              </w:rPr>
            </w:pPr>
            <w:r w:rsidRPr="009A4DCA">
              <w:t>Adults with a risk condition aged 60-74 years</w:t>
            </w:r>
          </w:p>
        </w:tc>
        <w:tc>
          <w:tcPr>
            <w:tcW w:w="689" w:type="pct"/>
            <w:shd w:val="clear" w:color="auto" w:fill="auto"/>
            <w:vAlign w:val="center"/>
          </w:tcPr>
          <w:p w14:paraId="1CA8D5D5" w14:textId="5A94BCB3" w:rsidR="00C764F4" w:rsidRPr="000A4474" w:rsidRDefault="00E44A34" w:rsidP="00E76F4F">
            <w:pPr>
              <w:pStyle w:val="TableText0"/>
              <w:rPr>
                <w:i/>
                <w:highlight w:val="darkGray"/>
                <w:vertAlign w:val="superscript"/>
              </w:rPr>
            </w:pPr>
            <w:r w:rsidRPr="00E44A34">
              <w:rPr>
                <w:color w:val="000000"/>
                <w:spacing w:val="54"/>
                <w:shd w:val="solid" w:color="000000" w:fill="000000"/>
                <w:fitText w:val="333" w:id="-762047217"/>
                <w14:textFill>
                  <w14:solidFill>
                    <w14:srgbClr w14:val="000000">
                      <w14:alpha w14:val="100000"/>
                    </w14:srgbClr>
                  </w14:solidFill>
                </w14:textFill>
              </w:rPr>
              <w:t>|||</w:t>
            </w:r>
            <w:r w:rsidRPr="00E44A34">
              <w:rPr>
                <w:color w:val="000000"/>
                <w:spacing w:val="1"/>
                <w:shd w:val="solid" w:color="000000" w:fill="000000"/>
                <w:fitText w:val="333" w:id="-762047217"/>
                <w14:textFill>
                  <w14:solidFill>
                    <w14:srgbClr w14:val="000000">
                      <w14:alpha w14:val="100000"/>
                    </w14:srgbClr>
                  </w14:solidFill>
                </w14:textFill>
              </w:rPr>
              <w:t>|</w:t>
            </w:r>
            <w:r w:rsidR="000A4474" w:rsidRPr="001118EA">
              <w:rPr>
                <w:vertAlign w:val="superscript"/>
              </w:rPr>
              <w:t>8</w:t>
            </w:r>
          </w:p>
        </w:tc>
        <w:tc>
          <w:tcPr>
            <w:tcW w:w="611" w:type="pct"/>
            <w:shd w:val="clear" w:color="auto" w:fill="auto"/>
            <w:vAlign w:val="center"/>
          </w:tcPr>
          <w:p w14:paraId="14201BCE" w14:textId="24826210" w:rsidR="00C764F4" w:rsidRPr="007E5702" w:rsidRDefault="00E44A34" w:rsidP="00E76F4F">
            <w:pPr>
              <w:pStyle w:val="TableText0"/>
              <w:rPr>
                <w:i/>
                <w:highlight w:val="darkGray"/>
              </w:rPr>
            </w:pPr>
            <w:r w:rsidRPr="00E44A34">
              <w:rPr>
                <w:color w:val="000000"/>
                <w:spacing w:val="54"/>
                <w:shd w:val="solid" w:color="000000" w:fill="000000"/>
                <w:fitText w:val="333" w:id="-762047216"/>
                <w14:textFill>
                  <w14:solidFill>
                    <w14:srgbClr w14:val="000000">
                      <w14:alpha w14:val="100000"/>
                    </w14:srgbClr>
                  </w14:solidFill>
                </w14:textFill>
              </w:rPr>
              <w:t>|||</w:t>
            </w:r>
            <w:r w:rsidRPr="00E44A34">
              <w:rPr>
                <w:color w:val="000000"/>
                <w:spacing w:val="1"/>
                <w:shd w:val="solid" w:color="000000" w:fill="000000"/>
                <w:fitText w:val="333" w:id="-762047216"/>
                <w14:textFill>
                  <w14:solidFill>
                    <w14:srgbClr w14:val="000000">
                      <w14:alpha w14:val="100000"/>
                    </w14:srgbClr>
                  </w14:solidFill>
                </w14:textFill>
              </w:rPr>
              <w:t>|</w:t>
            </w:r>
            <w:r w:rsidR="004D7236" w:rsidRPr="001118EA">
              <w:rPr>
                <w:vertAlign w:val="superscript"/>
              </w:rPr>
              <w:t>3</w:t>
            </w:r>
          </w:p>
        </w:tc>
        <w:tc>
          <w:tcPr>
            <w:tcW w:w="611" w:type="pct"/>
            <w:shd w:val="clear" w:color="auto" w:fill="auto"/>
            <w:vAlign w:val="center"/>
          </w:tcPr>
          <w:p w14:paraId="2ED775FE" w14:textId="748C4D46" w:rsidR="00C764F4" w:rsidRPr="007E5702" w:rsidRDefault="00E44A34" w:rsidP="00E76F4F">
            <w:pPr>
              <w:pStyle w:val="TableText0"/>
              <w:rPr>
                <w:i/>
                <w:highlight w:val="darkGray"/>
              </w:rPr>
            </w:pPr>
            <w:r w:rsidRPr="00E44A34">
              <w:rPr>
                <w:color w:val="000000"/>
                <w:spacing w:val="54"/>
                <w:shd w:val="solid" w:color="000000" w:fill="000000"/>
                <w:fitText w:val="333" w:id="-762047232"/>
                <w14:textFill>
                  <w14:solidFill>
                    <w14:srgbClr w14:val="000000">
                      <w14:alpha w14:val="100000"/>
                    </w14:srgbClr>
                  </w14:solidFill>
                </w14:textFill>
              </w:rPr>
              <w:t>|||</w:t>
            </w:r>
            <w:r w:rsidRPr="00E44A34">
              <w:rPr>
                <w:color w:val="000000"/>
                <w:spacing w:val="1"/>
                <w:shd w:val="solid" w:color="000000" w:fill="000000"/>
                <w:fitText w:val="333" w:id="-762047232"/>
                <w14:textFill>
                  <w14:solidFill>
                    <w14:srgbClr w14:val="000000">
                      <w14:alpha w14:val="100000"/>
                    </w14:srgbClr>
                  </w14:solidFill>
                </w14:textFill>
              </w:rPr>
              <w:t>|</w:t>
            </w:r>
            <w:r w:rsidR="00120024" w:rsidRPr="001118EA">
              <w:rPr>
                <w:vertAlign w:val="superscript"/>
              </w:rPr>
              <w:t>6</w:t>
            </w:r>
          </w:p>
        </w:tc>
        <w:tc>
          <w:tcPr>
            <w:tcW w:w="611" w:type="pct"/>
            <w:shd w:val="clear" w:color="auto" w:fill="auto"/>
            <w:vAlign w:val="center"/>
          </w:tcPr>
          <w:p w14:paraId="1AD6680B" w14:textId="0EA0329F" w:rsidR="00C764F4" w:rsidRPr="00211A89" w:rsidRDefault="00E44A34" w:rsidP="00E76F4F">
            <w:pPr>
              <w:pStyle w:val="TableText0"/>
              <w:rPr>
                <w:i/>
                <w:highlight w:val="darkGray"/>
                <w:vertAlign w:val="superscript"/>
              </w:rPr>
            </w:pPr>
            <w:r w:rsidRPr="00E44A34">
              <w:rPr>
                <w:color w:val="000000"/>
                <w:spacing w:val="54"/>
                <w:shd w:val="solid" w:color="000000" w:fill="000000"/>
                <w:fitText w:val="334" w:id="-762047231"/>
                <w14:textFill>
                  <w14:solidFill>
                    <w14:srgbClr w14:val="000000">
                      <w14:alpha w14:val="100000"/>
                    </w14:srgbClr>
                  </w14:solidFill>
                </w14:textFill>
              </w:rPr>
              <w:t>|||</w:t>
            </w:r>
            <w:r w:rsidRPr="00E44A34">
              <w:rPr>
                <w:color w:val="000000"/>
                <w:spacing w:val="2"/>
                <w:shd w:val="solid" w:color="000000" w:fill="000000"/>
                <w:fitText w:val="334" w:id="-762047231"/>
                <w14:textFill>
                  <w14:solidFill>
                    <w14:srgbClr w14:val="000000">
                      <w14:alpha w14:val="100000"/>
                    </w14:srgbClr>
                  </w14:solidFill>
                </w14:textFill>
              </w:rPr>
              <w:t>|</w:t>
            </w:r>
            <w:r w:rsidR="00211A89" w:rsidRPr="001118EA">
              <w:rPr>
                <w:vertAlign w:val="superscript"/>
              </w:rPr>
              <w:t>7</w:t>
            </w:r>
          </w:p>
        </w:tc>
        <w:tc>
          <w:tcPr>
            <w:tcW w:w="611" w:type="pct"/>
            <w:shd w:val="clear" w:color="auto" w:fill="auto"/>
            <w:vAlign w:val="center"/>
          </w:tcPr>
          <w:p w14:paraId="2E622E83" w14:textId="4018417E" w:rsidR="00C764F4" w:rsidRPr="007E5702" w:rsidRDefault="00E44A34" w:rsidP="00E76F4F">
            <w:pPr>
              <w:pStyle w:val="TableText0"/>
              <w:rPr>
                <w:i/>
                <w:highlight w:val="darkGray"/>
              </w:rPr>
            </w:pPr>
            <w:r w:rsidRPr="00E44A34">
              <w:rPr>
                <w:color w:val="000000"/>
                <w:spacing w:val="54"/>
                <w:shd w:val="solid" w:color="000000" w:fill="000000"/>
                <w:fitText w:val="333" w:id="-762047230"/>
                <w14:textFill>
                  <w14:solidFill>
                    <w14:srgbClr w14:val="000000">
                      <w14:alpha w14:val="100000"/>
                    </w14:srgbClr>
                  </w14:solidFill>
                </w14:textFill>
              </w:rPr>
              <w:t>|||</w:t>
            </w:r>
            <w:r w:rsidRPr="00E44A34">
              <w:rPr>
                <w:color w:val="000000"/>
                <w:spacing w:val="1"/>
                <w:shd w:val="solid" w:color="000000" w:fill="000000"/>
                <w:fitText w:val="333" w:id="-762047230"/>
                <w14:textFill>
                  <w14:solidFill>
                    <w14:srgbClr w14:val="000000">
                      <w14:alpha w14:val="100000"/>
                    </w14:srgbClr>
                  </w14:solidFill>
                </w14:textFill>
              </w:rPr>
              <w:t>|</w:t>
            </w:r>
            <w:r w:rsidR="00211A89" w:rsidRPr="001118EA">
              <w:rPr>
                <w:vertAlign w:val="superscript"/>
              </w:rPr>
              <w:t>7</w:t>
            </w:r>
          </w:p>
        </w:tc>
        <w:tc>
          <w:tcPr>
            <w:tcW w:w="612" w:type="pct"/>
            <w:vAlign w:val="center"/>
          </w:tcPr>
          <w:p w14:paraId="079F1A21" w14:textId="2FEC9060" w:rsidR="00C764F4" w:rsidRPr="007E5702" w:rsidRDefault="00E44A34" w:rsidP="00E76F4F">
            <w:pPr>
              <w:pStyle w:val="TableText0"/>
              <w:rPr>
                <w:i/>
                <w:highlight w:val="darkGray"/>
              </w:rPr>
            </w:pPr>
            <w:r w:rsidRPr="00E44A34">
              <w:rPr>
                <w:color w:val="000000"/>
                <w:spacing w:val="54"/>
                <w:shd w:val="solid" w:color="000000" w:fill="000000"/>
                <w:fitText w:val="334" w:id="-762047229"/>
                <w14:textFill>
                  <w14:solidFill>
                    <w14:srgbClr w14:val="000000">
                      <w14:alpha w14:val="100000"/>
                    </w14:srgbClr>
                  </w14:solidFill>
                </w14:textFill>
              </w:rPr>
              <w:t>|||</w:t>
            </w:r>
            <w:r w:rsidRPr="00E44A34">
              <w:rPr>
                <w:color w:val="000000"/>
                <w:spacing w:val="2"/>
                <w:shd w:val="solid" w:color="000000" w:fill="000000"/>
                <w:fitText w:val="334" w:id="-762047229"/>
                <w14:textFill>
                  <w14:solidFill>
                    <w14:srgbClr w14:val="000000">
                      <w14:alpha w14:val="100000"/>
                    </w14:srgbClr>
                  </w14:solidFill>
                </w14:textFill>
              </w:rPr>
              <w:t>|</w:t>
            </w:r>
            <w:r w:rsidR="00211A89" w:rsidRPr="001118EA">
              <w:rPr>
                <w:vertAlign w:val="superscript"/>
              </w:rPr>
              <w:t>7</w:t>
            </w:r>
          </w:p>
        </w:tc>
      </w:tr>
      <w:tr w:rsidR="00C764F4" w:rsidRPr="009A4DCA" w14:paraId="0290DFD9" w14:textId="77777777" w:rsidTr="007B2D29">
        <w:tc>
          <w:tcPr>
            <w:tcW w:w="1255" w:type="pct"/>
            <w:shd w:val="clear" w:color="auto" w:fill="auto"/>
            <w:vAlign w:val="center"/>
          </w:tcPr>
          <w:p w14:paraId="68D7EE3E" w14:textId="77777777" w:rsidR="00C764F4" w:rsidRPr="009A4DCA" w:rsidRDefault="00C764F4" w:rsidP="00E76F4F">
            <w:pPr>
              <w:pStyle w:val="TableText0"/>
              <w:rPr>
                <w:i/>
              </w:rPr>
            </w:pPr>
            <w:r w:rsidRPr="009A4DCA">
              <w:t>Aboriginal and Torres Strait Islander peoples aged 60-74 years</w:t>
            </w:r>
          </w:p>
        </w:tc>
        <w:tc>
          <w:tcPr>
            <w:tcW w:w="689" w:type="pct"/>
            <w:shd w:val="clear" w:color="auto" w:fill="auto"/>
            <w:vAlign w:val="center"/>
          </w:tcPr>
          <w:p w14:paraId="3EDBB3D7" w14:textId="08CB0DB0" w:rsidR="00C764F4" w:rsidRPr="007F1699" w:rsidRDefault="00E44A34" w:rsidP="00E76F4F">
            <w:pPr>
              <w:pStyle w:val="TableText0"/>
              <w:rPr>
                <w:i/>
                <w:highlight w:val="darkGray"/>
                <w:vertAlign w:val="superscript"/>
              </w:rPr>
            </w:pPr>
            <w:r w:rsidRPr="00E44A34">
              <w:rPr>
                <w:color w:val="000000"/>
                <w:spacing w:val="54"/>
                <w:shd w:val="solid" w:color="000000" w:fill="000000"/>
                <w:fitText w:val="333" w:id="-762047228"/>
                <w14:textFill>
                  <w14:solidFill>
                    <w14:srgbClr w14:val="000000">
                      <w14:alpha w14:val="100000"/>
                    </w14:srgbClr>
                  </w14:solidFill>
                </w14:textFill>
              </w:rPr>
              <w:t>|||</w:t>
            </w:r>
            <w:r w:rsidRPr="00E44A34">
              <w:rPr>
                <w:color w:val="000000"/>
                <w:spacing w:val="1"/>
                <w:shd w:val="solid" w:color="000000" w:fill="000000"/>
                <w:fitText w:val="333" w:id="-762047228"/>
                <w14:textFill>
                  <w14:solidFill>
                    <w14:srgbClr w14:val="000000">
                      <w14:alpha w14:val="100000"/>
                    </w14:srgbClr>
                  </w14:solidFill>
                </w14:textFill>
              </w:rPr>
              <w:t>|</w:t>
            </w:r>
            <w:r w:rsidR="007F1699" w:rsidRPr="001118EA">
              <w:rPr>
                <w:vertAlign w:val="superscript"/>
              </w:rPr>
              <w:t>9</w:t>
            </w:r>
          </w:p>
        </w:tc>
        <w:tc>
          <w:tcPr>
            <w:tcW w:w="611" w:type="pct"/>
            <w:shd w:val="clear" w:color="auto" w:fill="auto"/>
            <w:vAlign w:val="center"/>
          </w:tcPr>
          <w:p w14:paraId="0D8F077D" w14:textId="6CD3AB8A" w:rsidR="00C764F4" w:rsidRPr="007E5702" w:rsidRDefault="00E44A34" w:rsidP="00E76F4F">
            <w:pPr>
              <w:pStyle w:val="TableText0"/>
              <w:rPr>
                <w:i/>
                <w:highlight w:val="darkGray"/>
              </w:rPr>
            </w:pPr>
            <w:r w:rsidRPr="00E44A34">
              <w:rPr>
                <w:color w:val="000000"/>
                <w:spacing w:val="54"/>
                <w:shd w:val="solid" w:color="000000" w:fill="000000"/>
                <w:fitText w:val="333" w:id="-762047227"/>
                <w14:textFill>
                  <w14:solidFill>
                    <w14:srgbClr w14:val="000000">
                      <w14:alpha w14:val="100000"/>
                    </w14:srgbClr>
                  </w14:solidFill>
                </w14:textFill>
              </w:rPr>
              <w:t>|||</w:t>
            </w:r>
            <w:r w:rsidRPr="00E44A34">
              <w:rPr>
                <w:color w:val="000000"/>
                <w:spacing w:val="1"/>
                <w:shd w:val="solid" w:color="000000" w:fill="000000"/>
                <w:fitText w:val="333" w:id="-762047227"/>
                <w14:textFill>
                  <w14:solidFill>
                    <w14:srgbClr w14:val="000000">
                      <w14:alpha w14:val="100000"/>
                    </w14:srgbClr>
                  </w14:solidFill>
                </w14:textFill>
              </w:rPr>
              <w:t>|</w:t>
            </w:r>
            <w:r w:rsidR="007F1699" w:rsidRPr="001118EA">
              <w:rPr>
                <w:vertAlign w:val="superscript"/>
              </w:rPr>
              <w:t>9</w:t>
            </w:r>
          </w:p>
        </w:tc>
        <w:tc>
          <w:tcPr>
            <w:tcW w:w="611" w:type="pct"/>
            <w:shd w:val="clear" w:color="auto" w:fill="auto"/>
            <w:vAlign w:val="center"/>
          </w:tcPr>
          <w:p w14:paraId="431F0BB8" w14:textId="05420CFF" w:rsidR="00C764F4" w:rsidRPr="007E5702" w:rsidRDefault="00E44A34" w:rsidP="00E76F4F">
            <w:pPr>
              <w:pStyle w:val="TableText0"/>
              <w:rPr>
                <w:i/>
                <w:highlight w:val="darkGray"/>
              </w:rPr>
            </w:pPr>
            <w:r w:rsidRPr="00E44A34">
              <w:rPr>
                <w:color w:val="000000"/>
                <w:spacing w:val="54"/>
                <w:shd w:val="solid" w:color="000000" w:fill="000000"/>
                <w:fitText w:val="333" w:id="-762047226"/>
                <w14:textFill>
                  <w14:solidFill>
                    <w14:srgbClr w14:val="000000">
                      <w14:alpha w14:val="100000"/>
                    </w14:srgbClr>
                  </w14:solidFill>
                </w14:textFill>
              </w:rPr>
              <w:t>|||</w:t>
            </w:r>
            <w:r w:rsidRPr="00E44A34">
              <w:rPr>
                <w:color w:val="000000"/>
                <w:spacing w:val="1"/>
                <w:shd w:val="solid" w:color="000000" w:fill="000000"/>
                <w:fitText w:val="333" w:id="-762047226"/>
                <w14:textFill>
                  <w14:solidFill>
                    <w14:srgbClr w14:val="000000">
                      <w14:alpha w14:val="100000"/>
                    </w14:srgbClr>
                  </w14:solidFill>
                </w14:textFill>
              </w:rPr>
              <w:t>|</w:t>
            </w:r>
            <w:r w:rsidR="007F1699" w:rsidRPr="001118EA">
              <w:rPr>
                <w:vertAlign w:val="superscript"/>
              </w:rPr>
              <w:t>9</w:t>
            </w:r>
          </w:p>
        </w:tc>
        <w:tc>
          <w:tcPr>
            <w:tcW w:w="611" w:type="pct"/>
            <w:shd w:val="clear" w:color="auto" w:fill="auto"/>
            <w:vAlign w:val="center"/>
          </w:tcPr>
          <w:p w14:paraId="19116C5C" w14:textId="2507DBF0" w:rsidR="00C764F4" w:rsidRPr="007F1699" w:rsidRDefault="00E44A34" w:rsidP="00E76F4F">
            <w:pPr>
              <w:pStyle w:val="TableText0"/>
              <w:rPr>
                <w:i/>
                <w:highlight w:val="darkGray"/>
                <w:vertAlign w:val="superscript"/>
              </w:rPr>
            </w:pPr>
            <w:r w:rsidRPr="00E44A34">
              <w:rPr>
                <w:color w:val="000000"/>
                <w:spacing w:val="54"/>
                <w:shd w:val="solid" w:color="000000" w:fill="000000"/>
                <w:fitText w:val="334" w:id="-762047225"/>
                <w14:textFill>
                  <w14:solidFill>
                    <w14:srgbClr w14:val="000000">
                      <w14:alpha w14:val="100000"/>
                    </w14:srgbClr>
                  </w14:solidFill>
                </w14:textFill>
              </w:rPr>
              <w:t>|||</w:t>
            </w:r>
            <w:r w:rsidRPr="00E44A34">
              <w:rPr>
                <w:color w:val="000000"/>
                <w:spacing w:val="2"/>
                <w:shd w:val="solid" w:color="000000" w:fill="000000"/>
                <w:fitText w:val="334" w:id="-762047225"/>
                <w14:textFill>
                  <w14:solidFill>
                    <w14:srgbClr w14:val="000000">
                      <w14:alpha w14:val="100000"/>
                    </w14:srgbClr>
                  </w14:solidFill>
                </w14:textFill>
              </w:rPr>
              <w:t>|</w:t>
            </w:r>
            <w:r w:rsidR="007F1699" w:rsidRPr="001118EA">
              <w:rPr>
                <w:vertAlign w:val="superscript"/>
              </w:rPr>
              <w:t>10</w:t>
            </w:r>
          </w:p>
        </w:tc>
        <w:tc>
          <w:tcPr>
            <w:tcW w:w="611" w:type="pct"/>
            <w:shd w:val="clear" w:color="auto" w:fill="auto"/>
            <w:vAlign w:val="center"/>
          </w:tcPr>
          <w:p w14:paraId="4C76C915" w14:textId="6002EE5F" w:rsidR="00C764F4" w:rsidRPr="007E5702" w:rsidRDefault="00E44A34" w:rsidP="00E76F4F">
            <w:pPr>
              <w:pStyle w:val="TableText0"/>
              <w:rPr>
                <w:i/>
                <w:highlight w:val="darkGray"/>
              </w:rPr>
            </w:pPr>
            <w:r w:rsidRPr="00E44A34">
              <w:rPr>
                <w:color w:val="000000"/>
                <w:spacing w:val="54"/>
                <w:shd w:val="solid" w:color="000000" w:fill="000000"/>
                <w:fitText w:val="333" w:id="-762047224"/>
                <w14:textFill>
                  <w14:solidFill>
                    <w14:srgbClr w14:val="000000">
                      <w14:alpha w14:val="100000"/>
                    </w14:srgbClr>
                  </w14:solidFill>
                </w14:textFill>
              </w:rPr>
              <w:t>|||</w:t>
            </w:r>
            <w:r w:rsidRPr="00E44A34">
              <w:rPr>
                <w:color w:val="000000"/>
                <w:spacing w:val="1"/>
                <w:shd w:val="solid" w:color="000000" w:fill="000000"/>
                <w:fitText w:val="333" w:id="-762047224"/>
                <w14:textFill>
                  <w14:solidFill>
                    <w14:srgbClr w14:val="000000">
                      <w14:alpha w14:val="100000"/>
                    </w14:srgbClr>
                  </w14:solidFill>
                </w14:textFill>
              </w:rPr>
              <w:t>|</w:t>
            </w:r>
            <w:r w:rsidR="007F1699" w:rsidRPr="001118EA">
              <w:rPr>
                <w:vertAlign w:val="superscript"/>
              </w:rPr>
              <w:t>10</w:t>
            </w:r>
          </w:p>
        </w:tc>
        <w:tc>
          <w:tcPr>
            <w:tcW w:w="612" w:type="pct"/>
            <w:vAlign w:val="center"/>
          </w:tcPr>
          <w:p w14:paraId="040D054C" w14:textId="446300C2" w:rsidR="00C764F4" w:rsidRPr="007E5702" w:rsidRDefault="00E44A34" w:rsidP="00E76F4F">
            <w:pPr>
              <w:pStyle w:val="TableText0"/>
              <w:rPr>
                <w:i/>
                <w:highlight w:val="darkGray"/>
              </w:rPr>
            </w:pPr>
            <w:r w:rsidRPr="00E44A34">
              <w:rPr>
                <w:color w:val="000000"/>
                <w:spacing w:val="54"/>
                <w:shd w:val="solid" w:color="000000" w:fill="000000"/>
                <w:fitText w:val="334" w:id="-762047223"/>
                <w14:textFill>
                  <w14:solidFill>
                    <w14:srgbClr w14:val="000000">
                      <w14:alpha w14:val="100000"/>
                    </w14:srgbClr>
                  </w14:solidFill>
                </w14:textFill>
              </w:rPr>
              <w:t>|||</w:t>
            </w:r>
            <w:r w:rsidRPr="00E44A34">
              <w:rPr>
                <w:color w:val="000000"/>
                <w:spacing w:val="2"/>
                <w:shd w:val="solid" w:color="000000" w:fill="000000"/>
                <w:fitText w:val="334" w:id="-762047223"/>
                <w14:textFill>
                  <w14:solidFill>
                    <w14:srgbClr w14:val="000000">
                      <w14:alpha w14:val="100000"/>
                    </w14:srgbClr>
                  </w14:solidFill>
                </w14:textFill>
              </w:rPr>
              <w:t>|</w:t>
            </w:r>
            <w:r w:rsidR="007F1699" w:rsidRPr="001118EA">
              <w:rPr>
                <w:vertAlign w:val="superscript"/>
              </w:rPr>
              <w:t>10</w:t>
            </w:r>
          </w:p>
        </w:tc>
      </w:tr>
      <w:tr w:rsidR="00C764F4" w:rsidRPr="009A4DCA" w14:paraId="091B842E" w14:textId="77777777" w:rsidTr="00973287">
        <w:tc>
          <w:tcPr>
            <w:tcW w:w="5000" w:type="pct"/>
            <w:gridSpan w:val="7"/>
            <w:shd w:val="clear" w:color="auto" w:fill="auto"/>
            <w:vAlign w:val="center"/>
          </w:tcPr>
          <w:p w14:paraId="0AE833E5" w14:textId="77777777" w:rsidR="00C764F4" w:rsidRPr="009A4DCA" w:rsidRDefault="00C764F4" w:rsidP="0021329B">
            <w:pPr>
              <w:pStyle w:val="TableHeading0"/>
            </w:pPr>
            <w:r w:rsidRPr="009A4DCA">
              <w:t xml:space="preserve">Net financial implications </w:t>
            </w:r>
          </w:p>
        </w:tc>
      </w:tr>
      <w:tr w:rsidR="00C764F4" w:rsidRPr="009A4DCA" w14:paraId="213C943C" w14:textId="77777777" w:rsidTr="007B2D29">
        <w:tc>
          <w:tcPr>
            <w:tcW w:w="1255" w:type="pct"/>
            <w:shd w:val="clear" w:color="auto" w:fill="auto"/>
            <w:vAlign w:val="center"/>
          </w:tcPr>
          <w:p w14:paraId="7FAA94B7" w14:textId="77777777" w:rsidR="00C764F4" w:rsidRPr="009A4DCA" w:rsidRDefault="00C764F4" w:rsidP="00E76F4F">
            <w:pPr>
              <w:pStyle w:val="TableText0"/>
            </w:pPr>
            <w:r w:rsidRPr="009A4DCA">
              <w:t>Net cost to NIP, total</w:t>
            </w:r>
          </w:p>
        </w:tc>
        <w:tc>
          <w:tcPr>
            <w:tcW w:w="689" w:type="pct"/>
            <w:shd w:val="clear" w:color="auto" w:fill="auto"/>
            <w:vAlign w:val="center"/>
          </w:tcPr>
          <w:p w14:paraId="4E183462" w14:textId="180E4266" w:rsidR="00C764F4" w:rsidRPr="008159CC" w:rsidRDefault="00C764F4" w:rsidP="00E76F4F">
            <w:pPr>
              <w:pStyle w:val="TableText0"/>
              <w:rPr>
                <w:i/>
                <w:vertAlign w:val="superscript"/>
              </w:rPr>
            </w:pPr>
            <w:r w:rsidRPr="009A4DCA">
              <w:t>$</w:t>
            </w:r>
            <w:r w:rsidR="00E44A34" w:rsidRPr="00E44A34">
              <w:rPr>
                <w:color w:val="000000"/>
                <w:spacing w:val="54"/>
                <w:shd w:val="solid" w:color="000000" w:fill="000000"/>
                <w:fitText w:val="334" w:id="-762047222"/>
                <w14:textFill>
                  <w14:solidFill>
                    <w14:srgbClr w14:val="000000">
                      <w14:alpha w14:val="100000"/>
                    </w14:srgbClr>
                  </w14:solidFill>
                </w14:textFill>
              </w:rPr>
              <w:t>|||</w:t>
            </w:r>
            <w:r w:rsidR="00E44A34" w:rsidRPr="00E44A34">
              <w:rPr>
                <w:color w:val="000000"/>
                <w:spacing w:val="2"/>
                <w:shd w:val="solid" w:color="000000" w:fill="000000"/>
                <w:fitText w:val="334" w:id="-762047222"/>
                <w14:textFill>
                  <w14:solidFill>
                    <w14:srgbClr w14:val="000000">
                      <w14:alpha w14:val="100000"/>
                    </w14:srgbClr>
                  </w14:solidFill>
                </w14:textFill>
              </w:rPr>
              <w:t>|</w:t>
            </w:r>
            <w:r w:rsidR="008159CC">
              <w:rPr>
                <w:vertAlign w:val="superscript"/>
              </w:rPr>
              <w:t>11</w:t>
            </w:r>
          </w:p>
        </w:tc>
        <w:tc>
          <w:tcPr>
            <w:tcW w:w="611" w:type="pct"/>
            <w:shd w:val="clear" w:color="auto" w:fill="auto"/>
            <w:vAlign w:val="center"/>
          </w:tcPr>
          <w:p w14:paraId="119E68F3" w14:textId="704D21FF"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7221"/>
                <w14:textFill>
                  <w14:solidFill>
                    <w14:srgbClr w14:val="000000">
                      <w14:alpha w14:val="100000"/>
                    </w14:srgbClr>
                  </w14:solidFill>
                </w14:textFill>
              </w:rPr>
              <w:t>|||</w:t>
            </w:r>
            <w:r w:rsidR="00E44A34" w:rsidRPr="00E44A34">
              <w:rPr>
                <w:color w:val="000000"/>
                <w:spacing w:val="2"/>
                <w:shd w:val="solid" w:color="000000" w:fill="000000"/>
                <w:fitText w:val="334" w:id="-762047221"/>
                <w14:textFill>
                  <w14:solidFill>
                    <w14:srgbClr w14:val="000000">
                      <w14:alpha w14:val="100000"/>
                    </w14:srgbClr>
                  </w14:solidFill>
                </w14:textFill>
              </w:rPr>
              <w:t>|</w:t>
            </w:r>
            <w:r w:rsidR="008159CC">
              <w:rPr>
                <w:vertAlign w:val="superscript"/>
              </w:rPr>
              <w:t>11</w:t>
            </w:r>
          </w:p>
        </w:tc>
        <w:tc>
          <w:tcPr>
            <w:tcW w:w="611" w:type="pct"/>
            <w:shd w:val="clear" w:color="auto" w:fill="auto"/>
            <w:vAlign w:val="center"/>
          </w:tcPr>
          <w:p w14:paraId="052CE17C" w14:textId="032C3A2A"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20"/>
                <w14:textFill>
                  <w14:solidFill>
                    <w14:srgbClr w14:val="000000">
                      <w14:alpha w14:val="100000"/>
                    </w14:srgbClr>
                  </w14:solidFill>
                </w14:textFill>
              </w:rPr>
              <w:t>|||</w:t>
            </w:r>
            <w:r w:rsidR="00E44A34" w:rsidRPr="00E44A34">
              <w:rPr>
                <w:color w:val="000000"/>
                <w:spacing w:val="1"/>
                <w:shd w:val="solid" w:color="000000" w:fill="000000"/>
                <w:fitText w:val="333" w:id="-762047220"/>
                <w14:textFill>
                  <w14:solidFill>
                    <w14:srgbClr w14:val="000000">
                      <w14:alpha w14:val="100000"/>
                    </w14:srgbClr>
                  </w14:solidFill>
                </w14:textFill>
              </w:rPr>
              <w:t>|</w:t>
            </w:r>
            <w:r w:rsidR="008159CC">
              <w:rPr>
                <w:vertAlign w:val="superscript"/>
              </w:rPr>
              <w:t>11</w:t>
            </w:r>
          </w:p>
        </w:tc>
        <w:tc>
          <w:tcPr>
            <w:tcW w:w="611" w:type="pct"/>
            <w:shd w:val="clear" w:color="auto" w:fill="auto"/>
            <w:vAlign w:val="center"/>
          </w:tcPr>
          <w:p w14:paraId="25D31629" w14:textId="2F0AA8FE" w:rsidR="00C764F4" w:rsidRPr="003F4067" w:rsidRDefault="00C764F4" w:rsidP="00E76F4F">
            <w:pPr>
              <w:pStyle w:val="TableText0"/>
              <w:rPr>
                <w:i/>
                <w:vertAlign w:val="superscript"/>
              </w:rPr>
            </w:pPr>
            <w:r w:rsidRPr="009A4DCA">
              <w:t>$</w:t>
            </w:r>
            <w:r w:rsidR="00E44A34" w:rsidRPr="00E44A34">
              <w:rPr>
                <w:color w:val="000000"/>
                <w:spacing w:val="54"/>
                <w:shd w:val="solid" w:color="000000" w:fill="000000"/>
                <w:fitText w:val="333" w:id="-762047219"/>
                <w14:textFill>
                  <w14:solidFill>
                    <w14:srgbClr w14:val="000000">
                      <w14:alpha w14:val="100000"/>
                    </w14:srgbClr>
                  </w14:solidFill>
                </w14:textFill>
              </w:rPr>
              <w:t>|||</w:t>
            </w:r>
            <w:r w:rsidR="00E44A34" w:rsidRPr="00E44A34">
              <w:rPr>
                <w:color w:val="000000"/>
                <w:spacing w:val="1"/>
                <w:shd w:val="solid" w:color="000000" w:fill="000000"/>
                <w:fitText w:val="333" w:id="-762047219"/>
                <w14:textFill>
                  <w14:solidFill>
                    <w14:srgbClr w14:val="000000">
                      <w14:alpha w14:val="100000"/>
                    </w14:srgbClr>
                  </w14:solidFill>
                </w14:textFill>
              </w:rPr>
              <w:t>|</w:t>
            </w:r>
            <w:r w:rsidR="001118EA">
              <w:t xml:space="preserve"> </w:t>
            </w:r>
            <w:r w:rsidR="003F4067">
              <w:rPr>
                <w:vertAlign w:val="superscript"/>
              </w:rPr>
              <w:t>12</w:t>
            </w:r>
          </w:p>
        </w:tc>
        <w:tc>
          <w:tcPr>
            <w:tcW w:w="611" w:type="pct"/>
            <w:shd w:val="clear" w:color="auto" w:fill="auto"/>
            <w:vAlign w:val="center"/>
          </w:tcPr>
          <w:p w14:paraId="2E05DAA5" w14:textId="4CDB89A9"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18"/>
                <w14:textFill>
                  <w14:solidFill>
                    <w14:srgbClr w14:val="000000">
                      <w14:alpha w14:val="100000"/>
                    </w14:srgbClr>
                  </w14:solidFill>
                </w14:textFill>
              </w:rPr>
              <w:t>|||</w:t>
            </w:r>
            <w:r w:rsidR="00E44A34" w:rsidRPr="00E44A34">
              <w:rPr>
                <w:color w:val="000000"/>
                <w:spacing w:val="1"/>
                <w:shd w:val="solid" w:color="000000" w:fill="000000"/>
                <w:fitText w:val="333" w:id="-762047218"/>
                <w14:textFill>
                  <w14:solidFill>
                    <w14:srgbClr w14:val="000000">
                      <w14:alpha w14:val="100000"/>
                    </w14:srgbClr>
                  </w14:solidFill>
                </w14:textFill>
              </w:rPr>
              <w:t>|</w:t>
            </w:r>
            <w:r w:rsidR="001118EA">
              <w:t xml:space="preserve"> </w:t>
            </w:r>
            <w:r w:rsidR="003F4067">
              <w:rPr>
                <w:vertAlign w:val="superscript"/>
              </w:rPr>
              <w:t>12</w:t>
            </w:r>
          </w:p>
        </w:tc>
        <w:tc>
          <w:tcPr>
            <w:tcW w:w="612" w:type="pct"/>
            <w:vAlign w:val="center"/>
          </w:tcPr>
          <w:p w14:paraId="31A1A4D0" w14:textId="587E28AB"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17"/>
                <w14:textFill>
                  <w14:solidFill>
                    <w14:srgbClr w14:val="000000">
                      <w14:alpha w14:val="100000"/>
                    </w14:srgbClr>
                  </w14:solidFill>
                </w14:textFill>
              </w:rPr>
              <w:t>|||</w:t>
            </w:r>
            <w:r w:rsidR="00E44A34" w:rsidRPr="00E44A34">
              <w:rPr>
                <w:color w:val="000000"/>
                <w:spacing w:val="1"/>
                <w:shd w:val="solid" w:color="000000" w:fill="000000"/>
                <w:fitText w:val="333" w:id="-762047217"/>
                <w14:textFill>
                  <w14:solidFill>
                    <w14:srgbClr w14:val="000000">
                      <w14:alpha w14:val="100000"/>
                    </w14:srgbClr>
                  </w14:solidFill>
                </w14:textFill>
              </w:rPr>
              <w:t>|</w:t>
            </w:r>
            <w:r w:rsidR="003F4067">
              <w:rPr>
                <w:vertAlign w:val="superscript"/>
              </w:rPr>
              <w:t>12</w:t>
            </w:r>
          </w:p>
        </w:tc>
      </w:tr>
      <w:tr w:rsidR="00C764F4" w:rsidRPr="009A4DCA" w14:paraId="335B3627" w14:textId="77777777" w:rsidTr="007B2D29">
        <w:tc>
          <w:tcPr>
            <w:tcW w:w="1255" w:type="pct"/>
            <w:shd w:val="clear" w:color="auto" w:fill="auto"/>
            <w:vAlign w:val="center"/>
          </w:tcPr>
          <w:p w14:paraId="2C0F7F04" w14:textId="1D1FCA9E" w:rsidR="00C764F4" w:rsidRPr="009A4DCA" w:rsidRDefault="00C764F4" w:rsidP="00E76F4F">
            <w:pPr>
              <w:pStyle w:val="TableText0"/>
              <w:rPr>
                <w:i/>
              </w:rPr>
            </w:pPr>
            <w:r w:rsidRPr="009A4DCA">
              <w:t>Adults ≥75 years</w:t>
            </w:r>
          </w:p>
        </w:tc>
        <w:tc>
          <w:tcPr>
            <w:tcW w:w="689" w:type="pct"/>
            <w:shd w:val="clear" w:color="auto" w:fill="auto"/>
            <w:vAlign w:val="center"/>
          </w:tcPr>
          <w:p w14:paraId="69887F49" w14:textId="665C52F9"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7216"/>
                <w14:textFill>
                  <w14:solidFill>
                    <w14:srgbClr w14:val="000000">
                      <w14:alpha w14:val="100000"/>
                    </w14:srgbClr>
                  </w14:solidFill>
                </w14:textFill>
              </w:rPr>
              <w:t>|||</w:t>
            </w:r>
            <w:r w:rsidR="00E44A34" w:rsidRPr="00E44A34">
              <w:rPr>
                <w:color w:val="000000"/>
                <w:spacing w:val="2"/>
                <w:shd w:val="solid" w:color="000000" w:fill="000000"/>
                <w:fitText w:val="334" w:id="-762047216"/>
                <w14:textFill>
                  <w14:solidFill>
                    <w14:srgbClr w14:val="000000">
                      <w14:alpha w14:val="100000"/>
                    </w14:srgbClr>
                  </w14:solidFill>
                </w14:textFill>
              </w:rPr>
              <w:t>|</w:t>
            </w:r>
            <w:r w:rsidR="008159CC">
              <w:rPr>
                <w:vertAlign w:val="superscript"/>
              </w:rPr>
              <w:t>11</w:t>
            </w:r>
          </w:p>
        </w:tc>
        <w:tc>
          <w:tcPr>
            <w:tcW w:w="611" w:type="pct"/>
            <w:shd w:val="clear" w:color="auto" w:fill="auto"/>
            <w:vAlign w:val="center"/>
          </w:tcPr>
          <w:p w14:paraId="3488149F" w14:textId="1941A68F"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7232"/>
                <w14:textFill>
                  <w14:solidFill>
                    <w14:srgbClr w14:val="000000">
                      <w14:alpha w14:val="100000"/>
                    </w14:srgbClr>
                  </w14:solidFill>
                </w14:textFill>
              </w:rPr>
              <w:t>|||</w:t>
            </w:r>
            <w:r w:rsidR="00E44A34" w:rsidRPr="00E44A34">
              <w:rPr>
                <w:color w:val="000000"/>
                <w:spacing w:val="2"/>
                <w:shd w:val="solid" w:color="000000" w:fill="000000"/>
                <w:fitText w:val="334" w:id="-762047232"/>
                <w14:textFill>
                  <w14:solidFill>
                    <w14:srgbClr w14:val="000000">
                      <w14:alpha w14:val="100000"/>
                    </w14:srgbClr>
                  </w14:solidFill>
                </w14:textFill>
              </w:rPr>
              <w:t>|</w:t>
            </w:r>
            <w:r w:rsidR="008159CC">
              <w:rPr>
                <w:vertAlign w:val="superscript"/>
              </w:rPr>
              <w:t>11</w:t>
            </w:r>
          </w:p>
        </w:tc>
        <w:tc>
          <w:tcPr>
            <w:tcW w:w="611" w:type="pct"/>
            <w:shd w:val="clear" w:color="auto" w:fill="auto"/>
            <w:vAlign w:val="center"/>
          </w:tcPr>
          <w:p w14:paraId="638BF053" w14:textId="3AAE11AA"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31"/>
                <w14:textFill>
                  <w14:solidFill>
                    <w14:srgbClr w14:val="000000">
                      <w14:alpha w14:val="100000"/>
                    </w14:srgbClr>
                  </w14:solidFill>
                </w14:textFill>
              </w:rPr>
              <w:t>|||</w:t>
            </w:r>
            <w:r w:rsidR="00E44A34" w:rsidRPr="00E44A34">
              <w:rPr>
                <w:color w:val="000000"/>
                <w:spacing w:val="1"/>
                <w:shd w:val="solid" w:color="000000" w:fill="000000"/>
                <w:fitText w:val="333" w:id="-762047231"/>
                <w14:textFill>
                  <w14:solidFill>
                    <w14:srgbClr w14:val="000000">
                      <w14:alpha w14:val="100000"/>
                    </w14:srgbClr>
                  </w14:solidFill>
                </w14:textFill>
              </w:rPr>
              <w:t>|</w:t>
            </w:r>
            <w:r w:rsidR="008159CC">
              <w:rPr>
                <w:vertAlign w:val="superscript"/>
              </w:rPr>
              <w:t>11</w:t>
            </w:r>
          </w:p>
        </w:tc>
        <w:tc>
          <w:tcPr>
            <w:tcW w:w="611" w:type="pct"/>
            <w:shd w:val="clear" w:color="auto" w:fill="auto"/>
            <w:vAlign w:val="center"/>
          </w:tcPr>
          <w:p w14:paraId="0A8F94D2" w14:textId="41F81475" w:rsidR="00C764F4" w:rsidRPr="00AE31C8" w:rsidRDefault="00C764F4" w:rsidP="00E76F4F">
            <w:pPr>
              <w:pStyle w:val="TableText0"/>
              <w:rPr>
                <w:i/>
                <w:vertAlign w:val="superscript"/>
              </w:rPr>
            </w:pPr>
            <w:r w:rsidRPr="009A4DCA">
              <w:t>$</w:t>
            </w:r>
            <w:r w:rsidR="00E44A34" w:rsidRPr="00E44A34">
              <w:rPr>
                <w:color w:val="000000"/>
                <w:spacing w:val="54"/>
                <w:shd w:val="solid" w:color="000000" w:fill="000000"/>
                <w:fitText w:val="333" w:id="-762047230"/>
                <w14:textFill>
                  <w14:solidFill>
                    <w14:srgbClr w14:val="000000">
                      <w14:alpha w14:val="100000"/>
                    </w14:srgbClr>
                  </w14:solidFill>
                </w14:textFill>
              </w:rPr>
              <w:t>|||</w:t>
            </w:r>
            <w:r w:rsidR="00E44A34" w:rsidRPr="00E44A34">
              <w:rPr>
                <w:color w:val="000000"/>
                <w:spacing w:val="1"/>
                <w:shd w:val="solid" w:color="000000" w:fill="000000"/>
                <w:fitText w:val="333" w:id="-762047230"/>
                <w14:textFill>
                  <w14:solidFill>
                    <w14:srgbClr w14:val="000000">
                      <w14:alpha w14:val="100000"/>
                    </w14:srgbClr>
                  </w14:solidFill>
                </w14:textFill>
              </w:rPr>
              <w:t>|</w:t>
            </w:r>
            <w:r w:rsidR="00AE31C8">
              <w:rPr>
                <w:vertAlign w:val="superscript"/>
              </w:rPr>
              <w:t>13</w:t>
            </w:r>
          </w:p>
        </w:tc>
        <w:tc>
          <w:tcPr>
            <w:tcW w:w="611" w:type="pct"/>
            <w:shd w:val="clear" w:color="auto" w:fill="auto"/>
            <w:vAlign w:val="center"/>
          </w:tcPr>
          <w:p w14:paraId="414CE8A6" w14:textId="6997EEA1"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29"/>
                <w14:textFill>
                  <w14:solidFill>
                    <w14:srgbClr w14:val="000000">
                      <w14:alpha w14:val="100000"/>
                    </w14:srgbClr>
                  </w14:solidFill>
                </w14:textFill>
              </w:rPr>
              <w:t>|||</w:t>
            </w:r>
            <w:r w:rsidR="00E44A34" w:rsidRPr="00E44A34">
              <w:rPr>
                <w:color w:val="000000"/>
                <w:spacing w:val="1"/>
                <w:shd w:val="solid" w:color="000000" w:fill="000000"/>
                <w:fitText w:val="333" w:id="-762047229"/>
                <w14:textFill>
                  <w14:solidFill>
                    <w14:srgbClr w14:val="000000">
                      <w14:alpha w14:val="100000"/>
                    </w14:srgbClr>
                  </w14:solidFill>
                </w14:textFill>
              </w:rPr>
              <w:t>|</w:t>
            </w:r>
            <w:r w:rsidR="00AE31C8">
              <w:rPr>
                <w:vertAlign w:val="superscript"/>
              </w:rPr>
              <w:t>13</w:t>
            </w:r>
          </w:p>
        </w:tc>
        <w:tc>
          <w:tcPr>
            <w:tcW w:w="612" w:type="pct"/>
            <w:vAlign w:val="center"/>
          </w:tcPr>
          <w:p w14:paraId="3E85F029" w14:textId="3E2901ED"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28"/>
                <w14:textFill>
                  <w14:solidFill>
                    <w14:srgbClr w14:val="000000">
                      <w14:alpha w14:val="100000"/>
                    </w14:srgbClr>
                  </w14:solidFill>
                </w14:textFill>
              </w:rPr>
              <w:t>|||</w:t>
            </w:r>
            <w:r w:rsidR="00E44A34" w:rsidRPr="00E44A34">
              <w:rPr>
                <w:color w:val="000000"/>
                <w:spacing w:val="1"/>
                <w:shd w:val="solid" w:color="000000" w:fill="000000"/>
                <w:fitText w:val="333" w:id="-762047228"/>
                <w14:textFill>
                  <w14:solidFill>
                    <w14:srgbClr w14:val="000000">
                      <w14:alpha w14:val="100000"/>
                    </w14:srgbClr>
                  </w14:solidFill>
                </w14:textFill>
              </w:rPr>
              <w:t>|</w:t>
            </w:r>
            <w:r w:rsidR="00AE31C8">
              <w:rPr>
                <w:vertAlign w:val="superscript"/>
              </w:rPr>
              <w:t>13</w:t>
            </w:r>
          </w:p>
        </w:tc>
      </w:tr>
      <w:tr w:rsidR="00C764F4" w:rsidRPr="009A4DCA" w14:paraId="191AA6B9" w14:textId="77777777" w:rsidTr="007B2D29">
        <w:tc>
          <w:tcPr>
            <w:tcW w:w="1255" w:type="pct"/>
            <w:shd w:val="clear" w:color="auto" w:fill="auto"/>
            <w:vAlign w:val="center"/>
          </w:tcPr>
          <w:p w14:paraId="4D39472A" w14:textId="77777777" w:rsidR="00C764F4" w:rsidRPr="009A4DCA" w:rsidRDefault="00C764F4" w:rsidP="00E76F4F">
            <w:pPr>
              <w:pStyle w:val="TableText0"/>
              <w:rPr>
                <w:i/>
              </w:rPr>
            </w:pPr>
            <w:r w:rsidRPr="009A4DCA">
              <w:t>Adults with a risk condition aged 60-74 years</w:t>
            </w:r>
          </w:p>
        </w:tc>
        <w:tc>
          <w:tcPr>
            <w:tcW w:w="689" w:type="pct"/>
            <w:shd w:val="clear" w:color="auto" w:fill="auto"/>
            <w:vAlign w:val="center"/>
          </w:tcPr>
          <w:p w14:paraId="296BFDA9" w14:textId="527AF37B" w:rsidR="00C764F4" w:rsidRPr="00E334D9" w:rsidRDefault="00C764F4" w:rsidP="00E76F4F">
            <w:pPr>
              <w:pStyle w:val="TableText0"/>
              <w:rPr>
                <w:i/>
                <w:vertAlign w:val="superscript"/>
              </w:rPr>
            </w:pPr>
            <w:r w:rsidRPr="009A4DCA">
              <w:t>$</w:t>
            </w:r>
            <w:r w:rsidR="00E44A34" w:rsidRPr="00E44A34">
              <w:rPr>
                <w:color w:val="000000"/>
                <w:spacing w:val="54"/>
                <w:shd w:val="solid" w:color="000000" w:fill="000000"/>
                <w:fitText w:val="334" w:id="-762047227"/>
                <w14:textFill>
                  <w14:solidFill>
                    <w14:srgbClr w14:val="000000">
                      <w14:alpha w14:val="100000"/>
                    </w14:srgbClr>
                  </w14:solidFill>
                </w14:textFill>
              </w:rPr>
              <w:t>|||</w:t>
            </w:r>
            <w:r w:rsidR="00E44A34" w:rsidRPr="00E44A34">
              <w:rPr>
                <w:color w:val="000000"/>
                <w:spacing w:val="2"/>
                <w:shd w:val="solid" w:color="000000" w:fill="000000"/>
                <w:fitText w:val="334" w:id="-762047227"/>
                <w14:textFill>
                  <w14:solidFill>
                    <w14:srgbClr w14:val="000000">
                      <w14:alpha w14:val="100000"/>
                    </w14:srgbClr>
                  </w14:solidFill>
                </w14:textFill>
              </w:rPr>
              <w:t>|</w:t>
            </w:r>
            <w:r w:rsidR="00E334D9">
              <w:rPr>
                <w:vertAlign w:val="superscript"/>
              </w:rPr>
              <w:t>14</w:t>
            </w:r>
          </w:p>
        </w:tc>
        <w:tc>
          <w:tcPr>
            <w:tcW w:w="611" w:type="pct"/>
            <w:shd w:val="clear" w:color="auto" w:fill="auto"/>
            <w:vAlign w:val="center"/>
          </w:tcPr>
          <w:p w14:paraId="2EEF0959" w14:textId="62FF7564" w:rsidR="00C764F4" w:rsidRPr="00F20367" w:rsidRDefault="00C764F4" w:rsidP="00E76F4F">
            <w:pPr>
              <w:pStyle w:val="TableText0"/>
              <w:rPr>
                <w:i/>
                <w:vertAlign w:val="superscript"/>
              </w:rPr>
            </w:pPr>
            <w:r w:rsidRPr="009A4DCA">
              <w:t>$</w:t>
            </w:r>
            <w:r w:rsidR="00E44A34" w:rsidRPr="00E44A34">
              <w:rPr>
                <w:color w:val="000000"/>
                <w:spacing w:val="54"/>
                <w:shd w:val="solid" w:color="000000" w:fill="000000"/>
                <w:fitText w:val="334" w:id="-762047226"/>
                <w14:textFill>
                  <w14:solidFill>
                    <w14:srgbClr w14:val="000000">
                      <w14:alpha w14:val="100000"/>
                    </w14:srgbClr>
                  </w14:solidFill>
                </w14:textFill>
              </w:rPr>
              <w:t>|||</w:t>
            </w:r>
            <w:r w:rsidR="00E44A34" w:rsidRPr="00E44A34">
              <w:rPr>
                <w:color w:val="000000"/>
                <w:spacing w:val="2"/>
                <w:shd w:val="solid" w:color="000000" w:fill="000000"/>
                <w:fitText w:val="334" w:id="-762047226"/>
                <w14:textFill>
                  <w14:solidFill>
                    <w14:srgbClr w14:val="000000">
                      <w14:alpha w14:val="100000"/>
                    </w14:srgbClr>
                  </w14:solidFill>
                </w14:textFill>
              </w:rPr>
              <w:t>|</w:t>
            </w:r>
            <w:r w:rsidR="001118EA">
              <w:t xml:space="preserve"> </w:t>
            </w:r>
            <w:r w:rsidR="00F20367">
              <w:rPr>
                <w:vertAlign w:val="superscript"/>
              </w:rPr>
              <w:t>15</w:t>
            </w:r>
          </w:p>
        </w:tc>
        <w:tc>
          <w:tcPr>
            <w:tcW w:w="611" w:type="pct"/>
            <w:shd w:val="clear" w:color="auto" w:fill="auto"/>
            <w:vAlign w:val="center"/>
          </w:tcPr>
          <w:p w14:paraId="234663B7" w14:textId="6D87544D" w:rsidR="00C764F4" w:rsidRPr="00455E3F" w:rsidRDefault="00C764F4" w:rsidP="00E76F4F">
            <w:pPr>
              <w:pStyle w:val="TableText0"/>
              <w:rPr>
                <w:i/>
                <w:vertAlign w:val="superscript"/>
              </w:rPr>
            </w:pPr>
            <w:r w:rsidRPr="009A4DCA">
              <w:t>$</w:t>
            </w:r>
            <w:r w:rsidR="00E44A34" w:rsidRPr="00E44A34">
              <w:rPr>
                <w:color w:val="000000"/>
                <w:spacing w:val="54"/>
                <w:shd w:val="solid" w:color="000000" w:fill="000000"/>
                <w:fitText w:val="333" w:id="-762047225"/>
                <w14:textFill>
                  <w14:solidFill>
                    <w14:srgbClr w14:val="000000">
                      <w14:alpha w14:val="100000"/>
                    </w14:srgbClr>
                  </w14:solidFill>
                </w14:textFill>
              </w:rPr>
              <w:t>|||</w:t>
            </w:r>
            <w:r w:rsidR="00E44A34" w:rsidRPr="00E44A34">
              <w:rPr>
                <w:color w:val="000000"/>
                <w:spacing w:val="1"/>
                <w:shd w:val="solid" w:color="000000" w:fill="000000"/>
                <w:fitText w:val="333" w:id="-762047225"/>
                <w14:textFill>
                  <w14:solidFill>
                    <w14:srgbClr w14:val="000000">
                      <w14:alpha w14:val="100000"/>
                    </w14:srgbClr>
                  </w14:solidFill>
                </w14:textFill>
              </w:rPr>
              <w:t>|</w:t>
            </w:r>
            <w:r w:rsidR="00455E3F">
              <w:rPr>
                <w:vertAlign w:val="superscript"/>
              </w:rPr>
              <w:t>16</w:t>
            </w:r>
          </w:p>
        </w:tc>
        <w:tc>
          <w:tcPr>
            <w:tcW w:w="611" w:type="pct"/>
            <w:shd w:val="clear" w:color="auto" w:fill="auto"/>
            <w:vAlign w:val="center"/>
          </w:tcPr>
          <w:p w14:paraId="5E6C28CA" w14:textId="7A566659" w:rsidR="00C764F4" w:rsidRPr="00073F14" w:rsidRDefault="00C764F4" w:rsidP="00E76F4F">
            <w:pPr>
              <w:pStyle w:val="TableText0"/>
              <w:rPr>
                <w:i/>
                <w:vertAlign w:val="superscript"/>
              </w:rPr>
            </w:pPr>
            <w:r w:rsidRPr="009A4DCA">
              <w:t>$</w:t>
            </w:r>
            <w:r w:rsidR="00E44A34" w:rsidRPr="00E44A34">
              <w:rPr>
                <w:color w:val="000000"/>
                <w:spacing w:val="54"/>
                <w:shd w:val="solid" w:color="000000" w:fill="000000"/>
                <w:fitText w:val="333" w:id="-762047224"/>
                <w14:textFill>
                  <w14:solidFill>
                    <w14:srgbClr w14:val="000000">
                      <w14:alpha w14:val="100000"/>
                    </w14:srgbClr>
                  </w14:solidFill>
                </w14:textFill>
              </w:rPr>
              <w:t>|||</w:t>
            </w:r>
            <w:r w:rsidR="00E44A34" w:rsidRPr="00E44A34">
              <w:rPr>
                <w:color w:val="000000"/>
                <w:spacing w:val="1"/>
                <w:shd w:val="solid" w:color="000000" w:fill="000000"/>
                <w:fitText w:val="333" w:id="-762047224"/>
                <w14:textFill>
                  <w14:solidFill>
                    <w14:srgbClr w14:val="000000">
                      <w14:alpha w14:val="100000"/>
                    </w14:srgbClr>
                  </w14:solidFill>
                </w14:textFill>
              </w:rPr>
              <w:t>|</w:t>
            </w:r>
            <w:r w:rsidR="00073F14">
              <w:rPr>
                <w:vertAlign w:val="superscript"/>
              </w:rPr>
              <w:t>17</w:t>
            </w:r>
          </w:p>
        </w:tc>
        <w:tc>
          <w:tcPr>
            <w:tcW w:w="611" w:type="pct"/>
            <w:shd w:val="clear" w:color="auto" w:fill="auto"/>
            <w:vAlign w:val="center"/>
          </w:tcPr>
          <w:p w14:paraId="7665A7E5" w14:textId="246E473E"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23"/>
                <w14:textFill>
                  <w14:solidFill>
                    <w14:srgbClr w14:val="000000">
                      <w14:alpha w14:val="100000"/>
                    </w14:srgbClr>
                  </w14:solidFill>
                </w14:textFill>
              </w:rPr>
              <w:t>|||</w:t>
            </w:r>
            <w:r w:rsidR="00E44A34" w:rsidRPr="00E44A34">
              <w:rPr>
                <w:color w:val="000000"/>
                <w:spacing w:val="1"/>
                <w:shd w:val="solid" w:color="000000" w:fill="000000"/>
                <w:fitText w:val="333" w:id="-762047223"/>
                <w14:textFill>
                  <w14:solidFill>
                    <w14:srgbClr w14:val="000000">
                      <w14:alpha w14:val="100000"/>
                    </w14:srgbClr>
                  </w14:solidFill>
                </w14:textFill>
              </w:rPr>
              <w:t>|</w:t>
            </w:r>
            <w:r w:rsidR="00073F14">
              <w:rPr>
                <w:vertAlign w:val="superscript"/>
              </w:rPr>
              <w:t>17</w:t>
            </w:r>
          </w:p>
        </w:tc>
        <w:tc>
          <w:tcPr>
            <w:tcW w:w="612" w:type="pct"/>
            <w:vAlign w:val="center"/>
          </w:tcPr>
          <w:p w14:paraId="34E6E637" w14:textId="39046C79"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22"/>
                <w14:textFill>
                  <w14:solidFill>
                    <w14:srgbClr w14:val="000000">
                      <w14:alpha w14:val="100000"/>
                    </w14:srgbClr>
                  </w14:solidFill>
                </w14:textFill>
              </w:rPr>
              <w:t>|||</w:t>
            </w:r>
            <w:r w:rsidR="00E44A34" w:rsidRPr="00E44A34">
              <w:rPr>
                <w:color w:val="000000"/>
                <w:spacing w:val="1"/>
                <w:shd w:val="solid" w:color="000000" w:fill="000000"/>
                <w:fitText w:val="333" w:id="-762047222"/>
                <w14:textFill>
                  <w14:solidFill>
                    <w14:srgbClr w14:val="000000">
                      <w14:alpha w14:val="100000"/>
                    </w14:srgbClr>
                  </w14:solidFill>
                </w14:textFill>
              </w:rPr>
              <w:t>|</w:t>
            </w:r>
            <w:r w:rsidR="00073F14">
              <w:rPr>
                <w:vertAlign w:val="superscript"/>
              </w:rPr>
              <w:t>17</w:t>
            </w:r>
          </w:p>
        </w:tc>
      </w:tr>
      <w:tr w:rsidR="00C764F4" w:rsidRPr="009A4DCA" w14:paraId="489FD6DA" w14:textId="77777777" w:rsidTr="007B2D29">
        <w:tc>
          <w:tcPr>
            <w:tcW w:w="1255" w:type="pct"/>
            <w:shd w:val="clear" w:color="auto" w:fill="auto"/>
            <w:vAlign w:val="center"/>
          </w:tcPr>
          <w:p w14:paraId="2E7AB969" w14:textId="77777777" w:rsidR="00C764F4" w:rsidRPr="009A4DCA" w:rsidRDefault="00C764F4" w:rsidP="00E76F4F">
            <w:pPr>
              <w:pStyle w:val="TableText0"/>
              <w:rPr>
                <w:i/>
              </w:rPr>
            </w:pPr>
            <w:r w:rsidRPr="009A4DCA">
              <w:t>Aboriginal and Torres Strait Islander peoples aged 60-74 years</w:t>
            </w:r>
          </w:p>
        </w:tc>
        <w:tc>
          <w:tcPr>
            <w:tcW w:w="689" w:type="pct"/>
            <w:shd w:val="clear" w:color="auto" w:fill="auto"/>
            <w:vAlign w:val="center"/>
          </w:tcPr>
          <w:p w14:paraId="3527BF72" w14:textId="5182BB6C" w:rsidR="00C764F4" w:rsidRPr="00C16F9D" w:rsidRDefault="00C764F4" w:rsidP="00E76F4F">
            <w:pPr>
              <w:pStyle w:val="TableText0"/>
              <w:rPr>
                <w:i/>
                <w:vertAlign w:val="superscript"/>
              </w:rPr>
            </w:pPr>
            <w:r w:rsidRPr="009A4DCA">
              <w:t>$</w:t>
            </w:r>
            <w:r w:rsidR="00E44A34" w:rsidRPr="00E44A34">
              <w:rPr>
                <w:color w:val="000000"/>
                <w:spacing w:val="54"/>
                <w:shd w:val="solid" w:color="000000" w:fill="000000"/>
                <w:fitText w:val="334" w:id="-762047221"/>
                <w14:textFill>
                  <w14:solidFill>
                    <w14:srgbClr w14:val="000000">
                      <w14:alpha w14:val="100000"/>
                    </w14:srgbClr>
                  </w14:solidFill>
                </w14:textFill>
              </w:rPr>
              <w:t>|||</w:t>
            </w:r>
            <w:r w:rsidR="00E44A34" w:rsidRPr="00E44A34">
              <w:rPr>
                <w:color w:val="000000"/>
                <w:spacing w:val="2"/>
                <w:shd w:val="solid" w:color="000000" w:fill="000000"/>
                <w:fitText w:val="334" w:id="-762047221"/>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50E84B22" w14:textId="6ADBE3D0"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7220"/>
                <w14:textFill>
                  <w14:solidFill>
                    <w14:srgbClr w14:val="000000">
                      <w14:alpha w14:val="100000"/>
                    </w14:srgbClr>
                  </w14:solidFill>
                </w14:textFill>
              </w:rPr>
              <w:t>|||</w:t>
            </w:r>
            <w:r w:rsidR="00E44A34" w:rsidRPr="00E44A34">
              <w:rPr>
                <w:color w:val="000000"/>
                <w:spacing w:val="2"/>
                <w:shd w:val="solid" w:color="000000" w:fill="000000"/>
                <w:fitText w:val="334" w:id="-762047220"/>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7A974591" w14:textId="0C8A9A55"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19"/>
                <w14:textFill>
                  <w14:solidFill>
                    <w14:srgbClr w14:val="000000">
                      <w14:alpha w14:val="100000"/>
                    </w14:srgbClr>
                  </w14:solidFill>
                </w14:textFill>
              </w:rPr>
              <w:t>|||</w:t>
            </w:r>
            <w:r w:rsidR="00E44A34" w:rsidRPr="00E44A34">
              <w:rPr>
                <w:color w:val="000000"/>
                <w:spacing w:val="1"/>
                <w:shd w:val="solid" w:color="000000" w:fill="000000"/>
                <w:fitText w:val="333" w:id="-762047219"/>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1854D34C" w14:textId="2BD056AB"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18"/>
                <w14:textFill>
                  <w14:solidFill>
                    <w14:srgbClr w14:val="000000">
                      <w14:alpha w14:val="100000"/>
                    </w14:srgbClr>
                  </w14:solidFill>
                </w14:textFill>
              </w:rPr>
              <w:t>|||</w:t>
            </w:r>
            <w:r w:rsidR="00E44A34" w:rsidRPr="00E44A34">
              <w:rPr>
                <w:color w:val="000000"/>
                <w:spacing w:val="1"/>
                <w:shd w:val="solid" w:color="000000" w:fill="000000"/>
                <w:fitText w:val="333" w:id="-762047218"/>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093ADBC3" w14:textId="53E7085C"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17"/>
                <w14:textFill>
                  <w14:solidFill>
                    <w14:srgbClr w14:val="000000">
                      <w14:alpha w14:val="100000"/>
                    </w14:srgbClr>
                  </w14:solidFill>
                </w14:textFill>
              </w:rPr>
              <w:t>|||</w:t>
            </w:r>
            <w:r w:rsidR="00E44A34" w:rsidRPr="00E44A34">
              <w:rPr>
                <w:color w:val="000000"/>
                <w:spacing w:val="1"/>
                <w:shd w:val="solid" w:color="000000" w:fill="000000"/>
                <w:fitText w:val="333" w:id="-762047217"/>
                <w14:textFill>
                  <w14:solidFill>
                    <w14:srgbClr w14:val="000000">
                      <w14:alpha w14:val="100000"/>
                    </w14:srgbClr>
                  </w14:solidFill>
                </w14:textFill>
              </w:rPr>
              <w:t>|</w:t>
            </w:r>
            <w:r w:rsidR="00C16F9D">
              <w:rPr>
                <w:vertAlign w:val="superscript"/>
              </w:rPr>
              <w:t>18</w:t>
            </w:r>
          </w:p>
        </w:tc>
        <w:tc>
          <w:tcPr>
            <w:tcW w:w="612" w:type="pct"/>
            <w:vAlign w:val="center"/>
          </w:tcPr>
          <w:p w14:paraId="320D7074" w14:textId="656E9887"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16"/>
                <w14:textFill>
                  <w14:solidFill>
                    <w14:srgbClr w14:val="000000">
                      <w14:alpha w14:val="100000"/>
                    </w14:srgbClr>
                  </w14:solidFill>
                </w14:textFill>
              </w:rPr>
              <w:t>|||</w:t>
            </w:r>
            <w:r w:rsidR="00E44A34" w:rsidRPr="00E44A34">
              <w:rPr>
                <w:color w:val="000000"/>
                <w:spacing w:val="1"/>
                <w:shd w:val="solid" w:color="000000" w:fill="000000"/>
                <w:fitText w:val="333" w:id="-762047216"/>
                <w14:textFill>
                  <w14:solidFill>
                    <w14:srgbClr w14:val="000000">
                      <w14:alpha w14:val="100000"/>
                    </w14:srgbClr>
                  </w14:solidFill>
                </w14:textFill>
              </w:rPr>
              <w:t>|</w:t>
            </w:r>
            <w:r w:rsidR="00C16F9D">
              <w:rPr>
                <w:vertAlign w:val="superscript"/>
              </w:rPr>
              <w:t>18</w:t>
            </w:r>
          </w:p>
        </w:tc>
      </w:tr>
      <w:tr w:rsidR="00C764F4" w:rsidRPr="009A4DCA" w14:paraId="22A7D24B" w14:textId="77777777" w:rsidTr="007B2D29">
        <w:tc>
          <w:tcPr>
            <w:tcW w:w="1255" w:type="pct"/>
            <w:shd w:val="clear" w:color="auto" w:fill="auto"/>
            <w:vAlign w:val="center"/>
          </w:tcPr>
          <w:p w14:paraId="37023254" w14:textId="77777777" w:rsidR="00C764F4" w:rsidRPr="009A4DCA" w:rsidRDefault="00C764F4" w:rsidP="00BE2884">
            <w:pPr>
              <w:pStyle w:val="Tabletext"/>
              <w:keepNext/>
              <w:keepLines/>
              <w:rPr>
                <w:b/>
                <w:bCs/>
                <w:szCs w:val="18"/>
              </w:rPr>
            </w:pPr>
            <w:r w:rsidRPr="009A4DCA">
              <w:rPr>
                <w:b/>
                <w:bCs/>
                <w:szCs w:val="18"/>
              </w:rPr>
              <w:t>Net cost to MBS</w:t>
            </w:r>
          </w:p>
        </w:tc>
        <w:tc>
          <w:tcPr>
            <w:tcW w:w="689" w:type="pct"/>
            <w:shd w:val="clear" w:color="auto" w:fill="auto"/>
            <w:vAlign w:val="center"/>
          </w:tcPr>
          <w:p w14:paraId="6A517EC7" w14:textId="7705B935"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7232"/>
                <w14:textFill>
                  <w14:solidFill>
                    <w14:srgbClr w14:val="000000">
                      <w14:alpha w14:val="100000"/>
                    </w14:srgbClr>
                  </w14:solidFill>
                </w14:textFill>
              </w:rPr>
              <w:t>|||</w:t>
            </w:r>
            <w:r w:rsidR="00E44A34" w:rsidRPr="00E44A34">
              <w:rPr>
                <w:color w:val="000000"/>
                <w:spacing w:val="2"/>
                <w:shd w:val="solid" w:color="000000" w:fill="000000"/>
                <w:fitText w:val="334" w:id="-762047232"/>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53799652" w14:textId="081FCFE8"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7231"/>
                <w14:textFill>
                  <w14:solidFill>
                    <w14:srgbClr w14:val="000000">
                      <w14:alpha w14:val="100000"/>
                    </w14:srgbClr>
                  </w14:solidFill>
                </w14:textFill>
              </w:rPr>
              <w:t>|||</w:t>
            </w:r>
            <w:r w:rsidR="00E44A34" w:rsidRPr="00E44A34">
              <w:rPr>
                <w:color w:val="000000"/>
                <w:spacing w:val="2"/>
                <w:shd w:val="solid" w:color="000000" w:fill="000000"/>
                <w:fitText w:val="334" w:id="-762047231"/>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7A88B58E" w14:textId="374B9A53"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7230"/>
                <w14:textFill>
                  <w14:solidFill>
                    <w14:srgbClr w14:val="000000">
                      <w14:alpha w14:val="100000"/>
                    </w14:srgbClr>
                  </w14:solidFill>
                </w14:textFill>
              </w:rPr>
              <w:t>|||</w:t>
            </w:r>
            <w:r w:rsidR="00E44A34" w:rsidRPr="00E44A34">
              <w:rPr>
                <w:color w:val="000000"/>
                <w:spacing w:val="1"/>
                <w:shd w:val="solid" w:color="000000" w:fill="000000"/>
                <w:fitText w:val="333" w:id="-762047230"/>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69AA0CC2" w14:textId="50436A17"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6976"/>
                <w14:textFill>
                  <w14:solidFill>
                    <w14:srgbClr w14:val="000000">
                      <w14:alpha w14:val="100000"/>
                    </w14:srgbClr>
                  </w14:solidFill>
                </w14:textFill>
              </w:rPr>
              <w:t>|||</w:t>
            </w:r>
            <w:r w:rsidR="00E44A34" w:rsidRPr="00E44A34">
              <w:rPr>
                <w:color w:val="000000"/>
                <w:spacing w:val="1"/>
                <w:shd w:val="solid" w:color="000000" w:fill="000000"/>
                <w:fitText w:val="333" w:id="-762046976"/>
                <w14:textFill>
                  <w14:solidFill>
                    <w14:srgbClr w14:val="000000">
                      <w14:alpha w14:val="100000"/>
                    </w14:srgbClr>
                  </w14:solidFill>
                </w14:textFill>
              </w:rPr>
              <w:t>|</w:t>
            </w:r>
            <w:r w:rsidR="00C16F9D">
              <w:rPr>
                <w:vertAlign w:val="superscript"/>
              </w:rPr>
              <w:t>18</w:t>
            </w:r>
          </w:p>
        </w:tc>
        <w:tc>
          <w:tcPr>
            <w:tcW w:w="611" w:type="pct"/>
            <w:shd w:val="clear" w:color="auto" w:fill="auto"/>
            <w:vAlign w:val="center"/>
          </w:tcPr>
          <w:p w14:paraId="3BB85833" w14:textId="6FC7CBE3"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6975"/>
                <w14:textFill>
                  <w14:solidFill>
                    <w14:srgbClr w14:val="000000">
                      <w14:alpha w14:val="100000"/>
                    </w14:srgbClr>
                  </w14:solidFill>
                </w14:textFill>
              </w:rPr>
              <w:t>|||</w:t>
            </w:r>
            <w:r w:rsidR="00E44A34" w:rsidRPr="00E44A34">
              <w:rPr>
                <w:color w:val="000000"/>
                <w:spacing w:val="1"/>
                <w:shd w:val="solid" w:color="000000" w:fill="000000"/>
                <w:fitText w:val="333" w:id="-762046975"/>
                <w14:textFill>
                  <w14:solidFill>
                    <w14:srgbClr w14:val="000000">
                      <w14:alpha w14:val="100000"/>
                    </w14:srgbClr>
                  </w14:solidFill>
                </w14:textFill>
              </w:rPr>
              <w:t>|</w:t>
            </w:r>
            <w:r w:rsidR="00C16F9D">
              <w:rPr>
                <w:vertAlign w:val="superscript"/>
              </w:rPr>
              <w:t>18</w:t>
            </w:r>
          </w:p>
        </w:tc>
        <w:tc>
          <w:tcPr>
            <w:tcW w:w="612" w:type="pct"/>
            <w:vAlign w:val="center"/>
          </w:tcPr>
          <w:p w14:paraId="2A1C81AF" w14:textId="1AF08074"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6974"/>
                <w14:textFill>
                  <w14:solidFill>
                    <w14:srgbClr w14:val="000000">
                      <w14:alpha w14:val="100000"/>
                    </w14:srgbClr>
                  </w14:solidFill>
                </w14:textFill>
              </w:rPr>
              <w:t>|||</w:t>
            </w:r>
            <w:r w:rsidR="00E44A34" w:rsidRPr="00E44A34">
              <w:rPr>
                <w:color w:val="000000"/>
                <w:spacing w:val="1"/>
                <w:shd w:val="solid" w:color="000000" w:fill="000000"/>
                <w:fitText w:val="333" w:id="-762046974"/>
                <w14:textFill>
                  <w14:solidFill>
                    <w14:srgbClr w14:val="000000">
                      <w14:alpha w14:val="100000"/>
                    </w14:srgbClr>
                  </w14:solidFill>
                </w14:textFill>
              </w:rPr>
              <w:t>|</w:t>
            </w:r>
            <w:r w:rsidR="00C16F9D">
              <w:rPr>
                <w:vertAlign w:val="superscript"/>
              </w:rPr>
              <w:t>18</w:t>
            </w:r>
          </w:p>
        </w:tc>
      </w:tr>
      <w:tr w:rsidR="00C764F4" w:rsidRPr="009A4DCA" w14:paraId="157B8C5D" w14:textId="77777777" w:rsidTr="007B2D29">
        <w:tc>
          <w:tcPr>
            <w:tcW w:w="1255" w:type="pct"/>
            <w:shd w:val="clear" w:color="auto" w:fill="auto"/>
            <w:vAlign w:val="center"/>
          </w:tcPr>
          <w:p w14:paraId="1B3B582C" w14:textId="77777777" w:rsidR="00C764F4" w:rsidRPr="009A4DCA" w:rsidRDefault="00C764F4" w:rsidP="00BE2884">
            <w:pPr>
              <w:pStyle w:val="Tabletext"/>
              <w:keepNext/>
              <w:keepLines/>
              <w:rPr>
                <w:szCs w:val="18"/>
              </w:rPr>
            </w:pPr>
            <w:r w:rsidRPr="009A4DCA">
              <w:rPr>
                <w:szCs w:val="18"/>
              </w:rPr>
              <w:t>Net cost to Government Health Budget</w:t>
            </w:r>
          </w:p>
        </w:tc>
        <w:tc>
          <w:tcPr>
            <w:tcW w:w="689" w:type="pct"/>
            <w:shd w:val="clear" w:color="auto" w:fill="auto"/>
          </w:tcPr>
          <w:p w14:paraId="4EB24A0E" w14:textId="35F070A4"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6973"/>
                <w14:textFill>
                  <w14:solidFill>
                    <w14:srgbClr w14:val="000000">
                      <w14:alpha w14:val="100000"/>
                    </w14:srgbClr>
                  </w14:solidFill>
                </w14:textFill>
              </w:rPr>
              <w:t>|||</w:t>
            </w:r>
            <w:r w:rsidR="00E44A34" w:rsidRPr="00E44A34">
              <w:rPr>
                <w:color w:val="000000"/>
                <w:spacing w:val="2"/>
                <w:shd w:val="solid" w:color="000000" w:fill="000000"/>
                <w:fitText w:val="334" w:id="-762046973"/>
                <w14:textFill>
                  <w14:solidFill>
                    <w14:srgbClr w14:val="000000">
                      <w14:alpha w14:val="100000"/>
                    </w14:srgbClr>
                  </w14:solidFill>
                </w14:textFill>
              </w:rPr>
              <w:t>|</w:t>
            </w:r>
            <w:r w:rsidR="008159CC">
              <w:rPr>
                <w:vertAlign w:val="superscript"/>
              </w:rPr>
              <w:t>11</w:t>
            </w:r>
          </w:p>
        </w:tc>
        <w:tc>
          <w:tcPr>
            <w:tcW w:w="611" w:type="pct"/>
            <w:shd w:val="clear" w:color="auto" w:fill="auto"/>
          </w:tcPr>
          <w:p w14:paraId="28CFCC29" w14:textId="5E396A04" w:rsidR="00C764F4" w:rsidRPr="009A4DCA" w:rsidRDefault="00C764F4" w:rsidP="00E76F4F">
            <w:pPr>
              <w:pStyle w:val="TableText0"/>
              <w:rPr>
                <w:i/>
              </w:rPr>
            </w:pPr>
            <w:r w:rsidRPr="009A4DCA">
              <w:t>$</w:t>
            </w:r>
            <w:r w:rsidR="00E44A34" w:rsidRPr="00E44A34">
              <w:rPr>
                <w:color w:val="000000"/>
                <w:spacing w:val="54"/>
                <w:shd w:val="solid" w:color="000000" w:fill="000000"/>
                <w:fitText w:val="334" w:id="-762046972"/>
                <w14:textFill>
                  <w14:solidFill>
                    <w14:srgbClr w14:val="000000">
                      <w14:alpha w14:val="100000"/>
                    </w14:srgbClr>
                  </w14:solidFill>
                </w14:textFill>
              </w:rPr>
              <w:t>|||</w:t>
            </w:r>
            <w:r w:rsidR="00E44A34" w:rsidRPr="00E44A34">
              <w:rPr>
                <w:color w:val="000000"/>
                <w:spacing w:val="2"/>
                <w:shd w:val="solid" w:color="000000" w:fill="000000"/>
                <w:fitText w:val="334" w:id="-762046972"/>
                <w14:textFill>
                  <w14:solidFill>
                    <w14:srgbClr w14:val="000000">
                      <w14:alpha w14:val="100000"/>
                    </w14:srgbClr>
                  </w14:solidFill>
                </w14:textFill>
              </w:rPr>
              <w:t>|</w:t>
            </w:r>
            <w:r w:rsidR="002C1030">
              <w:rPr>
                <w:vertAlign w:val="superscript"/>
              </w:rPr>
              <w:t>11</w:t>
            </w:r>
          </w:p>
        </w:tc>
        <w:tc>
          <w:tcPr>
            <w:tcW w:w="611" w:type="pct"/>
            <w:shd w:val="clear" w:color="auto" w:fill="auto"/>
          </w:tcPr>
          <w:p w14:paraId="46D808E7" w14:textId="1197C549"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6971"/>
                <w14:textFill>
                  <w14:solidFill>
                    <w14:srgbClr w14:val="000000">
                      <w14:alpha w14:val="100000"/>
                    </w14:srgbClr>
                  </w14:solidFill>
                </w14:textFill>
              </w:rPr>
              <w:t>|||</w:t>
            </w:r>
            <w:r w:rsidR="00E44A34" w:rsidRPr="00E44A34">
              <w:rPr>
                <w:color w:val="000000"/>
                <w:spacing w:val="1"/>
                <w:shd w:val="solid" w:color="000000" w:fill="000000"/>
                <w:fitText w:val="333" w:id="-762046971"/>
                <w14:textFill>
                  <w14:solidFill>
                    <w14:srgbClr w14:val="000000">
                      <w14:alpha w14:val="100000"/>
                    </w14:srgbClr>
                  </w14:solidFill>
                </w14:textFill>
              </w:rPr>
              <w:t>|</w:t>
            </w:r>
            <w:r w:rsidR="002C1030">
              <w:rPr>
                <w:vertAlign w:val="superscript"/>
              </w:rPr>
              <w:t>11</w:t>
            </w:r>
          </w:p>
        </w:tc>
        <w:tc>
          <w:tcPr>
            <w:tcW w:w="611" w:type="pct"/>
            <w:shd w:val="clear" w:color="auto" w:fill="auto"/>
          </w:tcPr>
          <w:p w14:paraId="68DA4EBF" w14:textId="21F44F3E"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6970"/>
                <w14:textFill>
                  <w14:solidFill>
                    <w14:srgbClr w14:val="000000">
                      <w14:alpha w14:val="100000"/>
                    </w14:srgbClr>
                  </w14:solidFill>
                </w14:textFill>
              </w:rPr>
              <w:t>|||</w:t>
            </w:r>
            <w:r w:rsidR="00E44A34" w:rsidRPr="00E44A34">
              <w:rPr>
                <w:color w:val="000000"/>
                <w:spacing w:val="1"/>
                <w:shd w:val="solid" w:color="000000" w:fill="000000"/>
                <w:fitText w:val="333" w:id="-762046970"/>
                <w14:textFill>
                  <w14:solidFill>
                    <w14:srgbClr w14:val="000000">
                      <w14:alpha w14:val="100000"/>
                    </w14:srgbClr>
                  </w14:solidFill>
                </w14:textFill>
              </w:rPr>
              <w:t>|</w:t>
            </w:r>
            <w:r w:rsidR="003F4067">
              <w:rPr>
                <w:vertAlign w:val="superscript"/>
              </w:rPr>
              <w:t>12</w:t>
            </w:r>
          </w:p>
        </w:tc>
        <w:tc>
          <w:tcPr>
            <w:tcW w:w="611" w:type="pct"/>
            <w:shd w:val="clear" w:color="auto" w:fill="auto"/>
          </w:tcPr>
          <w:p w14:paraId="1A0BE482" w14:textId="2243ADF7"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6969"/>
                <w14:textFill>
                  <w14:solidFill>
                    <w14:srgbClr w14:val="000000">
                      <w14:alpha w14:val="100000"/>
                    </w14:srgbClr>
                  </w14:solidFill>
                </w14:textFill>
              </w:rPr>
              <w:t>|||</w:t>
            </w:r>
            <w:r w:rsidR="00E44A34" w:rsidRPr="00E44A34">
              <w:rPr>
                <w:color w:val="000000"/>
                <w:spacing w:val="1"/>
                <w:shd w:val="solid" w:color="000000" w:fill="000000"/>
                <w:fitText w:val="333" w:id="-762046969"/>
                <w14:textFill>
                  <w14:solidFill>
                    <w14:srgbClr w14:val="000000">
                      <w14:alpha w14:val="100000"/>
                    </w14:srgbClr>
                  </w14:solidFill>
                </w14:textFill>
              </w:rPr>
              <w:t>|</w:t>
            </w:r>
            <w:r w:rsidR="003F4067">
              <w:rPr>
                <w:vertAlign w:val="superscript"/>
              </w:rPr>
              <w:t>12</w:t>
            </w:r>
          </w:p>
        </w:tc>
        <w:tc>
          <w:tcPr>
            <w:tcW w:w="612" w:type="pct"/>
          </w:tcPr>
          <w:p w14:paraId="554A1103" w14:textId="2FB2E1F5" w:rsidR="00C764F4" w:rsidRPr="009A4DCA" w:rsidRDefault="00C764F4" w:rsidP="00E76F4F">
            <w:pPr>
              <w:pStyle w:val="TableText0"/>
              <w:rPr>
                <w:i/>
              </w:rPr>
            </w:pPr>
            <w:r w:rsidRPr="009A4DCA">
              <w:t>$</w:t>
            </w:r>
            <w:r w:rsidR="00E44A34" w:rsidRPr="00E44A34">
              <w:rPr>
                <w:color w:val="000000"/>
                <w:spacing w:val="54"/>
                <w:shd w:val="solid" w:color="000000" w:fill="000000"/>
                <w:fitText w:val="333" w:id="-762046968"/>
                <w14:textFill>
                  <w14:solidFill>
                    <w14:srgbClr w14:val="000000">
                      <w14:alpha w14:val="100000"/>
                    </w14:srgbClr>
                  </w14:solidFill>
                </w14:textFill>
              </w:rPr>
              <w:t>|||</w:t>
            </w:r>
            <w:r w:rsidR="00E44A34" w:rsidRPr="00E44A34">
              <w:rPr>
                <w:color w:val="000000"/>
                <w:spacing w:val="1"/>
                <w:shd w:val="solid" w:color="000000" w:fill="000000"/>
                <w:fitText w:val="333" w:id="-762046968"/>
                <w14:textFill>
                  <w14:solidFill>
                    <w14:srgbClr w14:val="000000">
                      <w14:alpha w14:val="100000"/>
                    </w14:srgbClr>
                  </w14:solidFill>
                </w14:textFill>
              </w:rPr>
              <w:t>|</w:t>
            </w:r>
            <w:r w:rsidR="003F4067">
              <w:rPr>
                <w:vertAlign w:val="superscript"/>
              </w:rPr>
              <w:t>12</w:t>
            </w:r>
          </w:p>
        </w:tc>
      </w:tr>
      <w:tr w:rsidR="004D60A7" w:rsidRPr="009A4DCA" w14:paraId="5BDA5B12" w14:textId="77777777" w:rsidTr="004D60A7">
        <w:tc>
          <w:tcPr>
            <w:tcW w:w="5000" w:type="pct"/>
            <w:gridSpan w:val="7"/>
            <w:shd w:val="clear" w:color="auto" w:fill="auto"/>
            <w:vAlign w:val="center"/>
          </w:tcPr>
          <w:p w14:paraId="18F721DA" w14:textId="40680C93" w:rsidR="004D60A7" w:rsidRPr="009A4DCA" w:rsidRDefault="004D60A7" w:rsidP="0021329B">
            <w:pPr>
              <w:pStyle w:val="TableHeading"/>
            </w:pPr>
            <w:r w:rsidRPr="009A4DCA">
              <w:t xml:space="preserve">Updated net cost Net cost to </w:t>
            </w:r>
            <w:r w:rsidR="00CA0ACC" w:rsidRPr="009A4DCA">
              <w:t>G</w:t>
            </w:r>
            <w:r w:rsidRPr="009A4DCA">
              <w:t xml:space="preserve">overnment </w:t>
            </w:r>
            <w:r w:rsidR="00CA0ACC" w:rsidRPr="009A4DCA">
              <w:t xml:space="preserve">Health Budget </w:t>
            </w:r>
            <w:r w:rsidRPr="009A4DCA">
              <w:t>as reported in PSCR</w:t>
            </w:r>
          </w:p>
        </w:tc>
      </w:tr>
      <w:tr w:rsidR="00540E44" w:rsidRPr="009A4DCA" w14:paraId="027BA88F" w14:textId="77777777" w:rsidTr="007B2D29">
        <w:tc>
          <w:tcPr>
            <w:tcW w:w="1255" w:type="pct"/>
            <w:shd w:val="clear" w:color="auto" w:fill="auto"/>
          </w:tcPr>
          <w:p w14:paraId="7E2B43D0" w14:textId="18E7618C" w:rsidR="00540E44" w:rsidRPr="009A4DCA" w:rsidRDefault="00540E44" w:rsidP="00540E44">
            <w:pPr>
              <w:pStyle w:val="Tabletext"/>
              <w:keepNext/>
              <w:keepLines/>
              <w:rPr>
                <w:szCs w:val="18"/>
              </w:rPr>
            </w:pPr>
            <w:r w:rsidRPr="009A4DCA">
              <w:rPr>
                <w:szCs w:val="20"/>
              </w:rPr>
              <w:t xml:space="preserve">Updated (PSCR) estimate </w:t>
            </w:r>
            <w:r w:rsidR="00F67110" w:rsidRPr="009A4DCA">
              <w:rPr>
                <w:szCs w:val="20"/>
                <w:vertAlign w:val="superscript"/>
              </w:rPr>
              <w:t>a</w:t>
            </w:r>
          </w:p>
        </w:tc>
        <w:tc>
          <w:tcPr>
            <w:tcW w:w="689" w:type="pct"/>
            <w:shd w:val="clear" w:color="auto" w:fill="auto"/>
          </w:tcPr>
          <w:p w14:paraId="5CD56FCE" w14:textId="7E7D6A30" w:rsidR="00540E44" w:rsidRPr="009A4DCA" w:rsidRDefault="00540E44" w:rsidP="00E76F4F">
            <w:pPr>
              <w:pStyle w:val="TableText0"/>
            </w:pPr>
            <w:r w:rsidRPr="009A4DCA">
              <w:t>$</w:t>
            </w:r>
            <w:r w:rsidR="00E44A34" w:rsidRPr="00E44A34">
              <w:rPr>
                <w:color w:val="000000"/>
                <w:spacing w:val="54"/>
                <w:shd w:val="solid" w:color="000000" w:fill="000000"/>
                <w:fitText w:val="334" w:id="-762046967"/>
                <w14:textFill>
                  <w14:solidFill>
                    <w14:srgbClr w14:val="000000">
                      <w14:alpha w14:val="100000"/>
                    </w14:srgbClr>
                  </w14:solidFill>
                </w14:textFill>
              </w:rPr>
              <w:t>|||</w:t>
            </w:r>
            <w:r w:rsidR="00E44A34" w:rsidRPr="00E44A34">
              <w:rPr>
                <w:color w:val="000000"/>
                <w:spacing w:val="2"/>
                <w:shd w:val="solid" w:color="000000" w:fill="000000"/>
                <w:fitText w:val="334" w:id="-762046967"/>
                <w14:textFill>
                  <w14:solidFill>
                    <w14:srgbClr w14:val="000000">
                      <w14:alpha w14:val="100000"/>
                    </w14:srgbClr>
                  </w14:solidFill>
                </w14:textFill>
              </w:rPr>
              <w:t>|</w:t>
            </w:r>
            <w:r w:rsidRPr="009A4DCA">
              <w:t xml:space="preserve"> </w:t>
            </w:r>
            <w:r w:rsidR="002C1030">
              <w:rPr>
                <w:vertAlign w:val="superscript"/>
              </w:rPr>
              <w:t>11</w:t>
            </w:r>
          </w:p>
        </w:tc>
        <w:tc>
          <w:tcPr>
            <w:tcW w:w="611" w:type="pct"/>
            <w:shd w:val="clear" w:color="auto" w:fill="auto"/>
          </w:tcPr>
          <w:p w14:paraId="032F2BC0" w14:textId="3F7EDFCD" w:rsidR="00540E44" w:rsidRPr="009A4DCA" w:rsidRDefault="00540E44" w:rsidP="00E76F4F">
            <w:pPr>
              <w:pStyle w:val="TableText0"/>
            </w:pPr>
            <w:r w:rsidRPr="009A4DCA">
              <w:t>$</w:t>
            </w:r>
            <w:r w:rsidR="00E44A34" w:rsidRPr="00E44A34">
              <w:rPr>
                <w:color w:val="000000"/>
                <w:spacing w:val="54"/>
                <w:shd w:val="solid" w:color="000000" w:fill="000000"/>
                <w:fitText w:val="334" w:id="-762046966"/>
                <w14:textFill>
                  <w14:solidFill>
                    <w14:srgbClr w14:val="000000">
                      <w14:alpha w14:val="100000"/>
                    </w14:srgbClr>
                  </w14:solidFill>
                </w14:textFill>
              </w:rPr>
              <w:t>|||</w:t>
            </w:r>
            <w:r w:rsidR="00E44A34" w:rsidRPr="00E44A34">
              <w:rPr>
                <w:color w:val="000000"/>
                <w:spacing w:val="2"/>
                <w:shd w:val="solid" w:color="000000" w:fill="000000"/>
                <w:fitText w:val="334" w:id="-762046966"/>
                <w14:textFill>
                  <w14:solidFill>
                    <w14:srgbClr w14:val="000000">
                      <w14:alpha w14:val="100000"/>
                    </w14:srgbClr>
                  </w14:solidFill>
                </w14:textFill>
              </w:rPr>
              <w:t>|</w:t>
            </w:r>
            <w:r w:rsidR="001118EA">
              <w:t xml:space="preserve"> </w:t>
            </w:r>
            <w:r w:rsidR="001118EA">
              <w:rPr>
                <w:vertAlign w:val="superscript"/>
              </w:rPr>
              <w:t>19</w:t>
            </w:r>
            <w:r w:rsidRPr="009A4DCA">
              <w:t xml:space="preserve"> </w:t>
            </w:r>
          </w:p>
        </w:tc>
        <w:tc>
          <w:tcPr>
            <w:tcW w:w="611" w:type="pct"/>
            <w:shd w:val="clear" w:color="auto" w:fill="auto"/>
          </w:tcPr>
          <w:p w14:paraId="43AE062B" w14:textId="4DE80DF3" w:rsidR="00540E44" w:rsidRPr="009A4DCA" w:rsidRDefault="00540E44" w:rsidP="00E76F4F">
            <w:pPr>
              <w:pStyle w:val="TableText0"/>
            </w:pPr>
            <w:r w:rsidRPr="009A4DCA">
              <w:t>$</w:t>
            </w:r>
            <w:r w:rsidR="00E44A34" w:rsidRPr="00E44A34">
              <w:rPr>
                <w:color w:val="000000"/>
                <w:spacing w:val="54"/>
                <w:shd w:val="solid" w:color="000000" w:fill="000000"/>
                <w:fitText w:val="333" w:id="-762046965"/>
                <w14:textFill>
                  <w14:solidFill>
                    <w14:srgbClr w14:val="000000">
                      <w14:alpha w14:val="100000"/>
                    </w14:srgbClr>
                  </w14:solidFill>
                </w14:textFill>
              </w:rPr>
              <w:t>|||</w:t>
            </w:r>
            <w:r w:rsidR="00E44A34" w:rsidRPr="00E44A34">
              <w:rPr>
                <w:color w:val="000000"/>
                <w:spacing w:val="1"/>
                <w:shd w:val="solid" w:color="000000" w:fill="000000"/>
                <w:fitText w:val="333" w:id="-762046965"/>
                <w14:textFill>
                  <w14:solidFill>
                    <w14:srgbClr w14:val="000000">
                      <w14:alpha w14:val="100000"/>
                    </w14:srgbClr>
                  </w14:solidFill>
                </w14:textFill>
              </w:rPr>
              <w:t>|</w:t>
            </w:r>
            <w:r w:rsidR="002C1030">
              <w:rPr>
                <w:vertAlign w:val="superscript"/>
              </w:rPr>
              <w:t>11</w:t>
            </w:r>
            <w:r w:rsidRPr="009A4DCA">
              <w:t xml:space="preserve"> </w:t>
            </w:r>
          </w:p>
        </w:tc>
        <w:tc>
          <w:tcPr>
            <w:tcW w:w="611" w:type="pct"/>
            <w:shd w:val="clear" w:color="auto" w:fill="auto"/>
          </w:tcPr>
          <w:p w14:paraId="062F79EA" w14:textId="43D8071F" w:rsidR="00540E44" w:rsidRPr="009A4DCA" w:rsidRDefault="00540E44" w:rsidP="00E76F4F">
            <w:pPr>
              <w:pStyle w:val="TableText0"/>
            </w:pPr>
            <w:r w:rsidRPr="009A4DCA">
              <w:t>$</w:t>
            </w:r>
            <w:r w:rsidR="00E44A34" w:rsidRPr="00E44A34">
              <w:rPr>
                <w:color w:val="000000"/>
                <w:spacing w:val="54"/>
                <w:shd w:val="solid" w:color="000000" w:fill="000000"/>
                <w:fitText w:val="333" w:id="-762046964"/>
                <w14:textFill>
                  <w14:solidFill>
                    <w14:srgbClr w14:val="000000">
                      <w14:alpha w14:val="100000"/>
                    </w14:srgbClr>
                  </w14:solidFill>
                </w14:textFill>
              </w:rPr>
              <w:t>|||</w:t>
            </w:r>
            <w:r w:rsidR="00E44A34" w:rsidRPr="00E44A34">
              <w:rPr>
                <w:color w:val="000000"/>
                <w:spacing w:val="1"/>
                <w:shd w:val="solid" w:color="000000" w:fill="000000"/>
                <w:fitText w:val="333" w:id="-762046964"/>
                <w14:textFill>
                  <w14:solidFill>
                    <w14:srgbClr w14:val="000000">
                      <w14:alpha w14:val="100000"/>
                    </w14:srgbClr>
                  </w14:solidFill>
                </w14:textFill>
              </w:rPr>
              <w:t>|</w:t>
            </w:r>
            <w:r w:rsidR="003F4067">
              <w:rPr>
                <w:vertAlign w:val="superscript"/>
              </w:rPr>
              <w:t>12</w:t>
            </w:r>
            <w:r w:rsidRPr="009A4DCA">
              <w:t xml:space="preserve"> </w:t>
            </w:r>
          </w:p>
        </w:tc>
        <w:tc>
          <w:tcPr>
            <w:tcW w:w="611" w:type="pct"/>
            <w:shd w:val="clear" w:color="auto" w:fill="auto"/>
          </w:tcPr>
          <w:p w14:paraId="6664CBC4" w14:textId="484EDCFD" w:rsidR="00540E44" w:rsidRPr="009A4DCA" w:rsidRDefault="00540E44" w:rsidP="00E76F4F">
            <w:pPr>
              <w:pStyle w:val="TableText0"/>
            </w:pPr>
            <w:r w:rsidRPr="009A4DCA">
              <w:t>$</w:t>
            </w:r>
            <w:r w:rsidR="00E44A34" w:rsidRPr="00E44A34">
              <w:rPr>
                <w:color w:val="000000"/>
                <w:spacing w:val="54"/>
                <w:shd w:val="solid" w:color="000000" w:fill="000000"/>
                <w:fitText w:val="333" w:id="-762046963"/>
                <w14:textFill>
                  <w14:solidFill>
                    <w14:srgbClr w14:val="000000">
                      <w14:alpha w14:val="100000"/>
                    </w14:srgbClr>
                  </w14:solidFill>
                </w14:textFill>
              </w:rPr>
              <w:t>|||</w:t>
            </w:r>
            <w:r w:rsidR="00E44A34" w:rsidRPr="00E44A34">
              <w:rPr>
                <w:color w:val="000000"/>
                <w:spacing w:val="1"/>
                <w:shd w:val="solid" w:color="000000" w:fill="000000"/>
                <w:fitText w:val="333" w:id="-762046963"/>
                <w14:textFill>
                  <w14:solidFill>
                    <w14:srgbClr w14:val="000000">
                      <w14:alpha w14:val="100000"/>
                    </w14:srgbClr>
                  </w14:solidFill>
                </w14:textFill>
              </w:rPr>
              <w:t>|</w:t>
            </w:r>
            <w:r w:rsidRPr="009A4DCA">
              <w:t xml:space="preserve"> </w:t>
            </w:r>
            <w:r w:rsidR="003F4067">
              <w:rPr>
                <w:vertAlign w:val="superscript"/>
              </w:rPr>
              <w:t>12</w:t>
            </w:r>
          </w:p>
        </w:tc>
        <w:tc>
          <w:tcPr>
            <w:tcW w:w="612" w:type="pct"/>
          </w:tcPr>
          <w:p w14:paraId="43E9FC2A" w14:textId="41ED0BD4" w:rsidR="00540E44" w:rsidRPr="009A4DCA" w:rsidRDefault="00540E44" w:rsidP="00E76F4F">
            <w:pPr>
              <w:pStyle w:val="TableText0"/>
            </w:pPr>
            <w:r w:rsidRPr="009A4DCA">
              <w:t>$</w:t>
            </w:r>
            <w:r w:rsidR="00E44A34">
              <w:rPr>
                <w:color w:val="000000"/>
                <w:spacing w:val="53"/>
                <w:shd w:val="solid" w:color="000000" w:fill="000000"/>
                <w:fitText w:val="333" w:id="-762046962"/>
                <w14:textFill>
                  <w14:solidFill>
                    <w14:srgbClr w14:val="000000">
                      <w14:alpha w14:val="100000"/>
                    </w14:srgbClr>
                  </w14:solidFill>
                </w14:textFill>
              </w:rPr>
              <w:t>|||</w:t>
            </w:r>
            <w:r w:rsidR="00E44A34">
              <w:rPr>
                <w:color w:val="000000"/>
                <w:spacing w:val="2"/>
                <w:shd w:val="solid" w:color="000000" w:fill="000000"/>
                <w:fitText w:val="333" w:id="-762046962"/>
                <w14:textFill>
                  <w14:solidFill>
                    <w14:srgbClr w14:val="000000">
                      <w14:alpha w14:val="100000"/>
                    </w14:srgbClr>
                  </w14:solidFill>
                </w14:textFill>
              </w:rPr>
              <w:t>|</w:t>
            </w:r>
            <w:r w:rsidRPr="009A4DCA">
              <w:t xml:space="preserve"> </w:t>
            </w:r>
            <w:r w:rsidR="003F4067">
              <w:rPr>
                <w:vertAlign w:val="superscript"/>
              </w:rPr>
              <w:t>12</w:t>
            </w:r>
          </w:p>
        </w:tc>
      </w:tr>
      <w:tr w:rsidR="00540E44" w:rsidRPr="009A4DCA" w14:paraId="78B947FB" w14:textId="77777777" w:rsidTr="007B2D29">
        <w:tc>
          <w:tcPr>
            <w:tcW w:w="1255" w:type="pct"/>
            <w:shd w:val="clear" w:color="auto" w:fill="auto"/>
          </w:tcPr>
          <w:p w14:paraId="054AD6E2" w14:textId="3B5B85A8" w:rsidR="00540E44" w:rsidRPr="009A4DCA" w:rsidRDefault="00540E44" w:rsidP="00540E44">
            <w:pPr>
              <w:pStyle w:val="Tabletext"/>
              <w:keepNext/>
              <w:keepLines/>
              <w:rPr>
                <w:szCs w:val="18"/>
              </w:rPr>
            </w:pPr>
            <w:r w:rsidRPr="009A4DCA">
              <w:rPr>
                <w:szCs w:val="20"/>
              </w:rPr>
              <w:t xml:space="preserve">% change </w:t>
            </w:r>
          </w:p>
        </w:tc>
        <w:tc>
          <w:tcPr>
            <w:tcW w:w="689" w:type="pct"/>
            <w:shd w:val="clear" w:color="auto" w:fill="auto"/>
          </w:tcPr>
          <w:p w14:paraId="23224CCF" w14:textId="58C3FBFD" w:rsidR="00540E44" w:rsidRPr="003B5CAA" w:rsidRDefault="00540E44" w:rsidP="00E76F4F">
            <w:pPr>
              <w:pStyle w:val="TableText0"/>
            </w:pPr>
            <w:r w:rsidRPr="003B5CAA">
              <w:t>2%</w:t>
            </w:r>
          </w:p>
        </w:tc>
        <w:tc>
          <w:tcPr>
            <w:tcW w:w="611" w:type="pct"/>
            <w:shd w:val="clear" w:color="auto" w:fill="auto"/>
          </w:tcPr>
          <w:p w14:paraId="75E95738" w14:textId="71A6EF73" w:rsidR="00540E44" w:rsidRPr="003B5CAA" w:rsidRDefault="00540E44" w:rsidP="00E76F4F">
            <w:pPr>
              <w:pStyle w:val="TableText0"/>
            </w:pPr>
            <w:r w:rsidRPr="003B5CAA">
              <w:t>3%</w:t>
            </w:r>
          </w:p>
        </w:tc>
        <w:tc>
          <w:tcPr>
            <w:tcW w:w="611" w:type="pct"/>
            <w:shd w:val="clear" w:color="auto" w:fill="auto"/>
          </w:tcPr>
          <w:p w14:paraId="13C3FE20" w14:textId="2C3D071D" w:rsidR="00540E44" w:rsidRPr="003B5CAA" w:rsidRDefault="00540E44" w:rsidP="00E76F4F">
            <w:pPr>
              <w:pStyle w:val="TableText0"/>
            </w:pPr>
            <w:r w:rsidRPr="003B5CAA">
              <w:t>4%</w:t>
            </w:r>
          </w:p>
        </w:tc>
        <w:tc>
          <w:tcPr>
            <w:tcW w:w="611" w:type="pct"/>
            <w:shd w:val="clear" w:color="auto" w:fill="auto"/>
          </w:tcPr>
          <w:p w14:paraId="60F8D1FD" w14:textId="3C46B296" w:rsidR="00540E44" w:rsidRPr="003B5CAA" w:rsidRDefault="00540E44" w:rsidP="00E76F4F">
            <w:pPr>
              <w:pStyle w:val="TableText0"/>
            </w:pPr>
            <w:r w:rsidRPr="003B5CAA">
              <w:t>4%</w:t>
            </w:r>
          </w:p>
        </w:tc>
        <w:tc>
          <w:tcPr>
            <w:tcW w:w="611" w:type="pct"/>
            <w:shd w:val="clear" w:color="auto" w:fill="auto"/>
          </w:tcPr>
          <w:p w14:paraId="449CB1E0" w14:textId="7F3DF02B" w:rsidR="00540E44" w:rsidRPr="003B5CAA" w:rsidRDefault="00540E44" w:rsidP="00E76F4F">
            <w:pPr>
              <w:pStyle w:val="TableText0"/>
            </w:pPr>
            <w:r w:rsidRPr="003B5CAA">
              <w:t>5%</w:t>
            </w:r>
          </w:p>
        </w:tc>
        <w:tc>
          <w:tcPr>
            <w:tcW w:w="612" w:type="pct"/>
          </w:tcPr>
          <w:p w14:paraId="4A60A57B" w14:textId="06338CFF" w:rsidR="00540E44" w:rsidRPr="003B5CAA" w:rsidRDefault="00540E44" w:rsidP="00E76F4F">
            <w:pPr>
              <w:pStyle w:val="TableText0"/>
            </w:pPr>
            <w:r w:rsidRPr="003B5CAA">
              <w:t>5%</w:t>
            </w:r>
          </w:p>
        </w:tc>
      </w:tr>
    </w:tbl>
    <w:p w14:paraId="3FC49152" w14:textId="19342C5F" w:rsidR="00C764F4" w:rsidRPr="009A4DCA" w:rsidRDefault="00C764F4" w:rsidP="00BE2884">
      <w:pPr>
        <w:pStyle w:val="FooterTableFigure"/>
        <w:keepNext/>
        <w:keepLines/>
      </w:pPr>
      <w:r w:rsidRPr="009A4DCA">
        <w:t>Source: Table 4.2.7 p144</w:t>
      </w:r>
      <w:r w:rsidR="00A51D6C" w:rsidRPr="009A4DCA">
        <w:t>, Table 4.4.1</w:t>
      </w:r>
      <w:r w:rsidR="008508E4" w:rsidRPr="009A4DCA">
        <w:t xml:space="preserve"> p146</w:t>
      </w:r>
      <w:r w:rsidR="008430B0" w:rsidRPr="009A4DCA">
        <w:t>, Table 4.5.2 p148</w:t>
      </w:r>
      <w:r w:rsidR="008508E4" w:rsidRPr="009A4DCA">
        <w:t xml:space="preserve"> </w:t>
      </w:r>
      <w:r w:rsidRPr="009A4DCA">
        <w:t>of the submission</w:t>
      </w:r>
      <w:r w:rsidR="00540E44" w:rsidRPr="009A4DCA">
        <w:t>, UCM-Release-3-Workbook_RSV OA_ABRYSVO_July 2024_updated ABS.xlsx.</w:t>
      </w:r>
    </w:p>
    <w:p w14:paraId="3E164222" w14:textId="02EF9744" w:rsidR="00F67110" w:rsidRPr="009A4DCA" w:rsidRDefault="00F67110" w:rsidP="00BE2884">
      <w:pPr>
        <w:pStyle w:val="FooterTableFigure"/>
        <w:keepNext/>
        <w:keepLines/>
      </w:pPr>
      <w:r w:rsidRPr="009A4DCA">
        <w:t>a. Updated utilisation estimates for the forecast period (2025-2030) were provided in the PSCR using the population projections from the latest release of the ABS 3222.0 (Series B, Table B9).</w:t>
      </w:r>
    </w:p>
    <w:p w14:paraId="784D0729" w14:textId="1E7E02F4" w:rsidR="00D07CA3" w:rsidRDefault="008507A8" w:rsidP="00BE2884">
      <w:pPr>
        <w:pStyle w:val="FooterTableFigure"/>
        <w:keepNext/>
        <w:keepLines/>
      </w:pPr>
      <w:r w:rsidRPr="009A4DCA">
        <w:t>MBS = Medical Benefit Scheme; NIP = National Immunisation Program</w:t>
      </w:r>
    </w:p>
    <w:p w14:paraId="0E10A971" w14:textId="77777777" w:rsidR="00D07CA3" w:rsidRPr="003B5CAA" w:rsidRDefault="00D07CA3" w:rsidP="00D07CA3">
      <w:pPr>
        <w:pStyle w:val="FooterTableFigure"/>
        <w:keepNext/>
        <w:keepLines/>
        <w:rPr>
          <w:i/>
          <w:iCs/>
        </w:rPr>
      </w:pPr>
      <w:r w:rsidRPr="003B5CAA">
        <w:rPr>
          <w:i/>
          <w:iCs/>
        </w:rPr>
        <w:t>The redacted values correspond to the following ranges:  </w:t>
      </w:r>
    </w:p>
    <w:p w14:paraId="304109A0" w14:textId="553889BE" w:rsidR="00D07CA3" w:rsidRPr="003B5CAA" w:rsidRDefault="00D07CA3" w:rsidP="00D07CA3">
      <w:pPr>
        <w:pStyle w:val="FooterTableFigure"/>
        <w:keepNext/>
        <w:keepLines/>
        <w:rPr>
          <w:i/>
          <w:iCs/>
        </w:rPr>
      </w:pPr>
      <w:r w:rsidRPr="003B5CAA">
        <w:rPr>
          <w:i/>
          <w:iCs/>
          <w:vertAlign w:val="superscript"/>
        </w:rPr>
        <w:t>1</w:t>
      </w:r>
      <w:r w:rsidRPr="003B5CAA">
        <w:rPr>
          <w:i/>
          <w:iCs/>
        </w:rPr>
        <w:t>  </w:t>
      </w:r>
      <w:r w:rsidR="00530B80" w:rsidRPr="003B5CAA">
        <w:rPr>
          <w:i/>
          <w:iCs/>
        </w:rPr>
        <w:t>900,000</w:t>
      </w:r>
      <w:r w:rsidR="00530B80" w:rsidRPr="003B5CAA">
        <w:rPr>
          <w:rFonts w:ascii="Arial" w:hAnsi="Arial"/>
          <w:i/>
          <w:iCs/>
        </w:rPr>
        <w:t> </w:t>
      </w:r>
      <w:r w:rsidR="00530B80" w:rsidRPr="003B5CAA">
        <w:rPr>
          <w:i/>
          <w:iCs/>
        </w:rPr>
        <w:t>to</w:t>
      </w:r>
      <w:r w:rsidR="00530B80" w:rsidRPr="003B5CAA">
        <w:rPr>
          <w:rFonts w:ascii="Arial" w:hAnsi="Arial"/>
          <w:i/>
          <w:iCs/>
        </w:rPr>
        <w:t> </w:t>
      </w:r>
      <w:r w:rsidR="00530B80" w:rsidRPr="003B5CAA">
        <w:rPr>
          <w:i/>
          <w:iCs/>
        </w:rPr>
        <w:t>&lt;</w:t>
      </w:r>
      <w:r w:rsidR="00530B80" w:rsidRPr="003B5CAA">
        <w:rPr>
          <w:rFonts w:ascii="Arial" w:hAnsi="Arial"/>
          <w:i/>
          <w:iCs/>
        </w:rPr>
        <w:t> </w:t>
      </w:r>
      <w:r w:rsidR="00530B80" w:rsidRPr="003B5CAA">
        <w:rPr>
          <w:i/>
          <w:iCs/>
        </w:rPr>
        <w:t>1,000,000 </w:t>
      </w:r>
    </w:p>
    <w:p w14:paraId="4A1B1418" w14:textId="028DDB57" w:rsidR="00D07CA3" w:rsidRPr="003B5CAA" w:rsidRDefault="00D07CA3" w:rsidP="00D07CA3">
      <w:pPr>
        <w:pStyle w:val="FooterTableFigure"/>
        <w:keepNext/>
        <w:keepLines/>
        <w:rPr>
          <w:i/>
          <w:iCs/>
        </w:rPr>
      </w:pPr>
      <w:r w:rsidRPr="003B5CAA">
        <w:rPr>
          <w:i/>
          <w:iCs/>
          <w:vertAlign w:val="superscript"/>
        </w:rPr>
        <w:t>2</w:t>
      </w:r>
      <w:r w:rsidRPr="003B5CAA">
        <w:rPr>
          <w:i/>
          <w:iCs/>
        </w:rPr>
        <w:t>  </w:t>
      </w:r>
      <w:r w:rsidR="00530B80" w:rsidRPr="003B5CAA">
        <w:rPr>
          <w:i/>
          <w:iCs/>
        </w:rPr>
        <w:t>700,000</w:t>
      </w:r>
      <w:r w:rsidR="00530B80" w:rsidRPr="003B5CAA">
        <w:rPr>
          <w:rFonts w:ascii="Arial" w:hAnsi="Arial"/>
          <w:i/>
          <w:iCs/>
        </w:rPr>
        <w:t> </w:t>
      </w:r>
      <w:r w:rsidR="00530B80" w:rsidRPr="003B5CAA">
        <w:rPr>
          <w:i/>
          <w:iCs/>
        </w:rPr>
        <w:t>to</w:t>
      </w:r>
      <w:r w:rsidR="00530B80" w:rsidRPr="003B5CAA">
        <w:rPr>
          <w:rFonts w:ascii="Arial" w:hAnsi="Arial"/>
          <w:i/>
          <w:iCs/>
        </w:rPr>
        <w:t> </w:t>
      </w:r>
      <w:r w:rsidR="00530B80" w:rsidRPr="003B5CAA">
        <w:rPr>
          <w:i/>
          <w:iCs/>
        </w:rPr>
        <w:t>&lt;</w:t>
      </w:r>
      <w:r w:rsidR="00530B80" w:rsidRPr="003B5CAA">
        <w:rPr>
          <w:rFonts w:ascii="Arial" w:hAnsi="Arial"/>
          <w:i/>
          <w:iCs/>
        </w:rPr>
        <w:t> </w:t>
      </w:r>
      <w:r w:rsidR="00530B80" w:rsidRPr="003B5CAA">
        <w:rPr>
          <w:i/>
          <w:iCs/>
        </w:rPr>
        <w:t>800,000 </w:t>
      </w:r>
    </w:p>
    <w:p w14:paraId="0BDEB5D0" w14:textId="6D8959CA" w:rsidR="00D07CA3" w:rsidRPr="003B5CAA" w:rsidRDefault="00D07CA3" w:rsidP="00D07CA3">
      <w:pPr>
        <w:pStyle w:val="FooterTableFigure"/>
        <w:keepNext/>
        <w:keepLines/>
        <w:rPr>
          <w:i/>
          <w:iCs/>
        </w:rPr>
      </w:pPr>
      <w:r w:rsidRPr="003B5CAA">
        <w:rPr>
          <w:i/>
          <w:iCs/>
          <w:vertAlign w:val="superscript"/>
        </w:rPr>
        <w:t>3</w:t>
      </w:r>
      <w:r w:rsidRPr="003B5CAA">
        <w:rPr>
          <w:i/>
          <w:iCs/>
        </w:rPr>
        <w:t>  </w:t>
      </w:r>
      <w:r w:rsidR="004D7236" w:rsidRPr="003B5CAA">
        <w:rPr>
          <w:i/>
          <w:iCs/>
        </w:rPr>
        <w:t>200,000</w:t>
      </w:r>
      <w:r w:rsidR="004D7236" w:rsidRPr="003B5CAA">
        <w:rPr>
          <w:rFonts w:ascii="Arial" w:hAnsi="Arial"/>
          <w:i/>
          <w:iCs/>
        </w:rPr>
        <w:t> </w:t>
      </w:r>
      <w:r w:rsidR="004D7236" w:rsidRPr="003B5CAA">
        <w:rPr>
          <w:i/>
          <w:iCs/>
        </w:rPr>
        <w:t>to</w:t>
      </w:r>
      <w:r w:rsidR="004D7236" w:rsidRPr="003B5CAA">
        <w:rPr>
          <w:rFonts w:ascii="Arial" w:hAnsi="Arial"/>
          <w:i/>
          <w:iCs/>
        </w:rPr>
        <w:t> </w:t>
      </w:r>
      <w:r w:rsidR="004D7236" w:rsidRPr="003B5CAA">
        <w:rPr>
          <w:i/>
          <w:iCs/>
        </w:rPr>
        <w:t>&lt;</w:t>
      </w:r>
      <w:r w:rsidR="004D7236" w:rsidRPr="003B5CAA">
        <w:rPr>
          <w:rFonts w:ascii="Arial" w:hAnsi="Arial"/>
          <w:i/>
          <w:iCs/>
        </w:rPr>
        <w:t> </w:t>
      </w:r>
      <w:r w:rsidR="004D7236" w:rsidRPr="003B5CAA">
        <w:rPr>
          <w:i/>
          <w:iCs/>
        </w:rPr>
        <w:t>300,000 </w:t>
      </w:r>
    </w:p>
    <w:p w14:paraId="79F19EE9" w14:textId="1DD8DE42" w:rsidR="00D07CA3" w:rsidRPr="003B5CAA" w:rsidRDefault="00D07CA3" w:rsidP="00D07CA3">
      <w:pPr>
        <w:pStyle w:val="FooterTableFigure"/>
        <w:keepNext/>
        <w:keepLines/>
        <w:rPr>
          <w:i/>
          <w:iCs/>
        </w:rPr>
      </w:pPr>
      <w:r w:rsidRPr="003B5CAA">
        <w:rPr>
          <w:i/>
          <w:iCs/>
          <w:vertAlign w:val="superscript"/>
        </w:rPr>
        <w:t>4</w:t>
      </w:r>
      <w:r w:rsidRPr="003B5CAA">
        <w:rPr>
          <w:i/>
          <w:iCs/>
        </w:rPr>
        <w:t>  </w:t>
      </w:r>
      <w:r w:rsidR="00570539" w:rsidRPr="003B5CAA">
        <w:rPr>
          <w:i/>
          <w:iCs/>
        </w:rPr>
        <w:t>500,000</w:t>
      </w:r>
      <w:r w:rsidR="00570539" w:rsidRPr="003B5CAA">
        <w:rPr>
          <w:rFonts w:ascii="Arial" w:hAnsi="Arial"/>
          <w:i/>
          <w:iCs/>
        </w:rPr>
        <w:t> </w:t>
      </w:r>
      <w:r w:rsidR="00570539" w:rsidRPr="003B5CAA">
        <w:rPr>
          <w:i/>
          <w:iCs/>
        </w:rPr>
        <w:t>to</w:t>
      </w:r>
      <w:r w:rsidR="00570539" w:rsidRPr="003B5CAA">
        <w:rPr>
          <w:rFonts w:ascii="Arial" w:hAnsi="Arial"/>
          <w:i/>
          <w:iCs/>
        </w:rPr>
        <w:t> </w:t>
      </w:r>
      <w:r w:rsidR="00570539" w:rsidRPr="003B5CAA">
        <w:rPr>
          <w:i/>
          <w:iCs/>
        </w:rPr>
        <w:t>&lt;</w:t>
      </w:r>
      <w:r w:rsidR="00570539" w:rsidRPr="003B5CAA">
        <w:rPr>
          <w:rFonts w:ascii="Arial" w:hAnsi="Arial"/>
          <w:i/>
          <w:iCs/>
        </w:rPr>
        <w:t> </w:t>
      </w:r>
      <w:r w:rsidR="00570539" w:rsidRPr="003B5CAA">
        <w:rPr>
          <w:i/>
          <w:iCs/>
        </w:rPr>
        <w:t>600,000 </w:t>
      </w:r>
    </w:p>
    <w:p w14:paraId="456A533F" w14:textId="67505690" w:rsidR="00D07CA3" w:rsidRPr="003B5CAA" w:rsidRDefault="00D07CA3" w:rsidP="00D07CA3">
      <w:pPr>
        <w:pStyle w:val="FooterTableFigure"/>
        <w:keepNext/>
        <w:keepLines/>
        <w:rPr>
          <w:i/>
          <w:iCs/>
        </w:rPr>
      </w:pPr>
      <w:r w:rsidRPr="003B5CAA">
        <w:rPr>
          <w:i/>
          <w:iCs/>
          <w:vertAlign w:val="superscript"/>
        </w:rPr>
        <w:t>5</w:t>
      </w:r>
      <w:r w:rsidRPr="003B5CAA">
        <w:rPr>
          <w:i/>
          <w:iCs/>
        </w:rPr>
        <w:t>  </w:t>
      </w:r>
      <w:r w:rsidR="00120024" w:rsidRPr="003B5CAA">
        <w:rPr>
          <w:i/>
          <w:iCs/>
        </w:rPr>
        <w:t>600,000</w:t>
      </w:r>
      <w:r w:rsidR="00120024" w:rsidRPr="003B5CAA">
        <w:rPr>
          <w:rFonts w:ascii="Arial" w:hAnsi="Arial"/>
          <w:i/>
          <w:iCs/>
        </w:rPr>
        <w:t> </w:t>
      </w:r>
      <w:r w:rsidR="00120024" w:rsidRPr="003B5CAA">
        <w:rPr>
          <w:i/>
          <w:iCs/>
        </w:rPr>
        <w:t>to</w:t>
      </w:r>
      <w:r w:rsidR="00120024" w:rsidRPr="003B5CAA">
        <w:rPr>
          <w:rFonts w:ascii="Arial" w:hAnsi="Arial"/>
          <w:i/>
          <w:iCs/>
        </w:rPr>
        <w:t> </w:t>
      </w:r>
      <w:r w:rsidR="00120024" w:rsidRPr="003B5CAA">
        <w:rPr>
          <w:i/>
          <w:iCs/>
        </w:rPr>
        <w:t>&lt;</w:t>
      </w:r>
      <w:r w:rsidR="00120024" w:rsidRPr="003B5CAA">
        <w:rPr>
          <w:rFonts w:ascii="Arial" w:hAnsi="Arial"/>
          <w:i/>
          <w:iCs/>
        </w:rPr>
        <w:t> </w:t>
      </w:r>
      <w:r w:rsidR="00120024" w:rsidRPr="003B5CAA">
        <w:rPr>
          <w:i/>
          <w:iCs/>
        </w:rPr>
        <w:t>700,000 </w:t>
      </w:r>
    </w:p>
    <w:p w14:paraId="1B086271" w14:textId="370487DF" w:rsidR="00D07CA3" w:rsidRPr="003B5CAA" w:rsidRDefault="00D07CA3" w:rsidP="00D07CA3">
      <w:pPr>
        <w:pStyle w:val="FooterTableFigure"/>
        <w:keepNext/>
        <w:keepLines/>
        <w:rPr>
          <w:i/>
          <w:iCs/>
        </w:rPr>
      </w:pPr>
      <w:r w:rsidRPr="003B5CAA">
        <w:rPr>
          <w:i/>
          <w:iCs/>
          <w:vertAlign w:val="superscript"/>
        </w:rPr>
        <w:t>6</w:t>
      </w:r>
      <w:r w:rsidRPr="003B5CAA">
        <w:rPr>
          <w:i/>
          <w:iCs/>
        </w:rPr>
        <w:t>  </w:t>
      </w:r>
      <w:r w:rsidR="00120024" w:rsidRPr="003B5CAA">
        <w:rPr>
          <w:i/>
          <w:iCs/>
        </w:rPr>
        <w:t>100,000</w:t>
      </w:r>
      <w:r w:rsidR="00120024" w:rsidRPr="003B5CAA">
        <w:rPr>
          <w:rFonts w:ascii="Arial" w:hAnsi="Arial"/>
          <w:i/>
          <w:iCs/>
        </w:rPr>
        <w:t> </w:t>
      </w:r>
      <w:r w:rsidR="00120024" w:rsidRPr="003B5CAA">
        <w:rPr>
          <w:i/>
          <w:iCs/>
        </w:rPr>
        <w:t>to</w:t>
      </w:r>
      <w:r w:rsidR="00120024" w:rsidRPr="003B5CAA">
        <w:rPr>
          <w:rFonts w:ascii="Arial" w:hAnsi="Arial"/>
          <w:i/>
          <w:iCs/>
        </w:rPr>
        <w:t> </w:t>
      </w:r>
      <w:r w:rsidR="00120024" w:rsidRPr="003B5CAA">
        <w:rPr>
          <w:i/>
          <w:iCs/>
        </w:rPr>
        <w:t>&lt;</w:t>
      </w:r>
      <w:r w:rsidR="00120024" w:rsidRPr="003B5CAA">
        <w:rPr>
          <w:rFonts w:ascii="Arial" w:hAnsi="Arial"/>
          <w:i/>
          <w:iCs/>
        </w:rPr>
        <w:t> </w:t>
      </w:r>
      <w:r w:rsidR="00120024" w:rsidRPr="003B5CAA">
        <w:rPr>
          <w:i/>
          <w:iCs/>
        </w:rPr>
        <w:t>200,000 </w:t>
      </w:r>
    </w:p>
    <w:p w14:paraId="2BB558A0" w14:textId="7BC4869A" w:rsidR="00D07CA3" w:rsidRPr="003B5CAA" w:rsidRDefault="00D07CA3" w:rsidP="00D07CA3">
      <w:pPr>
        <w:pStyle w:val="FooterTableFigure"/>
        <w:keepNext/>
        <w:keepLines/>
        <w:rPr>
          <w:i/>
          <w:iCs/>
        </w:rPr>
      </w:pPr>
      <w:r w:rsidRPr="003B5CAA">
        <w:rPr>
          <w:i/>
          <w:iCs/>
          <w:vertAlign w:val="superscript"/>
        </w:rPr>
        <w:t>7</w:t>
      </w:r>
      <w:r w:rsidRPr="003B5CAA">
        <w:rPr>
          <w:i/>
          <w:iCs/>
        </w:rPr>
        <w:t>  </w:t>
      </w:r>
      <w:r w:rsidR="00211A89" w:rsidRPr="003B5CAA">
        <w:rPr>
          <w:i/>
          <w:iCs/>
        </w:rPr>
        <w:t>70,000</w:t>
      </w:r>
      <w:r w:rsidR="00211A89" w:rsidRPr="003B5CAA">
        <w:rPr>
          <w:rFonts w:ascii="Arial" w:hAnsi="Arial"/>
          <w:i/>
          <w:iCs/>
        </w:rPr>
        <w:t> </w:t>
      </w:r>
      <w:r w:rsidR="00211A89" w:rsidRPr="003B5CAA">
        <w:rPr>
          <w:i/>
          <w:iCs/>
        </w:rPr>
        <w:t>to</w:t>
      </w:r>
      <w:r w:rsidR="00211A89" w:rsidRPr="003B5CAA">
        <w:rPr>
          <w:rFonts w:ascii="Arial" w:hAnsi="Arial"/>
          <w:i/>
          <w:iCs/>
        </w:rPr>
        <w:t> </w:t>
      </w:r>
      <w:r w:rsidR="00211A89" w:rsidRPr="003B5CAA">
        <w:rPr>
          <w:i/>
          <w:iCs/>
        </w:rPr>
        <w:t>&lt;</w:t>
      </w:r>
      <w:r w:rsidR="00211A89" w:rsidRPr="003B5CAA">
        <w:rPr>
          <w:rFonts w:ascii="Arial" w:hAnsi="Arial"/>
          <w:i/>
          <w:iCs/>
        </w:rPr>
        <w:t> </w:t>
      </w:r>
      <w:r w:rsidR="00211A89" w:rsidRPr="003B5CAA">
        <w:rPr>
          <w:i/>
          <w:iCs/>
        </w:rPr>
        <w:t>80,000 </w:t>
      </w:r>
    </w:p>
    <w:p w14:paraId="6715C837" w14:textId="7CF5F259" w:rsidR="00D07CA3" w:rsidRPr="003B5CAA" w:rsidRDefault="00D07CA3" w:rsidP="00D07CA3">
      <w:pPr>
        <w:pStyle w:val="FooterTableFigure"/>
        <w:keepNext/>
        <w:keepLines/>
        <w:rPr>
          <w:i/>
          <w:iCs/>
        </w:rPr>
      </w:pPr>
      <w:r w:rsidRPr="003B5CAA">
        <w:rPr>
          <w:i/>
          <w:iCs/>
          <w:vertAlign w:val="superscript"/>
        </w:rPr>
        <w:t>8</w:t>
      </w:r>
      <w:r w:rsidRPr="003B5CAA">
        <w:rPr>
          <w:i/>
          <w:iCs/>
        </w:rPr>
        <w:t>  </w:t>
      </w:r>
      <w:r w:rsidR="000A4474" w:rsidRPr="003B5CAA">
        <w:rPr>
          <w:i/>
          <w:iCs/>
        </w:rPr>
        <w:t>300,000</w:t>
      </w:r>
      <w:r w:rsidR="000A4474" w:rsidRPr="003B5CAA">
        <w:rPr>
          <w:rFonts w:ascii="Arial" w:hAnsi="Arial"/>
          <w:i/>
          <w:iCs/>
        </w:rPr>
        <w:t> </w:t>
      </w:r>
      <w:r w:rsidR="000A4474" w:rsidRPr="003B5CAA">
        <w:rPr>
          <w:i/>
          <w:iCs/>
        </w:rPr>
        <w:t>to</w:t>
      </w:r>
      <w:r w:rsidR="000A4474" w:rsidRPr="003B5CAA">
        <w:rPr>
          <w:rFonts w:ascii="Arial" w:hAnsi="Arial"/>
          <w:i/>
          <w:iCs/>
        </w:rPr>
        <w:t> </w:t>
      </w:r>
      <w:r w:rsidR="000A4474" w:rsidRPr="003B5CAA">
        <w:rPr>
          <w:i/>
          <w:iCs/>
        </w:rPr>
        <w:t>&lt;</w:t>
      </w:r>
      <w:r w:rsidR="000A4474" w:rsidRPr="003B5CAA">
        <w:rPr>
          <w:rFonts w:ascii="Arial" w:hAnsi="Arial"/>
          <w:i/>
          <w:iCs/>
        </w:rPr>
        <w:t> </w:t>
      </w:r>
      <w:r w:rsidR="000A4474" w:rsidRPr="003B5CAA">
        <w:rPr>
          <w:i/>
          <w:iCs/>
        </w:rPr>
        <w:t>400,000 </w:t>
      </w:r>
    </w:p>
    <w:p w14:paraId="49AEDADE" w14:textId="7C23CB04" w:rsidR="00D07CA3" w:rsidRPr="003B5CAA" w:rsidRDefault="00D07CA3" w:rsidP="00D07CA3">
      <w:pPr>
        <w:pStyle w:val="FooterTableFigure"/>
        <w:keepNext/>
        <w:keepLines/>
        <w:rPr>
          <w:i/>
          <w:iCs/>
        </w:rPr>
      </w:pPr>
      <w:r w:rsidRPr="003B5CAA">
        <w:rPr>
          <w:i/>
          <w:iCs/>
          <w:vertAlign w:val="superscript"/>
        </w:rPr>
        <w:t>9</w:t>
      </w:r>
      <w:r w:rsidRPr="003B5CAA">
        <w:rPr>
          <w:i/>
          <w:iCs/>
        </w:rPr>
        <w:t>  </w:t>
      </w:r>
      <w:r w:rsidR="007F1699" w:rsidRPr="003B5CAA">
        <w:rPr>
          <w:i/>
          <w:iCs/>
        </w:rPr>
        <w:t>10,000</w:t>
      </w:r>
      <w:r w:rsidR="007F1699" w:rsidRPr="003B5CAA">
        <w:rPr>
          <w:rFonts w:ascii="Arial" w:hAnsi="Arial"/>
          <w:i/>
          <w:iCs/>
        </w:rPr>
        <w:t> </w:t>
      </w:r>
      <w:r w:rsidR="007F1699" w:rsidRPr="003B5CAA">
        <w:rPr>
          <w:i/>
          <w:iCs/>
        </w:rPr>
        <w:t>to</w:t>
      </w:r>
      <w:r w:rsidR="007F1699" w:rsidRPr="003B5CAA">
        <w:rPr>
          <w:rFonts w:ascii="Arial" w:hAnsi="Arial"/>
          <w:i/>
          <w:iCs/>
        </w:rPr>
        <w:t> </w:t>
      </w:r>
      <w:r w:rsidR="007F1699" w:rsidRPr="003B5CAA">
        <w:rPr>
          <w:i/>
          <w:iCs/>
        </w:rPr>
        <w:t>&lt;</w:t>
      </w:r>
      <w:r w:rsidR="007F1699" w:rsidRPr="003B5CAA">
        <w:rPr>
          <w:rFonts w:ascii="Arial" w:hAnsi="Arial"/>
          <w:i/>
          <w:iCs/>
        </w:rPr>
        <w:t> </w:t>
      </w:r>
      <w:r w:rsidR="007F1699" w:rsidRPr="003B5CAA">
        <w:rPr>
          <w:i/>
          <w:iCs/>
        </w:rPr>
        <w:t>20,000 </w:t>
      </w:r>
    </w:p>
    <w:p w14:paraId="645A1AAA" w14:textId="77777777" w:rsidR="00C47D8D" w:rsidRPr="003B5CAA" w:rsidRDefault="00D07CA3" w:rsidP="00D07CA3">
      <w:pPr>
        <w:pStyle w:val="FooterTableFigure"/>
        <w:keepNext/>
        <w:keepLines/>
        <w:rPr>
          <w:i/>
          <w:iCs/>
        </w:rPr>
      </w:pPr>
      <w:r w:rsidRPr="003B5CAA">
        <w:rPr>
          <w:i/>
          <w:iCs/>
          <w:vertAlign w:val="superscript"/>
        </w:rPr>
        <w:t>10</w:t>
      </w:r>
      <w:r w:rsidRPr="003B5CAA">
        <w:rPr>
          <w:i/>
          <w:iCs/>
        </w:rPr>
        <w:t>  </w:t>
      </w:r>
      <w:r w:rsidR="007F1699" w:rsidRPr="003B5CAA">
        <w:rPr>
          <w:i/>
          <w:iCs/>
        </w:rPr>
        <w:t>5,000</w:t>
      </w:r>
      <w:r w:rsidR="007F1699" w:rsidRPr="003B5CAA">
        <w:rPr>
          <w:rFonts w:ascii="Arial" w:hAnsi="Arial"/>
          <w:i/>
          <w:iCs/>
        </w:rPr>
        <w:t> </w:t>
      </w:r>
      <w:r w:rsidR="007F1699" w:rsidRPr="003B5CAA">
        <w:rPr>
          <w:i/>
          <w:iCs/>
        </w:rPr>
        <w:t>to</w:t>
      </w:r>
      <w:r w:rsidR="007F1699" w:rsidRPr="003B5CAA">
        <w:rPr>
          <w:rFonts w:ascii="Arial" w:hAnsi="Arial"/>
          <w:i/>
          <w:iCs/>
        </w:rPr>
        <w:t> </w:t>
      </w:r>
      <w:r w:rsidR="007F1699" w:rsidRPr="003B5CAA">
        <w:rPr>
          <w:i/>
          <w:iCs/>
        </w:rPr>
        <w:t>&lt;</w:t>
      </w:r>
      <w:r w:rsidR="007F1699" w:rsidRPr="003B5CAA">
        <w:rPr>
          <w:rFonts w:ascii="Arial" w:hAnsi="Arial"/>
          <w:i/>
          <w:iCs/>
        </w:rPr>
        <w:t> </w:t>
      </w:r>
      <w:r w:rsidR="007F1699" w:rsidRPr="003B5CAA">
        <w:rPr>
          <w:i/>
          <w:iCs/>
        </w:rPr>
        <w:t>10,000</w:t>
      </w:r>
    </w:p>
    <w:p w14:paraId="78BBCDAF" w14:textId="7C6C4E5D" w:rsidR="00C47D8D" w:rsidRPr="003B5CAA" w:rsidRDefault="00C47D8D" w:rsidP="00C47D8D">
      <w:pPr>
        <w:pStyle w:val="FooterTableFigure"/>
        <w:keepNext/>
        <w:keepLines/>
        <w:rPr>
          <w:i/>
          <w:iCs/>
        </w:rPr>
      </w:pPr>
      <w:r w:rsidRPr="003B5CAA">
        <w:rPr>
          <w:i/>
          <w:iCs/>
          <w:vertAlign w:val="superscript"/>
        </w:rPr>
        <w:t>11</w:t>
      </w:r>
      <w:r w:rsidRPr="003B5CAA">
        <w:rPr>
          <w:i/>
          <w:iCs/>
        </w:rPr>
        <w:t>  </w:t>
      </w:r>
      <w:r w:rsidR="008159CC" w:rsidRPr="003B5CAA">
        <w:rPr>
          <w:i/>
          <w:iCs/>
        </w:rPr>
        <w:t>$100</w:t>
      </w:r>
      <w:r w:rsidR="008159CC" w:rsidRPr="003B5CAA">
        <w:rPr>
          <w:rFonts w:ascii="Arial" w:hAnsi="Arial"/>
          <w:i/>
          <w:iCs/>
        </w:rPr>
        <w:t> </w:t>
      </w:r>
      <w:r w:rsidR="008159CC" w:rsidRPr="003B5CAA">
        <w:rPr>
          <w:i/>
          <w:iCs/>
        </w:rPr>
        <w:t>million</w:t>
      </w:r>
      <w:r w:rsidR="008159CC" w:rsidRPr="003B5CAA">
        <w:rPr>
          <w:rFonts w:ascii="Arial" w:hAnsi="Arial"/>
          <w:i/>
          <w:iCs/>
        </w:rPr>
        <w:t> </w:t>
      </w:r>
      <w:r w:rsidR="008159CC" w:rsidRPr="003B5CAA">
        <w:rPr>
          <w:i/>
          <w:iCs/>
        </w:rPr>
        <w:t>to</w:t>
      </w:r>
      <w:r w:rsidR="008159CC" w:rsidRPr="003B5CAA">
        <w:rPr>
          <w:rFonts w:ascii="Arial" w:hAnsi="Arial"/>
          <w:i/>
          <w:iCs/>
        </w:rPr>
        <w:t> </w:t>
      </w:r>
      <w:r w:rsidR="008159CC" w:rsidRPr="003B5CAA">
        <w:rPr>
          <w:i/>
          <w:iCs/>
        </w:rPr>
        <w:t>&lt;</w:t>
      </w:r>
      <w:r w:rsidR="008159CC" w:rsidRPr="003B5CAA">
        <w:rPr>
          <w:rFonts w:ascii="Arial" w:hAnsi="Arial"/>
          <w:i/>
          <w:iCs/>
        </w:rPr>
        <w:t> </w:t>
      </w:r>
      <w:r w:rsidR="008159CC" w:rsidRPr="003B5CAA">
        <w:rPr>
          <w:i/>
          <w:iCs/>
        </w:rPr>
        <w:t>$200</w:t>
      </w:r>
      <w:r w:rsidR="008159CC" w:rsidRPr="003B5CAA">
        <w:rPr>
          <w:rFonts w:ascii="Arial" w:hAnsi="Arial"/>
          <w:i/>
          <w:iCs/>
        </w:rPr>
        <w:t> </w:t>
      </w:r>
      <w:r w:rsidR="008159CC" w:rsidRPr="003B5CAA">
        <w:rPr>
          <w:i/>
          <w:iCs/>
        </w:rPr>
        <w:t>million </w:t>
      </w:r>
    </w:p>
    <w:p w14:paraId="57CEB7DF" w14:textId="0FD5571D" w:rsidR="00C47D8D" w:rsidRPr="003B5CAA" w:rsidRDefault="00C47D8D" w:rsidP="00C47D8D">
      <w:pPr>
        <w:pStyle w:val="FooterTableFigure"/>
        <w:keepNext/>
        <w:keepLines/>
        <w:rPr>
          <w:i/>
          <w:iCs/>
        </w:rPr>
      </w:pPr>
      <w:r w:rsidRPr="003B5CAA">
        <w:rPr>
          <w:i/>
          <w:iCs/>
          <w:vertAlign w:val="superscript"/>
        </w:rPr>
        <w:t xml:space="preserve">12 </w:t>
      </w:r>
      <w:r w:rsidRPr="003B5CAA">
        <w:rPr>
          <w:i/>
          <w:iCs/>
        </w:rPr>
        <w:t> </w:t>
      </w:r>
      <w:r w:rsidR="003F4067" w:rsidRPr="003B5CAA">
        <w:rPr>
          <w:i/>
          <w:iCs/>
        </w:rPr>
        <w:t>$40</w:t>
      </w:r>
      <w:r w:rsidR="003F4067" w:rsidRPr="003B5CAA">
        <w:rPr>
          <w:rFonts w:ascii="Arial" w:hAnsi="Arial"/>
          <w:i/>
          <w:iCs/>
        </w:rPr>
        <w:t> </w:t>
      </w:r>
      <w:r w:rsidR="003F4067" w:rsidRPr="003B5CAA">
        <w:rPr>
          <w:i/>
          <w:iCs/>
        </w:rPr>
        <w:t>million</w:t>
      </w:r>
      <w:r w:rsidR="003F4067" w:rsidRPr="003B5CAA">
        <w:rPr>
          <w:rFonts w:ascii="Arial" w:hAnsi="Arial"/>
          <w:i/>
          <w:iCs/>
        </w:rPr>
        <w:t> </w:t>
      </w:r>
      <w:r w:rsidR="003F4067" w:rsidRPr="003B5CAA">
        <w:rPr>
          <w:i/>
          <w:iCs/>
        </w:rPr>
        <w:t>to</w:t>
      </w:r>
      <w:r w:rsidR="003F4067" w:rsidRPr="003B5CAA">
        <w:rPr>
          <w:rFonts w:ascii="Arial" w:hAnsi="Arial"/>
          <w:i/>
          <w:iCs/>
        </w:rPr>
        <w:t> </w:t>
      </w:r>
      <w:r w:rsidR="003F4067" w:rsidRPr="003B5CAA">
        <w:rPr>
          <w:i/>
          <w:iCs/>
        </w:rPr>
        <w:t>&lt;</w:t>
      </w:r>
      <w:r w:rsidR="003F4067" w:rsidRPr="003B5CAA">
        <w:rPr>
          <w:rFonts w:ascii="Arial" w:hAnsi="Arial"/>
          <w:i/>
          <w:iCs/>
        </w:rPr>
        <w:t> </w:t>
      </w:r>
      <w:r w:rsidR="003F4067" w:rsidRPr="003B5CAA">
        <w:rPr>
          <w:i/>
          <w:iCs/>
        </w:rPr>
        <w:t>$50</w:t>
      </w:r>
      <w:r w:rsidR="003F4067" w:rsidRPr="003B5CAA">
        <w:rPr>
          <w:rFonts w:ascii="Arial" w:hAnsi="Arial"/>
          <w:i/>
          <w:iCs/>
        </w:rPr>
        <w:t> </w:t>
      </w:r>
      <w:r w:rsidR="003F4067" w:rsidRPr="003B5CAA">
        <w:rPr>
          <w:i/>
          <w:iCs/>
        </w:rPr>
        <w:t>million </w:t>
      </w:r>
    </w:p>
    <w:p w14:paraId="3070C53F" w14:textId="496B16A8" w:rsidR="00C47D8D" w:rsidRPr="003B5CAA" w:rsidRDefault="00C47D8D" w:rsidP="00C47D8D">
      <w:pPr>
        <w:pStyle w:val="FooterTableFigure"/>
        <w:keepNext/>
        <w:keepLines/>
        <w:rPr>
          <w:i/>
          <w:iCs/>
        </w:rPr>
      </w:pPr>
      <w:r w:rsidRPr="003B5CAA">
        <w:rPr>
          <w:i/>
          <w:iCs/>
          <w:vertAlign w:val="superscript"/>
        </w:rPr>
        <w:t xml:space="preserve">13 </w:t>
      </w:r>
      <w:r w:rsidR="00AE31C8" w:rsidRPr="003B5CAA">
        <w:rPr>
          <w:i/>
          <w:iCs/>
          <w:vertAlign w:val="superscript"/>
        </w:rPr>
        <w:t xml:space="preserve"> </w:t>
      </w:r>
      <w:r w:rsidR="00AE31C8" w:rsidRPr="003B5CAA">
        <w:rPr>
          <w:i/>
          <w:iCs/>
        </w:rPr>
        <w:t>$20</w:t>
      </w:r>
      <w:r w:rsidR="00AE31C8" w:rsidRPr="003B5CAA">
        <w:rPr>
          <w:rFonts w:ascii="Arial" w:hAnsi="Arial"/>
          <w:i/>
          <w:iCs/>
        </w:rPr>
        <w:t> </w:t>
      </w:r>
      <w:r w:rsidR="00AE31C8" w:rsidRPr="003B5CAA">
        <w:rPr>
          <w:i/>
          <w:iCs/>
        </w:rPr>
        <w:t>million</w:t>
      </w:r>
      <w:r w:rsidR="00AE31C8" w:rsidRPr="003B5CAA">
        <w:rPr>
          <w:rFonts w:ascii="Arial" w:hAnsi="Arial"/>
          <w:i/>
          <w:iCs/>
        </w:rPr>
        <w:t> </w:t>
      </w:r>
      <w:r w:rsidR="00AE31C8" w:rsidRPr="003B5CAA">
        <w:rPr>
          <w:i/>
          <w:iCs/>
        </w:rPr>
        <w:t>to</w:t>
      </w:r>
      <w:r w:rsidR="00AE31C8" w:rsidRPr="003B5CAA">
        <w:rPr>
          <w:rFonts w:ascii="Arial" w:hAnsi="Arial"/>
          <w:i/>
          <w:iCs/>
        </w:rPr>
        <w:t> </w:t>
      </w:r>
      <w:r w:rsidR="00AE31C8" w:rsidRPr="003B5CAA">
        <w:rPr>
          <w:i/>
          <w:iCs/>
        </w:rPr>
        <w:t>&lt;</w:t>
      </w:r>
      <w:r w:rsidR="00AE31C8" w:rsidRPr="003B5CAA">
        <w:rPr>
          <w:rFonts w:ascii="Arial" w:hAnsi="Arial"/>
          <w:i/>
          <w:iCs/>
        </w:rPr>
        <w:t> </w:t>
      </w:r>
      <w:r w:rsidR="00AE31C8" w:rsidRPr="003B5CAA">
        <w:rPr>
          <w:i/>
          <w:iCs/>
        </w:rPr>
        <w:t>$30</w:t>
      </w:r>
      <w:r w:rsidR="00AE31C8" w:rsidRPr="003B5CAA">
        <w:rPr>
          <w:rFonts w:ascii="Arial" w:hAnsi="Arial"/>
          <w:i/>
          <w:iCs/>
        </w:rPr>
        <w:t> </w:t>
      </w:r>
      <w:r w:rsidR="00AE31C8" w:rsidRPr="003B5CAA">
        <w:rPr>
          <w:i/>
          <w:iCs/>
        </w:rPr>
        <w:t>million</w:t>
      </w:r>
      <w:r w:rsidR="00AE31C8" w:rsidRPr="003B5CAA">
        <w:rPr>
          <w:i/>
          <w:iCs/>
          <w:vertAlign w:val="superscript"/>
        </w:rPr>
        <w:t> </w:t>
      </w:r>
    </w:p>
    <w:p w14:paraId="714BD68E" w14:textId="011FD0D5" w:rsidR="00C47D8D" w:rsidRPr="003B5CAA" w:rsidRDefault="00C47D8D" w:rsidP="00C47D8D">
      <w:pPr>
        <w:pStyle w:val="FooterTableFigure"/>
        <w:keepNext/>
        <w:keepLines/>
        <w:rPr>
          <w:i/>
          <w:iCs/>
        </w:rPr>
      </w:pPr>
      <w:r w:rsidRPr="003B5CAA">
        <w:rPr>
          <w:i/>
          <w:iCs/>
          <w:vertAlign w:val="superscript"/>
        </w:rPr>
        <w:t>14</w:t>
      </w:r>
      <w:r w:rsidRPr="003B5CAA">
        <w:rPr>
          <w:i/>
          <w:iCs/>
        </w:rPr>
        <w:t>  </w:t>
      </w:r>
      <w:r w:rsidR="00E334D9" w:rsidRPr="003B5CAA">
        <w:rPr>
          <w:i/>
          <w:iCs/>
        </w:rPr>
        <w:t>$70</w:t>
      </w:r>
      <w:r w:rsidR="00E334D9" w:rsidRPr="003B5CAA">
        <w:rPr>
          <w:rFonts w:ascii="Arial" w:hAnsi="Arial"/>
          <w:i/>
          <w:iCs/>
        </w:rPr>
        <w:t> </w:t>
      </w:r>
      <w:r w:rsidR="00E334D9" w:rsidRPr="003B5CAA">
        <w:rPr>
          <w:i/>
          <w:iCs/>
        </w:rPr>
        <w:t>million</w:t>
      </w:r>
      <w:r w:rsidR="00E334D9" w:rsidRPr="003B5CAA">
        <w:rPr>
          <w:rFonts w:ascii="Arial" w:hAnsi="Arial"/>
          <w:i/>
          <w:iCs/>
        </w:rPr>
        <w:t> </w:t>
      </w:r>
      <w:r w:rsidR="00E334D9" w:rsidRPr="003B5CAA">
        <w:rPr>
          <w:i/>
          <w:iCs/>
        </w:rPr>
        <w:t>to</w:t>
      </w:r>
      <w:r w:rsidR="00E334D9" w:rsidRPr="003B5CAA">
        <w:rPr>
          <w:rFonts w:ascii="Arial" w:hAnsi="Arial"/>
          <w:i/>
          <w:iCs/>
        </w:rPr>
        <w:t> </w:t>
      </w:r>
      <w:r w:rsidR="00E334D9" w:rsidRPr="003B5CAA">
        <w:rPr>
          <w:i/>
          <w:iCs/>
        </w:rPr>
        <w:t>&lt;</w:t>
      </w:r>
      <w:r w:rsidR="00E334D9" w:rsidRPr="003B5CAA">
        <w:rPr>
          <w:rFonts w:ascii="Arial" w:hAnsi="Arial"/>
          <w:i/>
          <w:iCs/>
        </w:rPr>
        <w:t> </w:t>
      </w:r>
      <w:r w:rsidR="00E334D9" w:rsidRPr="003B5CAA">
        <w:rPr>
          <w:i/>
          <w:iCs/>
        </w:rPr>
        <w:t>$80</w:t>
      </w:r>
      <w:r w:rsidR="00E334D9" w:rsidRPr="003B5CAA">
        <w:rPr>
          <w:rFonts w:ascii="Arial" w:hAnsi="Arial"/>
          <w:i/>
          <w:iCs/>
        </w:rPr>
        <w:t> </w:t>
      </w:r>
      <w:r w:rsidR="00E334D9" w:rsidRPr="003B5CAA">
        <w:rPr>
          <w:i/>
          <w:iCs/>
        </w:rPr>
        <w:t>million </w:t>
      </w:r>
    </w:p>
    <w:p w14:paraId="540F5E46" w14:textId="55B601BB" w:rsidR="00D07CA3" w:rsidRPr="003B5CAA" w:rsidRDefault="00F20367" w:rsidP="00D07CA3">
      <w:pPr>
        <w:pStyle w:val="FooterTableFigure"/>
        <w:keepNext/>
        <w:keepLines/>
        <w:rPr>
          <w:i/>
          <w:iCs/>
        </w:rPr>
      </w:pPr>
      <w:r w:rsidRPr="003B5CAA">
        <w:rPr>
          <w:i/>
          <w:iCs/>
          <w:vertAlign w:val="superscript"/>
        </w:rPr>
        <w:t xml:space="preserve">15 </w:t>
      </w:r>
      <w:r w:rsidR="007F1699" w:rsidRPr="003B5CAA">
        <w:rPr>
          <w:i/>
          <w:iCs/>
        </w:rPr>
        <w:t> </w:t>
      </w:r>
      <w:r w:rsidRPr="003B5CAA">
        <w:rPr>
          <w:i/>
          <w:iCs/>
        </w:rPr>
        <w:t>$50</w:t>
      </w:r>
      <w:r w:rsidRPr="003B5CAA">
        <w:rPr>
          <w:rFonts w:ascii="Arial" w:hAnsi="Arial"/>
          <w:i/>
          <w:iCs/>
        </w:rPr>
        <w:t> </w:t>
      </w:r>
      <w:r w:rsidRPr="003B5CAA">
        <w:rPr>
          <w:i/>
          <w:iCs/>
        </w:rPr>
        <w:t>million</w:t>
      </w:r>
      <w:r w:rsidRPr="003B5CAA">
        <w:rPr>
          <w:rFonts w:ascii="Arial" w:hAnsi="Arial"/>
          <w:i/>
          <w:iCs/>
        </w:rPr>
        <w:t> </w:t>
      </w:r>
      <w:r w:rsidRPr="003B5CAA">
        <w:rPr>
          <w:i/>
          <w:iCs/>
        </w:rPr>
        <w:t>to</w:t>
      </w:r>
      <w:r w:rsidRPr="003B5CAA">
        <w:rPr>
          <w:rFonts w:ascii="Arial" w:hAnsi="Arial"/>
          <w:i/>
          <w:iCs/>
        </w:rPr>
        <w:t> </w:t>
      </w:r>
      <w:r w:rsidRPr="003B5CAA">
        <w:rPr>
          <w:i/>
          <w:iCs/>
        </w:rPr>
        <w:t>&lt;</w:t>
      </w:r>
      <w:r w:rsidRPr="003B5CAA">
        <w:rPr>
          <w:rFonts w:ascii="Arial" w:hAnsi="Arial"/>
          <w:i/>
          <w:iCs/>
        </w:rPr>
        <w:t> </w:t>
      </w:r>
      <w:r w:rsidRPr="003B5CAA">
        <w:rPr>
          <w:i/>
          <w:iCs/>
        </w:rPr>
        <w:t>$60</w:t>
      </w:r>
      <w:r w:rsidRPr="003B5CAA">
        <w:rPr>
          <w:rFonts w:ascii="Arial" w:hAnsi="Arial"/>
          <w:i/>
          <w:iCs/>
        </w:rPr>
        <w:t> </w:t>
      </w:r>
      <w:r w:rsidRPr="003B5CAA">
        <w:rPr>
          <w:i/>
          <w:iCs/>
        </w:rPr>
        <w:t>million </w:t>
      </w:r>
    </w:p>
    <w:p w14:paraId="29B534F4" w14:textId="2453935A" w:rsidR="00F20367" w:rsidRPr="003B5CAA" w:rsidRDefault="00F20367" w:rsidP="00D07CA3">
      <w:pPr>
        <w:pStyle w:val="FooterTableFigure"/>
        <w:keepNext/>
        <w:keepLines/>
        <w:rPr>
          <w:i/>
          <w:iCs/>
        </w:rPr>
      </w:pPr>
      <w:r w:rsidRPr="003B5CAA">
        <w:rPr>
          <w:i/>
          <w:iCs/>
          <w:vertAlign w:val="superscript"/>
        </w:rPr>
        <w:t>16</w:t>
      </w:r>
      <w:r w:rsidRPr="003B5CAA">
        <w:rPr>
          <w:i/>
          <w:iCs/>
        </w:rPr>
        <w:t>  </w:t>
      </w:r>
      <w:r w:rsidR="00FF0C2B" w:rsidRPr="003B5CAA">
        <w:rPr>
          <w:i/>
          <w:iCs/>
        </w:rPr>
        <w:t>$30</w:t>
      </w:r>
      <w:r w:rsidR="00FF0C2B" w:rsidRPr="003B5CAA">
        <w:rPr>
          <w:rFonts w:ascii="Arial" w:hAnsi="Arial"/>
          <w:i/>
          <w:iCs/>
        </w:rPr>
        <w:t> </w:t>
      </w:r>
      <w:r w:rsidR="00FF0C2B" w:rsidRPr="003B5CAA">
        <w:rPr>
          <w:i/>
          <w:iCs/>
        </w:rPr>
        <w:t>million</w:t>
      </w:r>
      <w:r w:rsidR="00FF0C2B" w:rsidRPr="003B5CAA">
        <w:rPr>
          <w:rFonts w:ascii="Arial" w:hAnsi="Arial"/>
          <w:i/>
          <w:iCs/>
        </w:rPr>
        <w:t> </w:t>
      </w:r>
      <w:r w:rsidR="00FF0C2B" w:rsidRPr="003B5CAA">
        <w:rPr>
          <w:i/>
          <w:iCs/>
        </w:rPr>
        <w:t>to</w:t>
      </w:r>
      <w:r w:rsidR="00FF0C2B" w:rsidRPr="003B5CAA">
        <w:rPr>
          <w:rFonts w:ascii="Arial" w:hAnsi="Arial"/>
          <w:i/>
          <w:iCs/>
        </w:rPr>
        <w:t> </w:t>
      </w:r>
      <w:r w:rsidR="00FF0C2B" w:rsidRPr="003B5CAA">
        <w:rPr>
          <w:i/>
          <w:iCs/>
        </w:rPr>
        <w:t>&lt;</w:t>
      </w:r>
      <w:r w:rsidR="00FF0C2B" w:rsidRPr="003B5CAA">
        <w:rPr>
          <w:rFonts w:ascii="Arial" w:hAnsi="Arial"/>
          <w:i/>
          <w:iCs/>
        </w:rPr>
        <w:t> </w:t>
      </w:r>
      <w:r w:rsidR="00FF0C2B" w:rsidRPr="003B5CAA">
        <w:rPr>
          <w:i/>
          <w:iCs/>
        </w:rPr>
        <w:t>$40</w:t>
      </w:r>
      <w:r w:rsidR="00FF0C2B" w:rsidRPr="003B5CAA">
        <w:rPr>
          <w:rFonts w:ascii="Arial" w:hAnsi="Arial"/>
          <w:i/>
          <w:iCs/>
        </w:rPr>
        <w:t> </w:t>
      </w:r>
      <w:r w:rsidR="00FF0C2B" w:rsidRPr="003B5CAA">
        <w:rPr>
          <w:i/>
          <w:iCs/>
        </w:rPr>
        <w:t>million </w:t>
      </w:r>
    </w:p>
    <w:p w14:paraId="576DC32C" w14:textId="55F6B4AD" w:rsidR="00455E3F" w:rsidRPr="003B5CAA" w:rsidRDefault="00455E3F" w:rsidP="007F2C62">
      <w:pPr>
        <w:pStyle w:val="FooterTableFigure"/>
        <w:keepNext/>
        <w:keepLines/>
        <w:spacing w:after="0"/>
        <w:rPr>
          <w:i/>
          <w:iCs/>
        </w:rPr>
      </w:pPr>
      <w:r w:rsidRPr="003B5CAA">
        <w:rPr>
          <w:i/>
          <w:iCs/>
          <w:vertAlign w:val="superscript"/>
        </w:rPr>
        <w:t xml:space="preserve">17 </w:t>
      </w:r>
      <w:r w:rsidRPr="003B5CAA">
        <w:rPr>
          <w:i/>
          <w:iCs/>
        </w:rPr>
        <w:t>$10</w:t>
      </w:r>
      <w:r w:rsidRPr="003B5CAA">
        <w:rPr>
          <w:rFonts w:ascii="Arial" w:hAnsi="Arial"/>
          <w:i/>
          <w:iCs/>
        </w:rPr>
        <w:t> </w:t>
      </w:r>
      <w:r w:rsidRPr="003B5CAA">
        <w:rPr>
          <w:i/>
          <w:iCs/>
        </w:rPr>
        <w:t>million</w:t>
      </w:r>
      <w:r w:rsidRPr="003B5CAA">
        <w:rPr>
          <w:rFonts w:ascii="Arial" w:hAnsi="Arial"/>
          <w:i/>
          <w:iCs/>
        </w:rPr>
        <w:t> </w:t>
      </w:r>
      <w:r w:rsidRPr="003B5CAA">
        <w:rPr>
          <w:i/>
          <w:iCs/>
        </w:rPr>
        <w:t>to</w:t>
      </w:r>
      <w:r w:rsidRPr="003B5CAA">
        <w:rPr>
          <w:rFonts w:ascii="Arial" w:hAnsi="Arial"/>
          <w:i/>
          <w:iCs/>
        </w:rPr>
        <w:t> </w:t>
      </w:r>
      <w:r w:rsidRPr="003B5CAA">
        <w:rPr>
          <w:i/>
          <w:iCs/>
        </w:rPr>
        <w:t>&lt;</w:t>
      </w:r>
      <w:r w:rsidRPr="003B5CAA">
        <w:rPr>
          <w:rFonts w:ascii="Arial" w:hAnsi="Arial"/>
          <w:i/>
          <w:iCs/>
        </w:rPr>
        <w:t> </w:t>
      </w:r>
      <w:r w:rsidRPr="003B5CAA">
        <w:rPr>
          <w:i/>
          <w:iCs/>
        </w:rPr>
        <w:t>$20</w:t>
      </w:r>
      <w:r w:rsidRPr="003B5CAA">
        <w:rPr>
          <w:rFonts w:ascii="Arial" w:hAnsi="Arial"/>
          <w:i/>
          <w:iCs/>
        </w:rPr>
        <w:t> </w:t>
      </w:r>
      <w:r w:rsidRPr="003B5CAA">
        <w:rPr>
          <w:i/>
          <w:iCs/>
        </w:rPr>
        <w:t>million </w:t>
      </w:r>
    </w:p>
    <w:p w14:paraId="1E9377C8" w14:textId="118EBD16" w:rsidR="001118EA" w:rsidRPr="00A03664" w:rsidRDefault="00C16F9D" w:rsidP="00683686">
      <w:pPr>
        <w:rPr>
          <w:rFonts w:ascii="Arial Narrow" w:hAnsi="Arial Narrow"/>
          <w:sz w:val="18"/>
          <w:szCs w:val="18"/>
        </w:rPr>
      </w:pPr>
      <w:r w:rsidRPr="00A03664">
        <w:rPr>
          <w:rFonts w:ascii="Arial Narrow" w:hAnsi="Arial Narrow"/>
          <w:i/>
          <w:iCs/>
          <w:sz w:val="18"/>
          <w:szCs w:val="18"/>
          <w:vertAlign w:val="superscript"/>
        </w:rPr>
        <w:t xml:space="preserve">18 </w:t>
      </w:r>
      <w:r w:rsidRPr="00A03664">
        <w:rPr>
          <w:rFonts w:ascii="Arial Narrow" w:hAnsi="Arial Narrow"/>
          <w:i/>
          <w:iCs/>
          <w:sz w:val="18"/>
          <w:szCs w:val="18"/>
        </w:rPr>
        <w:t>$0</w:t>
      </w:r>
      <w:r w:rsidRPr="00A03664">
        <w:rPr>
          <w:rFonts w:ascii="Arial" w:hAnsi="Arial"/>
          <w:i/>
          <w:iCs/>
          <w:sz w:val="18"/>
          <w:szCs w:val="18"/>
        </w:rPr>
        <w:t> </w:t>
      </w:r>
      <w:r w:rsidRPr="00A03664">
        <w:rPr>
          <w:rFonts w:ascii="Arial Narrow" w:hAnsi="Arial Narrow"/>
          <w:i/>
          <w:iCs/>
          <w:sz w:val="18"/>
          <w:szCs w:val="18"/>
        </w:rPr>
        <w:t>to</w:t>
      </w:r>
      <w:r w:rsidRPr="00A03664">
        <w:rPr>
          <w:rFonts w:ascii="Arial" w:hAnsi="Arial"/>
          <w:i/>
          <w:iCs/>
          <w:sz w:val="18"/>
          <w:szCs w:val="18"/>
        </w:rPr>
        <w:t> </w:t>
      </w:r>
      <w:r w:rsidRPr="00A03664">
        <w:rPr>
          <w:rFonts w:ascii="Arial Narrow" w:hAnsi="Arial Narrow"/>
          <w:i/>
          <w:iCs/>
          <w:sz w:val="18"/>
          <w:szCs w:val="18"/>
        </w:rPr>
        <w:t>&lt;</w:t>
      </w:r>
      <w:r w:rsidRPr="00A03664">
        <w:rPr>
          <w:rFonts w:ascii="Arial" w:hAnsi="Arial"/>
          <w:i/>
          <w:iCs/>
          <w:sz w:val="18"/>
          <w:szCs w:val="18"/>
        </w:rPr>
        <w:t> </w:t>
      </w:r>
      <w:r w:rsidRPr="00A03664">
        <w:rPr>
          <w:rFonts w:ascii="Arial Narrow" w:hAnsi="Arial Narrow"/>
          <w:i/>
          <w:iCs/>
          <w:sz w:val="18"/>
          <w:szCs w:val="18"/>
        </w:rPr>
        <w:t>$10</w:t>
      </w:r>
      <w:r w:rsidRPr="00A03664">
        <w:rPr>
          <w:rFonts w:ascii="Arial" w:hAnsi="Arial"/>
          <w:i/>
          <w:iCs/>
          <w:sz w:val="18"/>
          <w:szCs w:val="18"/>
        </w:rPr>
        <w:t> </w:t>
      </w:r>
      <w:r w:rsidRPr="00A03664">
        <w:rPr>
          <w:rFonts w:ascii="Arial Narrow" w:hAnsi="Arial Narrow"/>
          <w:i/>
          <w:iCs/>
          <w:sz w:val="18"/>
          <w:szCs w:val="18"/>
        </w:rPr>
        <w:t>million</w:t>
      </w:r>
      <w:r w:rsidRPr="00A03664">
        <w:rPr>
          <w:rFonts w:ascii="Arial Narrow" w:hAnsi="Arial Narrow"/>
          <w:sz w:val="18"/>
          <w:szCs w:val="18"/>
        </w:rPr>
        <w:t> </w:t>
      </w:r>
    </w:p>
    <w:p w14:paraId="6290FE52" w14:textId="7EF4D820" w:rsidR="00FD4135" w:rsidRPr="009A4DCA" w:rsidRDefault="001118EA" w:rsidP="00BB6E35">
      <w:pPr>
        <w:pStyle w:val="FooterTableFigure"/>
      </w:pPr>
      <w:r w:rsidRPr="007F2C62">
        <w:rPr>
          <w:i/>
          <w:iCs/>
          <w:snapToGrid/>
          <w:vertAlign w:val="superscript"/>
        </w:rPr>
        <w:t>1</w:t>
      </w:r>
      <w:r w:rsidR="00BB6E35">
        <w:rPr>
          <w:i/>
          <w:iCs/>
          <w:snapToGrid/>
          <w:vertAlign w:val="superscript"/>
        </w:rPr>
        <w:t>9</w:t>
      </w:r>
      <w:r w:rsidRPr="007F2C62">
        <w:rPr>
          <w:i/>
          <w:iCs/>
          <w:snapToGrid/>
          <w:vertAlign w:val="superscript"/>
        </w:rPr>
        <w:t xml:space="preserve"> </w:t>
      </w:r>
      <w:r w:rsidRPr="007F2C62">
        <w:rPr>
          <w:i/>
          <w:iCs/>
          <w:snapToGrid/>
        </w:rPr>
        <w:t>$</w:t>
      </w:r>
      <w:r w:rsidR="00BB6E35">
        <w:rPr>
          <w:i/>
          <w:iCs/>
          <w:snapToGrid/>
        </w:rPr>
        <w:t>20</w:t>
      </w:r>
      <w:r w:rsidRPr="007F2C62">
        <w:rPr>
          <w:i/>
          <w:iCs/>
          <w:snapToGrid/>
        </w:rPr>
        <w:t>0</w:t>
      </w:r>
      <w:r w:rsidRPr="007F2C62">
        <w:rPr>
          <w:rFonts w:ascii="Arial" w:hAnsi="Arial"/>
          <w:i/>
          <w:iCs/>
          <w:snapToGrid/>
        </w:rPr>
        <w:t> </w:t>
      </w:r>
      <w:r w:rsidRPr="007F2C62">
        <w:rPr>
          <w:i/>
          <w:iCs/>
          <w:snapToGrid/>
        </w:rPr>
        <w:t>to</w:t>
      </w:r>
      <w:r w:rsidRPr="007F2C62">
        <w:rPr>
          <w:rFonts w:ascii="Arial" w:hAnsi="Arial"/>
          <w:i/>
          <w:iCs/>
          <w:snapToGrid/>
        </w:rPr>
        <w:t> </w:t>
      </w:r>
      <w:r w:rsidRPr="007F2C62">
        <w:rPr>
          <w:i/>
          <w:iCs/>
          <w:snapToGrid/>
        </w:rPr>
        <w:t>&lt;</w:t>
      </w:r>
      <w:r w:rsidRPr="007F2C62">
        <w:rPr>
          <w:rFonts w:ascii="Arial" w:hAnsi="Arial"/>
          <w:i/>
          <w:iCs/>
          <w:snapToGrid/>
        </w:rPr>
        <w:t> </w:t>
      </w:r>
      <w:r w:rsidRPr="007F2C62">
        <w:rPr>
          <w:i/>
          <w:iCs/>
          <w:snapToGrid/>
        </w:rPr>
        <w:t>$</w:t>
      </w:r>
      <w:r w:rsidR="00BB6E35">
        <w:rPr>
          <w:i/>
          <w:iCs/>
          <w:snapToGrid/>
        </w:rPr>
        <w:t>30</w:t>
      </w:r>
      <w:r w:rsidRPr="007F2C62">
        <w:rPr>
          <w:i/>
          <w:iCs/>
          <w:snapToGrid/>
        </w:rPr>
        <w:t>0</w:t>
      </w:r>
      <w:r w:rsidRPr="007F2C62">
        <w:rPr>
          <w:rFonts w:ascii="Arial" w:hAnsi="Arial"/>
          <w:i/>
          <w:iCs/>
          <w:snapToGrid/>
        </w:rPr>
        <w:t> </w:t>
      </w:r>
      <w:r w:rsidRPr="007F2C62">
        <w:rPr>
          <w:i/>
          <w:iCs/>
          <w:snapToGrid/>
        </w:rPr>
        <w:t>million</w:t>
      </w:r>
      <w:r w:rsidRPr="007F2C62">
        <w:rPr>
          <w:szCs w:val="18"/>
        </w:rPr>
        <w:t> </w:t>
      </w:r>
    </w:p>
    <w:p w14:paraId="0B579F22" w14:textId="2BF7CC3A" w:rsidR="00C764F4" w:rsidRPr="009A4DCA" w:rsidRDefault="00FB3AD8" w:rsidP="004E357D">
      <w:pPr>
        <w:pStyle w:val="3-BodyText"/>
        <w:numPr>
          <w:ilvl w:val="1"/>
          <w:numId w:val="1"/>
        </w:numPr>
      </w:pPr>
      <w:bookmarkStart w:id="90" w:name="_Ref180488135"/>
      <w:r w:rsidRPr="009A4DCA">
        <w:t>The evaluation noted the following points:</w:t>
      </w:r>
      <w:bookmarkEnd w:id="90"/>
      <w:r w:rsidR="00C764F4" w:rsidRPr="009A4DCA">
        <w:t xml:space="preserve"> </w:t>
      </w:r>
    </w:p>
    <w:p w14:paraId="33AECCA1" w14:textId="1214373E" w:rsidR="00FB3AD8" w:rsidRPr="009A4DCA" w:rsidRDefault="00C764F4" w:rsidP="009179AA">
      <w:pPr>
        <w:pStyle w:val="3-BodyText"/>
        <w:numPr>
          <w:ilvl w:val="0"/>
          <w:numId w:val="32"/>
        </w:numPr>
        <w:ind w:left="1134"/>
      </w:pPr>
      <w:r w:rsidRPr="009A4DCA">
        <w:t>The</w:t>
      </w:r>
      <w:r w:rsidR="00FB3AD8" w:rsidRPr="009A4DCA">
        <w:t xml:space="preserve"> </w:t>
      </w:r>
      <w:r w:rsidRPr="009A4DCA">
        <w:t>submission applied outdated estimates from 201</w:t>
      </w:r>
      <w:r w:rsidR="00293FB0" w:rsidRPr="009A4DCA">
        <w:t>2 (base)</w:t>
      </w:r>
      <w:r w:rsidRPr="009A4DCA">
        <w:t xml:space="preserve"> for population projection reported by the ABS. The most recent ABS statistics for Series 3222.0 use 2022 as the base year (ABS 2023). Use of the older ABS projections </w:t>
      </w:r>
      <w:r w:rsidRPr="009A4DCA">
        <w:lastRenderedPageBreak/>
        <w:t xml:space="preserve">underestimated the incidence population and the financial impact. This was not updated during the evaluation. </w:t>
      </w:r>
      <w:r w:rsidR="006641D9" w:rsidRPr="009A4DCA">
        <w:t>The PSCR provided estimates based on the latest release of the ABS population projections</w:t>
      </w:r>
      <w:r w:rsidR="00EC1D5A" w:rsidRPr="009A4DCA">
        <w:t xml:space="preserve"> (Series 3222.0)</w:t>
      </w:r>
      <w:r w:rsidR="006641D9" w:rsidRPr="009A4DCA">
        <w:t>. The PSCR stated that the</w:t>
      </w:r>
      <w:r w:rsidR="00EC1D5A" w:rsidRPr="009A4DCA">
        <w:t xml:space="preserve"> revised</w:t>
      </w:r>
      <w:r w:rsidR="006641D9" w:rsidRPr="009A4DCA">
        <w:t xml:space="preserve"> estimates represent a modest (2-5%) increase compared to the submission estimates.</w:t>
      </w:r>
    </w:p>
    <w:p w14:paraId="4E44A911" w14:textId="6313D6D4" w:rsidR="00C764F4" w:rsidRPr="009A4DCA" w:rsidRDefault="00C764F4" w:rsidP="009179AA">
      <w:pPr>
        <w:pStyle w:val="3-BodyText"/>
        <w:numPr>
          <w:ilvl w:val="0"/>
          <w:numId w:val="32"/>
        </w:numPr>
        <w:ind w:left="1134"/>
      </w:pPr>
      <w:r w:rsidRPr="009A4DCA">
        <w:t xml:space="preserve">The main sources of uncertainty </w:t>
      </w:r>
      <w:r w:rsidR="002E3B24" w:rsidRPr="009A4DCA">
        <w:t xml:space="preserve">relate </w:t>
      </w:r>
      <w:r w:rsidRPr="009A4DCA">
        <w:t xml:space="preserve">to the number of eligible patients and uptake rates. The net NIP cost is sensitive to parameters for the prevalence of people with at least one risk condition and assumed uptake. </w:t>
      </w:r>
    </w:p>
    <w:p w14:paraId="5F0B9CA5" w14:textId="1A1EA9C7" w:rsidR="0025445B" w:rsidRPr="009A4DCA" w:rsidRDefault="00C764F4" w:rsidP="009179AA">
      <w:pPr>
        <w:pStyle w:val="3-BodyText"/>
        <w:numPr>
          <w:ilvl w:val="0"/>
          <w:numId w:val="32"/>
        </w:numPr>
        <w:ind w:left="1134" w:right="-45"/>
      </w:pPr>
      <w:r w:rsidRPr="009A4DCA">
        <w:t xml:space="preserve">The estimate derived in the ABS customised report did not include persons with obesity. Increasing the proportion of people aged 60 to 74 years with at least one risk condition from 35% to 50% increased the total cost over 6 years by </w:t>
      </w:r>
      <w:r w:rsidRPr="00056C72">
        <w:t>12</w:t>
      </w:r>
      <w:r w:rsidRPr="009A4DCA">
        <w:t xml:space="preserve">% to </w:t>
      </w:r>
      <w:r w:rsidR="00056C72" w:rsidRPr="00056C72">
        <w:t>$700</w:t>
      </w:r>
      <w:r w:rsidR="00E223F3">
        <w:t> </w:t>
      </w:r>
      <w:r w:rsidR="00056C72" w:rsidRPr="00056C72">
        <w:t>million to &lt; $800 million</w:t>
      </w:r>
      <w:r w:rsidR="00056C72" w:rsidRPr="00056C72" w:rsidDel="00056C72">
        <w:t xml:space="preserve"> </w:t>
      </w:r>
      <w:r w:rsidR="00006708" w:rsidRPr="009A4DCA">
        <w:t>(</w:t>
      </w:r>
      <w:r w:rsidR="00006708" w:rsidRPr="009A4DCA">
        <w:fldChar w:fldCharType="begin"/>
      </w:r>
      <w:r w:rsidR="00006708" w:rsidRPr="009A4DCA">
        <w:instrText xml:space="preserve"> REF _Ref177432122 \h  \* MERGEFORMAT </w:instrText>
      </w:r>
      <w:r w:rsidR="00006708" w:rsidRPr="009A4DCA">
        <w:fldChar w:fldCharType="separate"/>
      </w:r>
      <w:r w:rsidR="007B2F50" w:rsidRPr="009A4DCA">
        <w:t xml:space="preserve">Table </w:t>
      </w:r>
      <w:r w:rsidR="007B2F50">
        <w:t>23</w:t>
      </w:r>
      <w:r w:rsidR="00006708" w:rsidRPr="009A4DCA">
        <w:fldChar w:fldCharType="end"/>
      </w:r>
      <w:r w:rsidR="00006708" w:rsidRPr="009A4DCA">
        <w:t>)</w:t>
      </w:r>
      <w:r w:rsidRPr="009A4DCA">
        <w:t xml:space="preserve">. </w:t>
      </w:r>
      <w:r w:rsidR="00E91138" w:rsidRPr="009A4DCA">
        <w:t xml:space="preserve">The PSCR stated that obesity was </w:t>
      </w:r>
      <w:r w:rsidR="003807E6" w:rsidRPr="009A4DCA">
        <w:t xml:space="preserve">recently </w:t>
      </w:r>
      <w:r w:rsidR="00E91138" w:rsidRPr="009A4DCA">
        <w:t>added to the list of risk factors in the clinical recommendations for RSV vaccines</w:t>
      </w:r>
      <w:r w:rsidR="003807E6" w:rsidRPr="009A4DCA">
        <w:t xml:space="preserve"> in the AIH RSV chapter</w:t>
      </w:r>
      <w:r w:rsidR="00335F63" w:rsidRPr="009A4DCA">
        <w:t xml:space="preserve"> (paragraph</w:t>
      </w:r>
      <w:r w:rsidR="00E87FED" w:rsidRPr="009A4DCA">
        <w:t xml:space="preserve"> </w:t>
      </w:r>
      <w:r w:rsidR="00E87FED" w:rsidRPr="009A4DCA">
        <w:fldChar w:fldCharType="begin"/>
      </w:r>
      <w:r w:rsidR="00E87FED" w:rsidRPr="009A4DCA">
        <w:instrText xml:space="preserve"> REF _Ref182318442 \r \h </w:instrText>
      </w:r>
      <w:r w:rsidR="00E87FED" w:rsidRPr="009A4DCA">
        <w:fldChar w:fldCharType="separate"/>
      </w:r>
      <w:r w:rsidR="007B2F50">
        <w:t>3.2</w:t>
      </w:r>
      <w:r w:rsidR="00E87FED" w:rsidRPr="009A4DCA">
        <w:fldChar w:fldCharType="end"/>
      </w:r>
      <w:r w:rsidR="00335F63" w:rsidRPr="009A4DCA">
        <w:t>)</w:t>
      </w:r>
      <w:r w:rsidR="003807E6" w:rsidRPr="009A4DCA">
        <w:t>.</w:t>
      </w:r>
      <w:r w:rsidR="0045092B" w:rsidRPr="009A4DCA">
        <w:t xml:space="preserve"> The PSCR noted that there will be overlap of obesity with other identified risk conditions for severe RSV disease and further analyses of the ABS National Health Survey data for proportion of adults aged 60-74 years with at least one risk condition, including obesity, can be commissioned. The ESC noted the</w:t>
      </w:r>
      <w:r w:rsidR="00C6536D" w:rsidRPr="009A4DCA">
        <w:t xml:space="preserve"> potential</w:t>
      </w:r>
      <w:r w:rsidR="0045092B" w:rsidRPr="009A4DCA">
        <w:t xml:space="preserve"> overlap</w:t>
      </w:r>
      <w:r w:rsidR="00C6536D" w:rsidRPr="009A4DCA">
        <w:t xml:space="preserve">, however </w:t>
      </w:r>
      <w:r w:rsidR="0045092B" w:rsidRPr="009A4DCA">
        <w:t xml:space="preserve">considered that </w:t>
      </w:r>
      <w:r w:rsidR="00556A44" w:rsidRPr="009A4DCA">
        <w:t>including</w:t>
      </w:r>
      <w:r w:rsidR="0045092B" w:rsidRPr="009A4DCA">
        <w:t xml:space="preserve"> obesity as a risk factor </w:t>
      </w:r>
      <w:r w:rsidR="00056537" w:rsidRPr="009A4DCA">
        <w:t>would likely increase the</w:t>
      </w:r>
      <w:r w:rsidR="0045092B" w:rsidRPr="009A4DCA">
        <w:t xml:space="preserve"> financial </w:t>
      </w:r>
      <w:r w:rsidR="00056537" w:rsidRPr="009A4DCA">
        <w:t>impact</w:t>
      </w:r>
      <w:r w:rsidR="0045092B" w:rsidRPr="009A4DCA">
        <w:t>.</w:t>
      </w:r>
      <w:r w:rsidR="003807E6" w:rsidRPr="009A4DCA">
        <w:t xml:space="preserve"> </w:t>
      </w:r>
      <w:r w:rsidR="008C5322" w:rsidRPr="009A4DCA">
        <w:t>The ESC also noted that the omission of obesity from the list of risk conditions for the NIP listing would be consistent with influenza, noting that the AIH</w:t>
      </w:r>
      <w:r w:rsidR="008C5322" w:rsidRPr="009A4DCA">
        <w:rPr>
          <w:rStyle w:val="FootnoteReference"/>
        </w:rPr>
        <w:footnoteReference w:id="19"/>
      </w:r>
      <w:r w:rsidR="008C5322" w:rsidRPr="009A4DCA">
        <w:t xml:space="preserve"> lists obesity as a risk factor for influenza and severe outcomes, but obesity is not a NIP-funded condition for influenza vaccination.</w:t>
      </w:r>
      <w:r w:rsidR="0025445B" w:rsidRPr="009A4DCA">
        <w:t xml:space="preserve">  The pre-PBAC response stated that </w:t>
      </w:r>
      <w:r w:rsidR="0025445B" w:rsidRPr="009A4DCA">
        <w:rPr>
          <w:rFonts w:cs="Arial"/>
          <w:bCs/>
          <w:iCs/>
        </w:rPr>
        <w:t>the submission proposed financial estimates in line with the ATAGI advice received prior to the submission, and that the financial estimates can be adjusted, if required, if there is advice to include obesity as a risk factor for the NIP.</w:t>
      </w:r>
    </w:p>
    <w:p w14:paraId="4BD7C41C" w14:textId="6922EABF" w:rsidR="00C764F4" w:rsidRPr="009A4DCA" w:rsidRDefault="00C764F4" w:rsidP="009179AA">
      <w:pPr>
        <w:pStyle w:val="3-BodyText"/>
        <w:numPr>
          <w:ilvl w:val="0"/>
          <w:numId w:val="32"/>
        </w:numPr>
        <w:ind w:left="1134"/>
      </w:pPr>
      <w:r w:rsidRPr="009A4DCA">
        <w:t xml:space="preserve">Assuming peak vaccine uptake increased from </w:t>
      </w:r>
      <w:r w:rsidR="00E44A34" w:rsidRPr="007B2F50">
        <w:rPr>
          <w:color w:val="000000"/>
          <w:w w:val="15"/>
          <w:shd w:val="solid" w:color="000000" w:fill="000000"/>
          <w:fitText w:val="-20" w:id="-762046961"/>
          <w14:textFill>
            <w14:solidFill>
              <w14:srgbClr w14:val="000000">
                <w14:alpha w14:val="100000"/>
              </w14:srgbClr>
            </w14:solidFill>
          </w14:textFill>
        </w:rPr>
        <w:t xml:space="preserve">|  </w:t>
      </w:r>
      <w:r w:rsidR="00E44A34" w:rsidRPr="007B2F50">
        <w:rPr>
          <w:color w:val="000000"/>
          <w:spacing w:val="-69"/>
          <w:w w:val="15"/>
          <w:shd w:val="solid" w:color="000000" w:fill="000000"/>
          <w:fitText w:val="-20" w:id="-762046961"/>
          <w14:textFill>
            <w14:solidFill>
              <w14:srgbClr w14:val="000000">
                <w14:alpha w14:val="100000"/>
              </w14:srgbClr>
            </w14:solidFill>
          </w14:textFill>
        </w:rPr>
        <w:t>|</w:t>
      </w:r>
      <w:r w:rsidRPr="007325F5">
        <w:t xml:space="preserve">% to </w:t>
      </w:r>
      <w:r w:rsidR="00E44A34" w:rsidRPr="007B2F50">
        <w:rPr>
          <w:color w:val="000000"/>
          <w:w w:val="15"/>
          <w:shd w:val="solid" w:color="000000" w:fill="000000"/>
          <w:fitText w:val="-20" w:id="-762046960"/>
          <w14:textFill>
            <w14:solidFill>
              <w14:srgbClr w14:val="000000">
                <w14:alpha w14:val="100000"/>
              </w14:srgbClr>
            </w14:solidFill>
          </w14:textFill>
        </w:rPr>
        <w:t xml:space="preserve">|  </w:t>
      </w:r>
      <w:r w:rsidR="00E44A34" w:rsidRPr="007B2F50">
        <w:rPr>
          <w:color w:val="000000"/>
          <w:spacing w:val="-69"/>
          <w:w w:val="15"/>
          <w:shd w:val="solid" w:color="000000" w:fill="000000"/>
          <w:fitText w:val="-20" w:id="-762046960"/>
          <w14:textFill>
            <w14:solidFill>
              <w14:srgbClr w14:val="000000">
                <w14:alpha w14:val="100000"/>
              </w14:srgbClr>
            </w14:solidFill>
          </w14:textFill>
        </w:rPr>
        <w:t>|</w:t>
      </w:r>
      <w:r w:rsidRPr="007325F5">
        <w:t xml:space="preserve">% </w:t>
      </w:r>
      <w:r w:rsidRPr="009A4DCA">
        <w:t>in Years 3 to 6 for the population of adults aged </w:t>
      </w:r>
      <w:r w:rsidRPr="009A4DCA">
        <w:rPr>
          <w:rFonts w:cstheme="minorHAnsi"/>
        </w:rPr>
        <w:t>≥</w:t>
      </w:r>
      <w:r w:rsidRPr="009A4DCA">
        <w:t xml:space="preserve">75 years increased the total costs over 6 years by 9% to </w:t>
      </w:r>
      <w:r w:rsidR="00056C72" w:rsidRPr="00056C72">
        <w:t>$700 million to &lt; $800 million </w:t>
      </w:r>
      <w:r w:rsidRPr="009A4DCA">
        <w:t>.</w:t>
      </w:r>
    </w:p>
    <w:p w14:paraId="76051DDF" w14:textId="7ECCD2E9" w:rsidR="00763FE5" w:rsidRPr="009A4DCA" w:rsidRDefault="00763FE5" w:rsidP="00763FE5">
      <w:pPr>
        <w:pStyle w:val="3-BodyText"/>
        <w:numPr>
          <w:ilvl w:val="1"/>
          <w:numId w:val="1"/>
        </w:numPr>
      </w:pPr>
      <w:r w:rsidRPr="009A4DCA">
        <w:t xml:space="preserve">Based on the updated estimates in the PSCR, the overall cost of the program was estimated at </w:t>
      </w:r>
      <w:r w:rsidR="0095634B" w:rsidRPr="0095634B">
        <w:t>$100 million to &lt; $200 million</w:t>
      </w:r>
      <w:r w:rsidR="00E1746D">
        <w:t xml:space="preserve"> </w:t>
      </w:r>
      <w:r w:rsidRPr="009A4DCA">
        <w:t xml:space="preserve">in Year 1, increasing to </w:t>
      </w:r>
      <w:r w:rsidR="0095634B" w:rsidRPr="0095634B">
        <w:t>$200</w:t>
      </w:r>
      <w:r w:rsidR="00E1746D">
        <w:t> </w:t>
      </w:r>
      <w:r w:rsidR="0095634B" w:rsidRPr="0095634B">
        <w:t>million to &lt; $300 million</w:t>
      </w:r>
      <w:r w:rsidR="00E1746D">
        <w:t xml:space="preserve"> </w:t>
      </w:r>
      <w:r w:rsidRPr="009A4DCA">
        <w:t xml:space="preserve">in Year 2, followed by </w:t>
      </w:r>
      <w:r w:rsidR="0095634B" w:rsidRPr="0095634B">
        <w:t>$100 million to &lt; $200 million</w:t>
      </w:r>
      <w:r w:rsidR="00E1746D">
        <w:t xml:space="preserve"> </w:t>
      </w:r>
      <w:r w:rsidRPr="009A4DCA">
        <w:t xml:space="preserve">in Year 3 before declining in subsequent years. The total cost to NIP of listing RSVpreF over 6 years was estimated to be </w:t>
      </w:r>
      <w:r w:rsidR="00056C72" w:rsidRPr="00056C72">
        <w:t>$700 million to &lt; $800 million</w:t>
      </w:r>
      <w:r w:rsidRPr="009A4DCA">
        <w:t>.</w:t>
      </w:r>
    </w:p>
    <w:p w14:paraId="251B0A7A" w14:textId="5E5DEFAC" w:rsidR="001E2A12" w:rsidRPr="009A4DCA" w:rsidRDefault="001E2A12" w:rsidP="004E357D">
      <w:pPr>
        <w:pStyle w:val="3-BodyText"/>
        <w:numPr>
          <w:ilvl w:val="1"/>
          <w:numId w:val="1"/>
        </w:numPr>
      </w:pPr>
      <w:r w:rsidRPr="009A4DCA">
        <w:t xml:space="preserve">A summary of the sensitivity analyses for the financial implications to the Government Health Budget is provided in </w:t>
      </w:r>
      <w:r w:rsidRPr="009A4DCA">
        <w:fldChar w:fldCharType="begin"/>
      </w:r>
      <w:r w:rsidRPr="009A4DCA">
        <w:instrText xml:space="preserve"> REF _Ref177432122 \h </w:instrText>
      </w:r>
      <w:r w:rsidR="00672EF6" w:rsidRPr="009A4DCA">
        <w:instrText xml:space="preserve"> \* MERGEFORMAT </w:instrText>
      </w:r>
      <w:r w:rsidRPr="009A4DCA">
        <w:fldChar w:fldCharType="separate"/>
      </w:r>
      <w:r w:rsidR="007B2F50" w:rsidRPr="009A4DCA">
        <w:t xml:space="preserve">Table </w:t>
      </w:r>
      <w:r w:rsidR="007B2F50">
        <w:t>23</w:t>
      </w:r>
      <w:r w:rsidRPr="009A4DCA">
        <w:fldChar w:fldCharType="end"/>
      </w:r>
      <w:r w:rsidRPr="009A4DCA">
        <w:t xml:space="preserve">. </w:t>
      </w:r>
    </w:p>
    <w:p w14:paraId="196DA7C4" w14:textId="6787C3D7" w:rsidR="001E2A12" w:rsidRPr="009A4DCA" w:rsidRDefault="001E2A12" w:rsidP="001E2A12">
      <w:pPr>
        <w:pStyle w:val="Caption"/>
      </w:pPr>
      <w:bookmarkStart w:id="91" w:name="_Ref177432122"/>
      <w:r w:rsidRPr="009A4DCA">
        <w:lastRenderedPageBreak/>
        <w:t xml:space="preserve">Table </w:t>
      </w:r>
      <w:r w:rsidR="00491347">
        <w:fldChar w:fldCharType="begin"/>
      </w:r>
      <w:r w:rsidR="00491347">
        <w:instrText xml:space="preserve"> SEQ Table \* ARABIC </w:instrText>
      </w:r>
      <w:r w:rsidR="00491347">
        <w:fldChar w:fldCharType="separate"/>
      </w:r>
      <w:r w:rsidR="007B2F50">
        <w:rPr>
          <w:noProof/>
        </w:rPr>
        <w:t>23</w:t>
      </w:r>
      <w:r w:rsidR="00491347">
        <w:fldChar w:fldCharType="end"/>
      </w:r>
      <w:bookmarkEnd w:id="91"/>
      <w:r w:rsidRPr="009A4DCA">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1744"/>
        <w:gridCol w:w="1416"/>
      </w:tblGrid>
      <w:tr w:rsidR="001E2A12" w:rsidRPr="009A4DCA" w14:paraId="2E5F1A53" w14:textId="77777777" w:rsidTr="006F5F86">
        <w:trPr>
          <w:trHeight w:val="20"/>
          <w:tblHeader/>
        </w:trPr>
        <w:tc>
          <w:tcPr>
            <w:tcW w:w="3299" w:type="pct"/>
            <w:shd w:val="clear" w:color="auto" w:fill="auto"/>
            <w:noWrap/>
            <w:vAlign w:val="center"/>
            <w:hideMark/>
          </w:tcPr>
          <w:p w14:paraId="1EC9BB95" w14:textId="77777777" w:rsidR="001E2A12" w:rsidRPr="009A4DCA" w:rsidRDefault="001E2A12" w:rsidP="007570E6">
            <w:pPr>
              <w:keepNext/>
              <w:spacing w:before="60" w:after="60"/>
              <w:ind w:left="-78" w:right="18"/>
              <w:rPr>
                <w:rFonts w:ascii="Arial Narrow" w:hAnsi="Arial Narrow"/>
                <w:b/>
                <w:bCs/>
                <w:color w:val="000000"/>
                <w:sz w:val="20"/>
                <w:szCs w:val="20"/>
              </w:rPr>
            </w:pPr>
            <w:r w:rsidRPr="009A4DCA">
              <w:rPr>
                <w:rFonts w:ascii="Arial Narrow" w:hAnsi="Arial Narrow"/>
                <w:b/>
                <w:bCs/>
                <w:color w:val="000000"/>
                <w:sz w:val="20"/>
                <w:szCs w:val="20"/>
              </w:rPr>
              <w:t> </w:t>
            </w:r>
          </w:p>
        </w:tc>
        <w:tc>
          <w:tcPr>
            <w:tcW w:w="944" w:type="pct"/>
          </w:tcPr>
          <w:p w14:paraId="3C2E1181" w14:textId="77777777" w:rsidR="001E2A12" w:rsidRPr="009A4DCA" w:rsidRDefault="001E2A12" w:rsidP="007570E6">
            <w:pPr>
              <w:pStyle w:val="In-tableHeading"/>
              <w:rPr>
                <w:lang w:val="en-AU"/>
              </w:rPr>
            </w:pPr>
            <w:r w:rsidRPr="009A4DCA">
              <w:rPr>
                <w:lang w:val="en-AU"/>
              </w:rPr>
              <w:t xml:space="preserve">Total cost </w:t>
            </w:r>
            <w:r w:rsidRPr="009A4DCA">
              <w:rPr>
                <w:lang w:val="en-AU"/>
              </w:rPr>
              <w:br/>
              <w:t>Years 1 to 6</w:t>
            </w:r>
          </w:p>
        </w:tc>
        <w:tc>
          <w:tcPr>
            <w:tcW w:w="757" w:type="pct"/>
          </w:tcPr>
          <w:p w14:paraId="4E625B8D" w14:textId="77777777" w:rsidR="001E2A12" w:rsidRPr="009A4DCA" w:rsidRDefault="001E2A12" w:rsidP="007570E6">
            <w:pPr>
              <w:pStyle w:val="In-tableHeading"/>
              <w:rPr>
                <w:lang w:val="en-AU"/>
              </w:rPr>
            </w:pPr>
            <w:r w:rsidRPr="009A4DCA">
              <w:rPr>
                <w:lang w:val="en-AU"/>
              </w:rPr>
              <w:t>% change from base case</w:t>
            </w:r>
          </w:p>
        </w:tc>
      </w:tr>
      <w:tr w:rsidR="001E2A12" w:rsidRPr="009A4DCA" w14:paraId="214E84D6" w14:textId="77777777" w:rsidTr="006F5F86">
        <w:trPr>
          <w:trHeight w:val="20"/>
        </w:trPr>
        <w:tc>
          <w:tcPr>
            <w:tcW w:w="3299" w:type="pct"/>
            <w:shd w:val="clear" w:color="000000" w:fill="FFFFFF"/>
            <w:noWrap/>
            <w:vAlign w:val="center"/>
            <w:hideMark/>
          </w:tcPr>
          <w:p w14:paraId="11819D6C" w14:textId="1A9A53FB" w:rsidR="001E2A12" w:rsidRPr="009A4DCA" w:rsidRDefault="001E2A12" w:rsidP="007570E6">
            <w:pPr>
              <w:pStyle w:val="Tabletext"/>
              <w:keepNext/>
              <w:rPr>
                <w:b/>
                <w:bCs/>
                <w:szCs w:val="18"/>
              </w:rPr>
            </w:pPr>
            <w:r w:rsidRPr="009A4DCA">
              <w:rPr>
                <w:b/>
                <w:bCs/>
                <w:szCs w:val="18"/>
              </w:rPr>
              <w:t>Base case</w:t>
            </w:r>
            <w:r w:rsidR="001041C3" w:rsidRPr="009A4DCA">
              <w:rPr>
                <w:b/>
                <w:bCs/>
                <w:szCs w:val="18"/>
              </w:rPr>
              <w:t xml:space="preserve"> (total cost to Government – NIP and MBS)</w:t>
            </w:r>
          </w:p>
        </w:tc>
        <w:tc>
          <w:tcPr>
            <w:tcW w:w="944" w:type="pct"/>
          </w:tcPr>
          <w:p w14:paraId="348105B6" w14:textId="1A8B1D18" w:rsidR="001E2A12" w:rsidRPr="00404110" w:rsidRDefault="001E2A12" w:rsidP="007570E6">
            <w:pPr>
              <w:pStyle w:val="Tabletext"/>
              <w:keepNext/>
              <w:jc w:val="center"/>
              <w:rPr>
                <w:b/>
                <w:bCs/>
                <w:szCs w:val="18"/>
                <w:vertAlign w:val="superscript"/>
              </w:rPr>
            </w:pPr>
            <w:r w:rsidRPr="009A4DCA">
              <w:rPr>
                <w:b/>
                <w:bCs/>
                <w:szCs w:val="18"/>
              </w:rPr>
              <w:t>$</w:t>
            </w:r>
            <w:r w:rsidR="00E44A34" w:rsidRPr="00E44A34">
              <w:rPr>
                <w:b/>
                <w:bCs/>
                <w:color w:val="000000"/>
                <w:szCs w:val="18"/>
                <w:shd w:val="solid" w:color="000000" w:fill="000000"/>
                <w14:textFill>
                  <w14:solidFill>
                    <w14:srgbClr w14:val="000000">
                      <w14:alpha w14:val="100000"/>
                    </w14:srgbClr>
                  </w14:solidFill>
                </w14:textFill>
              </w:rPr>
              <w:t>|</w:t>
            </w:r>
            <w:r w:rsidR="00404110">
              <w:rPr>
                <w:b/>
                <w:bCs/>
                <w:szCs w:val="18"/>
                <w:vertAlign w:val="superscript"/>
              </w:rPr>
              <w:t>1</w:t>
            </w:r>
          </w:p>
        </w:tc>
        <w:tc>
          <w:tcPr>
            <w:tcW w:w="757" w:type="pct"/>
          </w:tcPr>
          <w:p w14:paraId="54C4E9E9" w14:textId="77777777" w:rsidR="001E2A12" w:rsidRPr="009A4DCA" w:rsidRDefault="001E2A12" w:rsidP="007570E6">
            <w:pPr>
              <w:pStyle w:val="Tabletext"/>
              <w:keepNext/>
              <w:jc w:val="center"/>
              <w:rPr>
                <w:szCs w:val="18"/>
              </w:rPr>
            </w:pPr>
            <w:r w:rsidRPr="009A4DCA">
              <w:rPr>
                <w:szCs w:val="18"/>
              </w:rPr>
              <w:t>-</w:t>
            </w:r>
          </w:p>
        </w:tc>
      </w:tr>
      <w:tr w:rsidR="001E2A12" w:rsidRPr="009A4DCA" w14:paraId="3A2EE553" w14:textId="77777777" w:rsidTr="006F5F86">
        <w:trPr>
          <w:trHeight w:val="20"/>
        </w:trPr>
        <w:tc>
          <w:tcPr>
            <w:tcW w:w="5000" w:type="pct"/>
            <w:gridSpan w:val="3"/>
            <w:shd w:val="clear" w:color="auto" w:fill="auto"/>
            <w:hideMark/>
          </w:tcPr>
          <w:p w14:paraId="5C4ABC83" w14:textId="77777777" w:rsidR="001E2A12" w:rsidRPr="009A4DCA" w:rsidRDefault="001E2A12" w:rsidP="007570E6">
            <w:pPr>
              <w:pStyle w:val="Tabletext"/>
              <w:keepNext/>
              <w:rPr>
                <w:b/>
                <w:bCs/>
                <w:szCs w:val="18"/>
              </w:rPr>
            </w:pPr>
            <w:r w:rsidRPr="009A4DCA">
              <w:rPr>
                <w:b/>
                <w:bCs/>
                <w:szCs w:val="18"/>
              </w:rPr>
              <w:t>Prevalence of risk conditions (base case: 35%)</w:t>
            </w:r>
          </w:p>
        </w:tc>
      </w:tr>
      <w:tr w:rsidR="001E2A12" w:rsidRPr="009A4DCA" w14:paraId="3C320DBB" w14:textId="77777777" w:rsidTr="006F5F86">
        <w:trPr>
          <w:trHeight w:val="20"/>
        </w:trPr>
        <w:tc>
          <w:tcPr>
            <w:tcW w:w="3299" w:type="pct"/>
            <w:shd w:val="clear" w:color="auto" w:fill="auto"/>
            <w:noWrap/>
            <w:vAlign w:val="center"/>
            <w:hideMark/>
          </w:tcPr>
          <w:p w14:paraId="34208508" w14:textId="77777777" w:rsidR="001E2A12" w:rsidRPr="009A4DCA" w:rsidRDefault="001E2A12" w:rsidP="007570E6">
            <w:pPr>
              <w:pStyle w:val="Tabletext"/>
              <w:keepNext/>
              <w:rPr>
                <w:szCs w:val="18"/>
              </w:rPr>
            </w:pPr>
            <w:r w:rsidRPr="009A4DCA">
              <w:rPr>
                <w:szCs w:val="18"/>
              </w:rPr>
              <w:t>Lower limit: 25%</w:t>
            </w:r>
          </w:p>
        </w:tc>
        <w:tc>
          <w:tcPr>
            <w:tcW w:w="944" w:type="pct"/>
          </w:tcPr>
          <w:p w14:paraId="5E9C629D" w14:textId="55D70BD4" w:rsidR="001E2A12" w:rsidRPr="009A4DCA" w:rsidRDefault="001E2A12" w:rsidP="007570E6">
            <w:pPr>
              <w:pStyle w:val="Tabletext"/>
              <w:keepNext/>
              <w:jc w:val="center"/>
              <w:rPr>
                <w:szCs w:val="18"/>
              </w:rPr>
            </w:pPr>
            <w:r w:rsidRPr="009A4DCA">
              <w:rPr>
                <w:szCs w:val="18"/>
              </w:rPr>
              <w:t>$</w:t>
            </w:r>
            <w:r w:rsidR="00E44A34" w:rsidRPr="00E44A34">
              <w:rPr>
                <w:color w:val="000000"/>
                <w:szCs w:val="18"/>
                <w:shd w:val="solid" w:color="000000" w:fill="000000"/>
                <w14:textFill>
                  <w14:solidFill>
                    <w14:srgbClr w14:val="000000">
                      <w14:alpha w14:val="100000"/>
                    </w14:srgbClr>
                  </w14:solidFill>
                </w14:textFill>
              </w:rPr>
              <w:t>|</w:t>
            </w:r>
            <w:r w:rsidR="00404110" w:rsidRPr="00733A92">
              <w:rPr>
                <w:b/>
                <w:bCs/>
                <w:szCs w:val="18"/>
                <w:vertAlign w:val="superscript"/>
              </w:rPr>
              <w:t>1</w:t>
            </w:r>
          </w:p>
        </w:tc>
        <w:tc>
          <w:tcPr>
            <w:tcW w:w="757" w:type="pct"/>
          </w:tcPr>
          <w:p w14:paraId="308011A7" w14:textId="77777777" w:rsidR="001E2A12" w:rsidRPr="006E2FE6" w:rsidRDefault="001E2A12" w:rsidP="007570E6">
            <w:pPr>
              <w:pStyle w:val="Tabletext"/>
              <w:keepNext/>
              <w:jc w:val="center"/>
              <w:rPr>
                <w:szCs w:val="18"/>
              </w:rPr>
            </w:pPr>
            <w:r w:rsidRPr="006E2FE6">
              <w:rPr>
                <w:szCs w:val="18"/>
              </w:rPr>
              <w:t>-8.0%</w:t>
            </w:r>
          </w:p>
        </w:tc>
      </w:tr>
      <w:tr w:rsidR="001E2A12" w:rsidRPr="009A4DCA" w14:paraId="1DC32A04" w14:textId="77777777" w:rsidTr="006F5F86">
        <w:trPr>
          <w:trHeight w:val="20"/>
        </w:trPr>
        <w:tc>
          <w:tcPr>
            <w:tcW w:w="3299" w:type="pct"/>
            <w:shd w:val="clear" w:color="auto" w:fill="auto"/>
            <w:noWrap/>
            <w:vAlign w:val="center"/>
            <w:hideMark/>
          </w:tcPr>
          <w:p w14:paraId="6745A582" w14:textId="77777777" w:rsidR="001E2A12" w:rsidRPr="009A4DCA" w:rsidRDefault="001E2A12" w:rsidP="007570E6">
            <w:pPr>
              <w:pStyle w:val="Tabletext"/>
              <w:keepNext/>
              <w:rPr>
                <w:szCs w:val="18"/>
              </w:rPr>
            </w:pPr>
            <w:r w:rsidRPr="009A4DCA">
              <w:rPr>
                <w:szCs w:val="18"/>
              </w:rPr>
              <w:t>Upper limit: 50%</w:t>
            </w:r>
          </w:p>
        </w:tc>
        <w:tc>
          <w:tcPr>
            <w:tcW w:w="944" w:type="pct"/>
            <w:vAlign w:val="center"/>
          </w:tcPr>
          <w:p w14:paraId="75EB5F9D" w14:textId="60DA8B75" w:rsidR="001E2A12" w:rsidRPr="002A006A" w:rsidRDefault="001E2A12" w:rsidP="007570E6">
            <w:pPr>
              <w:pStyle w:val="Tabletext"/>
              <w:keepNext/>
              <w:jc w:val="center"/>
              <w:rPr>
                <w:vertAlign w:val="superscript"/>
              </w:rPr>
            </w:pPr>
            <w:r w:rsidRPr="009A4DCA">
              <w:t>$</w:t>
            </w:r>
            <w:r w:rsidR="00E44A34" w:rsidRPr="00E44A34">
              <w:rPr>
                <w:color w:val="000000"/>
                <w:shd w:val="solid" w:color="000000" w:fill="000000"/>
                <w14:textFill>
                  <w14:solidFill>
                    <w14:srgbClr w14:val="000000">
                      <w14:alpha w14:val="100000"/>
                    </w14:srgbClr>
                  </w14:solidFill>
                </w14:textFill>
              </w:rPr>
              <w:t>|</w:t>
            </w:r>
            <w:r w:rsidR="002A006A" w:rsidRPr="00733A92">
              <w:rPr>
                <w:vertAlign w:val="superscript"/>
              </w:rPr>
              <w:t>2</w:t>
            </w:r>
          </w:p>
        </w:tc>
        <w:tc>
          <w:tcPr>
            <w:tcW w:w="757" w:type="pct"/>
            <w:vAlign w:val="center"/>
          </w:tcPr>
          <w:p w14:paraId="61BFFFBF" w14:textId="77777777" w:rsidR="001E2A12" w:rsidRPr="006E2FE6" w:rsidRDefault="001E2A12" w:rsidP="007570E6">
            <w:pPr>
              <w:pStyle w:val="Tabletext"/>
              <w:keepNext/>
              <w:jc w:val="center"/>
            </w:pPr>
            <w:r w:rsidRPr="006E2FE6">
              <w:t>12.0%</w:t>
            </w:r>
          </w:p>
        </w:tc>
      </w:tr>
      <w:tr w:rsidR="001E2A12" w:rsidRPr="009A4DCA" w14:paraId="33BEA44C" w14:textId="77777777" w:rsidTr="006F5F86">
        <w:trPr>
          <w:trHeight w:val="20"/>
        </w:trPr>
        <w:tc>
          <w:tcPr>
            <w:tcW w:w="5000" w:type="pct"/>
            <w:gridSpan w:val="3"/>
            <w:shd w:val="clear" w:color="auto" w:fill="auto"/>
            <w:noWrap/>
            <w:vAlign w:val="center"/>
          </w:tcPr>
          <w:p w14:paraId="632F96F2" w14:textId="09F0C3B3" w:rsidR="001E2A12" w:rsidRPr="009A4DCA" w:rsidRDefault="001E2A12" w:rsidP="007570E6">
            <w:pPr>
              <w:pStyle w:val="Tabletext"/>
              <w:keepNext/>
              <w:ind w:left="-43" w:right="-42"/>
              <w:rPr>
                <w:b/>
                <w:bCs/>
                <w:szCs w:val="18"/>
              </w:rPr>
            </w:pPr>
            <w:r w:rsidRPr="009A4DCA">
              <w:rPr>
                <w:b/>
                <w:bCs/>
                <w:szCs w:val="18"/>
              </w:rPr>
              <w:t>Peak vaccine uptake:</w:t>
            </w:r>
            <w:r w:rsidR="007F1E1D" w:rsidRPr="009A4DCA">
              <w:rPr>
                <w:b/>
                <w:bCs/>
                <w:szCs w:val="18"/>
              </w:rPr>
              <w:t xml:space="preserve"> </w:t>
            </w:r>
            <w:r w:rsidRPr="009A4DCA">
              <w:rPr>
                <w:b/>
                <w:bCs/>
                <w:szCs w:val="18"/>
              </w:rPr>
              <w:t>≥ 75 years (base case: Age</w:t>
            </w:r>
            <w:r w:rsidR="007F1E1D" w:rsidRPr="009A4DCA">
              <w:rPr>
                <w:b/>
                <w:bCs/>
                <w:szCs w:val="18"/>
              </w:rPr>
              <w:t xml:space="preserve"> </w:t>
            </w:r>
            <w:r w:rsidRPr="009A4DCA">
              <w:rPr>
                <w:b/>
                <w:bCs/>
                <w:szCs w:val="18"/>
              </w:rPr>
              <w:t>=</w:t>
            </w:r>
            <w:r w:rsidR="007F1E1D" w:rsidRPr="009A4DCA">
              <w:rPr>
                <w:b/>
                <w:bCs/>
                <w:szCs w:val="18"/>
              </w:rPr>
              <w:t xml:space="preserve"> </w:t>
            </w:r>
            <w:r w:rsidRPr="009A4DCA">
              <w:rPr>
                <w:b/>
                <w:bCs/>
                <w:szCs w:val="18"/>
              </w:rPr>
              <w:t xml:space="preserve">75 years; </w:t>
            </w:r>
            <w:r w:rsidRPr="00A12766">
              <w:rPr>
                <w:b/>
                <w:bCs/>
                <w:szCs w:val="18"/>
              </w:rPr>
              <w:t xml:space="preserve">Year 1, </w:t>
            </w:r>
            <w:r w:rsidR="00E44A34" w:rsidRPr="00E44A34">
              <w:rPr>
                <w:b/>
                <w:bCs/>
                <w:color w:val="000000"/>
                <w:spacing w:val="72"/>
                <w:szCs w:val="18"/>
                <w:shd w:val="solid" w:color="000000" w:fill="000000"/>
                <w:fitText w:val="400" w:id="-762046976"/>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76"/>
                <w14:textFill>
                  <w14:solidFill>
                    <w14:srgbClr w14:val="000000">
                      <w14:alpha w14:val="100000"/>
                    </w14:srgbClr>
                  </w14:solidFill>
                </w14:textFill>
              </w:rPr>
              <w:t>|</w:t>
            </w:r>
            <w:r w:rsidRPr="00A12766">
              <w:rPr>
                <w:b/>
                <w:bCs/>
                <w:szCs w:val="18"/>
              </w:rPr>
              <w:t xml:space="preserve">%; Year 2, </w:t>
            </w:r>
            <w:r w:rsidR="00E44A34" w:rsidRPr="00E44A34">
              <w:rPr>
                <w:b/>
                <w:bCs/>
                <w:color w:val="000000"/>
                <w:spacing w:val="72"/>
                <w:szCs w:val="18"/>
                <w:shd w:val="solid" w:color="000000" w:fill="000000"/>
                <w:fitText w:val="400" w:id="-762046975"/>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75"/>
                <w14:textFill>
                  <w14:solidFill>
                    <w14:srgbClr w14:val="000000">
                      <w14:alpha w14:val="100000"/>
                    </w14:srgbClr>
                  </w14:solidFill>
                </w14:textFill>
              </w:rPr>
              <w:t>|</w:t>
            </w:r>
            <w:r w:rsidRPr="00A12766">
              <w:rPr>
                <w:b/>
                <w:bCs/>
                <w:szCs w:val="18"/>
              </w:rPr>
              <w:t xml:space="preserve">%; Year 3, </w:t>
            </w:r>
            <w:r w:rsidR="00E44A34" w:rsidRPr="00E44A34">
              <w:rPr>
                <w:b/>
                <w:bCs/>
                <w:color w:val="000000"/>
                <w:spacing w:val="67"/>
                <w:szCs w:val="18"/>
                <w:shd w:val="solid" w:color="000000" w:fill="000000"/>
                <w:fitText w:val="386" w:id="-762046974"/>
                <w14:textFill>
                  <w14:solidFill>
                    <w14:srgbClr w14:val="000000">
                      <w14:alpha w14:val="100000"/>
                    </w14:srgbClr>
                  </w14:solidFill>
                </w14:textFill>
              </w:rPr>
              <w:t>|||</w:t>
            </w:r>
            <w:r w:rsidR="00E44A34" w:rsidRPr="00E44A34">
              <w:rPr>
                <w:b/>
                <w:bCs/>
                <w:color w:val="000000"/>
                <w:spacing w:val="2"/>
                <w:szCs w:val="18"/>
                <w:shd w:val="solid" w:color="000000" w:fill="000000"/>
                <w:fitText w:val="386" w:id="-762046974"/>
                <w14:textFill>
                  <w14:solidFill>
                    <w14:srgbClr w14:val="000000">
                      <w14:alpha w14:val="100000"/>
                    </w14:srgbClr>
                  </w14:solidFill>
                </w14:textFill>
              </w:rPr>
              <w:t>|</w:t>
            </w:r>
            <w:r w:rsidRPr="00A12766">
              <w:rPr>
                <w:b/>
                <w:bCs/>
                <w:szCs w:val="18"/>
              </w:rPr>
              <w:t>%; Age &gt; 75 years; Year 1</w:t>
            </w:r>
            <w:r w:rsidR="007F1E1D" w:rsidRPr="00A12766">
              <w:rPr>
                <w:b/>
                <w:bCs/>
                <w:szCs w:val="18"/>
              </w:rPr>
              <w:t xml:space="preserve"> </w:t>
            </w:r>
            <w:r w:rsidRPr="00A12766">
              <w:rPr>
                <w:b/>
                <w:bCs/>
                <w:szCs w:val="18"/>
              </w:rPr>
              <w:t>=</w:t>
            </w:r>
            <w:r w:rsidR="007F1E1D" w:rsidRPr="00A12766">
              <w:rPr>
                <w:b/>
                <w:bCs/>
                <w:szCs w:val="18"/>
              </w:rPr>
              <w:t xml:space="preserve"> </w:t>
            </w:r>
            <w:r w:rsidR="00E44A34" w:rsidRPr="00E44A34">
              <w:rPr>
                <w:b/>
                <w:bCs/>
                <w:color w:val="000000"/>
                <w:spacing w:val="67"/>
                <w:szCs w:val="18"/>
                <w:shd w:val="solid" w:color="000000" w:fill="000000"/>
                <w:fitText w:val="387" w:id="-762046973"/>
                <w14:textFill>
                  <w14:solidFill>
                    <w14:srgbClr w14:val="000000">
                      <w14:alpha w14:val="100000"/>
                    </w14:srgbClr>
                  </w14:solidFill>
                </w14:textFill>
              </w:rPr>
              <w:t>|||</w:t>
            </w:r>
            <w:r w:rsidR="00E44A34" w:rsidRPr="00E44A34">
              <w:rPr>
                <w:b/>
                <w:bCs/>
                <w:color w:val="000000"/>
                <w:spacing w:val="3"/>
                <w:szCs w:val="18"/>
                <w:shd w:val="solid" w:color="000000" w:fill="000000"/>
                <w:fitText w:val="387" w:id="-762046973"/>
                <w14:textFill>
                  <w14:solidFill>
                    <w14:srgbClr w14:val="000000">
                      <w14:alpha w14:val="100000"/>
                    </w14:srgbClr>
                  </w14:solidFill>
                </w14:textFill>
              </w:rPr>
              <w:t>|</w:t>
            </w:r>
            <w:r w:rsidRPr="00A12766">
              <w:rPr>
                <w:b/>
                <w:bCs/>
                <w:szCs w:val="18"/>
              </w:rPr>
              <w:t xml:space="preserve">%; Year 2, </w:t>
            </w:r>
            <w:r w:rsidR="00E44A34" w:rsidRPr="00E44A34">
              <w:rPr>
                <w:b/>
                <w:bCs/>
                <w:color w:val="000000"/>
                <w:spacing w:val="72"/>
                <w:szCs w:val="18"/>
                <w:shd w:val="solid" w:color="000000" w:fill="000000"/>
                <w:fitText w:val="400" w:id="-762046972"/>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72"/>
                <w14:textFill>
                  <w14:solidFill>
                    <w14:srgbClr w14:val="000000">
                      <w14:alpha w14:val="100000"/>
                    </w14:srgbClr>
                  </w14:solidFill>
                </w14:textFill>
              </w:rPr>
              <w:t>|</w:t>
            </w:r>
            <w:r w:rsidRPr="00A12766">
              <w:rPr>
                <w:b/>
                <w:bCs/>
                <w:szCs w:val="18"/>
              </w:rPr>
              <w:t xml:space="preserve">%; Year 3, </w:t>
            </w:r>
            <w:r w:rsidR="00E44A34" w:rsidRPr="00E44A34">
              <w:rPr>
                <w:b/>
                <w:bCs/>
                <w:color w:val="000000"/>
                <w:spacing w:val="72"/>
                <w:szCs w:val="18"/>
                <w:shd w:val="solid" w:color="000000" w:fill="000000"/>
                <w:fitText w:val="400" w:id="-762046971"/>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71"/>
                <w14:textFill>
                  <w14:solidFill>
                    <w14:srgbClr w14:val="000000">
                      <w14:alpha w14:val="100000"/>
                    </w14:srgbClr>
                  </w14:solidFill>
                </w14:textFill>
              </w:rPr>
              <w:t>|</w:t>
            </w:r>
            <w:r w:rsidRPr="00A12766">
              <w:rPr>
                <w:b/>
                <w:bCs/>
                <w:szCs w:val="18"/>
              </w:rPr>
              <w:t>%)</w:t>
            </w:r>
          </w:p>
        </w:tc>
      </w:tr>
      <w:tr w:rsidR="001E2A12" w:rsidRPr="009A4DCA" w14:paraId="73DC0654" w14:textId="77777777" w:rsidTr="006F5F86">
        <w:trPr>
          <w:trHeight w:val="20"/>
        </w:trPr>
        <w:tc>
          <w:tcPr>
            <w:tcW w:w="3299" w:type="pct"/>
            <w:shd w:val="clear" w:color="auto" w:fill="auto"/>
            <w:noWrap/>
            <w:vAlign w:val="center"/>
          </w:tcPr>
          <w:p w14:paraId="33B1BE0B" w14:textId="11F5F3F5" w:rsidR="001E2A12" w:rsidRPr="00612943" w:rsidRDefault="001E2A12" w:rsidP="007570E6">
            <w:pPr>
              <w:pStyle w:val="Tabletext"/>
              <w:keepNext/>
              <w:rPr>
                <w:szCs w:val="18"/>
              </w:rPr>
            </w:pPr>
            <w:r w:rsidRPr="00612943">
              <w:rPr>
                <w:szCs w:val="18"/>
              </w:rPr>
              <w:t xml:space="preserve">Lower limit: Age=75y, Year 3, </w:t>
            </w:r>
            <w:r w:rsidR="00E44A34" w:rsidRPr="00E44A34">
              <w:rPr>
                <w:color w:val="000000"/>
                <w:spacing w:val="49"/>
                <w:szCs w:val="18"/>
                <w:shd w:val="solid" w:color="000000" w:fill="000000"/>
                <w:fitText w:val="320" w:id="-762046970"/>
                <w14:textFill>
                  <w14:solidFill>
                    <w14:srgbClr w14:val="000000">
                      <w14:alpha w14:val="100000"/>
                    </w14:srgbClr>
                  </w14:solidFill>
                </w14:textFill>
              </w:rPr>
              <w:t>|||</w:t>
            </w:r>
            <w:r w:rsidR="00E44A34" w:rsidRPr="00E44A34">
              <w:rPr>
                <w:color w:val="000000"/>
                <w:spacing w:val="3"/>
                <w:szCs w:val="18"/>
                <w:shd w:val="solid" w:color="000000" w:fill="000000"/>
                <w:fitText w:val="320" w:id="-762046970"/>
                <w14:textFill>
                  <w14:solidFill>
                    <w14:srgbClr w14:val="000000">
                      <w14:alpha w14:val="100000"/>
                    </w14:srgbClr>
                  </w14:solidFill>
                </w14:textFill>
              </w:rPr>
              <w:t>|</w:t>
            </w:r>
            <w:r w:rsidRPr="00612943">
              <w:rPr>
                <w:szCs w:val="18"/>
              </w:rPr>
              <w:t xml:space="preserve">%; Age&gt;75y, Year 3, </w:t>
            </w:r>
            <w:r w:rsidR="00E44A34" w:rsidRPr="00E44A34">
              <w:rPr>
                <w:color w:val="000000"/>
                <w:spacing w:val="54"/>
                <w:szCs w:val="18"/>
                <w:shd w:val="solid" w:color="000000" w:fill="000000"/>
                <w:fitText w:val="333" w:id="-762046969"/>
                <w14:textFill>
                  <w14:solidFill>
                    <w14:srgbClr w14:val="000000">
                      <w14:alpha w14:val="100000"/>
                    </w14:srgbClr>
                  </w14:solidFill>
                </w14:textFill>
              </w:rPr>
              <w:t>|||</w:t>
            </w:r>
            <w:r w:rsidR="00E44A34" w:rsidRPr="00E44A34">
              <w:rPr>
                <w:color w:val="000000"/>
                <w:spacing w:val="1"/>
                <w:szCs w:val="18"/>
                <w:shd w:val="solid" w:color="000000" w:fill="000000"/>
                <w:fitText w:val="333" w:id="-762046969"/>
                <w14:textFill>
                  <w14:solidFill>
                    <w14:srgbClr w14:val="000000">
                      <w14:alpha w14:val="100000"/>
                    </w14:srgbClr>
                  </w14:solidFill>
                </w14:textFill>
              </w:rPr>
              <w:t>|</w:t>
            </w:r>
            <w:r w:rsidRPr="00612943">
              <w:rPr>
                <w:szCs w:val="18"/>
              </w:rPr>
              <w:t>%</w:t>
            </w:r>
          </w:p>
        </w:tc>
        <w:tc>
          <w:tcPr>
            <w:tcW w:w="944" w:type="pct"/>
            <w:vAlign w:val="center"/>
          </w:tcPr>
          <w:p w14:paraId="44D47BF2" w14:textId="0F9700BE" w:rsidR="001E2A12" w:rsidRPr="005F0821" w:rsidRDefault="001E2A12" w:rsidP="007570E6">
            <w:pPr>
              <w:pStyle w:val="Tabletext"/>
              <w:keepNext/>
              <w:jc w:val="center"/>
              <w:rPr>
                <w:vertAlign w:val="superscript"/>
              </w:rPr>
            </w:pPr>
            <w:r w:rsidRPr="009A4DCA">
              <w:t>$</w:t>
            </w:r>
            <w:r w:rsidR="00E44A34" w:rsidRPr="00E44A34">
              <w:rPr>
                <w:color w:val="000000"/>
                <w:shd w:val="solid" w:color="000000" w:fill="000000"/>
                <w14:textFill>
                  <w14:solidFill>
                    <w14:srgbClr w14:val="000000">
                      <w14:alpha w14:val="100000"/>
                    </w14:srgbClr>
                  </w14:solidFill>
                </w14:textFill>
              </w:rPr>
              <w:t>|</w:t>
            </w:r>
            <w:r w:rsidR="005F0821">
              <w:rPr>
                <w:vertAlign w:val="superscript"/>
              </w:rPr>
              <w:t>3</w:t>
            </w:r>
          </w:p>
        </w:tc>
        <w:tc>
          <w:tcPr>
            <w:tcW w:w="757" w:type="pct"/>
            <w:vAlign w:val="center"/>
          </w:tcPr>
          <w:p w14:paraId="26A3C57D" w14:textId="77777777" w:rsidR="001E2A12" w:rsidRPr="006E2FE6" w:rsidRDefault="001E2A12" w:rsidP="007570E6">
            <w:pPr>
              <w:pStyle w:val="Tabletext"/>
              <w:keepNext/>
              <w:jc w:val="center"/>
            </w:pPr>
            <w:r w:rsidRPr="006E2FE6">
              <w:t>-34.1%</w:t>
            </w:r>
          </w:p>
        </w:tc>
      </w:tr>
      <w:tr w:rsidR="001E2A12" w:rsidRPr="009A4DCA" w14:paraId="2ACCE5C2" w14:textId="77777777" w:rsidTr="006F5F86">
        <w:trPr>
          <w:trHeight w:val="20"/>
        </w:trPr>
        <w:tc>
          <w:tcPr>
            <w:tcW w:w="3299" w:type="pct"/>
            <w:shd w:val="clear" w:color="auto" w:fill="auto"/>
            <w:noWrap/>
            <w:vAlign w:val="center"/>
          </w:tcPr>
          <w:p w14:paraId="5AEBAE03" w14:textId="6ADF8ECB" w:rsidR="001E2A12" w:rsidRPr="00612943" w:rsidRDefault="001E2A12" w:rsidP="007570E6">
            <w:pPr>
              <w:pStyle w:val="Tabletext"/>
              <w:keepNext/>
              <w:rPr>
                <w:szCs w:val="18"/>
              </w:rPr>
            </w:pPr>
            <w:r w:rsidRPr="00612943">
              <w:rPr>
                <w:szCs w:val="18"/>
              </w:rPr>
              <w:t xml:space="preserve">Upper limit: Age=75y, Year 3, </w:t>
            </w:r>
            <w:r w:rsidR="00E44A34" w:rsidRPr="00E44A34">
              <w:rPr>
                <w:color w:val="000000"/>
                <w:spacing w:val="49"/>
                <w:szCs w:val="18"/>
                <w:shd w:val="solid" w:color="000000" w:fill="000000"/>
                <w:fitText w:val="320" w:id="-762046968"/>
                <w14:textFill>
                  <w14:solidFill>
                    <w14:srgbClr w14:val="000000">
                      <w14:alpha w14:val="100000"/>
                    </w14:srgbClr>
                  </w14:solidFill>
                </w14:textFill>
              </w:rPr>
              <w:t>|||</w:t>
            </w:r>
            <w:r w:rsidR="00E44A34" w:rsidRPr="00E44A34">
              <w:rPr>
                <w:color w:val="000000"/>
                <w:spacing w:val="3"/>
                <w:szCs w:val="18"/>
                <w:shd w:val="solid" w:color="000000" w:fill="000000"/>
                <w:fitText w:val="320" w:id="-762046968"/>
                <w14:textFill>
                  <w14:solidFill>
                    <w14:srgbClr w14:val="000000">
                      <w14:alpha w14:val="100000"/>
                    </w14:srgbClr>
                  </w14:solidFill>
                </w14:textFill>
              </w:rPr>
              <w:t>|</w:t>
            </w:r>
            <w:r w:rsidRPr="00612943">
              <w:rPr>
                <w:szCs w:val="18"/>
              </w:rPr>
              <w:t xml:space="preserve">%; Age&gt;75y, Year 3, </w:t>
            </w:r>
            <w:r w:rsidR="00E44A34" w:rsidRPr="00E44A34">
              <w:rPr>
                <w:color w:val="000000"/>
                <w:spacing w:val="54"/>
                <w:szCs w:val="18"/>
                <w:shd w:val="solid" w:color="000000" w:fill="000000"/>
                <w:fitText w:val="333" w:id="-762046967"/>
                <w14:textFill>
                  <w14:solidFill>
                    <w14:srgbClr w14:val="000000">
                      <w14:alpha w14:val="100000"/>
                    </w14:srgbClr>
                  </w14:solidFill>
                </w14:textFill>
              </w:rPr>
              <w:t>|||</w:t>
            </w:r>
            <w:r w:rsidR="00E44A34" w:rsidRPr="00E44A34">
              <w:rPr>
                <w:color w:val="000000"/>
                <w:spacing w:val="1"/>
                <w:szCs w:val="18"/>
                <w:shd w:val="solid" w:color="000000" w:fill="000000"/>
                <w:fitText w:val="333" w:id="-762046967"/>
                <w14:textFill>
                  <w14:solidFill>
                    <w14:srgbClr w14:val="000000">
                      <w14:alpha w14:val="100000"/>
                    </w14:srgbClr>
                  </w14:solidFill>
                </w14:textFill>
              </w:rPr>
              <w:t>|</w:t>
            </w:r>
            <w:r w:rsidRPr="00612943">
              <w:rPr>
                <w:szCs w:val="18"/>
              </w:rPr>
              <w:t>%</w:t>
            </w:r>
          </w:p>
        </w:tc>
        <w:tc>
          <w:tcPr>
            <w:tcW w:w="944" w:type="pct"/>
            <w:vAlign w:val="center"/>
          </w:tcPr>
          <w:p w14:paraId="1E7F9FB4" w14:textId="2862E263" w:rsidR="001E2A12" w:rsidRPr="002A006A" w:rsidRDefault="001E2A12" w:rsidP="007570E6">
            <w:pPr>
              <w:pStyle w:val="Tabletext"/>
              <w:keepNext/>
              <w:jc w:val="center"/>
              <w:rPr>
                <w:vertAlign w:val="superscript"/>
              </w:rPr>
            </w:pPr>
            <w:r w:rsidRPr="009A4DCA">
              <w:t>$</w:t>
            </w:r>
            <w:r w:rsidR="00E44A34" w:rsidRPr="00E44A34">
              <w:rPr>
                <w:color w:val="000000"/>
                <w:shd w:val="solid" w:color="000000" w:fill="000000"/>
                <w14:textFill>
                  <w14:solidFill>
                    <w14:srgbClr w14:val="000000">
                      <w14:alpha w14:val="100000"/>
                    </w14:srgbClr>
                  </w14:solidFill>
                </w14:textFill>
              </w:rPr>
              <w:t>|</w:t>
            </w:r>
            <w:r w:rsidR="002A006A">
              <w:rPr>
                <w:vertAlign w:val="superscript"/>
              </w:rPr>
              <w:t>2</w:t>
            </w:r>
          </w:p>
        </w:tc>
        <w:tc>
          <w:tcPr>
            <w:tcW w:w="757" w:type="pct"/>
            <w:vAlign w:val="center"/>
          </w:tcPr>
          <w:p w14:paraId="211E8479" w14:textId="77777777" w:rsidR="001E2A12" w:rsidRPr="006E2FE6" w:rsidRDefault="001E2A12" w:rsidP="007570E6">
            <w:pPr>
              <w:pStyle w:val="Tabletext"/>
              <w:keepNext/>
              <w:jc w:val="center"/>
            </w:pPr>
            <w:r w:rsidRPr="006E2FE6">
              <w:t>9.0%</w:t>
            </w:r>
          </w:p>
        </w:tc>
      </w:tr>
      <w:tr w:rsidR="001E2A12" w:rsidRPr="009A4DCA" w14:paraId="6A1F02B2" w14:textId="77777777" w:rsidTr="006F5F86">
        <w:trPr>
          <w:trHeight w:val="20"/>
        </w:trPr>
        <w:tc>
          <w:tcPr>
            <w:tcW w:w="5000" w:type="pct"/>
            <w:gridSpan w:val="3"/>
            <w:shd w:val="clear" w:color="auto" w:fill="auto"/>
            <w:noWrap/>
            <w:vAlign w:val="center"/>
          </w:tcPr>
          <w:p w14:paraId="1197081D" w14:textId="14CE7772" w:rsidR="001E2A12" w:rsidRPr="009A4DCA" w:rsidRDefault="001E2A12" w:rsidP="007570E6">
            <w:pPr>
              <w:pStyle w:val="Tabletext"/>
              <w:keepNext/>
              <w:ind w:left="-43" w:right="-42"/>
              <w:rPr>
                <w:b/>
                <w:bCs/>
                <w:szCs w:val="18"/>
              </w:rPr>
            </w:pPr>
            <w:r w:rsidRPr="00865D0B">
              <w:rPr>
                <w:b/>
                <w:bCs/>
                <w:szCs w:val="18"/>
              </w:rPr>
              <w:t>Peak vaccine uptake: 60-74 years with a risk condition  (base case: Age</w:t>
            </w:r>
            <w:r w:rsidR="007F1E1D" w:rsidRPr="00865D0B">
              <w:rPr>
                <w:b/>
                <w:bCs/>
                <w:szCs w:val="18"/>
              </w:rPr>
              <w:t xml:space="preserve"> </w:t>
            </w:r>
            <w:r w:rsidRPr="00865D0B">
              <w:rPr>
                <w:b/>
                <w:bCs/>
                <w:szCs w:val="18"/>
              </w:rPr>
              <w:t>=</w:t>
            </w:r>
            <w:r w:rsidR="007F1E1D" w:rsidRPr="00865D0B">
              <w:rPr>
                <w:b/>
                <w:bCs/>
                <w:szCs w:val="18"/>
              </w:rPr>
              <w:t xml:space="preserve"> </w:t>
            </w:r>
            <w:r w:rsidRPr="00865D0B">
              <w:rPr>
                <w:b/>
                <w:bCs/>
                <w:szCs w:val="18"/>
              </w:rPr>
              <w:t xml:space="preserve">60 years; Year 1, </w:t>
            </w:r>
            <w:r w:rsidR="00E44A34" w:rsidRPr="00E44A34">
              <w:rPr>
                <w:b/>
                <w:bCs/>
                <w:color w:val="000000"/>
                <w:spacing w:val="72"/>
                <w:szCs w:val="18"/>
                <w:shd w:val="solid" w:color="000000" w:fill="000000"/>
                <w:fitText w:val="400" w:id="-762046966"/>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66"/>
                <w14:textFill>
                  <w14:solidFill>
                    <w14:srgbClr w14:val="000000">
                      <w14:alpha w14:val="100000"/>
                    </w14:srgbClr>
                  </w14:solidFill>
                </w14:textFill>
              </w:rPr>
              <w:t>|</w:t>
            </w:r>
            <w:r w:rsidRPr="00865D0B">
              <w:rPr>
                <w:b/>
                <w:bCs/>
                <w:szCs w:val="18"/>
              </w:rPr>
              <w:t xml:space="preserve">%; Year 2, </w:t>
            </w:r>
            <w:r w:rsidR="00E44A34" w:rsidRPr="00E44A34">
              <w:rPr>
                <w:b/>
                <w:bCs/>
                <w:color w:val="000000"/>
                <w:spacing w:val="67"/>
                <w:szCs w:val="18"/>
                <w:shd w:val="solid" w:color="000000" w:fill="000000"/>
                <w:fitText w:val="386" w:id="-762046965"/>
                <w14:textFill>
                  <w14:solidFill>
                    <w14:srgbClr w14:val="000000">
                      <w14:alpha w14:val="100000"/>
                    </w14:srgbClr>
                  </w14:solidFill>
                </w14:textFill>
              </w:rPr>
              <w:t>|||</w:t>
            </w:r>
            <w:r w:rsidR="00E44A34" w:rsidRPr="00E44A34">
              <w:rPr>
                <w:b/>
                <w:bCs/>
                <w:color w:val="000000"/>
                <w:spacing w:val="2"/>
                <w:szCs w:val="18"/>
                <w:shd w:val="solid" w:color="000000" w:fill="000000"/>
                <w:fitText w:val="386" w:id="-762046965"/>
                <w14:textFill>
                  <w14:solidFill>
                    <w14:srgbClr w14:val="000000">
                      <w14:alpha w14:val="100000"/>
                    </w14:srgbClr>
                  </w14:solidFill>
                </w14:textFill>
              </w:rPr>
              <w:t>|</w:t>
            </w:r>
            <w:r w:rsidRPr="00865D0B">
              <w:rPr>
                <w:b/>
                <w:bCs/>
                <w:szCs w:val="18"/>
              </w:rPr>
              <w:t xml:space="preserve">%; Year 3, </w:t>
            </w:r>
            <w:r w:rsidR="00E44A34" w:rsidRPr="00E44A34">
              <w:rPr>
                <w:b/>
                <w:bCs/>
                <w:color w:val="000000"/>
                <w:spacing w:val="72"/>
                <w:szCs w:val="18"/>
                <w:shd w:val="solid" w:color="000000" w:fill="000000"/>
                <w:fitText w:val="400" w:id="-762046964"/>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64"/>
                <w14:textFill>
                  <w14:solidFill>
                    <w14:srgbClr w14:val="000000">
                      <w14:alpha w14:val="100000"/>
                    </w14:srgbClr>
                  </w14:solidFill>
                </w14:textFill>
              </w:rPr>
              <w:t>|</w:t>
            </w:r>
            <w:r w:rsidRPr="00865D0B">
              <w:rPr>
                <w:b/>
                <w:bCs/>
                <w:szCs w:val="18"/>
              </w:rPr>
              <w:t>%; Age 61-74 years; Year 1</w:t>
            </w:r>
            <w:r w:rsidR="007F1E1D" w:rsidRPr="00865D0B">
              <w:rPr>
                <w:b/>
                <w:bCs/>
                <w:szCs w:val="18"/>
              </w:rPr>
              <w:t xml:space="preserve"> </w:t>
            </w:r>
            <w:r w:rsidRPr="00865D0B">
              <w:rPr>
                <w:b/>
                <w:bCs/>
                <w:szCs w:val="18"/>
              </w:rPr>
              <w:t>=</w:t>
            </w:r>
            <w:r w:rsidR="007F1E1D" w:rsidRPr="00865D0B">
              <w:rPr>
                <w:b/>
                <w:bCs/>
                <w:szCs w:val="18"/>
              </w:rPr>
              <w:t xml:space="preserve"> </w:t>
            </w:r>
            <w:r w:rsidR="00E44A34" w:rsidRPr="00E44A34">
              <w:rPr>
                <w:b/>
                <w:bCs/>
                <w:color w:val="000000"/>
                <w:spacing w:val="67"/>
                <w:szCs w:val="18"/>
                <w:shd w:val="solid" w:color="000000" w:fill="000000"/>
                <w:fitText w:val="387" w:id="-762046963"/>
                <w14:textFill>
                  <w14:solidFill>
                    <w14:srgbClr w14:val="000000">
                      <w14:alpha w14:val="100000"/>
                    </w14:srgbClr>
                  </w14:solidFill>
                </w14:textFill>
              </w:rPr>
              <w:t>|||</w:t>
            </w:r>
            <w:r w:rsidR="00E44A34" w:rsidRPr="00E44A34">
              <w:rPr>
                <w:b/>
                <w:bCs/>
                <w:color w:val="000000"/>
                <w:spacing w:val="3"/>
                <w:szCs w:val="18"/>
                <w:shd w:val="solid" w:color="000000" w:fill="000000"/>
                <w:fitText w:val="387" w:id="-762046963"/>
                <w14:textFill>
                  <w14:solidFill>
                    <w14:srgbClr w14:val="000000">
                      <w14:alpha w14:val="100000"/>
                    </w14:srgbClr>
                  </w14:solidFill>
                </w14:textFill>
              </w:rPr>
              <w:t>|</w:t>
            </w:r>
            <w:r w:rsidRPr="00865D0B">
              <w:rPr>
                <w:b/>
                <w:bCs/>
                <w:szCs w:val="18"/>
              </w:rPr>
              <w:t xml:space="preserve">%; Year 2, </w:t>
            </w:r>
            <w:r w:rsidR="00E44A34" w:rsidRPr="00E44A34">
              <w:rPr>
                <w:b/>
                <w:bCs/>
                <w:color w:val="000000"/>
                <w:spacing w:val="72"/>
                <w:szCs w:val="18"/>
                <w:shd w:val="solid" w:color="000000" w:fill="000000"/>
                <w:fitText w:val="400" w:id="-762046962"/>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62"/>
                <w14:textFill>
                  <w14:solidFill>
                    <w14:srgbClr w14:val="000000">
                      <w14:alpha w14:val="100000"/>
                    </w14:srgbClr>
                  </w14:solidFill>
                </w14:textFill>
              </w:rPr>
              <w:t>|</w:t>
            </w:r>
            <w:r w:rsidRPr="00865D0B">
              <w:rPr>
                <w:b/>
                <w:bCs/>
                <w:szCs w:val="18"/>
              </w:rPr>
              <w:t xml:space="preserve">%; Year 3, </w:t>
            </w:r>
            <w:r w:rsidR="00E44A34" w:rsidRPr="00E44A34">
              <w:rPr>
                <w:b/>
                <w:bCs/>
                <w:color w:val="000000"/>
                <w:spacing w:val="72"/>
                <w:szCs w:val="18"/>
                <w:shd w:val="solid" w:color="000000" w:fill="000000"/>
                <w:fitText w:val="400" w:id="-762046961"/>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61"/>
                <w14:textFill>
                  <w14:solidFill>
                    <w14:srgbClr w14:val="000000">
                      <w14:alpha w14:val="100000"/>
                    </w14:srgbClr>
                  </w14:solidFill>
                </w14:textFill>
              </w:rPr>
              <w:t>|</w:t>
            </w:r>
            <w:r w:rsidRPr="00865D0B">
              <w:rPr>
                <w:b/>
                <w:bCs/>
                <w:szCs w:val="18"/>
              </w:rPr>
              <w:t>%)</w:t>
            </w:r>
          </w:p>
        </w:tc>
      </w:tr>
      <w:tr w:rsidR="001E2A12" w:rsidRPr="009A4DCA" w14:paraId="14CB9E79" w14:textId="77777777" w:rsidTr="006F5F86">
        <w:trPr>
          <w:trHeight w:val="20"/>
        </w:trPr>
        <w:tc>
          <w:tcPr>
            <w:tcW w:w="3299" w:type="pct"/>
            <w:shd w:val="clear" w:color="auto" w:fill="auto"/>
            <w:noWrap/>
            <w:vAlign w:val="center"/>
          </w:tcPr>
          <w:p w14:paraId="42B74F6A" w14:textId="4BAD8812" w:rsidR="001E2A12" w:rsidRPr="006E178A" w:rsidRDefault="001E2A12" w:rsidP="007570E6">
            <w:pPr>
              <w:pStyle w:val="Tabletext"/>
              <w:keepNext/>
              <w:ind w:right="-103"/>
              <w:rPr>
                <w:szCs w:val="18"/>
              </w:rPr>
            </w:pPr>
            <w:r w:rsidRPr="006E178A">
              <w:rPr>
                <w:szCs w:val="18"/>
              </w:rPr>
              <w:t xml:space="preserve">Lower limit: Age=60y, Year 3, </w:t>
            </w:r>
            <w:r w:rsidR="00E44A34" w:rsidRPr="00E44A34">
              <w:rPr>
                <w:color w:val="000000"/>
                <w:spacing w:val="49"/>
                <w:szCs w:val="18"/>
                <w:shd w:val="solid" w:color="000000" w:fill="000000"/>
                <w:fitText w:val="320" w:id="-762046960"/>
                <w14:textFill>
                  <w14:solidFill>
                    <w14:srgbClr w14:val="000000">
                      <w14:alpha w14:val="100000"/>
                    </w14:srgbClr>
                  </w14:solidFill>
                </w14:textFill>
              </w:rPr>
              <w:t>|||</w:t>
            </w:r>
            <w:r w:rsidR="00E44A34" w:rsidRPr="00E44A34">
              <w:rPr>
                <w:color w:val="000000"/>
                <w:spacing w:val="3"/>
                <w:szCs w:val="18"/>
                <w:shd w:val="solid" w:color="000000" w:fill="000000"/>
                <w:fitText w:val="320" w:id="-762046960"/>
                <w14:textFill>
                  <w14:solidFill>
                    <w14:srgbClr w14:val="000000">
                      <w14:alpha w14:val="100000"/>
                    </w14:srgbClr>
                  </w14:solidFill>
                </w14:textFill>
              </w:rPr>
              <w:t>|</w:t>
            </w:r>
            <w:r w:rsidRPr="006E178A">
              <w:rPr>
                <w:szCs w:val="18"/>
              </w:rPr>
              <w:t xml:space="preserve">%; Age=61-74y, Year 3, </w:t>
            </w:r>
            <w:r w:rsidR="00E44A34" w:rsidRPr="00E44A34">
              <w:rPr>
                <w:color w:val="000000"/>
                <w:spacing w:val="54"/>
                <w:szCs w:val="18"/>
                <w:shd w:val="solid" w:color="000000" w:fill="000000"/>
                <w:fitText w:val="333" w:id="-762046976"/>
                <w14:textFill>
                  <w14:solidFill>
                    <w14:srgbClr w14:val="000000">
                      <w14:alpha w14:val="100000"/>
                    </w14:srgbClr>
                  </w14:solidFill>
                </w14:textFill>
              </w:rPr>
              <w:t>|||</w:t>
            </w:r>
            <w:r w:rsidR="00E44A34" w:rsidRPr="00E44A34">
              <w:rPr>
                <w:color w:val="000000"/>
                <w:spacing w:val="1"/>
                <w:szCs w:val="18"/>
                <w:shd w:val="solid" w:color="000000" w:fill="000000"/>
                <w:fitText w:val="333" w:id="-762046976"/>
                <w14:textFill>
                  <w14:solidFill>
                    <w14:srgbClr w14:val="000000">
                      <w14:alpha w14:val="100000"/>
                    </w14:srgbClr>
                  </w14:solidFill>
                </w14:textFill>
              </w:rPr>
              <w:t>|</w:t>
            </w:r>
            <w:r w:rsidRPr="006E178A">
              <w:rPr>
                <w:szCs w:val="18"/>
              </w:rPr>
              <w:t>%</w:t>
            </w:r>
          </w:p>
        </w:tc>
        <w:tc>
          <w:tcPr>
            <w:tcW w:w="944" w:type="pct"/>
            <w:vAlign w:val="center"/>
          </w:tcPr>
          <w:p w14:paraId="0D6E6CCD" w14:textId="31418BE3" w:rsidR="001E2A12" w:rsidRPr="005F0821" w:rsidRDefault="001E2A12" w:rsidP="007570E6">
            <w:pPr>
              <w:pStyle w:val="Tabletext"/>
              <w:keepNext/>
              <w:jc w:val="center"/>
              <w:rPr>
                <w:vertAlign w:val="superscript"/>
              </w:rPr>
            </w:pPr>
            <w:r w:rsidRPr="009A4DCA">
              <w:t>$</w:t>
            </w:r>
            <w:r w:rsidR="00E44A34" w:rsidRPr="00E44A34">
              <w:rPr>
                <w:color w:val="000000"/>
                <w:shd w:val="solid" w:color="000000" w:fill="000000"/>
                <w14:textFill>
                  <w14:solidFill>
                    <w14:srgbClr w14:val="000000">
                      <w14:alpha w14:val="100000"/>
                    </w14:srgbClr>
                  </w14:solidFill>
                </w14:textFill>
              </w:rPr>
              <w:t>|</w:t>
            </w:r>
            <w:r w:rsidR="005F0821">
              <w:rPr>
                <w:vertAlign w:val="superscript"/>
              </w:rPr>
              <w:t>4</w:t>
            </w:r>
          </w:p>
        </w:tc>
        <w:tc>
          <w:tcPr>
            <w:tcW w:w="757" w:type="pct"/>
            <w:vAlign w:val="center"/>
          </w:tcPr>
          <w:p w14:paraId="6050BF66" w14:textId="77777777" w:rsidR="001E2A12" w:rsidRPr="006E2FE6" w:rsidRDefault="001E2A12" w:rsidP="007570E6">
            <w:pPr>
              <w:pStyle w:val="Tabletext"/>
              <w:keepNext/>
              <w:jc w:val="center"/>
            </w:pPr>
            <w:r w:rsidRPr="006E2FE6">
              <w:t>-13.1%</w:t>
            </w:r>
          </w:p>
        </w:tc>
      </w:tr>
      <w:tr w:rsidR="001E2A12" w:rsidRPr="009A4DCA" w14:paraId="228FB2B0" w14:textId="77777777" w:rsidTr="006F5F86">
        <w:trPr>
          <w:trHeight w:val="20"/>
        </w:trPr>
        <w:tc>
          <w:tcPr>
            <w:tcW w:w="3299" w:type="pct"/>
            <w:shd w:val="clear" w:color="auto" w:fill="auto"/>
            <w:noWrap/>
            <w:vAlign w:val="center"/>
          </w:tcPr>
          <w:p w14:paraId="628B4971" w14:textId="505307F4" w:rsidR="001E2A12" w:rsidRPr="006E178A" w:rsidRDefault="001E2A12" w:rsidP="008C1CDB">
            <w:pPr>
              <w:pStyle w:val="Tabletext"/>
              <w:ind w:right="-254"/>
              <w:rPr>
                <w:szCs w:val="18"/>
              </w:rPr>
            </w:pPr>
            <w:r w:rsidRPr="006E178A">
              <w:rPr>
                <w:szCs w:val="18"/>
              </w:rPr>
              <w:t xml:space="preserve">Upper limit: Age=60y, Year 3, </w:t>
            </w:r>
            <w:r w:rsidR="00E44A34" w:rsidRPr="00E44A34">
              <w:rPr>
                <w:color w:val="000000"/>
                <w:spacing w:val="49"/>
                <w:szCs w:val="18"/>
                <w:shd w:val="solid" w:color="000000" w:fill="000000"/>
                <w:fitText w:val="320" w:id="-762046975"/>
                <w14:textFill>
                  <w14:solidFill>
                    <w14:srgbClr w14:val="000000">
                      <w14:alpha w14:val="100000"/>
                    </w14:srgbClr>
                  </w14:solidFill>
                </w14:textFill>
              </w:rPr>
              <w:t>|||</w:t>
            </w:r>
            <w:r w:rsidR="00E44A34" w:rsidRPr="00E44A34">
              <w:rPr>
                <w:color w:val="000000"/>
                <w:spacing w:val="3"/>
                <w:szCs w:val="18"/>
                <w:shd w:val="solid" w:color="000000" w:fill="000000"/>
                <w:fitText w:val="320" w:id="-762046975"/>
                <w14:textFill>
                  <w14:solidFill>
                    <w14:srgbClr w14:val="000000">
                      <w14:alpha w14:val="100000"/>
                    </w14:srgbClr>
                  </w14:solidFill>
                </w14:textFill>
              </w:rPr>
              <w:t>|</w:t>
            </w:r>
            <w:r w:rsidRPr="006E178A">
              <w:rPr>
                <w:szCs w:val="18"/>
              </w:rPr>
              <w:t xml:space="preserve">%; Age=61-74y, Year 3, </w:t>
            </w:r>
            <w:r w:rsidR="00E44A34" w:rsidRPr="00E44A34">
              <w:rPr>
                <w:color w:val="000000"/>
                <w:spacing w:val="54"/>
                <w:szCs w:val="18"/>
                <w:shd w:val="solid" w:color="000000" w:fill="000000"/>
                <w:fitText w:val="333" w:id="-762046974"/>
                <w14:textFill>
                  <w14:solidFill>
                    <w14:srgbClr w14:val="000000">
                      <w14:alpha w14:val="100000"/>
                    </w14:srgbClr>
                  </w14:solidFill>
                </w14:textFill>
              </w:rPr>
              <w:t>|||</w:t>
            </w:r>
            <w:r w:rsidR="00E44A34" w:rsidRPr="00E44A34">
              <w:rPr>
                <w:color w:val="000000"/>
                <w:spacing w:val="1"/>
                <w:szCs w:val="18"/>
                <w:shd w:val="solid" w:color="000000" w:fill="000000"/>
                <w:fitText w:val="333" w:id="-762046974"/>
                <w14:textFill>
                  <w14:solidFill>
                    <w14:srgbClr w14:val="000000">
                      <w14:alpha w14:val="100000"/>
                    </w14:srgbClr>
                  </w14:solidFill>
                </w14:textFill>
              </w:rPr>
              <w:t>|</w:t>
            </w:r>
            <w:r w:rsidRPr="006E178A">
              <w:rPr>
                <w:szCs w:val="18"/>
              </w:rPr>
              <w:t>%</w:t>
            </w:r>
          </w:p>
        </w:tc>
        <w:tc>
          <w:tcPr>
            <w:tcW w:w="944" w:type="pct"/>
            <w:vAlign w:val="center"/>
          </w:tcPr>
          <w:p w14:paraId="148D6AD1" w14:textId="621391A5" w:rsidR="001E2A12" w:rsidRPr="002A006A" w:rsidRDefault="001E2A12" w:rsidP="008C1CDB">
            <w:pPr>
              <w:pStyle w:val="Tabletext"/>
              <w:jc w:val="center"/>
              <w:rPr>
                <w:vertAlign w:val="superscript"/>
              </w:rPr>
            </w:pPr>
            <w:r w:rsidRPr="009A4DCA">
              <w:t>$</w:t>
            </w:r>
            <w:r w:rsidR="00E44A34" w:rsidRPr="00E44A34">
              <w:rPr>
                <w:color w:val="000000"/>
                <w:shd w:val="solid" w:color="000000" w:fill="000000"/>
                <w14:textFill>
                  <w14:solidFill>
                    <w14:srgbClr w14:val="000000">
                      <w14:alpha w14:val="100000"/>
                    </w14:srgbClr>
                  </w14:solidFill>
                </w14:textFill>
              </w:rPr>
              <w:t>|</w:t>
            </w:r>
            <w:r w:rsidR="002A006A">
              <w:rPr>
                <w:vertAlign w:val="superscript"/>
              </w:rPr>
              <w:t>2</w:t>
            </w:r>
          </w:p>
        </w:tc>
        <w:tc>
          <w:tcPr>
            <w:tcW w:w="757" w:type="pct"/>
            <w:vAlign w:val="center"/>
          </w:tcPr>
          <w:p w14:paraId="10478395" w14:textId="77777777" w:rsidR="001E2A12" w:rsidRPr="006E2FE6" w:rsidRDefault="001E2A12" w:rsidP="008C1CDB">
            <w:pPr>
              <w:pStyle w:val="Tabletext"/>
              <w:jc w:val="center"/>
            </w:pPr>
            <w:r w:rsidRPr="006E2FE6">
              <w:t>8.5%</w:t>
            </w:r>
          </w:p>
        </w:tc>
      </w:tr>
      <w:tr w:rsidR="001E2A12" w:rsidRPr="009A4DCA" w14:paraId="4F0C5E45" w14:textId="77777777" w:rsidTr="006F5F86">
        <w:trPr>
          <w:trHeight w:val="20"/>
        </w:trPr>
        <w:tc>
          <w:tcPr>
            <w:tcW w:w="5000" w:type="pct"/>
            <w:gridSpan w:val="3"/>
            <w:shd w:val="clear" w:color="auto" w:fill="auto"/>
            <w:hideMark/>
          </w:tcPr>
          <w:p w14:paraId="7DC6CF51" w14:textId="43FCF396" w:rsidR="001E2A12" w:rsidRPr="009A4DCA" w:rsidRDefault="001E2A12" w:rsidP="008C1CDB">
            <w:pPr>
              <w:pStyle w:val="Tabletext"/>
              <w:ind w:left="-43" w:right="-42"/>
              <w:rPr>
                <w:b/>
                <w:bCs/>
                <w:szCs w:val="18"/>
              </w:rPr>
            </w:pPr>
            <w:r w:rsidRPr="00DA0C6D">
              <w:rPr>
                <w:b/>
                <w:bCs/>
                <w:szCs w:val="18"/>
              </w:rPr>
              <w:t>Uptake rates: Aboriginal and Torres Strait Islander peoples aged 60-74 years (base case: Age</w:t>
            </w:r>
            <w:r w:rsidR="007F1E1D" w:rsidRPr="00DA0C6D">
              <w:rPr>
                <w:b/>
                <w:bCs/>
                <w:szCs w:val="18"/>
              </w:rPr>
              <w:t xml:space="preserve"> </w:t>
            </w:r>
            <w:r w:rsidRPr="00DA0C6D">
              <w:rPr>
                <w:b/>
                <w:bCs/>
                <w:szCs w:val="18"/>
              </w:rPr>
              <w:t>=</w:t>
            </w:r>
            <w:r w:rsidR="007F1E1D" w:rsidRPr="00DA0C6D">
              <w:rPr>
                <w:b/>
                <w:bCs/>
                <w:szCs w:val="18"/>
              </w:rPr>
              <w:t xml:space="preserve"> </w:t>
            </w:r>
            <w:r w:rsidRPr="00DA0C6D">
              <w:rPr>
                <w:b/>
                <w:bCs/>
                <w:szCs w:val="18"/>
              </w:rPr>
              <w:t xml:space="preserve">60 years; Year 1, </w:t>
            </w:r>
            <w:r w:rsidR="00E44A34" w:rsidRPr="00E44A34">
              <w:rPr>
                <w:b/>
                <w:bCs/>
                <w:color w:val="000000"/>
                <w:spacing w:val="67"/>
                <w:szCs w:val="18"/>
                <w:shd w:val="solid" w:color="000000" w:fill="000000"/>
                <w:fitText w:val="386" w:id="-762046973"/>
                <w14:textFill>
                  <w14:solidFill>
                    <w14:srgbClr w14:val="000000">
                      <w14:alpha w14:val="100000"/>
                    </w14:srgbClr>
                  </w14:solidFill>
                </w14:textFill>
              </w:rPr>
              <w:t>|||</w:t>
            </w:r>
            <w:r w:rsidR="00E44A34" w:rsidRPr="00E44A34">
              <w:rPr>
                <w:b/>
                <w:bCs/>
                <w:color w:val="000000"/>
                <w:spacing w:val="2"/>
                <w:szCs w:val="18"/>
                <w:shd w:val="solid" w:color="000000" w:fill="000000"/>
                <w:fitText w:val="386" w:id="-762046973"/>
                <w14:textFill>
                  <w14:solidFill>
                    <w14:srgbClr w14:val="000000">
                      <w14:alpha w14:val="100000"/>
                    </w14:srgbClr>
                  </w14:solidFill>
                </w14:textFill>
              </w:rPr>
              <w:t>|</w:t>
            </w:r>
            <w:r w:rsidRPr="00DA0C6D">
              <w:rPr>
                <w:b/>
                <w:bCs/>
                <w:szCs w:val="18"/>
              </w:rPr>
              <w:t xml:space="preserve">%; Year 2, </w:t>
            </w:r>
            <w:r w:rsidR="00E44A34" w:rsidRPr="00E44A34">
              <w:rPr>
                <w:b/>
                <w:bCs/>
                <w:color w:val="000000"/>
                <w:spacing w:val="72"/>
                <w:szCs w:val="18"/>
                <w:shd w:val="solid" w:color="000000" w:fill="000000"/>
                <w:fitText w:val="400" w:id="-762046972"/>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72"/>
                <w14:textFill>
                  <w14:solidFill>
                    <w14:srgbClr w14:val="000000">
                      <w14:alpha w14:val="100000"/>
                    </w14:srgbClr>
                  </w14:solidFill>
                </w14:textFill>
              </w:rPr>
              <w:t>|</w:t>
            </w:r>
            <w:r w:rsidRPr="00DA0C6D">
              <w:rPr>
                <w:b/>
                <w:bCs/>
                <w:szCs w:val="18"/>
              </w:rPr>
              <w:t xml:space="preserve">%; Year 3, </w:t>
            </w:r>
            <w:r w:rsidR="00E44A34" w:rsidRPr="00E44A34">
              <w:rPr>
                <w:b/>
                <w:bCs/>
                <w:color w:val="000000"/>
                <w:spacing w:val="72"/>
                <w:szCs w:val="18"/>
                <w:shd w:val="solid" w:color="000000" w:fill="000000"/>
                <w:fitText w:val="400" w:id="-762046971"/>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71"/>
                <w14:textFill>
                  <w14:solidFill>
                    <w14:srgbClr w14:val="000000">
                      <w14:alpha w14:val="100000"/>
                    </w14:srgbClr>
                  </w14:solidFill>
                </w14:textFill>
              </w:rPr>
              <w:t>|</w:t>
            </w:r>
            <w:r w:rsidRPr="00DA0C6D">
              <w:rPr>
                <w:b/>
                <w:bCs/>
                <w:szCs w:val="18"/>
              </w:rPr>
              <w:t>%; Age 61</w:t>
            </w:r>
            <w:r w:rsidRPr="00D13E93">
              <w:rPr>
                <w:b/>
                <w:bCs/>
                <w:szCs w:val="18"/>
              </w:rPr>
              <w:t>-74</w:t>
            </w:r>
            <w:r w:rsidRPr="00DA0C6D">
              <w:rPr>
                <w:b/>
                <w:bCs/>
                <w:szCs w:val="18"/>
              </w:rPr>
              <w:t xml:space="preserve"> years; Year 1</w:t>
            </w:r>
            <w:r w:rsidR="007F1E1D" w:rsidRPr="00DA0C6D">
              <w:rPr>
                <w:b/>
                <w:bCs/>
                <w:szCs w:val="18"/>
              </w:rPr>
              <w:t xml:space="preserve"> </w:t>
            </w:r>
            <w:r w:rsidRPr="00DA0C6D">
              <w:rPr>
                <w:b/>
                <w:bCs/>
                <w:szCs w:val="18"/>
              </w:rPr>
              <w:t>=</w:t>
            </w:r>
            <w:r w:rsidR="007F1E1D" w:rsidRPr="00DA0C6D">
              <w:rPr>
                <w:b/>
                <w:bCs/>
                <w:szCs w:val="18"/>
              </w:rPr>
              <w:t xml:space="preserve"> </w:t>
            </w:r>
            <w:r w:rsidR="00E44A34" w:rsidRPr="00E44A34">
              <w:rPr>
                <w:b/>
                <w:bCs/>
                <w:color w:val="000000"/>
                <w:spacing w:val="67"/>
                <w:szCs w:val="18"/>
                <w:shd w:val="solid" w:color="000000" w:fill="000000"/>
                <w:fitText w:val="386" w:id="-762046970"/>
                <w14:textFill>
                  <w14:solidFill>
                    <w14:srgbClr w14:val="000000">
                      <w14:alpha w14:val="100000"/>
                    </w14:srgbClr>
                  </w14:solidFill>
                </w14:textFill>
              </w:rPr>
              <w:t>|||</w:t>
            </w:r>
            <w:r w:rsidR="00E44A34" w:rsidRPr="00E44A34">
              <w:rPr>
                <w:b/>
                <w:bCs/>
                <w:color w:val="000000"/>
                <w:spacing w:val="2"/>
                <w:szCs w:val="18"/>
                <w:shd w:val="solid" w:color="000000" w:fill="000000"/>
                <w:fitText w:val="386" w:id="-762046970"/>
                <w14:textFill>
                  <w14:solidFill>
                    <w14:srgbClr w14:val="000000">
                      <w14:alpha w14:val="100000"/>
                    </w14:srgbClr>
                  </w14:solidFill>
                </w14:textFill>
              </w:rPr>
              <w:t>|</w:t>
            </w:r>
            <w:r w:rsidRPr="00DA0C6D">
              <w:rPr>
                <w:b/>
                <w:bCs/>
                <w:szCs w:val="18"/>
              </w:rPr>
              <w:t xml:space="preserve">%; Year 2, </w:t>
            </w:r>
            <w:r w:rsidR="00E44A34" w:rsidRPr="00E44A34">
              <w:rPr>
                <w:b/>
                <w:bCs/>
                <w:color w:val="000000"/>
                <w:spacing w:val="72"/>
                <w:szCs w:val="18"/>
                <w:shd w:val="solid" w:color="000000" w:fill="000000"/>
                <w:fitText w:val="400" w:id="-762046969"/>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69"/>
                <w14:textFill>
                  <w14:solidFill>
                    <w14:srgbClr w14:val="000000">
                      <w14:alpha w14:val="100000"/>
                    </w14:srgbClr>
                  </w14:solidFill>
                </w14:textFill>
              </w:rPr>
              <w:t>|</w:t>
            </w:r>
            <w:r w:rsidRPr="00DA0C6D">
              <w:rPr>
                <w:b/>
                <w:bCs/>
                <w:szCs w:val="18"/>
              </w:rPr>
              <w:t xml:space="preserve">%; Year 3, </w:t>
            </w:r>
            <w:r w:rsidR="00E44A34" w:rsidRPr="00E44A34">
              <w:rPr>
                <w:b/>
                <w:bCs/>
                <w:color w:val="000000"/>
                <w:spacing w:val="72"/>
                <w:szCs w:val="18"/>
                <w:shd w:val="solid" w:color="000000" w:fill="000000"/>
                <w:fitText w:val="400" w:id="-762046968"/>
                <w14:textFill>
                  <w14:solidFill>
                    <w14:srgbClr w14:val="000000">
                      <w14:alpha w14:val="100000"/>
                    </w14:srgbClr>
                  </w14:solidFill>
                </w14:textFill>
              </w:rPr>
              <w:t>|||</w:t>
            </w:r>
            <w:r w:rsidR="00E44A34" w:rsidRPr="00E44A34">
              <w:rPr>
                <w:b/>
                <w:bCs/>
                <w:color w:val="000000"/>
                <w:spacing w:val="1"/>
                <w:szCs w:val="18"/>
                <w:shd w:val="solid" w:color="000000" w:fill="000000"/>
                <w:fitText w:val="400" w:id="-762046968"/>
                <w14:textFill>
                  <w14:solidFill>
                    <w14:srgbClr w14:val="000000">
                      <w14:alpha w14:val="100000"/>
                    </w14:srgbClr>
                  </w14:solidFill>
                </w14:textFill>
              </w:rPr>
              <w:t>|</w:t>
            </w:r>
            <w:r w:rsidRPr="00DA0C6D">
              <w:rPr>
                <w:b/>
                <w:bCs/>
                <w:szCs w:val="18"/>
              </w:rPr>
              <w:t>%)</w:t>
            </w:r>
          </w:p>
        </w:tc>
      </w:tr>
      <w:tr w:rsidR="001E2A12" w:rsidRPr="009A4DCA" w14:paraId="0443EEFC" w14:textId="77777777" w:rsidTr="006F5F86">
        <w:trPr>
          <w:trHeight w:val="20"/>
        </w:trPr>
        <w:tc>
          <w:tcPr>
            <w:tcW w:w="3299" w:type="pct"/>
            <w:shd w:val="clear" w:color="auto" w:fill="auto"/>
            <w:noWrap/>
            <w:vAlign w:val="center"/>
            <w:hideMark/>
          </w:tcPr>
          <w:p w14:paraId="2889630C" w14:textId="102AB21B" w:rsidR="001E2A12" w:rsidRPr="00BB4EBE" w:rsidRDefault="001E2A12" w:rsidP="008C1CDB">
            <w:pPr>
              <w:pStyle w:val="Tabletext"/>
              <w:ind w:right="-103"/>
              <w:rPr>
                <w:szCs w:val="18"/>
              </w:rPr>
            </w:pPr>
            <w:r w:rsidRPr="00BB4EBE">
              <w:rPr>
                <w:szCs w:val="18"/>
              </w:rPr>
              <w:t xml:space="preserve">Lower limit: Age=60y, Year 3, </w:t>
            </w:r>
            <w:r w:rsidR="00E44A34" w:rsidRPr="00E44A34">
              <w:rPr>
                <w:color w:val="000000"/>
                <w:spacing w:val="49"/>
                <w:szCs w:val="18"/>
                <w:shd w:val="solid" w:color="000000" w:fill="000000"/>
                <w:fitText w:val="320" w:id="-762046967"/>
                <w14:textFill>
                  <w14:solidFill>
                    <w14:srgbClr w14:val="000000">
                      <w14:alpha w14:val="100000"/>
                    </w14:srgbClr>
                  </w14:solidFill>
                </w14:textFill>
              </w:rPr>
              <w:t>|||</w:t>
            </w:r>
            <w:r w:rsidR="00E44A34" w:rsidRPr="00E44A34">
              <w:rPr>
                <w:color w:val="000000"/>
                <w:spacing w:val="3"/>
                <w:szCs w:val="18"/>
                <w:shd w:val="solid" w:color="000000" w:fill="000000"/>
                <w:fitText w:val="320" w:id="-762046967"/>
                <w14:textFill>
                  <w14:solidFill>
                    <w14:srgbClr w14:val="000000">
                      <w14:alpha w14:val="100000"/>
                    </w14:srgbClr>
                  </w14:solidFill>
                </w14:textFill>
              </w:rPr>
              <w:t>|</w:t>
            </w:r>
            <w:r w:rsidRPr="00BB4EBE">
              <w:rPr>
                <w:szCs w:val="18"/>
              </w:rPr>
              <w:t xml:space="preserve">%; Age=61-74y, Year 3, </w:t>
            </w:r>
            <w:r w:rsidR="00E44A34" w:rsidRPr="00E44A34">
              <w:rPr>
                <w:color w:val="000000"/>
                <w:spacing w:val="54"/>
                <w:szCs w:val="18"/>
                <w:shd w:val="solid" w:color="000000" w:fill="000000"/>
                <w:fitText w:val="333" w:id="-762046966"/>
                <w14:textFill>
                  <w14:solidFill>
                    <w14:srgbClr w14:val="000000">
                      <w14:alpha w14:val="100000"/>
                    </w14:srgbClr>
                  </w14:solidFill>
                </w14:textFill>
              </w:rPr>
              <w:t>|||</w:t>
            </w:r>
            <w:r w:rsidR="00E44A34" w:rsidRPr="00E44A34">
              <w:rPr>
                <w:color w:val="000000"/>
                <w:spacing w:val="1"/>
                <w:szCs w:val="18"/>
                <w:shd w:val="solid" w:color="000000" w:fill="000000"/>
                <w:fitText w:val="333" w:id="-762046966"/>
                <w14:textFill>
                  <w14:solidFill>
                    <w14:srgbClr w14:val="000000">
                      <w14:alpha w14:val="100000"/>
                    </w14:srgbClr>
                  </w14:solidFill>
                </w14:textFill>
              </w:rPr>
              <w:t>|</w:t>
            </w:r>
            <w:r w:rsidRPr="00BB4EBE">
              <w:rPr>
                <w:szCs w:val="18"/>
              </w:rPr>
              <w:t>%</w:t>
            </w:r>
          </w:p>
        </w:tc>
        <w:tc>
          <w:tcPr>
            <w:tcW w:w="944" w:type="pct"/>
            <w:vAlign w:val="center"/>
          </w:tcPr>
          <w:p w14:paraId="39A97F01" w14:textId="5D35C4DB" w:rsidR="001E2A12" w:rsidRPr="009A4DCA" w:rsidRDefault="001E2A12" w:rsidP="008C1CDB">
            <w:pPr>
              <w:pStyle w:val="Tabletext"/>
              <w:jc w:val="center"/>
            </w:pPr>
            <w:r w:rsidRPr="009A4DCA">
              <w:t>$</w:t>
            </w:r>
            <w:r w:rsidR="00E44A34" w:rsidRPr="00E44A34">
              <w:rPr>
                <w:color w:val="000000"/>
                <w:shd w:val="solid" w:color="000000" w:fill="000000"/>
                <w14:textFill>
                  <w14:solidFill>
                    <w14:srgbClr w14:val="000000">
                      <w14:alpha w14:val="100000"/>
                    </w14:srgbClr>
                  </w14:solidFill>
                </w14:textFill>
              </w:rPr>
              <w:t>|</w:t>
            </w:r>
            <w:r w:rsidR="00404110">
              <w:rPr>
                <w:b/>
                <w:bCs/>
                <w:szCs w:val="18"/>
                <w:vertAlign w:val="superscript"/>
              </w:rPr>
              <w:t>1</w:t>
            </w:r>
          </w:p>
        </w:tc>
        <w:tc>
          <w:tcPr>
            <w:tcW w:w="757" w:type="pct"/>
            <w:vAlign w:val="center"/>
          </w:tcPr>
          <w:p w14:paraId="367A1352" w14:textId="77777777" w:rsidR="001E2A12" w:rsidRPr="006E2FE6" w:rsidRDefault="001E2A12" w:rsidP="008C1CDB">
            <w:pPr>
              <w:pStyle w:val="Tabletext"/>
              <w:jc w:val="center"/>
            </w:pPr>
            <w:r w:rsidRPr="006E2FE6">
              <w:t>-0.7%</w:t>
            </w:r>
          </w:p>
        </w:tc>
      </w:tr>
      <w:tr w:rsidR="001E2A12" w:rsidRPr="009A4DCA" w14:paraId="2AF153FB" w14:textId="77777777" w:rsidTr="006F5F86">
        <w:trPr>
          <w:trHeight w:val="20"/>
        </w:trPr>
        <w:tc>
          <w:tcPr>
            <w:tcW w:w="3299" w:type="pct"/>
            <w:shd w:val="clear" w:color="auto" w:fill="auto"/>
            <w:noWrap/>
            <w:vAlign w:val="center"/>
          </w:tcPr>
          <w:p w14:paraId="3D33E3E2" w14:textId="7879020E" w:rsidR="001E2A12" w:rsidRPr="00BB4EBE" w:rsidRDefault="001E2A12" w:rsidP="008C1CDB">
            <w:pPr>
              <w:pStyle w:val="Tabletext"/>
              <w:ind w:right="-254"/>
              <w:rPr>
                <w:szCs w:val="18"/>
              </w:rPr>
            </w:pPr>
            <w:r w:rsidRPr="00BB4EBE">
              <w:rPr>
                <w:szCs w:val="18"/>
              </w:rPr>
              <w:t xml:space="preserve">Upper limit: Age=60y, Year 3, </w:t>
            </w:r>
            <w:r w:rsidR="00E44A34" w:rsidRPr="00E44A34">
              <w:rPr>
                <w:color w:val="000000"/>
                <w:spacing w:val="49"/>
                <w:szCs w:val="18"/>
                <w:shd w:val="solid" w:color="000000" w:fill="000000"/>
                <w:fitText w:val="320" w:id="-762046965"/>
                <w14:textFill>
                  <w14:solidFill>
                    <w14:srgbClr w14:val="000000">
                      <w14:alpha w14:val="100000"/>
                    </w14:srgbClr>
                  </w14:solidFill>
                </w14:textFill>
              </w:rPr>
              <w:t>|||</w:t>
            </w:r>
            <w:r w:rsidR="00E44A34" w:rsidRPr="00E44A34">
              <w:rPr>
                <w:color w:val="000000"/>
                <w:spacing w:val="3"/>
                <w:szCs w:val="18"/>
                <w:shd w:val="solid" w:color="000000" w:fill="000000"/>
                <w:fitText w:val="320" w:id="-762046965"/>
                <w14:textFill>
                  <w14:solidFill>
                    <w14:srgbClr w14:val="000000">
                      <w14:alpha w14:val="100000"/>
                    </w14:srgbClr>
                  </w14:solidFill>
                </w14:textFill>
              </w:rPr>
              <w:t>|</w:t>
            </w:r>
            <w:r w:rsidRPr="00BB4EBE">
              <w:rPr>
                <w:szCs w:val="18"/>
              </w:rPr>
              <w:t xml:space="preserve">%; Age=61-74y, Year 3, </w:t>
            </w:r>
            <w:r w:rsidR="00E44A34" w:rsidRPr="00E44A34">
              <w:rPr>
                <w:color w:val="000000"/>
                <w:spacing w:val="54"/>
                <w:szCs w:val="18"/>
                <w:shd w:val="solid" w:color="000000" w:fill="000000"/>
                <w:fitText w:val="333" w:id="-762046964"/>
                <w14:textFill>
                  <w14:solidFill>
                    <w14:srgbClr w14:val="000000">
                      <w14:alpha w14:val="100000"/>
                    </w14:srgbClr>
                  </w14:solidFill>
                </w14:textFill>
              </w:rPr>
              <w:t>|||</w:t>
            </w:r>
            <w:r w:rsidR="00E44A34" w:rsidRPr="00E44A34">
              <w:rPr>
                <w:color w:val="000000"/>
                <w:spacing w:val="1"/>
                <w:szCs w:val="18"/>
                <w:shd w:val="solid" w:color="000000" w:fill="000000"/>
                <w:fitText w:val="333" w:id="-762046964"/>
                <w14:textFill>
                  <w14:solidFill>
                    <w14:srgbClr w14:val="000000">
                      <w14:alpha w14:val="100000"/>
                    </w14:srgbClr>
                  </w14:solidFill>
                </w14:textFill>
              </w:rPr>
              <w:t>|</w:t>
            </w:r>
            <w:r w:rsidRPr="00BB4EBE">
              <w:rPr>
                <w:szCs w:val="18"/>
              </w:rPr>
              <w:t>%</w:t>
            </w:r>
          </w:p>
        </w:tc>
        <w:tc>
          <w:tcPr>
            <w:tcW w:w="944" w:type="pct"/>
            <w:vAlign w:val="center"/>
          </w:tcPr>
          <w:p w14:paraId="0ABA20A2" w14:textId="1C89945D" w:rsidR="001E2A12" w:rsidRPr="009A4DCA" w:rsidRDefault="001E2A12" w:rsidP="008C1CDB">
            <w:pPr>
              <w:pStyle w:val="Tabletext"/>
              <w:jc w:val="center"/>
            </w:pPr>
            <w:r w:rsidRPr="009A4DCA">
              <w:t>$</w:t>
            </w:r>
            <w:r w:rsidR="00E44A34" w:rsidRPr="00E44A34">
              <w:rPr>
                <w:color w:val="000000"/>
                <w:shd w:val="solid" w:color="000000" w:fill="000000"/>
                <w14:textFill>
                  <w14:solidFill>
                    <w14:srgbClr w14:val="000000">
                      <w14:alpha w14:val="100000"/>
                    </w14:srgbClr>
                  </w14:solidFill>
                </w14:textFill>
              </w:rPr>
              <w:t>|</w:t>
            </w:r>
            <w:r w:rsidR="00404110">
              <w:rPr>
                <w:b/>
                <w:bCs/>
                <w:szCs w:val="18"/>
                <w:vertAlign w:val="superscript"/>
              </w:rPr>
              <w:t>1</w:t>
            </w:r>
          </w:p>
        </w:tc>
        <w:tc>
          <w:tcPr>
            <w:tcW w:w="757" w:type="pct"/>
            <w:vAlign w:val="center"/>
          </w:tcPr>
          <w:p w14:paraId="21829DED" w14:textId="77777777" w:rsidR="001E2A12" w:rsidRPr="006E2FE6" w:rsidRDefault="001E2A12" w:rsidP="008C1CDB">
            <w:pPr>
              <w:pStyle w:val="Tabletext"/>
              <w:jc w:val="center"/>
            </w:pPr>
            <w:r w:rsidRPr="006E2FE6">
              <w:t>0.4%</w:t>
            </w:r>
          </w:p>
        </w:tc>
      </w:tr>
      <w:tr w:rsidR="001E2A12" w:rsidRPr="009A4DCA" w14:paraId="47D6E8F9" w14:textId="77777777" w:rsidTr="006F5F86">
        <w:trPr>
          <w:trHeight w:val="20"/>
        </w:trPr>
        <w:tc>
          <w:tcPr>
            <w:tcW w:w="5000" w:type="pct"/>
            <w:gridSpan w:val="3"/>
            <w:shd w:val="clear" w:color="auto" w:fill="auto"/>
            <w:noWrap/>
            <w:hideMark/>
          </w:tcPr>
          <w:p w14:paraId="072F9795" w14:textId="77777777" w:rsidR="001E2A12" w:rsidRPr="009A4DCA" w:rsidRDefault="001E2A12" w:rsidP="008C1CDB">
            <w:pPr>
              <w:pStyle w:val="Tabletext"/>
              <w:rPr>
                <w:b/>
                <w:bCs/>
                <w:szCs w:val="18"/>
              </w:rPr>
            </w:pPr>
            <w:r w:rsidRPr="009A4DCA">
              <w:rPr>
                <w:b/>
                <w:bCs/>
                <w:szCs w:val="18"/>
              </w:rPr>
              <w:t>MBS administration fee (base case: assumed 0.36 services per patient = $7.00)</w:t>
            </w:r>
          </w:p>
        </w:tc>
      </w:tr>
      <w:tr w:rsidR="001E2A12" w:rsidRPr="009A4DCA" w14:paraId="18372E9C" w14:textId="77777777" w:rsidTr="006F5F86">
        <w:trPr>
          <w:trHeight w:val="20"/>
        </w:trPr>
        <w:tc>
          <w:tcPr>
            <w:tcW w:w="3299" w:type="pct"/>
            <w:shd w:val="clear" w:color="auto" w:fill="auto"/>
            <w:noWrap/>
            <w:vAlign w:val="center"/>
          </w:tcPr>
          <w:p w14:paraId="1AB47AFE" w14:textId="77777777" w:rsidR="001E2A12" w:rsidRPr="009A4DCA" w:rsidRDefault="001E2A12" w:rsidP="008C1CDB">
            <w:pPr>
              <w:pStyle w:val="Tabletext"/>
              <w:ind w:right="-254"/>
              <w:rPr>
                <w:szCs w:val="18"/>
              </w:rPr>
            </w:pPr>
            <w:r w:rsidRPr="009A4DCA">
              <w:rPr>
                <w:szCs w:val="18"/>
              </w:rPr>
              <w:t>Upper limit (Assume 0.71; $14)</w:t>
            </w:r>
          </w:p>
        </w:tc>
        <w:tc>
          <w:tcPr>
            <w:tcW w:w="944" w:type="pct"/>
            <w:vAlign w:val="center"/>
          </w:tcPr>
          <w:p w14:paraId="18DF1048" w14:textId="59C286F8" w:rsidR="001E2A12" w:rsidRPr="009A4DCA" w:rsidRDefault="001E2A12" w:rsidP="008C1CDB">
            <w:pPr>
              <w:pStyle w:val="Tabletext"/>
              <w:jc w:val="center"/>
            </w:pPr>
            <w:r w:rsidRPr="009A4DCA">
              <w:t>$</w:t>
            </w:r>
            <w:r w:rsidR="00E44A34" w:rsidRPr="00E44A34">
              <w:rPr>
                <w:color w:val="000000"/>
                <w:shd w:val="solid" w:color="000000" w:fill="000000"/>
                <w14:textFill>
                  <w14:solidFill>
                    <w14:srgbClr w14:val="000000">
                      <w14:alpha w14:val="100000"/>
                    </w14:srgbClr>
                  </w14:solidFill>
                </w14:textFill>
              </w:rPr>
              <w:t>|</w:t>
            </w:r>
            <w:r w:rsidR="00404110">
              <w:rPr>
                <w:b/>
                <w:bCs/>
                <w:szCs w:val="18"/>
                <w:vertAlign w:val="superscript"/>
              </w:rPr>
              <w:t>1</w:t>
            </w:r>
          </w:p>
        </w:tc>
        <w:tc>
          <w:tcPr>
            <w:tcW w:w="757" w:type="pct"/>
            <w:vAlign w:val="center"/>
          </w:tcPr>
          <w:p w14:paraId="408061DD" w14:textId="77777777" w:rsidR="001E2A12" w:rsidRPr="009A4DCA" w:rsidRDefault="001E2A12" w:rsidP="008C1CDB">
            <w:pPr>
              <w:pStyle w:val="Tabletext"/>
              <w:jc w:val="center"/>
            </w:pPr>
            <w:r w:rsidRPr="006E2FE6">
              <w:t>2.7%</w:t>
            </w:r>
          </w:p>
        </w:tc>
      </w:tr>
    </w:tbl>
    <w:p w14:paraId="1803C98D" w14:textId="75D735E3" w:rsidR="001E2A12" w:rsidRPr="009A4DCA" w:rsidRDefault="001E2A12" w:rsidP="001E2A12">
      <w:pPr>
        <w:pStyle w:val="FooterTableFigure"/>
      </w:pPr>
      <w:r w:rsidRPr="009A4DCA">
        <w:t>Source: Table 4.6.2 p150 of the submission; UCM-Release-3-Workbook-RSV OA_ABRYSVO_July 2024.xlsx</w:t>
      </w:r>
    </w:p>
    <w:p w14:paraId="69ED5037" w14:textId="1757F958" w:rsidR="0089782B" w:rsidRDefault="007F1E1D" w:rsidP="00E954A2">
      <w:pPr>
        <w:pStyle w:val="FooterTableFigure"/>
      </w:pPr>
      <w:r w:rsidRPr="009A4DCA">
        <w:t>MBS = medical benefit scheme; y = years</w:t>
      </w:r>
      <w:bookmarkStart w:id="92" w:name="_Toc22897648"/>
      <w:bookmarkStart w:id="93" w:name="_Toc177558746"/>
    </w:p>
    <w:p w14:paraId="6688CFC1" w14:textId="77777777" w:rsidR="0095634B" w:rsidRPr="00007C25" w:rsidRDefault="0095634B" w:rsidP="0095634B">
      <w:pPr>
        <w:pStyle w:val="FooterTableFigure"/>
        <w:keepNext/>
        <w:keepLines/>
        <w:rPr>
          <w:i/>
          <w:iCs/>
        </w:rPr>
      </w:pPr>
      <w:r w:rsidRPr="00007C25">
        <w:rPr>
          <w:i/>
          <w:iCs/>
        </w:rPr>
        <w:t>The redacted values correspond to the following ranges:  </w:t>
      </w:r>
    </w:p>
    <w:p w14:paraId="2996FDAD" w14:textId="76CBA928" w:rsidR="0095634B" w:rsidRPr="00007C25" w:rsidRDefault="0095634B" w:rsidP="0095634B">
      <w:pPr>
        <w:pStyle w:val="FooterTableFigure"/>
        <w:keepNext/>
        <w:keepLines/>
        <w:rPr>
          <w:i/>
          <w:iCs/>
        </w:rPr>
      </w:pPr>
      <w:r w:rsidRPr="00007C25">
        <w:rPr>
          <w:i/>
          <w:iCs/>
          <w:vertAlign w:val="superscript"/>
        </w:rPr>
        <w:t>1</w:t>
      </w:r>
      <w:r w:rsidRPr="00007C25">
        <w:rPr>
          <w:i/>
          <w:iCs/>
        </w:rPr>
        <w:t>  </w:t>
      </w:r>
      <w:r w:rsidR="00404110" w:rsidRPr="00007C25">
        <w:rPr>
          <w:i/>
          <w:iCs/>
        </w:rPr>
        <w:t>$600</w:t>
      </w:r>
      <w:r w:rsidR="00404110" w:rsidRPr="00007C25">
        <w:rPr>
          <w:rFonts w:ascii="Arial" w:hAnsi="Arial"/>
          <w:i/>
          <w:iCs/>
        </w:rPr>
        <w:t> </w:t>
      </w:r>
      <w:r w:rsidR="00404110" w:rsidRPr="00007C25">
        <w:rPr>
          <w:i/>
          <w:iCs/>
        </w:rPr>
        <w:t>million</w:t>
      </w:r>
      <w:r w:rsidR="00404110" w:rsidRPr="00007C25">
        <w:rPr>
          <w:rFonts w:ascii="Arial" w:hAnsi="Arial"/>
          <w:i/>
          <w:iCs/>
        </w:rPr>
        <w:t> </w:t>
      </w:r>
      <w:r w:rsidR="00404110" w:rsidRPr="00007C25">
        <w:rPr>
          <w:i/>
          <w:iCs/>
        </w:rPr>
        <w:t>to</w:t>
      </w:r>
      <w:r w:rsidR="00404110" w:rsidRPr="00007C25">
        <w:rPr>
          <w:rFonts w:ascii="Arial" w:hAnsi="Arial"/>
          <w:i/>
          <w:iCs/>
        </w:rPr>
        <w:t> </w:t>
      </w:r>
      <w:r w:rsidR="00404110" w:rsidRPr="00007C25">
        <w:rPr>
          <w:i/>
          <w:iCs/>
        </w:rPr>
        <w:t>&lt;</w:t>
      </w:r>
      <w:r w:rsidR="00404110" w:rsidRPr="00007C25">
        <w:rPr>
          <w:rFonts w:ascii="Arial" w:hAnsi="Arial"/>
          <w:i/>
          <w:iCs/>
        </w:rPr>
        <w:t> </w:t>
      </w:r>
      <w:r w:rsidR="00404110" w:rsidRPr="00007C25">
        <w:rPr>
          <w:i/>
          <w:iCs/>
        </w:rPr>
        <w:t>$700</w:t>
      </w:r>
      <w:r w:rsidR="00404110" w:rsidRPr="00007C25">
        <w:rPr>
          <w:rFonts w:ascii="Arial" w:hAnsi="Arial"/>
          <w:i/>
          <w:iCs/>
        </w:rPr>
        <w:t> </w:t>
      </w:r>
      <w:r w:rsidR="00404110" w:rsidRPr="00007C25">
        <w:rPr>
          <w:i/>
          <w:iCs/>
        </w:rPr>
        <w:t>million </w:t>
      </w:r>
    </w:p>
    <w:p w14:paraId="208E922B" w14:textId="5C6E03D6" w:rsidR="0095634B" w:rsidRPr="00007C25" w:rsidRDefault="0095634B" w:rsidP="0095634B">
      <w:pPr>
        <w:pStyle w:val="FooterTableFigure"/>
        <w:keepNext/>
        <w:keepLines/>
        <w:rPr>
          <w:i/>
          <w:iCs/>
        </w:rPr>
      </w:pPr>
      <w:r w:rsidRPr="00007C25">
        <w:rPr>
          <w:i/>
          <w:iCs/>
          <w:vertAlign w:val="superscript"/>
        </w:rPr>
        <w:t>2</w:t>
      </w:r>
      <w:r w:rsidRPr="00007C25">
        <w:rPr>
          <w:i/>
          <w:iCs/>
        </w:rPr>
        <w:t>  </w:t>
      </w:r>
      <w:r w:rsidR="002A006A" w:rsidRPr="00007C25">
        <w:rPr>
          <w:i/>
          <w:iCs/>
        </w:rPr>
        <w:t>$700</w:t>
      </w:r>
      <w:r w:rsidR="002A006A" w:rsidRPr="00007C25">
        <w:rPr>
          <w:rFonts w:ascii="Arial" w:hAnsi="Arial"/>
          <w:i/>
          <w:iCs/>
        </w:rPr>
        <w:t> </w:t>
      </w:r>
      <w:r w:rsidR="002A006A" w:rsidRPr="00007C25">
        <w:rPr>
          <w:i/>
          <w:iCs/>
        </w:rPr>
        <w:t>million</w:t>
      </w:r>
      <w:r w:rsidR="002A006A" w:rsidRPr="00007C25">
        <w:rPr>
          <w:rFonts w:ascii="Arial" w:hAnsi="Arial"/>
          <w:i/>
          <w:iCs/>
        </w:rPr>
        <w:t> </w:t>
      </w:r>
      <w:r w:rsidR="002A006A" w:rsidRPr="00007C25">
        <w:rPr>
          <w:i/>
          <w:iCs/>
        </w:rPr>
        <w:t>to</w:t>
      </w:r>
      <w:r w:rsidR="002A006A" w:rsidRPr="00007C25">
        <w:rPr>
          <w:rFonts w:ascii="Arial" w:hAnsi="Arial"/>
          <w:i/>
          <w:iCs/>
        </w:rPr>
        <w:t> </w:t>
      </w:r>
      <w:r w:rsidR="002A006A" w:rsidRPr="00007C25">
        <w:rPr>
          <w:i/>
          <w:iCs/>
        </w:rPr>
        <w:t>&lt;</w:t>
      </w:r>
      <w:r w:rsidR="002A006A" w:rsidRPr="00007C25">
        <w:rPr>
          <w:rFonts w:ascii="Arial" w:hAnsi="Arial"/>
          <w:i/>
          <w:iCs/>
        </w:rPr>
        <w:t> </w:t>
      </w:r>
      <w:r w:rsidR="002A006A" w:rsidRPr="00007C25">
        <w:rPr>
          <w:i/>
          <w:iCs/>
        </w:rPr>
        <w:t>$800</w:t>
      </w:r>
      <w:r w:rsidR="002A006A" w:rsidRPr="00007C25">
        <w:rPr>
          <w:rFonts w:ascii="Arial" w:hAnsi="Arial"/>
          <w:i/>
          <w:iCs/>
        </w:rPr>
        <w:t> </w:t>
      </w:r>
      <w:r w:rsidR="002A006A" w:rsidRPr="00007C25">
        <w:rPr>
          <w:i/>
          <w:iCs/>
        </w:rPr>
        <w:t>million </w:t>
      </w:r>
    </w:p>
    <w:p w14:paraId="188A3791" w14:textId="28383B8D" w:rsidR="0095634B" w:rsidRPr="00007C25" w:rsidRDefault="0095634B" w:rsidP="0095634B">
      <w:pPr>
        <w:pStyle w:val="FooterTableFigure"/>
        <w:keepNext/>
        <w:keepLines/>
        <w:rPr>
          <w:i/>
          <w:iCs/>
        </w:rPr>
      </w:pPr>
      <w:r w:rsidRPr="00007C25">
        <w:rPr>
          <w:i/>
          <w:iCs/>
          <w:vertAlign w:val="superscript"/>
        </w:rPr>
        <w:t>3</w:t>
      </w:r>
      <w:r w:rsidRPr="00007C25">
        <w:rPr>
          <w:i/>
          <w:iCs/>
        </w:rPr>
        <w:t>  </w:t>
      </w:r>
      <w:r w:rsidR="005F0821" w:rsidRPr="00007C25">
        <w:rPr>
          <w:i/>
          <w:iCs/>
        </w:rPr>
        <w:t>$400</w:t>
      </w:r>
      <w:r w:rsidR="005F0821" w:rsidRPr="00007C25">
        <w:rPr>
          <w:rFonts w:ascii="Arial" w:hAnsi="Arial"/>
          <w:i/>
          <w:iCs/>
        </w:rPr>
        <w:t> </w:t>
      </w:r>
      <w:r w:rsidR="005F0821" w:rsidRPr="00007C25">
        <w:rPr>
          <w:i/>
          <w:iCs/>
        </w:rPr>
        <w:t>million</w:t>
      </w:r>
      <w:r w:rsidR="005F0821" w:rsidRPr="00007C25">
        <w:rPr>
          <w:rFonts w:ascii="Arial" w:hAnsi="Arial"/>
          <w:i/>
          <w:iCs/>
        </w:rPr>
        <w:t> </w:t>
      </w:r>
      <w:r w:rsidR="005F0821" w:rsidRPr="00007C25">
        <w:rPr>
          <w:i/>
          <w:iCs/>
        </w:rPr>
        <w:t>to</w:t>
      </w:r>
      <w:r w:rsidR="005F0821" w:rsidRPr="00007C25">
        <w:rPr>
          <w:rFonts w:ascii="Arial" w:hAnsi="Arial"/>
          <w:i/>
          <w:iCs/>
        </w:rPr>
        <w:t> </w:t>
      </w:r>
      <w:r w:rsidR="005F0821" w:rsidRPr="00007C25">
        <w:rPr>
          <w:i/>
          <w:iCs/>
        </w:rPr>
        <w:t>&lt;</w:t>
      </w:r>
      <w:r w:rsidR="005F0821" w:rsidRPr="00007C25">
        <w:rPr>
          <w:rFonts w:ascii="Arial" w:hAnsi="Arial"/>
          <w:i/>
          <w:iCs/>
        </w:rPr>
        <w:t> </w:t>
      </w:r>
      <w:r w:rsidR="005F0821" w:rsidRPr="00007C25">
        <w:rPr>
          <w:i/>
          <w:iCs/>
        </w:rPr>
        <w:t>$500</w:t>
      </w:r>
      <w:r w:rsidR="005F0821" w:rsidRPr="00007C25">
        <w:rPr>
          <w:rFonts w:ascii="Arial" w:hAnsi="Arial"/>
          <w:i/>
          <w:iCs/>
        </w:rPr>
        <w:t> </w:t>
      </w:r>
      <w:r w:rsidR="005F0821" w:rsidRPr="00007C25">
        <w:rPr>
          <w:i/>
          <w:iCs/>
        </w:rPr>
        <w:t>million </w:t>
      </w:r>
    </w:p>
    <w:p w14:paraId="09827525" w14:textId="4D3DC35F" w:rsidR="0095634B" w:rsidRPr="00D07CA3" w:rsidRDefault="0095634B" w:rsidP="0095634B">
      <w:pPr>
        <w:pStyle w:val="FooterTableFigure"/>
        <w:keepNext/>
        <w:keepLines/>
      </w:pPr>
      <w:r w:rsidRPr="00007C25">
        <w:rPr>
          <w:i/>
          <w:iCs/>
          <w:vertAlign w:val="superscript"/>
        </w:rPr>
        <w:t>4</w:t>
      </w:r>
      <w:r w:rsidRPr="00007C25">
        <w:rPr>
          <w:i/>
          <w:iCs/>
        </w:rPr>
        <w:t>  </w:t>
      </w:r>
      <w:r w:rsidR="005F0821" w:rsidRPr="00007C25">
        <w:rPr>
          <w:i/>
          <w:iCs/>
        </w:rPr>
        <w:t>$500</w:t>
      </w:r>
      <w:r w:rsidR="005F0821" w:rsidRPr="00007C25">
        <w:rPr>
          <w:rFonts w:ascii="Arial" w:hAnsi="Arial"/>
          <w:i/>
          <w:iCs/>
        </w:rPr>
        <w:t> </w:t>
      </w:r>
      <w:r w:rsidR="005F0821" w:rsidRPr="00007C25">
        <w:rPr>
          <w:i/>
          <w:iCs/>
        </w:rPr>
        <w:t>million</w:t>
      </w:r>
      <w:r w:rsidR="005F0821" w:rsidRPr="00007C25">
        <w:rPr>
          <w:rFonts w:ascii="Arial" w:hAnsi="Arial"/>
          <w:i/>
          <w:iCs/>
        </w:rPr>
        <w:t> </w:t>
      </w:r>
      <w:r w:rsidR="005F0821" w:rsidRPr="00007C25">
        <w:rPr>
          <w:i/>
          <w:iCs/>
        </w:rPr>
        <w:t>to</w:t>
      </w:r>
      <w:r w:rsidR="005F0821" w:rsidRPr="00007C25">
        <w:rPr>
          <w:rFonts w:ascii="Arial" w:hAnsi="Arial"/>
          <w:i/>
          <w:iCs/>
        </w:rPr>
        <w:t> </w:t>
      </w:r>
      <w:r w:rsidR="005F0821" w:rsidRPr="00007C25">
        <w:rPr>
          <w:i/>
          <w:iCs/>
        </w:rPr>
        <w:t>&lt;</w:t>
      </w:r>
      <w:r w:rsidR="005F0821" w:rsidRPr="00007C25">
        <w:rPr>
          <w:rFonts w:ascii="Arial" w:hAnsi="Arial"/>
          <w:i/>
          <w:iCs/>
        </w:rPr>
        <w:t> </w:t>
      </w:r>
      <w:r w:rsidR="005F0821" w:rsidRPr="00007C25">
        <w:rPr>
          <w:i/>
          <w:iCs/>
        </w:rPr>
        <w:t>$600</w:t>
      </w:r>
      <w:r w:rsidR="005F0821" w:rsidRPr="00007C25">
        <w:rPr>
          <w:rFonts w:ascii="Arial" w:hAnsi="Arial"/>
          <w:i/>
          <w:iCs/>
        </w:rPr>
        <w:t> </w:t>
      </w:r>
      <w:r w:rsidR="005F0821" w:rsidRPr="00007C25">
        <w:rPr>
          <w:i/>
          <w:iCs/>
        </w:rPr>
        <w:t>million</w:t>
      </w:r>
      <w:r w:rsidR="005F0821" w:rsidRPr="005F0821">
        <w:t> </w:t>
      </w:r>
    </w:p>
    <w:p w14:paraId="2F8B30BA" w14:textId="4CD6DD1C" w:rsidR="00C764F4" w:rsidRPr="009A4DCA" w:rsidRDefault="00C764F4" w:rsidP="00007C25">
      <w:pPr>
        <w:pStyle w:val="4-SubsectionHeading"/>
      </w:pPr>
      <w:r w:rsidRPr="009A4DCA">
        <w:t>Quality Use of Medicines</w:t>
      </w:r>
      <w:bookmarkEnd w:id="92"/>
      <w:bookmarkEnd w:id="93"/>
    </w:p>
    <w:p w14:paraId="5670C179" w14:textId="68376AF0" w:rsidR="00946ED1" w:rsidRPr="009A4DCA" w:rsidRDefault="00C764F4" w:rsidP="00C41E64">
      <w:pPr>
        <w:pStyle w:val="3-BodyText"/>
        <w:numPr>
          <w:ilvl w:val="1"/>
          <w:numId w:val="1"/>
        </w:numPr>
      </w:pPr>
      <w:r w:rsidRPr="009A4DCA">
        <w:t>The submission stated th</w:t>
      </w:r>
      <w:r w:rsidR="00FB3AD8" w:rsidRPr="009A4DCA">
        <w:t>at</w:t>
      </w:r>
      <w:r w:rsidRPr="009A4DCA">
        <w:t xml:space="preserve"> educational and pharmacovigilance activities will be conducted to support the quality use of medicines.</w:t>
      </w:r>
    </w:p>
    <w:p w14:paraId="4FFDE32C" w14:textId="32F6062F" w:rsidR="00F26055" w:rsidRPr="009A4DCA" w:rsidRDefault="00C41E64" w:rsidP="004A7A63">
      <w:pPr>
        <w:pStyle w:val="3-BodyText"/>
        <w:numPr>
          <w:ilvl w:val="0"/>
          <w:numId w:val="0"/>
        </w:numPr>
        <w:ind w:left="720"/>
        <w:rPr>
          <w:i/>
        </w:rPr>
      </w:pPr>
      <w:r w:rsidRPr="009A4DCA">
        <w:rPr>
          <w:i/>
          <w:iCs/>
        </w:rPr>
        <w:t>For more detail on PBAC’s view, see section 7 PBAC outcome.</w:t>
      </w:r>
    </w:p>
    <w:p w14:paraId="6F8385CE" w14:textId="77777777" w:rsidR="008B129C" w:rsidRPr="009A4DCA" w:rsidRDefault="008B129C" w:rsidP="008B129C">
      <w:pPr>
        <w:pStyle w:val="2-SectionHeading"/>
        <w:numPr>
          <w:ilvl w:val="0"/>
          <w:numId w:val="1"/>
        </w:numPr>
      </w:pPr>
      <w:bookmarkStart w:id="94" w:name="_Ref183076562"/>
      <w:bookmarkStart w:id="95" w:name="_Hlk76381249"/>
      <w:r w:rsidRPr="009A4DCA">
        <w:t>PBAC Outcome</w:t>
      </w:r>
      <w:bookmarkEnd w:id="94"/>
    </w:p>
    <w:p w14:paraId="729B8685" w14:textId="5F0E2153" w:rsidR="003279FB" w:rsidRPr="009A4DCA" w:rsidRDefault="00E71F71" w:rsidP="008C1CDB">
      <w:pPr>
        <w:pStyle w:val="3-BodyText"/>
        <w:widowControl w:val="0"/>
        <w:numPr>
          <w:ilvl w:val="1"/>
          <w:numId w:val="1"/>
        </w:numPr>
        <w:rPr>
          <w:snapToGrid w:val="0"/>
        </w:rPr>
      </w:pPr>
      <w:bookmarkStart w:id="96" w:name="_Ref183644253"/>
      <w:r w:rsidRPr="009A4DCA">
        <w:rPr>
          <w:snapToGrid w:val="0"/>
        </w:rPr>
        <w:t xml:space="preserve">The PBAC recommended that respiratory syncytial virus vaccine (Abrysvo®, RSVpreF) be a designated vaccine for the purposes of the </w:t>
      </w:r>
      <w:r w:rsidRPr="009A4DCA">
        <w:rPr>
          <w:i/>
          <w:iCs/>
          <w:snapToGrid w:val="0"/>
        </w:rPr>
        <w:t>National Health Act 1953</w:t>
      </w:r>
      <w:r w:rsidRPr="009A4DCA">
        <w:rPr>
          <w:snapToGrid w:val="0"/>
        </w:rPr>
        <w:t xml:space="preserve"> for the prevention of lower respiratory tract illness (LRTI) caused by respiratory syncytial virus (RSV)</w:t>
      </w:r>
      <w:r w:rsidR="002F5823" w:rsidRPr="009A4DCA">
        <w:rPr>
          <w:snapToGrid w:val="0"/>
        </w:rPr>
        <w:t xml:space="preserve"> for a</w:t>
      </w:r>
      <w:r w:rsidR="002F5823" w:rsidRPr="009A4DCA">
        <w:rPr>
          <w:rFonts w:ascii="Calibri" w:eastAsia="Times New Roman" w:hAnsi="Calibri" w:cs="Arial"/>
          <w:snapToGrid w:val="0"/>
          <w:szCs w:val="24"/>
        </w:rPr>
        <w:t>dults 75 years of age and above, and for Aboriginal and Torres Strait Islander peoples aged 60 to 74 years</w:t>
      </w:r>
      <w:r w:rsidR="00CF0D81" w:rsidRPr="009A4DCA">
        <w:rPr>
          <w:snapToGrid w:val="0"/>
        </w:rPr>
        <w:t>.</w:t>
      </w:r>
      <w:r w:rsidRPr="009A4DCA">
        <w:rPr>
          <w:snapToGrid w:val="0"/>
        </w:rPr>
        <w:t xml:space="preserve"> </w:t>
      </w:r>
      <w:r w:rsidR="00194B29" w:rsidRPr="009A4DCA">
        <w:t xml:space="preserve">The PBAC considered that the vaccine was superior to no vaccine in terms of effectiveness with an acceptable safety profile, however the duration </w:t>
      </w:r>
      <w:r w:rsidR="00FA190C" w:rsidRPr="009A4DCA">
        <w:t xml:space="preserve">and magnitude </w:t>
      </w:r>
      <w:r w:rsidR="00194B29" w:rsidRPr="009A4DCA">
        <w:t xml:space="preserve">of </w:t>
      </w:r>
      <w:r w:rsidR="00FA190C" w:rsidRPr="009A4DCA">
        <w:t xml:space="preserve">protection </w:t>
      </w:r>
      <w:r w:rsidR="00680229" w:rsidRPr="009A4DCA">
        <w:t xml:space="preserve">in the requested populations </w:t>
      </w:r>
      <w:r w:rsidR="00194B29" w:rsidRPr="009A4DCA">
        <w:t xml:space="preserve">was uncertain. </w:t>
      </w:r>
      <w:r w:rsidR="004757F4" w:rsidRPr="009A4DCA">
        <w:t>The PBAC advised</w:t>
      </w:r>
      <w:r w:rsidR="00A47A74" w:rsidRPr="009A4DCA">
        <w:t xml:space="preserve"> that</w:t>
      </w:r>
      <w:r w:rsidR="004757F4" w:rsidRPr="009A4DCA">
        <w:t xml:space="preserve"> inputs for the economic evaluation relating to the duration of protection, and the incidence of hospitalisations due to RSV and associated mortality</w:t>
      </w:r>
      <w:r w:rsidR="00A47A74" w:rsidRPr="009A4DCA">
        <w:t xml:space="preserve"> should be revised,</w:t>
      </w:r>
      <w:r w:rsidR="004757F4" w:rsidRPr="009A4DCA">
        <w:t xml:space="preserve"> and </w:t>
      </w:r>
      <w:r w:rsidR="00A47A74" w:rsidRPr="009A4DCA">
        <w:t xml:space="preserve">that </w:t>
      </w:r>
      <w:r w:rsidR="004757F4" w:rsidRPr="009A4DCA">
        <w:t xml:space="preserve">RSVpreF would be cost-effective with an incremental cost-effectiveness ratio (ICER) of </w:t>
      </w:r>
      <w:r w:rsidR="00A47A74" w:rsidRPr="009A4DCA">
        <w:t xml:space="preserve">no more than </w:t>
      </w:r>
      <w:r w:rsidR="00764B81" w:rsidRPr="00764B81">
        <w:t>$5,000 to &lt; $15,000</w:t>
      </w:r>
      <w:r w:rsidR="00B07DA0">
        <w:t xml:space="preserve"> </w:t>
      </w:r>
      <w:r w:rsidR="004757F4" w:rsidRPr="009A4DCA">
        <w:t xml:space="preserve">per QALY gained. </w:t>
      </w:r>
      <w:r w:rsidR="00566E37" w:rsidRPr="009A4DCA">
        <w:t>The PBAC did not recommend NIP listing for adults aged 60 to 74 years with at least one risk factor for severe RSV disease (the third population that was supported by ATAGI)</w:t>
      </w:r>
      <w:r w:rsidR="004757F4" w:rsidRPr="009A4DCA">
        <w:t xml:space="preserve"> </w:t>
      </w:r>
      <w:r w:rsidR="004757F4" w:rsidRPr="009A4DCA">
        <w:lastRenderedPageBreak/>
        <w:t>because it considered that the economic evaluation did not provide a robust estimate of cost-effectiveness for this population</w:t>
      </w:r>
      <w:r w:rsidR="00566E37" w:rsidRPr="009A4DCA">
        <w:t>,</w:t>
      </w:r>
      <w:r w:rsidR="00FE7A3C" w:rsidRPr="009A4DCA">
        <w:t xml:space="preserve"> with the baseline risks and benefits unclear, but likely overestimated</w:t>
      </w:r>
      <w:r w:rsidR="009A247B">
        <w:t>;</w:t>
      </w:r>
      <w:r w:rsidR="009A247B" w:rsidRPr="009A247B">
        <w:t xml:space="preserve"> </w:t>
      </w:r>
      <w:r w:rsidR="009A247B">
        <w:t>with uncertainty around the total financial implications in this group</w:t>
      </w:r>
      <w:r w:rsidR="00566E37" w:rsidRPr="009A4DCA">
        <w:t>. The PBAC advised that a new submission would be required to assess this population.</w:t>
      </w:r>
      <w:bookmarkEnd w:id="96"/>
    </w:p>
    <w:p w14:paraId="0F36B1CD" w14:textId="77777777" w:rsidR="0000593C" w:rsidRPr="009A4DCA" w:rsidRDefault="0000593C" w:rsidP="0000593C">
      <w:pPr>
        <w:widowControl w:val="0"/>
        <w:numPr>
          <w:ilvl w:val="1"/>
          <w:numId w:val="1"/>
        </w:numPr>
        <w:spacing w:after="120"/>
        <w:rPr>
          <w:rFonts w:asciiTheme="minorHAnsi" w:hAnsiTheme="minorHAnsi"/>
          <w:snapToGrid w:val="0"/>
        </w:rPr>
      </w:pPr>
      <w:r w:rsidRPr="009A4DCA">
        <w:rPr>
          <w:rFonts w:asciiTheme="minorHAnsi" w:hAnsiTheme="minorHAnsi"/>
          <w:snapToGrid w:val="0"/>
        </w:rPr>
        <w:t>The PBAC was satisfied that RSVpreF provides, for some patients, a significant improvement in efficacy over standard of care (no vaccine).</w:t>
      </w:r>
    </w:p>
    <w:p w14:paraId="1F8C4AF1" w14:textId="60401C61" w:rsidR="009A2D9F" w:rsidRPr="009A4DCA" w:rsidRDefault="009A2D9F" w:rsidP="008B129C">
      <w:pPr>
        <w:widowControl w:val="0"/>
        <w:numPr>
          <w:ilvl w:val="1"/>
          <w:numId w:val="1"/>
        </w:numPr>
        <w:spacing w:after="120"/>
        <w:rPr>
          <w:rFonts w:asciiTheme="minorHAnsi" w:hAnsiTheme="minorHAnsi"/>
          <w:snapToGrid w:val="0"/>
        </w:rPr>
      </w:pPr>
      <w:r w:rsidRPr="009A4DCA">
        <w:rPr>
          <w:snapToGrid w:val="0"/>
        </w:rPr>
        <w:t>The PBAC recommended the listing of RSVpreF on the basis that it should be available through the National Immunisation Program</w:t>
      </w:r>
      <w:r w:rsidR="00EE4712">
        <w:rPr>
          <w:snapToGrid w:val="0"/>
        </w:rPr>
        <w:t xml:space="preserve"> (NIP)</w:t>
      </w:r>
      <w:r w:rsidRPr="009A4DCA">
        <w:rPr>
          <w:snapToGrid w:val="0"/>
        </w:rPr>
        <w:t xml:space="preserve"> under the circumstances specified in Section 8 below</w:t>
      </w:r>
      <w:r w:rsidR="00A642C7" w:rsidRPr="009A4DCA">
        <w:rPr>
          <w:snapToGrid w:val="0"/>
        </w:rPr>
        <w:t xml:space="preserve"> (</w:t>
      </w:r>
      <w:r w:rsidR="004753B9">
        <w:rPr>
          <w:snapToGrid w:val="0"/>
        </w:rPr>
        <w:t>a</w:t>
      </w:r>
      <w:r w:rsidRPr="009A4DCA">
        <w:rPr>
          <w:snapToGrid w:val="0"/>
        </w:rPr>
        <w:t>dults</w:t>
      </w:r>
      <w:r w:rsidR="008D24A4" w:rsidRPr="009A4DCA">
        <w:rPr>
          <w:snapToGrid w:val="0"/>
        </w:rPr>
        <w:t xml:space="preserve"> aged</w:t>
      </w:r>
      <w:r w:rsidRPr="009A4DCA">
        <w:rPr>
          <w:snapToGrid w:val="0"/>
        </w:rPr>
        <w:t xml:space="preserve"> 75 years and above, and Aboriginal and Torres Strait Islander peoples aged 60 to 74 years</w:t>
      </w:r>
      <w:r w:rsidR="004753B9">
        <w:rPr>
          <w:snapToGrid w:val="0"/>
        </w:rPr>
        <w:t>)</w:t>
      </w:r>
      <w:r w:rsidR="005B1404" w:rsidRPr="009A4DCA">
        <w:rPr>
          <w:bCs/>
        </w:rPr>
        <w:t>.</w:t>
      </w:r>
      <w:r w:rsidR="00BA51C6" w:rsidRPr="009A4DCA">
        <w:rPr>
          <w:bCs/>
        </w:rPr>
        <w:t xml:space="preserve"> </w:t>
      </w:r>
      <w:r w:rsidR="00BA51C6" w:rsidRPr="009A4DCA">
        <w:t xml:space="preserve">The PBAC did not recommend </w:t>
      </w:r>
      <w:r w:rsidR="002B1789" w:rsidRPr="009A4DCA">
        <w:t>l</w:t>
      </w:r>
      <w:r w:rsidR="00BA51C6" w:rsidRPr="009A4DCA">
        <w:t xml:space="preserve">isting </w:t>
      </w:r>
      <w:r w:rsidR="00890756" w:rsidRPr="009A4DCA">
        <w:t xml:space="preserve">of RSVpreF </w:t>
      </w:r>
      <w:r w:rsidR="00BA51C6" w:rsidRPr="009A4DCA">
        <w:t>for adults aged 60 to 74 years with at least one risk factor for severe RSV disease.</w:t>
      </w:r>
    </w:p>
    <w:p w14:paraId="36A26D89" w14:textId="77CCD509" w:rsidR="00FF10AF" w:rsidRPr="009A4DCA" w:rsidRDefault="00CA610D" w:rsidP="00CA610D">
      <w:pPr>
        <w:widowControl w:val="0"/>
        <w:numPr>
          <w:ilvl w:val="1"/>
          <w:numId w:val="1"/>
        </w:numPr>
        <w:spacing w:after="120"/>
        <w:rPr>
          <w:iCs/>
        </w:rPr>
      </w:pPr>
      <w:r w:rsidRPr="009A4DCA">
        <w:rPr>
          <w:rFonts w:asciiTheme="minorHAnsi" w:hAnsiTheme="minorHAnsi"/>
          <w:snapToGrid w:val="0"/>
        </w:rPr>
        <w:t>The PBAC noted that a number of RSV vaccines and monoclonal antibodies are in development globally for prevention of RSV disease, and the clinical algorithm is changing following TGA registration and market launch of the first wave of these products in Australia, including</w:t>
      </w:r>
      <w:r w:rsidR="00F64B83" w:rsidRPr="009A4DCA">
        <w:rPr>
          <w:rFonts w:asciiTheme="minorHAnsi" w:hAnsiTheme="minorHAnsi"/>
          <w:snapToGrid w:val="0"/>
        </w:rPr>
        <w:t xml:space="preserve"> the</w:t>
      </w:r>
      <w:r w:rsidRPr="009A4DCA">
        <w:rPr>
          <w:rFonts w:asciiTheme="minorHAnsi" w:hAnsiTheme="minorHAnsi"/>
          <w:snapToGrid w:val="0"/>
        </w:rPr>
        <w:t xml:space="preserve"> </w:t>
      </w:r>
      <w:r w:rsidRPr="009A4DCA">
        <w:t>RSV</w:t>
      </w:r>
      <w:r w:rsidR="009A4DCA">
        <w:t>p</w:t>
      </w:r>
      <w:r w:rsidRPr="009A4DCA">
        <w:t>reF vaccine</w:t>
      </w:r>
      <w:r w:rsidR="00FF10AF" w:rsidRPr="009A4DCA">
        <w:t xml:space="preserve"> and the RSVPreF3 OA (Arexvy) vaccine that was considered by the PBAC in July 2024 (paragraph </w:t>
      </w:r>
      <w:r w:rsidR="004753B9">
        <w:fldChar w:fldCharType="begin"/>
      </w:r>
      <w:r w:rsidR="004753B9">
        <w:instrText xml:space="preserve"> REF _Ref183771326 \r \h </w:instrText>
      </w:r>
      <w:r w:rsidR="004753B9">
        <w:fldChar w:fldCharType="separate"/>
      </w:r>
      <w:r w:rsidR="007B2F50">
        <w:t>5.3</w:t>
      </w:r>
      <w:r w:rsidR="004753B9">
        <w:fldChar w:fldCharType="end"/>
      </w:r>
      <w:r w:rsidR="00FF10AF" w:rsidRPr="009A4DCA">
        <w:t>).</w:t>
      </w:r>
    </w:p>
    <w:p w14:paraId="01E72D35" w14:textId="168DA8EE" w:rsidR="003053F2" w:rsidRPr="009A4DCA" w:rsidRDefault="003053F2" w:rsidP="008C1CDB">
      <w:pPr>
        <w:widowControl w:val="0"/>
        <w:numPr>
          <w:ilvl w:val="1"/>
          <w:numId w:val="1"/>
        </w:numPr>
        <w:spacing w:after="120"/>
        <w:rPr>
          <w:rFonts w:asciiTheme="minorHAnsi" w:hAnsiTheme="minorHAnsi"/>
          <w:bCs/>
        </w:rPr>
      </w:pPr>
      <w:bookmarkStart w:id="97" w:name="_Ref174451463"/>
      <w:r w:rsidRPr="009A4DCA">
        <w:t>Consistent with its previous advice, the PBAC considered there is a high clinical need for vaccines, such as RSV</w:t>
      </w:r>
      <w:r w:rsidR="009A4DCA">
        <w:t>p</w:t>
      </w:r>
      <w:r w:rsidRPr="009A4DCA">
        <w:t xml:space="preserve">reF vaccine, to reduce the risk of RSV in older adults, </w:t>
      </w:r>
      <w:r w:rsidRPr="009A4DCA">
        <w:rPr>
          <w:rFonts w:asciiTheme="minorHAnsi" w:hAnsiTheme="minorHAnsi"/>
          <w:snapToGrid w:val="0"/>
        </w:rPr>
        <w:t xml:space="preserve">especially those aged over 75 years, First Nations adults, and those vulnerable due to existing medical conditions </w:t>
      </w:r>
      <w:r w:rsidRPr="009A4DCA">
        <w:t>(paragraph 7.4, RSVPreF3 OA Public Summary PSD, July</w:t>
      </w:r>
      <w:r w:rsidR="00C80AC3">
        <w:t> </w:t>
      </w:r>
      <w:r w:rsidRPr="009A4DCA">
        <w:t>2024)</w:t>
      </w:r>
      <w:r w:rsidRPr="009A4DCA">
        <w:rPr>
          <w:rFonts w:asciiTheme="minorHAnsi" w:hAnsiTheme="minorHAnsi"/>
          <w:snapToGrid w:val="0"/>
        </w:rPr>
        <w:t xml:space="preserve">. The PBAC </w:t>
      </w:r>
      <w:r w:rsidRPr="009A4DCA">
        <w:t>noted that RSV is a common respiratory infection and although symptoms may be mild, some older adults develop severe disease such as acute bronchitis, pneumonia, or exacerbation of pre-existing conditions including asthma, chronic obstructive pulmonary disease and congestive heart failure. The PBAC noted the proposed listing of RSV</w:t>
      </w:r>
      <w:r w:rsidR="009A4DCA">
        <w:t>p</w:t>
      </w:r>
      <w:r w:rsidRPr="009A4DCA">
        <w:t>reF vaccine was supported by the consumer comments received for this submission.</w:t>
      </w:r>
    </w:p>
    <w:p w14:paraId="7BB41D56" w14:textId="420D4365" w:rsidR="003053F2" w:rsidRPr="009A4DCA" w:rsidRDefault="003053F2" w:rsidP="001529F1">
      <w:pPr>
        <w:widowControl w:val="0"/>
        <w:numPr>
          <w:ilvl w:val="1"/>
          <w:numId w:val="1"/>
        </w:numPr>
        <w:spacing w:after="120"/>
        <w:rPr>
          <w:rFonts w:asciiTheme="minorHAnsi" w:hAnsiTheme="minorHAnsi"/>
          <w:snapToGrid w:val="0"/>
        </w:rPr>
      </w:pPr>
      <w:r w:rsidRPr="009A4DCA">
        <w:t xml:space="preserve">The PBAC noted and welcomed the advice from the ATAGI that was provided to the PBAC to assist with consideration of this submission. The PBAC noted that ATAGI advice supported NIP listing </w:t>
      </w:r>
      <w:r w:rsidRPr="009A4DCA">
        <w:rPr>
          <w:rFonts w:eastAsia="Calibri"/>
        </w:rPr>
        <w:t xml:space="preserve">for three populations, that is all adults aged ≥75 years, </w:t>
      </w:r>
      <w:r w:rsidRPr="009A4DCA">
        <w:rPr>
          <w:snapToGrid w:val="0"/>
        </w:rPr>
        <w:t>Aboriginal and Torres Strait Islander peoples aged 60 to 74 years; and</w:t>
      </w:r>
      <w:r w:rsidRPr="009A4DCA">
        <w:rPr>
          <w:rFonts w:eastAsia="Calibri"/>
        </w:rPr>
        <w:t xml:space="preserve"> people </w:t>
      </w:r>
      <w:r w:rsidR="001529F1" w:rsidRPr="009A4DCA">
        <w:rPr>
          <w:snapToGrid w:val="0"/>
        </w:rPr>
        <w:t>aged 60</w:t>
      </w:r>
      <w:r w:rsidR="00C80AC3">
        <w:rPr>
          <w:snapToGrid w:val="0"/>
        </w:rPr>
        <w:t> </w:t>
      </w:r>
      <w:r w:rsidR="001529F1" w:rsidRPr="009A4DCA">
        <w:rPr>
          <w:snapToGrid w:val="0"/>
        </w:rPr>
        <w:t>to 74 years</w:t>
      </w:r>
      <w:r w:rsidR="001529F1" w:rsidRPr="009A4DCA">
        <w:rPr>
          <w:rFonts w:eastAsia="Calibri"/>
        </w:rPr>
        <w:t xml:space="preserve"> </w:t>
      </w:r>
      <w:r w:rsidRPr="009A4DCA">
        <w:rPr>
          <w:rFonts w:eastAsia="Calibri"/>
        </w:rPr>
        <w:t>with increased risk of severe RSV disease due to pre-defined risk conditions</w:t>
      </w:r>
      <w:r w:rsidR="00680229" w:rsidRPr="009A4DCA">
        <w:rPr>
          <w:rFonts w:eastAsia="Calibri"/>
        </w:rPr>
        <w:t>, and consistent with this advice</w:t>
      </w:r>
      <w:r w:rsidR="00680229" w:rsidRPr="009A4DCA">
        <w:t xml:space="preserve"> the submission had requested NIP listing for the three populations which described a higher clinical need compared with the TGA-registered population of adults aged 60 years and above. </w:t>
      </w:r>
      <w:r w:rsidR="001529F1" w:rsidRPr="009A4DCA">
        <w:rPr>
          <w:rFonts w:eastAsia="Calibri"/>
        </w:rPr>
        <w:t>T</w:t>
      </w:r>
      <w:r w:rsidRPr="009A4DCA">
        <w:rPr>
          <w:rFonts w:eastAsia="Calibri"/>
        </w:rPr>
        <w:t xml:space="preserve">he PBAC </w:t>
      </w:r>
      <w:r w:rsidR="001529F1" w:rsidRPr="009A4DCA">
        <w:rPr>
          <w:rFonts w:eastAsia="Calibri"/>
        </w:rPr>
        <w:t xml:space="preserve">considered there was a high clinical need for an effective vaccine for the three populations supported by the ATAGI, however considered that a new submission would be required to demonstrate cost-effectiveness for </w:t>
      </w:r>
      <w:r w:rsidR="001529F1" w:rsidRPr="009A4DCA">
        <w:t>people aged 60-74 years</w:t>
      </w:r>
      <w:r w:rsidR="009D6AE5" w:rsidRPr="009A4DCA">
        <w:t xml:space="preserve"> at increased risk of </w:t>
      </w:r>
      <w:r w:rsidR="00C97257" w:rsidRPr="009A4DCA">
        <w:t xml:space="preserve">severe </w:t>
      </w:r>
      <w:r w:rsidR="009D6AE5" w:rsidRPr="009A4DCA">
        <w:t>RSV</w:t>
      </w:r>
      <w:r w:rsidR="0091140B" w:rsidRPr="009A4DCA">
        <w:t xml:space="preserve"> disease</w:t>
      </w:r>
      <w:r w:rsidR="001529F1" w:rsidRPr="009A4DCA">
        <w:t xml:space="preserve"> (see paragraph</w:t>
      </w:r>
      <w:r w:rsidR="00640DA4" w:rsidRPr="009A4DCA">
        <w:t xml:space="preserve"> </w:t>
      </w:r>
      <w:r w:rsidR="00640DA4" w:rsidRPr="009A4DCA">
        <w:fldChar w:fldCharType="begin"/>
      </w:r>
      <w:r w:rsidR="00640DA4" w:rsidRPr="009A4DCA">
        <w:instrText xml:space="preserve"> REF _Ref183029693 \r \h </w:instrText>
      </w:r>
      <w:r w:rsidR="009D25EE" w:rsidRPr="009A4DCA">
        <w:instrText xml:space="preserve"> \* MERGEFORMAT </w:instrText>
      </w:r>
      <w:r w:rsidR="00640DA4" w:rsidRPr="009A4DCA">
        <w:fldChar w:fldCharType="separate"/>
      </w:r>
      <w:r w:rsidR="007B2F50">
        <w:t>7.23</w:t>
      </w:r>
      <w:r w:rsidR="00640DA4" w:rsidRPr="009A4DCA">
        <w:fldChar w:fldCharType="end"/>
      </w:r>
      <w:r w:rsidR="001529F1" w:rsidRPr="009A4DCA">
        <w:t>).</w:t>
      </w:r>
    </w:p>
    <w:bookmarkEnd w:id="97"/>
    <w:p w14:paraId="769D75D6" w14:textId="497DEC6C" w:rsidR="00744CFA" w:rsidRPr="009A4DCA" w:rsidRDefault="004D63C0" w:rsidP="00D76F57">
      <w:pPr>
        <w:pStyle w:val="3-BodyText"/>
        <w:rPr>
          <w:rFonts w:eastAsia="Times New Roman" w:cs="Arial"/>
          <w:snapToGrid w:val="0"/>
          <w:szCs w:val="24"/>
        </w:rPr>
      </w:pPr>
      <w:r w:rsidRPr="009A4DCA">
        <w:t>The PBAC noted that RSVpreF is a</w:t>
      </w:r>
      <w:r w:rsidR="00514665" w:rsidRPr="009A4DCA">
        <w:t xml:space="preserve">n unadjuvanted bivalent vaccine composed of stable RSV prefusion F antigens representing the 2 major virus subgroups (RSV-A and RSV-B). </w:t>
      </w:r>
      <w:r w:rsidR="00514665" w:rsidRPr="009A4DCA">
        <w:lastRenderedPageBreak/>
        <w:t>Prefusion F is the active form of the protein and is capable of mediating fusion of virus and host cell membranes during cell entry. Following intramuscular administration, the prefusion F antigens elicit a</w:t>
      </w:r>
      <w:r w:rsidR="00E92DC8" w:rsidRPr="009A4DCA">
        <w:t xml:space="preserve">n </w:t>
      </w:r>
      <w:r w:rsidR="00514665" w:rsidRPr="009A4DCA">
        <w:t>immune response, which protects against RSV-associated LRTI.</w:t>
      </w:r>
    </w:p>
    <w:p w14:paraId="7EC81A9F" w14:textId="7F95C181" w:rsidR="000B1BF4" w:rsidRPr="009A4DCA" w:rsidRDefault="000B1BF4" w:rsidP="00D76F57">
      <w:pPr>
        <w:pStyle w:val="3-BodyText"/>
        <w:rPr>
          <w:rFonts w:eastAsia="Times New Roman" w:cs="Arial"/>
          <w:snapToGrid w:val="0"/>
          <w:szCs w:val="24"/>
        </w:rPr>
      </w:pPr>
      <w:r w:rsidRPr="009A4DCA">
        <w:rPr>
          <w:snapToGrid w:val="0"/>
        </w:rPr>
        <w:t xml:space="preserve">The PBAC accepted the proposed clinical place for RSVpreF as a single dose for </w:t>
      </w:r>
      <w:r w:rsidR="004E2DD8" w:rsidRPr="009A4DCA">
        <w:t>the</w:t>
      </w:r>
      <w:r w:rsidR="00FF1ECE" w:rsidRPr="009A4DCA">
        <w:t xml:space="preserve"> at</w:t>
      </w:r>
      <w:r w:rsidR="008E26E3" w:rsidRPr="009A4DCA">
        <w:t>-</w:t>
      </w:r>
      <w:r w:rsidR="00FF1ECE" w:rsidRPr="009A4DCA">
        <w:t>risk</w:t>
      </w:r>
      <w:r w:rsidR="004E2DD8" w:rsidRPr="009A4DCA">
        <w:t xml:space="preserve"> populations</w:t>
      </w:r>
      <w:r w:rsidRPr="009A4DCA">
        <w:t xml:space="preserve"> proposed by the submission. </w:t>
      </w:r>
    </w:p>
    <w:p w14:paraId="3C228AD0" w14:textId="3F4C7D50" w:rsidR="002C08D9" w:rsidRPr="009A4DCA" w:rsidRDefault="002C08D9" w:rsidP="00E53B70">
      <w:pPr>
        <w:pStyle w:val="3-BodyText"/>
        <w:rPr>
          <w:rFonts w:eastAsia="Times New Roman" w:cs="Arial"/>
          <w:snapToGrid w:val="0"/>
          <w:szCs w:val="24"/>
        </w:rPr>
      </w:pPr>
      <w:bookmarkStart w:id="98" w:name="_Ref182398148"/>
      <w:r w:rsidRPr="009A4DCA">
        <w:t xml:space="preserve">The PBAC noted that listing was requested </w:t>
      </w:r>
      <w:r w:rsidR="00A6614E" w:rsidRPr="009A4DCA">
        <w:t>for</w:t>
      </w:r>
      <w:r w:rsidRPr="009A4DCA">
        <w:t xml:space="preserve"> a single dose of RSV</w:t>
      </w:r>
      <w:r w:rsidR="00A16214" w:rsidRPr="009A4DCA">
        <w:t>p</w:t>
      </w:r>
      <w:r w:rsidRPr="009A4DCA">
        <w:t>reF, and the need for revaccination ha</w:t>
      </w:r>
      <w:r w:rsidR="00E53B70" w:rsidRPr="009A4DCA">
        <w:t>s</w:t>
      </w:r>
      <w:r w:rsidRPr="009A4DCA">
        <w:t xml:space="preserve"> not been established. The PBAC noted that the </w:t>
      </w:r>
      <w:r w:rsidR="007E6D45" w:rsidRPr="009A4DCA">
        <w:t>s</w:t>
      </w:r>
      <w:r w:rsidR="00B03875" w:rsidRPr="009A4DCA">
        <w:t xml:space="preserve">ponsor is intending to seek ATAGI advice on the appropriate revaccination timeframe in older adults </w:t>
      </w:r>
      <w:r w:rsidR="0000593C" w:rsidRPr="009A4DCA">
        <w:t xml:space="preserve">when additional data are available (paragraph </w:t>
      </w:r>
      <w:r w:rsidR="0000593C" w:rsidRPr="009A4DCA">
        <w:fldChar w:fldCharType="begin"/>
      </w:r>
      <w:r w:rsidR="0000593C" w:rsidRPr="009A4DCA">
        <w:instrText xml:space="preserve"> REF _Ref183009552 \r \h </w:instrText>
      </w:r>
      <w:r w:rsidR="0000593C" w:rsidRPr="009A4DCA">
        <w:fldChar w:fldCharType="separate"/>
      </w:r>
      <w:r w:rsidR="007B2F50">
        <w:t>3.6</w:t>
      </w:r>
      <w:r w:rsidR="0000593C" w:rsidRPr="009A4DCA">
        <w:fldChar w:fldCharType="end"/>
      </w:r>
      <w:r w:rsidR="009E7550" w:rsidRPr="009A4DCA">
        <w:t>)</w:t>
      </w:r>
      <w:r w:rsidR="003F106A" w:rsidRPr="009A4DCA">
        <w:t xml:space="preserve">. </w:t>
      </w:r>
      <w:r w:rsidR="001F4307" w:rsidRPr="009A4DCA">
        <w:t>The PBAC noted that if revaccination is requested in the future, this would impact cost-effectiveness and financial imp</w:t>
      </w:r>
      <w:r w:rsidR="00353117">
        <w:t>lication</w:t>
      </w:r>
      <w:r w:rsidR="009A247B">
        <w:t>s</w:t>
      </w:r>
      <w:r w:rsidR="001F4307" w:rsidRPr="009A4DCA">
        <w:t>, and would require</w:t>
      </w:r>
      <w:r w:rsidR="008346BC" w:rsidRPr="009A4DCA">
        <w:t xml:space="preserve"> further</w:t>
      </w:r>
      <w:r w:rsidR="001F4307" w:rsidRPr="009A4DCA">
        <w:t xml:space="preserve"> PBAC consideration.</w:t>
      </w:r>
      <w:bookmarkEnd w:id="98"/>
    </w:p>
    <w:p w14:paraId="40F8614D" w14:textId="1AAA33B8" w:rsidR="008B129C" w:rsidRPr="009A4DCA" w:rsidRDefault="00E16271" w:rsidP="008C1CDB">
      <w:pPr>
        <w:pStyle w:val="3-BodyText"/>
        <w:widowControl w:val="0"/>
        <w:rPr>
          <w:snapToGrid w:val="0"/>
        </w:rPr>
      </w:pPr>
      <w:bookmarkStart w:id="99" w:name="_Ref183031659"/>
      <w:r w:rsidRPr="009A4DCA">
        <w:rPr>
          <w:snapToGrid w:val="0"/>
        </w:rPr>
        <w:t>The PBAC accepted the submission’s</w:t>
      </w:r>
      <w:r w:rsidR="00725375" w:rsidRPr="009A4DCA">
        <w:rPr>
          <w:snapToGrid w:val="0"/>
        </w:rPr>
        <w:t xml:space="preserve"> nomination of ‘no vaccine’ as the main comparator</w:t>
      </w:r>
      <w:r w:rsidR="003B094A" w:rsidRPr="009A4DCA">
        <w:rPr>
          <w:snapToGrid w:val="0"/>
        </w:rPr>
        <w:t xml:space="preserve">, given that there is neither a vaccine available on the NIP </w:t>
      </w:r>
      <w:r w:rsidR="007A08BE" w:rsidRPr="009A4DCA">
        <w:rPr>
          <w:snapToGrid w:val="0"/>
        </w:rPr>
        <w:t>nor a</w:t>
      </w:r>
      <w:r w:rsidR="000D6BD4" w:rsidRPr="009A4DCA">
        <w:rPr>
          <w:snapToGrid w:val="0"/>
        </w:rPr>
        <w:t xml:space="preserve"> specific RSV treatment</w:t>
      </w:r>
      <w:r w:rsidR="00D7033A" w:rsidRPr="009A4DCA">
        <w:rPr>
          <w:snapToGrid w:val="0"/>
        </w:rPr>
        <w:t xml:space="preserve"> currently funded for older adults</w:t>
      </w:r>
      <w:r w:rsidR="00B5629C" w:rsidRPr="009A4DCA">
        <w:rPr>
          <w:snapToGrid w:val="0"/>
        </w:rPr>
        <w:t>. The PBAC noted this aligned with ATAGI advice</w:t>
      </w:r>
      <w:r w:rsidR="0028581F" w:rsidRPr="009A4DCA">
        <w:rPr>
          <w:snapToGrid w:val="0"/>
        </w:rPr>
        <w:t>.</w:t>
      </w:r>
      <w:bookmarkEnd w:id="99"/>
    </w:p>
    <w:p w14:paraId="5DF9B9E8" w14:textId="2F8BC148" w:rsidR="00044C48" w:rsidRPr="009A4DCA" w:rsidRDefault="00353EF3" w:rsidP="008B129C">
      <w:pPr>
        <w:widowControl w:val="0"/>
        <w:numPr>
          <w:ilvl w:val="1"/>
          <w:numId w:val="1"/>
        </w:numPr>
        <w:spacing w:after="120"/>
        <w:rPr>
          <w:rFonts w:asciiTheme="minorHAnsi" w:hAnsiTheme="minorHAnsi"/>
          <w:snapToGrid w:val="0"/>
        </w:rPr>
      </w:pPr>
      <w:r w:rsidRPr="009A4DCA">
        <w:rPr>
          <w:snapToGrid w:val="0"/>
        </w:rPr>
        <w:t>The</w:t>
      </w:r>
      <w:r w:rsidR="00735489" w:rsidRPr="009A4DCA">
        <w:rPr>
          <w:snapToGrid w:val="0"/>
        </w:rPr>
        <w:t xml:space="preserve"> pivotal</w:t>
      </w:r>
      <w:r w:rsidR="00071E98" w:rsidRPr="009A4DCA">
        <w:rPr>
          <w:snapToGrid w:val="0"/>
        </w:rPr>
        <w:t xml:space="preserve"> randomised</w:t>
      </w:r>
      <w:r w:rsidR="00735489" w:rsidRPr="009A4DCA">
        <w:rPr>
          <w:snapToGrid w:val="0"/>
        </w:rPr>
        <w:t xml:space="preserve"> trial for the</w:t>
      </w:r>
      <w:r w:rsidRPr="009A4DCA">
        <w:rPr>
          <w:snapToGrid w:val="0"/>
        </w:rPr>
        <w:t xml:space="preserve"> clinical analysis</w:t>
      </w:r>
      <w:r w:rsidR="00071E98" w:rsidRPr="009A4DCA">
        <w:rPr>
          <w:snapToGrid w:val="0"/>
        </w:rPr>
        <w:t xml:space="preserve"> (RENOIR)</w:t>
      </w:r>
      <w:r w:rsidRPr="009A4DCA">
        <w:rPr>
          <w:snapToGrid w:val="0"/>
        </w:rPr>
        <w:t xml:space="preserve"> </w:t>
      </w:r>
      <w:r w:rsidRPr="009A4DCA">
        <w:t>compar</w:t>
      </w:r>
      <w:r w:rsidR="00F430B5" w:rsidRPr="009A4DCA">
        <w:t>ed</w:t>
      </w:r>
      <w:r w:rsidRPr="009A4DCA">
        <w:t xml:space="preserve"> the efficacy and safety of RSV</w:t>
      </w:r>
      <w:r w:rsidR="007D7DA5" w:rsidRPr="009A4DCA">
        <w:t>p</w:t>
      </w:r>
      <w:r w:rsidRPr="009A4DCA">
        <w:t>reF to placebo in adults</w:t>
      </w:r>
      <w:r w:rsidRPr="009A4DCA">
        <w:rPr>
          <w:iCs/>
        </w:rPr>
        <w:t xml:space="preserve"> </w:t>
      </w:r>
      <w:r w:rsidRPr="009A4DCA">
        <w:rPr>
          <w:rFonts w:cstheme="minorHAnsi"/>
          <w:iCs/>
        </w:rPr>
        <w:t>≥</w:t>
      </w:r>
      <w:r w:rsidRPr="009A4DCA">
        <w:rPr>
          <w:iCs/>
        </w:rPr>
        <w:t xml:space="preserve">60 </w:t>
      </w:r>
      <w:r w:rsidR="00540484" w:rsidRPr="009A4DCA">
        <w:rPr>
          <w:iCs/>
        </w:rPr>
        <w:t>years</w:t>
      </w:r>
      <w:r w:rsidR="00A00480" w:rsidRPr="009A4DCA">
        <w:rPr>
          <w:iCs/>
        </w:rPr>
        <w:t>.</w:t>
      </w:r>
      <w:r w:rsidRPr="009A4DCA">
        <w:t xml:space="preserve"> </w:t>
      </w:r>
      <w:r w:rsidR="006E5B27" w:rsidRPr="009A4DCA">
        <w:t>A</w:t>
      </w:r>
      <w:r w:rsidRPr="009A4DCA">
        <w:t xml:space="preserve"> supportive trial (</w:t>
      </w:r>
      <w:r w:rsidR="00616046" w:rsidRPr="009A4DCA">
        <w:t>Study 1006</w:t>
      </w:r>
      <w:r w:rsidRPr="009A4DCA">
        <w:t xml:space="preserve">) </w:t>
      </w:r>
      <w:r w:rsidR="00A773EF" w:rsidRPr="009A4DCA">
        <w:t>provided</w:t>
      </w:r>
      <w:r w:rsidRPr="009A4DCA">
        <w:t xml:space="preserve"> evidence</w:t>
      </w:r>
      <w:r w:rsidRPr="009A4DCA">
        <w:rPr>
          <w:iCs/>
        </w:rPr>
        <w:t xml:space="preserve"> for the </w:t>
      </w:r>
      <w:r w:rsidR="003E46AF" w:rsidRPr="009A4DCA">
        <w:rPr>
          <w:iCs/>
        </w:rPr>
        <w:t>immunogenicity and safety</w:t>
      </w:r>
      <w:r w:rsidRPr="009A4DCA">
        <w:rPr>
          <w:iCs/>
        </w:rPr>
        <w:t xml:space="preserve"> of RSV</w:t>
      </w:r>
      <w:r w:rsidR="00A773EF" w:rsidRPr="009A4DCA">
        <w:rPr>
          <w:iCs/>
        </w:rPr>
        <w:t>p</w:t>
      </w:r>
      <w:r w:rsidRPr="009A4DCA">
        <w:rPr>
          <w:iCs/>
        </w:rPr>
        <w:t>reF</w:t>
      </w:r>
      <w:r w:rsidR="00492275" w:rsidRPr="009A4DCA">
        <w:rPr>
          <w:iCs/>
        </w:rPr>
        <w:t xml:space="preserve"> coadministered with </w:t>
      </w:r>
      <w:r w:rsidR="005742F5" w:rsidRPr="009A4DCA">
        <w:rPr>
          <w:iCs/>
        </w:rPr>
        <w:t>a seasonal inactivated influenza vaccine</w:t>
      </w:r>
      <w:r w:rsidRPr="009A4DCA">
        <w:rPr>
          <w:iCs/>
        </w:rPr>
        <w:t xml:space="preserve"> in adults </w:t>
      </w:r>
      <w:r w:rsidRPr="009A4DCA">
        <w:rPr>
          <w:rFonts w:cstheme="minorHAnsi"/>
          <w:iCs/>
        </w:rPr>
        <w:t>≥</w:t>
      </w:r>
      <w:r w:rsidR="00A773EF" w:rsidRPr="009A4DCA">
        <w:rPr>
          <w:iCs/>
        </w:rPr>
        <w:t>6</w:t>
      </w:r>
      <w:r w:rsidRPr="009A4DCA">
        <w:rPr>
          <w:iCs/>
        </w:rPr>
        <w:t xml:space="preserve">5 </w:t>
      </w:r>
      <w:r w:rsidR="005742F5" w:rsidRPr="009A4DCA">
        <w:rPr>
          <w:iCs/>
        </w:rPr>
        <w:t>years</w:t>
      </w:r>
      <w:r w:rsidR="009A0C69" w:rsidRPr="009A4DCA">
        <w:rPr>
          <w:iCs/>
        </w:rPr>
        <w:t xml:space="preserve"> compared to placebo</w:t>
      </w:r>
      <w:r w:rsidRPr="009A4DCA">
        <w:rPr>
          <w:snapToGrid w:val="0"/>
        </w:rPr>
        <w:t>.</w:t>
      </w:r>
      <w:r w:rsidRPr="009A4DCA">
        <w:rPr>
          <w:rFonts w:asciiTheme="minorHAnsi" w:hAnsiTheme="minorHAnsi"/>
          <w:snapToGrid w:val="0"/>
        </w:rPr>
        <w:t xml:space="preserve"> </w:t>
      </w:r>
    </w:p>
    <w:p w14:paraId="044A0DE0" w14:textId="0F704831" w:rsidR="00295304" w:rsidRPr="009A4DCA" w:rsidRDefault="00353EF3" w:rsidP="006737C5">
      <w:pPr>
        <w:widowControl w:val="0"/>
        <w:numPr>
          <w:ilvl w:val="1"/>
          <w:numId w:val="1"/>
        </w:numPr>
        <w:spacing w:after="120"/>
        <w:rPr>
          <w:rFonts w:asciiTheme="minorHAnsi" w:hAnsiTheme="minorHAnsi"/>
          <w:snapToGrid w:val="0"/>
        </w:rPr>
      </w:pPr>
      <w:r w:rsidRPr="009A4DCA">
        <w:rPr>
          <w:rFonts w:asciiTheme="minorHAnsi" w:hAnsiTheme="minorHAnsi"/>
          <w:iCs/>
          <w:snapToGrid w:val="0"/>
        </w:rPr>
        <w:t xml:space="preserve">Based on evidence from the </w:t>
      </w:r>
      <w:r w:rsidR="00F25065" w:rsidRPr="009A4DCA">
        <w:t>RENOIR trial</w:t>
      </w:r>
      <w:r w:rsidRPr="009A4DCA">
        <w:t>, t</w:t>
      </w:r>
      <w:r w:rsidRPr="009A4DCA">
        <w:rPr>
          <w:rFonts w:asciiTheme="minorHAnsi" w:hAnsiTheme="minorHAnsi"/>
          <w:iCs/>
          <w:snapToGrid w:val="0"/>
        </w:rPr>
        <w:t>he</w:t>
      </w:r>
      <w:r w:rsidRPr="009A4DCA">
        <w:rPr>
          <w:rFonts w:asciiTheme="minorHAnsi" w:hAnsiTheme="minorHAnsi"/>
          <w:snapToGrid w:val="0"/>
          <w:szCs w:val="20"/>
        </w:rPr>
        <w:t xml:space="preserve"> PBAC </w:t>
      </w:r>
      <w:r w:rsidRPr="009A4DCA">
        <w:rPr>
          <w:szCs w:val="20"/>
        </w:rPr>
        <w:t>considered that RSV</w:t>
      </w:r>
      <w:r w:rsidR="00F25065" w:rsidRPr="009A4DCA">
        <w:rPr>
          <w:szCs w:val="20"/>
        </w:rPr>
        <w:t>p</w:t>
      </w:r>
      <w:r w:rsidRPr="009A4DCA">
        <w:rPr>
          <w:szCs w:val="20"/>
        </w:rPr>
        <w:t xml:space="preserve">reF vaccine was an effective </w:t>
      </w:r>
      <w:r w:rsidR="0000593C" w:rsidRPr="009A4DCA">
        <w:rPr>
          <w:szCs w:val="20"/>
        </w:rPr>
        <w:t>vaccine</w:t>
      </w:r>
      <w:r w:rsidRPr="009A4DCA">
        <w:rPr>
          <w:szCs w:val="20"/>
        </w:rPr>
        <w:t xml:space="preserve"> for RSV in adults ≥60 </w:t>
      </w:r>
      <w:r w:rsidR="00FB0559" w:rsidRPr="009A4DCA">
        <w:rPr>
          <w:szCs w:val="20"/>
        </w:rPr>
        <w:t>years</w:t>
      </w:r>
      <w:r w:rsidR="00076B89" w:rsidRPr="009A4DCA">
        <w:rPr>
          <w:szCs w:val="20"/>
        </w:rPr>
        <w:t>.</w:t>
      </w:r>
      <w:r w:rsidR="00EF491C" w:rsidRPr="009A4DCA">
        <w:rPr>
          <w:szCs w:val="20"/>
        </w:rPr>
        <w:t xml:space="preserve"> </w:t>
      </w:r>
      <w:r w:rsidR="00235791" w:rsidRPr="009A4DCA">
        <w:rPr>
          <w:snapToGrid w:val="0"/>
        </w:rPr>
        <w:t xml:space="preserve">The </w:t>
      </w:r>
      <w:r w:rsidR="008F43F8" w:rsidRPr="009A4DCA">
        <w:rPr>
          <w:snapToGrid w:val="0"/>
        </w:rPr>
        <w:t>PBAC</w:t>
      </w:r>
      <w:r w:rsidR="00235791" w:rsidRPr="009A4DCA">
        <w:rPr>
          <w:snapToGrid w:val="0"/>
        </w:rPr>
        <w:t xml:space="preserve"> considered that </w:t>
      </w:r>
      <w:r w:rsidR="00EE466D" w:rsidRPr="009A4DCA">
        <w:rPr>
          <w:snapToGrid w:val="0"/>
        </w:rPr>
        <w:t>a</w:t>
      </w:r>
      <w:r w:rsidR="00235791" w:rsidRPr="009A4DCA">
        <w:rPr>
          <w:snapToGrid w:val="0"/>
        </w:rPr>
        <w:t xml:space="preserve"> superiority claim was adequately supported in that the efficacy outcomes (preventing LRTI for patients with ≥2 and ≥3 symptoms) and preventing RSV-ARI in RENOIR were </w:t>
      </w:r>
      <w:r w:rsidR="0000593C" w:rsidRPr="009A4DCA">
        <w:rPr>
          <w:snapToGrid w:val="0"/>
        </w:rPr>
        <w:t>demonstrated</w:t>
      </w:r>
      <w:r w:rsidR="00235791" w:rsidRPr="009A4DCA">
        <w:rPr>
          <w:snapToGrid w:val="0"/>
        </w:rPr>
        <w:t xml:space="preserve"> for the population of adults aged </w:t>
      </w:r>
      <w:r w:rsidR="000048EF" w:rsidRPr="009A4DCA">
        <w:rPr>
          <w:szCs w:val="20"/>
        </w:rPr>
        <w:t xml:space="preserve">≥60 </w:t>
      </w:r>
      <w:r w:rsidR="00235791" w:rsidRPr="009A4DCA">
        <w:rPr>
          <w:snapToGrid w:val="0"/>
        </w:rPr>
        <w:t xml:space="preserve">years for the duration of follow-up in the trial. However, the </w:t>
      </w:r>
      <w:r w:rsidR="00F20DAE" w:rsidRPr="009A4DCA">
        <w:rPr>
          <w:snapToGrid w:val="0"/>
        </w:rPr>
        <w:t>PBAC</w:t>
      </w:r>
      <w:r w:rsidR="00235791" w:rsidRPr="009A4DCA">
        <w:rPr>
          <w:snapToGrid w:val="0"/>
        </w:rPr>
        <w:t xml:space="preserve"> noted that </w:t>
      </w:r>
      <w:r w:rsidR="00B62CEC" w:rsidRPr="009A4DCA">
        <w:rPr>
          <w:snapToGrid w:val="0"/>
        </w:rPr>
        <w:t xml:space="preserve">a significant reduction in </w:t>
      </w:r>
      <w:r w:rsidR="00235791" w:rsidRPr="009A4DCA">
        <w:rPr>
          <w:snapToGrid w:val="0"/>
        </w:rPr>
        <w:t>severe RSV-LRTI</w:t>
      </w:r>
      <w:r w:rsidR="00474E19" w:rsidRPr="009A4DCA">
        <w:rPr>
          <w:snapToGrid w:val="0"/>
        </w:rPr>
        <w:t xml:space="preserve"> </w:t>
      </w:r>
      <w:r w:rsidR="00B62CEC" w:rsidRPr="009A4DCA">
        <w:rPr>
          <w:snapToGrid w:val="0"/>
        </w:rPr>
        <w:t>was not demonstrated in the overall trial population in RENOIR</w:t>
      </w:r>
      <w:r w:rsidR="000066FA" w:rsidRPr="009A4DCA">
        <w:rPr>
          <w:snapToGrid w:val="0"/>
        </w:rPr>
        <w:t xml:space="preserve">. The PBAC </w:t>
      </w:r>
      <w:r w:rsidR="000066FA" w:rsidRPr="009A4DCA">
        <w:t>considered there was insufficient evidence to determine the impact of RSVpreF on this outcome</w:t>
      </w:r>
      <w:r w:rsidR="00B62CEC" w:rsidRPr="009A4DCA">
        <w:rPr>
          <w:snapToGrid w:val="0"/>
        </w:rPr>
        <w:t xml:space="preserve"> </w:t>
      </w:r>
      <w:r w:rsidR="00474E19" w:rsidRPr="009A4DCA">
        <w:rPr>
          <w:snapToGrid w:val="0"/>
        </w:rPr>
        <w:t xml:space="preserve">(paragraph </w:t>
      </w:r>
      <w:r w:rsidR="00474E19" w:rsidRPr="009A4DCA">
        <w:rPr>
          <w:snapToGrid w:val="0"/>
        </w:rPr>
        <w:fldChar w:fldCharType="begin"/>
      </w:r>
      <w:r w:rsidR="00474E19" w:rsidRPr="009A4DCA">
        <w:rPr>
          <w:snapToGrid w:val="0"/>
        </w:rPr>
        <w:instrText xml:space="preserve"> REF _Ref182416241 \r \h </w:instrText>
      </w:r>
      <w:r w:rsidR="00474E19" w:rsidRPr="009A4DCA">
        <w:rPr>
          <w:snapToGrid w:val="0"/>
        </w:rPr>
      </w:r>
      <w:r w:rsidR="00474E19" w:rsidRPr="009A4DCA">
        <w:rPr>
          <w:snapToGrid w:val="0"/>
        </w:rPr>
        <w:fldChar w:fldCharType="separate"/>
      </w:r>
      <w:r w:rsidR="007B2F50">
        <w:rPr>
          <w:snapToGrid w:val="0"/>
        </w:rPr>
        <w:t>6.35</w:t>
      </w:r>
      <w:r w:rsidR="00474E19" w:rsidRPr="009A4DCA">
        <w:rPr>
          <w:snapToGrid w:val="0"/>
        </w:rPr>
        <w:fldChar w:fldCharType="end"/>
      </w:r>
      <w:r w:rsidR="00474E19" w:rsidRPr="009A4DCA">
        <w:rPr>
          <w:snapToGrid w:val="0"/>
        </w:rPr>
        <w:t>)</w:t>
      </w:r>
      <w:r w:rsidR="00235791" w:rsidRPr="009A4DCA">
        <w:rPr>
          <w:snapToGrid w:val="0"/>
        </w:rPr>
        <w:t>.</w:t>
      </w:r>
      <w:r w:rsidR="00235791" w:rsidRPr="007444D8">
        <w:rPr>
          <w:snapToGrid w:val="0"/>
        </w:rPr>
        <w:t xml:space="preserve"> </w:t>
      </w:r>
    </w:p>
    <w:p w14:paraId="4AD1F274" w14:textId="20EC6259" w:rsidR="00474E19" w:rsidRPr="009A4DCA" w:rsidRDefault="00EE466D">
      <w:pPr>
        <w:widowControl w:val="0"/>
        <w:numPr>
          <w:ilvl w:val="1"/>
          <w:numId w:val="1"/>
        </w:numPr>
        <w:spacing w:after="120"/>
        <w:rPr>
          <w:rFonts w:asciiTheme="minorHAnsi" w:hAnsiTheme="minorHAnsi"/>
          <w:snapToGrid w:val="0"/>
        </w:rPr>
      </w:pPr>
      <w:bookmarkStart w:id="100" w:name="_Ref183089425"/>
      <w:bookmarkStart w:id="101" w:name="_Ref182406192"/>
      <w:r w:rsidRPr="009A4DCA">
        <w:rPr>
          <w:snapToGrid w:val="0"/>
        </w:rPr>
        <w:t>The PBAC noted t</w:t>
      </w:r>
      <w:r w:rsidR="00235791" w:rsidRPr="009A4DCA">
        <w:rPr>
          <w:snapToGrid w:val="0"/>
        </w:rPr>
        <w:t xml:space="preserve">here was a decline in </w:t>
      </w:r>
      <w:r w:rsidR="000C1CF1" w:rsidRPr="009A4DCA">
        <w:rPr>
          <w:snapToGrid w:val="0"/>
        </w:rPr>
        <w:t xml:space="preserve">VE </w:t>
      </w:r>
      <w:r w:rsidR="00235791" w:rsidRPr="009A4DCA">
        <w:rPr>
          <w:snapToGrid w:val="0"/>
        </w:rPr>
        <w:t xml:space="preserve">by the </w:t>
      </w:r>
      <w:r w:rsidR="009B2E6E">
        <w:rPr>
          <w:snapToGrid w:val="0"/>
        </w:rPr>
        <w:t>EOS</w:t>
      </w:r>
      <w:r w:rsidR="00235791" w:rsidRPr="009A4DCA">
        <w:rPr>
          <w:snapToGrid w:val="0"/>
        </w:rPr>
        <w:t>2 for RSVpreF in the RENOIR</w:t>
      </w:r>
      <w:r w:rsidR="009748FB" w:rsidRPr="009A4DCA">
        <w:rPr>
          <w:snapToGrid w:val="0"/>
        </w:rPr>
        <w:t xml:space="preserve"> study</w:t>
      </w:r>
      <w:r w:rsidR="00EE4712">
        <w:rPr>
          <w:snapToGrid w:val="0"/>
        </w:rPr>
        <w:t>,</w:t>
      </w:r>
      <w:r w:rsidR="00FC4DF2" w:rsidRPr="009A4DCA">
        <w:rPr>
          <w:snapToGrid w:val="0"/>
        </w:rPr>
        <w:t xml:space="preserve"> </w:t>
      </w:r>
      <w:r w:rsidR="00C7628E" w:rsidRPr="009A4DCA">
        <w:rPr>
          <w:snapToGrid w:val="0"/>
        </w:rPr>
        <w:t xml:space="preserve">which was evident in the </w:t>
      </w:r>
      <w:r w:rsidR="00C7628E" w:rsidRPr="009A4DCA">
        <w:t>evaluable efficacy population (</w:t>
      </w:r>
      <w:r w:rsidR="00C7628E" w:rsidRPr="009A4DCA">
        <w:fldChar w:fldCharType="begin"/>
      </w:r>
      <w:r w:rsidR="00C7628E" w:rsidRPr="009A4DCA">
        <w:instrText xml:space="preserve"> REF _Ref175223904 \h </w:instrText>
      </w:r>
      <w:r w:rsidR="00C7628E" w:rsidRPr="009A4DCA">
        <w:fldChar w:fldCharType="separate"/>
      </w:r>
      <w:r w:rsidR="007B2F50" w:rsidRPr="009A4DCA">
        <w:t xml:space="preserve">Table </w:t>
      </w:r>
      <w:r w:rsidR="007B2F50">
        <w:rPr>
          <w:noProof/>
        </w:rPr>
        <w:t>4</w:t>
      </w:r>
      <w:r w:rsidR="00C7628E" w:rsidRPr="009A4DCA">
        <w:fldChar w:fldCharType="end"/>
      </w:r>
      <w:r w:rsidR="00C7628E" w:rsidRPr="009A4DCA">
        <w:t>) and subgroup</w:t>
      </w:r>
      <w:r w:rsidR="00904E15" w:rsidRPr="009A4DCA">
        <w:t xml:space="preserve"> analyses </w:t>
      </w:r>
      <w:r w:rsidR="003E3D4A" w:rsidRPr="009A4DCA">
        <w:t>(</w:t>
      </w:r>
      <w:r w:rsidR="00904E15" w:rsidRPr="009A4DCA">
        <w:fldChar w:fldCharType="begin"/>
      </w:r>
      <w:r w:rsidR="00904E15" w:rsidRPr="009A4DCA">
        <w:instrText xml:space="preserve"> REF _Ref175592888 \h </w:instrText>
      </w:r>
      <w:r w:rsidR="00904E15" w:rsidRPr="009A4DCA">
        <w:fldChar w:fldCharType="separate"/>
      </w:r>
      <w:r w:rsidR="007B2F50" w:rsidRPr="009A4DCA">
        <w:t xml:space="preserve">Table </w:t>
      </w:r>
      <w:r w:rsidR="007B2F50">
        <w:rPr>
          <w:noProof/>
        </w:rPr>
        <w:t>9</w:t>
      </w:r>
      <w:r w:rsidR="00904E15" w:rsidRPr="009A4DCA">
        <w:fldChar w:fldCharType="end"/>
      </w:r>
      <w:r w:rsidR="00904E15" w:rsidRPr="009A4DCA">
        <w:t xml:space="preserve">). </w:t>
      </w:r>
      <w:r w:rsidR="00904E15" w:rsidRPr="009A4DCA">
        <w:rPr>
          <w:snapToGrid w:val="0"/>
        </w:rPr>
        <w:t xml:space="preserve">The PBAC noted </w:t>
      </w:r>
      <w:r w:rsidR="00235791" w:rsidRPr="009A4DCA">
        <w:rPr>
          <w:snapToGrid w:val="0"/>
        </w:rPr>
        <w:t>ATAGI</w:t>
      </w:r>
      <w:r w:rsidR="00904E15" w:rsidRPr="009A4DCA">
        <w:rPr>
          <w:snapToGrid w:val="0"/>
        </w:rPr>
        <w:t>’s</w:t>
      </w:r>
      <w:r w:rsidR="00235791" w:rsidRPr="009A4DCA">
        <w:rPr>
          <w:snapToGrid w:val="0"/>
        </w:rPr>
        <w:t xml:space="preserve"> </w:t>
      </w:r>
      <w:r w:rsidR="00173116" w:rsidRPr="009A4DCA">
        <w:rPr>
          <w:snapToGrid w:val="0"/>
        </w:rPr>
        <w:t>advice</w:t>
      </w:r>
      <w:r w:rsidR="00235791" w:rsidRPr="009A4DCA">
        <w:rPr>
          <w:snapToGrid w:val="0"/>
        </w:rPr>
        <w:t xml:space="preserve"> that there are no correlates of protection, and no evidence to date, to inform the rate of </w:t>
      </w:r>
      <w:r w:rsidR="00E82F09" w:rsidRPr="009A4DCA">
        <w:rPr>
          <w:snapToGrid w:val="0"/>
        </w:rPr>
        <w:t xml:space="preserve">VE </w:t>
      </w:r>
      <w:r w:rsidR="00235791" w:rsidRPr="009A4DCA">
        <w:rPr>
          <w:snapToGrid w:val="0"/>
        </w:rPr>
        <w:t xml:space="preserve">waning </w:t>
      </w:r>
      <w:r w:rsidR="00E60C4E" w:rsidRPr="009A4DCA">
        <w:rPr>
          <w:snapToGrid w:val="0"/>
        </w:rPr>
        <w:t>after</w:t>
      </w:r>
      <w:r w:rsidR="00235791" w:rsidRPr="009A4DCA">
        <w:rPr>
          <w:snapToGrid w:val="0"/>
        </w:rPr>
        <w:t xml:space="preserve"> season two. The </w:t>
      </w:r>
      <w:r w:rsidR="0077129A" w:rsidRPr="009A4DCA">
        <w:rPr>
          <w:snapToGrid w:val="0"/>
        </w:rPr>
        <w:t>PBAC</w:t>
      </w:r>
      <w:r w:rsidR="00235791" w:rsidRPr="009A4DCA">
        <w:rPr>
          <w:snapToGrid w:val="0"/>
        </w:rPr>
        <w:t xml:space="preserve"> noted that vaccine efficacy decreased over time and considered that waning is a key area of uncertainty.</w:t>
      </w:r>
      <w:bookmarkEnd w:id="100"/>
    </w:p>
    <w:p w14:paraId="20828597" w14:textId="4F09556E" w:rsidR="000F0BFA" w:rsidRPr="009A4DCA" w:rsidRDefault="000F0BFA">
      <w:pPr>
        <w:pStyle w:val="3-BodyText"/>
        <w:widowControl w:val="0"/>
        <w:numPr>
          <w:ilvl w:val="1"/>
          <w:numId w:val="1"/>
        </w:numPr>
        <w:rPr>
          <w:snapToGrid w:val="0"/>
        </w:rPr>
      </w:pPr>
      <w:bookmarkStart w:id="102" w:name="_Ref183089435"/>
      <w:bookmarkStart w:id="103" w:name="_Hlk183011157"/>
      <w:r w:rsidRPr="009A4DCA">
        <w:rPr>
          <w:snapToGrid w:val="0"/>
        </w:rPr>
        <w:t xml:space="preserve">The PBAC noted additional uncertainty in relation to efficacy of </w:t>
      </w:r>
      <w:r w:rsidR="00235791" w:rsidRPr="009A4DCA">
        <w:rPr>
          <w:snapToGrid w:val="0"/>
        </w:rPr>
        <w:t xml:space="preserve">RSVpreF in the </w:t>
      </w:r>
      <w:r w:rsidR="00EE466D" w:rsidRPr="009A4DCA">
        <w:rPr>
          <w:snapToGrid w:val="0"/>
        </w:rPr>
        <w:t>populations</w:t>
      </w:r>
      <w:r w:rsidR="00235791" w:rsidRPr="009A4DCA">
        <w:rPr>
          <w:snapToGrid w:val="0"/>
        </w:rPr>
        <w:t xml:space="preserve"> for which listing on the NIP was requested</w:t>
      </w:r>
      <w:r w:rsidRPr="009A4DCA">
        <w:rPr>
          <w:snapToGrid w:val="0"/>
        </w:rPr>
        <w:t xml:space="preserve">, noting the </w:t>
      </w:r>
      <w:r w:rsidRPr="009A4DCA">
        <w:rPr>
          <w:rFonts w:ascii="Calibri" w:eastAsia="Times New Roman" w:hAnsi="Calibri" w:cs="Arial"/>
          <w:snapToGrid w:val="0"/>
          <w:szCs w:val="24"/>
        </w:rPr>
        <w:t xml:space="preserve">smaller number of events in the subgroups compared with the overall study sample and that no information was available regarding differential immune response or safety in Aboriginal and Torres Strait Island adults (paragraph </w:t>
      </w:r>
      <w:r w:rsidRPr="009A4DCA">
        <w:rPr>
          <w:rFonts w:ascii="Calibri" w:eastAsia="Times New Roman" w:hAnsi="Calibri" w:cs="Arial"/>
          <w:snapToGrid w:val="0"/>
          <w:szCs w:val="24"/>
        </w:rPr>
        <w:fldChar w:fldCharType="begin"/>
      </w:r>
      <w:r w:rsidRPr="009A4DCA">
        <w:rPr>
          <w:rFonts w:ascii="Calibri" w:eastAsia="Times New Roman" w:hAnsi="Calibri" w:cs="Arial"/>
          <w:snapToGrid w:val="0"/>
          <w:szCs w:val="24"/>
        </w:rPr>
        <w:instrText xml:space="preserve"> REF _Ref183010344 \r \h </w:instrText>
      </w:r>
      <w:r w:rsidRPr="009A4DCA">
        <w:rPr>
          <w:rFonts w:ascii="Calibri" w:eastAsia="Times New Roman" w:hAnsi="Calibri" w:cs="Arial"/>
          <w:snapToGrid w:val="0"/>
          <w:szCs w:val="24"/>
        </w:rPr>
      </w:r>
      <w:r w:rsidRPr="009A4DCA">
        <w:rPr>
          <w:rFonts w:ascii="Calibri" w:eastAsia="Times New Roman" w:hAnsi="Calibri" w:cs="Arial"/>
          <w:snapToGrid w:val="0"/>
          <w:szCs w:val="24"/>
        </w:rPr>
        <w:fldChar w:fldCharType="separate"/>
      </w:r>
      <w:r w:rsidR="007B2F50">
        <w:rPr>
          <w:rFonts w:ascii="Calibri" w:eastAsia="Times New Roman" w:hAnsi="Calibri" w:cs="Arial"/>
          <w:snapToGrid w:val="0"/>
          <w:szCs w:val="24"/>
        </w:rPr>
        <w:t>6.38</w:t>
      </w:r>
      <w:r w:rsidRPr="009A4DCA">
        <w:rPr>
          <w:rFonts w:ascii="Calibri" w:eastAsia="Times New Roman" w:hAnsi="Calibri" w:cs="Arial"/>
          <w:snapToGrid w:val="0"/>
          <w:szCs w:val="24"/>
        </w:rPr>
        <w:fldChar w:fldCharType="end"/>
      </w:r>
      <w:r w:rsidRPr="009A4DCA">
        <w:rPr>
          <w:rFonts w:ascii="Calibri" w:eastAsia="Times New Roman" w:hAnsi="Calibri" w:cs="Arial"/>
          <w:snapToGrid w:val="0"/>
          <w:szCs w:val="24"/>
        </w:rPr>
        <w:t>).</w:t>
      </w:r>
    </w:p>
    <w:bookmarkEnd w:id="101"/>
    <w:bookmarkEnd w:id="102"/>
    <w:bookmarkEnd w:id="103"/>
    <w:p w14:paraId="7896EF7B" w14:textId="5FEEE1A9" w:rsidR="009803AC" w:rsidRPr="009A4DCA" w:rsidRDefault="00994849">
      <w:pPr>
        <w:widowControl w:val="0"/>
        <w:numPr>
          <w:ilvl w:val="1"/>
          <w:numId w:val="1"/>
        </w:numPr>
        <w:spacing w:after="120"/>
        <w:rPr>
          <w:rFonts w:asciiTheme="minorHAnsi" w:hAnsiTheme="minorHAnsi"/>
          <w:snapToGrid w:val="0"/>
        </w:rPr>
      </w:pPr>
      <w:r w:rsidRPr="009A4DCA">
        <w:rPr>
          <w:snapToGrid w:val="0"/>
        </w:rPr>
        <w:lastRenderedPageBreak/>
        <w:t>Overall</w:t>
      </w:r>
      <w:r w:rsidR="006E3555" w:rsidRPr="009A4DCA">
        <w:rPr>
          <w:snapToGrid w:val="0"/>
        </w:rPr>
        <w:t xml:space="preserve">, </w:t>
      </w:r>
      <w:r w:rsidR="006E3555" w:rsidRPr="009A4DCA">
        <w:rPr>
          <w:rFonts w:asciiTheme="minorHAnsi" w:hAnsiTheme="minorHAnsi"/>
          <w:iCs/>
          <w:snapToGrid w:val="0"/>
        </w:rPr>
        <w:t>the</w:t>
      </w:r>
      <w:r w:rsidR="006E3555" w:rsidRPr="009A4DCA">
        <w:rPr>
          <w:rFonts w:asciiTheme="minorHAnsi" w:hAnsiTheme="minorHAnsi"/>
          <w:snapToGrid w:val="0"/>
          <w:szCs w:val="20"/>
        </w:rPr>
        <w:t xml:space="preserve"> PBAC considered that a claim of superior comparative effectiveness was reasonable for the comparison between RSVpreF and no vaccination</w:t>
      </w:r>
      <w:r w:rsidR="00BE0FAC" w:rsidRPr="009A4DCA">
        <w:rPr>
          <w:rFonts w:asciiTheme="minorHAnsi" w:hAnsiTheme="minorHAnsi"/>
          <w:snapToGrid w:val="0"/>
          <w:szCs w:val="20"/>
        </w:rPr>
        <w:t xml:space="preserve"> based on the RENOIR trial</w:t>
      </w:r>
      <w:r w:rsidR="00151D90" w:rsidRPr="009A4DCA">
        <w:rPr>
          <w:rFonts w:asciiTheme="minorHAnsi" w:hAnsiTheme="minorHAnsi"/>
          <w:snapToGrid w:val="0"/>
          <w:szCs w:val="20"/>
        </w:rPr>
        <w:t xml:space="preserve"> (</w:t>
      </w:r>
      <w:r w:rsidR="00151D90" w:rsidRPr="009A4DCA">
        <w:t>patients 60 years and older</w:t>
      </w:r>
      <w:r w:rsidR="00151D90" w:rsidRPr="009A4DCA">
        <w:rPr>
          <w:rFonts w:asciiTheme="minorHAnsi" w:hAnsiTheme="minorHAnsi"/>
          <w:snapToGrid w:val="0"/>
          <w:szCs w:val="20"/>
        </w:rPr>
        <w:t>)</w:t>
      </w:r>
      <w:r w:rsidR="00336554" w:rsidRPr="009A4DCA">
        <w:rPr>
          <w:rFonts w:asciiTheme="minorHAnsi" w:hAnsiTheme="minorHAnsi"/>
          <w:snapToGrid w:val="0"/>
        </w:rPr>
        <w:t xml:space="preserve"> noting that the RENOIR trial was not powered to detect statistically significant differences between the arms for subgroup analyses</w:t>
      </w:r>
      <w:r w:rsidR="009803AC" w:rsidRPr="009A4DCA">
        <w:rPr>
          <w:rFonts w:asciiTheme="minorHAnsi" w:hAnsiTheme="minorHAnsi"/>
          <w:snapToGrid w:val="0"/>
          <w:szCs w:val="20"/>
        </w:rPr>
        <w:t xml:space="preserve">. The PBAC </w:t>
      </w:r>
      <w:r w:rsidR="0094555E" w:rsidRPr="009A4DCA">
        <w:rPr>
          <w:rFonts w:asciiTheme="minorHAnsi" w:hAnsiTheme="minorHAnsi"/>
          <w:snapToGrid w:val="0"/>
          <w:szCs w:val="20"/>
        </w:rPr>
        <w:t xml:space="preserve">considered that RSVpreF </w:t>
      </w:r>
      <w:r w:rsidR="009803AC" w:rsidRPr="009A4DCA">
        <w:t>has an inferior but acceptable safety</w:t>
      </w:r>
      <w:r w:rsidR="00BF0B9B" w:rsidRPr="009A4DCA">
        <w:t xml:space="preserve"> profile</w:t>
      </w:r>
      <w:r w:rsidR="009803AC" w:rsidRPr="009A4DCA">
        <w:t xml:space="preserve"> compared to placebo.</w:t>
      </w:r>
      <w:r w:rsidR="0067587E" w:rsidRPr="009A4DCA">
        <w:t xml:space="preserve"> </w:t>
      </w:r>
    </w:p>
    <w:p w14:paraId="262DAAF1" w14:textId="769D0A2E" w:rsidR="008A109D" w:rsidRPr="009A4DCA" w:rsidRDefault="008A109D" w:rsidP="002F4A6D">
      <w:pPr>
        <w:keepNext/>
        <w:widowControl w:val="0"/>
        <w:spacing w:after="120"/>
        <w:ind w:left="720"/>
        <w:rPr>
          <w:b/>
          <w:bCs/>
          <w:snapToGrid w:val="0"/>
        </w:rPr>
      </w:pPr>
      <w:bookmarkStart w:id="104" w:name="_Ref183029549"/>
      <w:bookmarkStart w:id="105" w:name="_Ref183083180"/>
      <w:r w:rsidRPr="009A4DCA">
        <w:rPr>
          <w:b/>
          <w:bCs/>
          <w:snapToGrid w:val="0"/>
        </w:rPr>
        <w:t>Adults aged 75 years</w:t>
      </w:r>
      <w:r w:rsidR="0025641A" w:rsidRPr="009A4DCA">
        <w:rPr>
          <w:b/>
          <w:bCs/>
          <w:snapToGrid w:val="0"/>
        </w:rPr>
        <w:t xml:space="preserve"> and above</w:t>
      </w:r>
    </w:p>
    <w:p w14:paraId="4BF27055" w14:textId="6F537BE8" w:rsidR="0074796E" w:rsidRPr="009A4DCA" w:rsidRDefault="000825B5">
      <w:pPr>
        <w:widowControl w:val="0"/>
        <w:numPr>
          <w:ilvl w:val="1"/>
          <w:numId w:val="1"/>
        </w:numPr>
        <w:spacing w:after="120"/>
        <w:rPr>
          <w:snapToGrid w:val="0"/>
        </w:rPr>
      </w:pPr>
      <w:bookmarkStart w:id="106" w:name="_Ref183601225"/>
      <w:r w:rsidRPr="009A4DCA">
        <w:rPr>
          <w:snapToGrid w:val="0"/>
        </w:rPr>
        <w:t xml:space="preserve">The PBAC noted the key </w:t>
      </w:r>
      <w:r w:rsidRPr="009A4DCA">
        <w:rPr>
          <w:rFonts w:asciiTheme="minorHAnsi" w:hAnsiTheme="minorHAnsi"/>
          <w:snapToGrid w:val="0"/>
        </w:rPr>
        <w:t xml:space="preserve">issues raised by the evaluation and the ESC for determining the cost-effectiveness of RSVpreF related to the VE </w:t>
      </w:r>
      <w:r w:rsidR="0074796E" w:rsidRPr="009A4DCA">
        <w:rPr>
          <w:rFonts w:asciiTheme="minorHAnsi" w:hAnsiTheme="minorHAnsi"/>
          <w:snapToGrid w:val="0"/>
        </w:rPr>
        <w:t xml:space="preserve">for RSV hospitalisations </w:t>
      </w:r>
      <w:r w:rsidRPr="009A4DCA">
        <w:rPr>
          <w:rFonts w:asciiTheme="minorHAnsi" w:hAnsiTheme="minorHAnsi"/>
          <w:snapToGrid w:val="0"/>
        </w:rPr>
        <w:t>and duration of effect, RSV incidence and associated mortality. The PBAC noted that the base case economic analysis presented in submission used</w:t>
      </w:r>
      <w:r w:rsidR="0074796E" w:rsidRPr="009A4DCA">
        <w:rPr>
          <w:rFonts w:asciiTheme="minorHAnsi" w:hAnsiTheme="minorHAnsi"/>
          <w:snapToGrid w:val="0"/>
        </w:rPr>
        <w:t>:</w:t>
      </w:r>
      <w:bookmarkEnd w:id="106"/>
    </w:p>
    <w:p w14:paraId="4215BCCA" w14:textId="259A0263" w:rsidR="006F6B0C" w:rsidRPr="00EE4712" w:rsidRDefault="0074796E" w:rsidP="00733A92">
      <w:pPr>
        <w:pStyle w:val="ListParagraph"/>
        <w:widowControl w:val="0"/>
        <w:numPr>
          <w:ilvl w:val="0"/>
          <w:numId w:val="45"/>
        </w:numPr>
        <w:ind w:left="1134"/>
        <w:jc w:val="both"/>
      </w:pPr>
      <w:r w:rsidRPr="009A4DCA">
        <w:t xml:space="preserve">a VE for preventing RSV hospitalisations of </w:t>
      </w:r>
      <w:r w:rsidR="00456491" w:rsidRPr="009A4DCA">
        <w:t>84.6</w:t>
      </w:r>
      <w:r w:rsidRPr="009A4DCA">
        <w:t xml:space="preserve">% based on that observed in the RENOIR trial for the outcome </w:t>
      </w:r>
      <w:r w:rsidR="006F6B0C" w:rsidRPr="009A4DCA">
        <w:t xml:space="preserve">‘first episode of medically-attended RSV-LRTI with </w:t>
      </w:r>
      <w:r w:rsidR="006F6B0C" w:rsidRPr="009A4DCA">
        <w:rPr>
          <w:rFonts w:cstheme="minorHAnsi"/>
        </w:rPr>
        <w:t>≥</w:t>
      </w:r>
      <w:r w:rsidR="006F6B0C" w:rsidRPr="009A4DCA">
        <w:t xml:space="preserve">3 symptoms’. </w:t>
      </w:r>
      <w:r w:rsidRPr="009A4DCA">
        <w:t xml:space="preserve">The PBAC </w:t>
      </w:r>
      <w:r w:rsidR="006F6B0C" w:rsidRPr="009A4DCA">
        <w:t>considered that</w:t>
      </w:r>
      <w:r w:rsidRPr="009A4DCA">
        <w:t xml:space="preserve"> the applicability of </w:t>
      </w:r>
      <w:r w:rsidR="006F6B0C" w:rsidRPr="009A4DCA">
        <w:t>this</w:t>
      </w:r>
      <w:r w:rsidRPr="009A4DCA">
        <w:t xml:space="preserve"> outcome </w:t>
      </w:r>
      <w:r w:rsidR="006F6B0C" w:rsidRPr="009A4DCA">
        <w:t>to RSV hospitalisations was unclear given, as noted by ATAGI, only two people met the severe RSV-LRTI criteria in RENOIR (requiring hospitalisation, new/increased oxygen supplementation or new/increased mechanical ventilation). ATAGI noted that the remainder of the cases with RSV-LRTI ≥3 symptoms presumably only sought emergency or outpatient care or did not require increased care and may not be ‘severe’</w:t>
      </w:r>
      <w:r w:rsidR="00817C75" w:rsidRPr="009A4DCA">
        <w:t xml:space="preserve"> (paragraph </w:t>
      </w:r>
      <w:r w:rsidR="00817C75" w:rsidRPr="009A4DCA">
        <w:fldChar w:fldCharType="begin"/>
      </w:r>
      <w:r w:rsidR="00817C75" w:rsidRPr="009A4DCA">
        <w:instrText xml:space="preserve"> REF _Ref183634870 \r \h </w:instrText>
      </w:r>
      <w:r w:rsidR="00817C75" w:rsidRPr="009A4DCA">
        <w:fldChar w:fldCharType="separate"/>
      </w:r>
      <w:r w:rsidR="007B2F50">
        <w:t>6.48</w:t>
      </w:r>
      <w:r w:rsidR="00817C75" w:rsidRPr="009A4DCA">
        <w:fldChar w:fldCharType="end"/>
      </w:r>
      <w:r w:rsidR="00817C75" w:rsidRPr="009A4DCA">
        <w:t>)</w:t>
      </w:r>
      <w:r w:rsidR="006F6B0C" w:rsidRPr="009A4DCA">
        <w:t>.</w:t>
      </w:r>
      <w:r w:rsidR="0019400D" w:rsidRPr="009A4DCA">
        <w:t xml:space="preserve"> The PBAC noted that the estimate of 84.6% was based on 2 cases of RSV in the RSVpreF arm versus 13 cases in the placebo arm, and as a result the 95% CI for this estimate </w:t>
      </w:r>
      <w:r w:rsidR="00064CD5" w:rsidRPr="009A4DCA">
        <w:t>was</w:t>
      </w:r>
      <w:r w:rsidR="0019400D" w:rsidRPr="009A4DCA">
        <w:t xml:space="preserve"> wide. The PBAC further noted that the point estimate of 86.4% was substantially higher than that for other outcomes based on more cases (70.4% for RSV-LRTI with </w:t>
      </w:r>
      <w:r w:rsidR="0019400D" w:rsidRPr="009A4DCA">
        <w:rPr>
          <w:rFonts w:cstheme="minorHAnsi"/>
        </w:rPr>
        <w:t>≥</w:t>
      </w:r>
      <w:r w:rsidR="0019400D" w:rsidRPr="009A4DCA">
        <w:t xml:space="preserve">2 symptoms based on a total of </w:t>
      </w:r>
      <w:r w:rsidR="0079564F" w:rsidRPr="009A4DCA">
        <w:t>3</w:t>
      </w:r>
      <w:r w:rsidR="0019400D" w:rsidRPr="009A4DCA">
        <w:t>5 cases</w:t>
      </w:r>
      <w:r w:rsidR="003467B3" w:rsidRPr="009A4DCA">
        <w:t>, 65.1% for RSV-ARI based on a total of 58 cases</w:t>
      </w:r>
      <w:r w:rsidR="0079564F" w:rsidRPr="009A4DCA">
        <w:t xml:space="preserve">; </w:t>
      </w:r>
      <w:r w:rsidR="0079564F" w:rsidRPr="009A4DCA">
        <w:fldChar w:fldCharType="begin"/>
      </w:r>
      <w:r w:rsidR="0079564F" w:rsidRPr="009A4DCA">
        <w:instrText xml:space="preserve"> REF _Ref177222440 \h </w:instrText>
      </w:r>
      <w:r w:rsidR="0079564F" w:rsidRPr="009A4DCA">
        <w:fldChar w:fldCharType="separate"/>
      </w:r>
      <w:r w:rsidR="007B2F50" w:rsidRPr="009A4DCA">
        <w:t xml:space="preserve">Table </w:t>
      </w:r>
      <w:r w:rsidR="007B2F50">
        <w:rPr>
          <w:noProof/>
        </w:rPr>
        <w:t>6</w:t>
      </w:r>
      <w:r w:rsidR="0079564F" w:rsidRPr="009A4DCA">
        <w:fldChar w:fldCharType="end"/>
      </w:r>
      <w:r w:rsidR="003467B3" w:rsidRPr="009A4DCA">
        <w:t>). Although the PBAC considered it may be reasonable to use the point estimate of 8</w:t>
      </w:r>
      <w:r w:rsidR="0079564F" w:rsidRPr="009A4DCA">
        <w:t>4.6</w:t>
      </w:r>
      <w:r w:rsidR="003467B3" w:rsidRPr="009A4DCA">
        <w:t>% in the model (when efficacy is assumed over a 2 year period only, see below), the PBAC noted the ICER was sensitive to this estimate</w:t>
      </w:r>
      <w:r w:rsidR="00353117">
        <w:t>,</w:t>
      </w:r>
      <w:r w:rsidR="003467B3" w:rsidRPr="009A4DCA">
        <w:t xml:space="preserve"> </w:t>
      </w:r>
      <w:r w:rsidR="005F2654" w:rsidRPr="009A4DCA">
        <w:t xml:space="preserve">and </w:t>
      </w:r>
      <w:r w:rsidR="00353117">
        <w:t xml:space="preserve">to </w:t>
      </w:r>
      <w:r w:rsidR="005F2654" w:rsidRPr="009A4DCA">
        <w:t>the assumed waning profile</w:t>
      </w:r>
      <w:r w:rsidR="003467B3" w:rsidRPr="009A4DCA">
        <w:t>.</w:t>
      </w:r>
    </w:p>
    <w:p w14:paraId="594564A5" w14:textId="09644120" w:rsidR="00996AC7" w:rsidRPr="009A4DCA" w:rsidRDefault="003467B3" w:rsidP="00733A92">
      <w:pPr>
        <w:pStyle w:val="ListParagraph"/>
        <w:widowControl w:val="0"/>
        <w:numPr>
          <w:ilvl w:val="0"/>
          <w:numId w:val="45"/>
        </w:numPr>
        <w:ind w:left="1134"/>
        <w:jc w:val="both"/>
      </w:pPr>
      <w:r w:rsidRPr="009A4DCA">
        <w:t>a duration of protection of 4 years based on the RENO</w:t>
      </w:r>
      <w:r w:rsidR="009A4DCA">
        <w:t>I</w:t>
      </w:r>
      <w:r w:rsidRPr="009A4DCA">
        <w:t xml:space="preserve">R study with an average follow up of </w:t>
      </w:r>
      <w:r w:rsidR="00D020D0" w:rsidRPr="009A4DCA">
        <w:t xml:space="preserve">1.4 years </w:t>
      </w:r>
      <w:r w:rsidRPr="009A4DCA">
        <w:t>(16.4 months)</w:t>
      </w:r>
      <w:r w:rsidR="00D020D0" w:rsidRPr="009A4DCA">
        <w:t xml:space="preserve">. The PBAC noted there was a decline </w:t>
      </w:r>
      <w:r w:rsidR="0050787C" w:rsidRPr="009A4DCA">
        <w:t xml:space="preserve">in </w:t>
      </w:r>
      <w:r w:rsidR="00D020D0" w:rsidRPr="009A4DCA">
        <w:t xml:space="preserve">VE in the second season and </w:t>
      </w:r>
      <w:r w:rsidR="00996AC7" w:rsidRPr="009A4DCA">
        <w:t xml:space="preserve">that </w:t>
      </w:r>
      <w:r w:rsidR="00D020D0" w:rsidRPr="009A4DCA">
        <w:t xml:space="preserve">ATAGI noted in its advice that there are no correlates of protection, and no evidence to date, to inform the rate of VE waning after </w:t>
      </w:r>
      <w:r w:rsidR="00996AC7" w:rsidRPr="009A4DCA">
        <w:t>the second season</w:t>
      </w:r>
      <w:r w:rsidR="00D020D0" w:rsidRPr="009A4DCA">
        <w:t xml:space="preserve">. </w:t>
      </w:r>
      <w:r w:rsidR="00996AC7" w:rsidRPr="009A4DCA">
        <w:t xml:space="preserve">The PBAC noted that the need </w:t>
      </w:r>
      <w:r w:rsidR="00970C82" w:rsidRPr="009A4DCA">
        <w:t xml:space="preserve">and timing </w:t>
      </w:r>
      <w:r w:rsidR="00996AC7" w:rsidRPr="009A4DCA">
        <w:t>for revaccination with RSVpreF has not yet been established</w:t>
      </w:r>
      <w:r w:rsidR="00064CD5" w:rsidRPr="009A4DCA">
        <w:t xml:space="preserve">, and </w:t>
      </w:r>
      <w:r w:rsidR="00970C82" w:rsidRPr="009A4DCA">
        <w:t>revaccination would not only impact on the cost-effectiveness of RSVpreF, but it would have a very large impact on the financial estimates</w:t>
      </w:r>
      <w:r w:rsidR="00996AC7" w:rsidRPr="009A4DCA">
        <w:t>.</w:t>
      </w:r>
      <w:r w:rsidR="00970C82" w:rsidRPr="009A4DCA">
        <w:t xml:space="preserve"> In this context, together with the uncertain VE estimates applied in the model, the PBAC </w:t>
      </w:r>
      <w:r w:rsidR="0025641A" w:rsidRPr="009A4DCA">
        <w:t xml:space="preserve">agreed with ESC and </w:t>
      </w:r>
      <w:r w:rsidR="00970C82" w:rsidRPr="009A4DCA">
        <w:t>considered the vaccine efficacy should be truncated at 2 years.</w:t>
      </w:r>
    </w:p>
    <w:p w14:paraId="067224EF" w14:textId="242D460E" w:rsidR="004D2A3F" w:rsidRPr="009A4DCA" w:rsidRDefault="000825B5" w:rsidP="00733A92">
      <w:pPr>
        <w:pStyle w:val="ListParagraph"/>
        <w:widowControl w:val="0"/>
        <w:numPr>
          <w:ilvl w:val="0"/>
          <w:numId w:val="45"/>
        </w:numPr>
        <w:ind w:left="1134"/>
        <w:jc w:val="both"/>
      </w:pPr>
      <w:r w:rsidRPr="009A4DCA">
        <w:t>the Australian Modelling Study to estimate the incidence of hospitalisation in adults aged 75 years and above (398 per 100,000 person-years)</w:t>
      </w:r>
      <w:r w:rsidR="00970C82" w:rsidRPr="009A4DCA">
        <w:t xml:space="preserve">. The PBAC noted that the Australian modelling study was not available for ATAGI review when the </w:t>
      </w:r>
      <w:r w:rsidR="00970C82" w:rsidRPr="009A4DCA">
        <w:lastRenderedPageBreak/>
        <w:t>sponsor sought pre-submission advice</w:t>
      </w:r>
      <w:r w:rsidR="00BD46DB" w:rsidRPr="009A4DCA">
        <w:t>, however</w:t>
      </w:r>
      <w:r w:rsidR="00970C82" w:rsidRPr="009A4DCA">
        <w:t xml:space="preserve"> the estimate derived from the study (398 per 100,000 person-years) was similar to the estimate derived from ATAGI’s advice (384 per 100,000 person-years). </w:t>
      </w:r>
      <w:r w:rsidR="004D2A3F" w:rsidRPr="009A4DCA">
        <w:t>The PBAC noted that other available estimates were lower (</w:t>
      </w:r>
      <w:r w:rsidR="004D2A3F" w:rsidRPr="009A4DCA">
        <w:fldChar w:fldCharType="begin"/>
      </w:r>
      <w:r w:rsidR="004D2A3F" w:rsidRPr="009A4DCA">
        <w:instrText xml:space="preserve"> REF _Ref175665213 \h </w:instrText>
      </w:r>
      <w:r w:rsidR="004D2A3F" w:rsidRPr="009A4DCA">
        <w:fldChar w:fldCharType="separate"/>
      </w:r>
      <w:r w:rsidR="007B2F50" w:rsidRPr="009A4DCA">
        <w:t xml:space="preserve">Table </w:t>
      </w:r>
      <w:r w:rsidR="007B2F50">
        <w:rPr>
          <w:noProof/>
        </w:rPr>
        <w:t>12</w:t>
      </w:r>
      <w:r w:rsidR="004D2A3F" w:rsidRPr="009A4DCA">
        <w:fldChar w:fldCharType="end"/>
      </w:r>
      <w:r w:rsidR="004D2A3F" w:rsidRPr="009A4DCA">
        <w:t>), but considered it was reasonable to use the estimate supported by ATAGI (384 per 100,000 person-years).</w:t>
      </w:r>
    </w:p>
    <w:p w14:paraId="3E40AFDD" w14:textId="7DE5E4AC" w:rsidR="004D2A3F" w:rsidRPr="009A4DCA" w:rsidRDefault="004D2A3F" w:rsidP="00733A92">
      <w:pPr>
        <w:pStyle w:val="ListParagraph"/>
        <w:widowControl w:val="0"/>
        <w:numPr>
          <w:ilvl w:val="0"/>
          <w:numId w:val="45"/>
        </w:numPr>
        <w:ind w:left="1134"/>
        <w:jc w:val="both"/>
      </w:pPr>
      <w:r w:rsidRPr="009A4DCA">
        <w:t xml:space="preserve">the Australian Modelling Study to estimate a RSV </w:t>
      </w:r>
      <w:r w:rsidR="000825B5" w:rsidRPr="009A4DCA">
        <w:t xml:space="preserve">mortality rate </w:t>
      </w:r>
      <w:r w:rsidRPr="009A4DCA">
        <w:t xml:space="preserve">of </w:t>
      </w:r>
      <w:r w:rsidR="000825B5" w:rsidRPr="009A4DCA">
        <w:t>43 per 100,000 person-years; equivalent to 10.8% of hospitalisations per month.</w:t>
      </w:r>
      <w:r w:rsidRPr="009A4DCA">
        <w:t xml:space="preserve"> The PBAC noted this estimate appeared high and considered the estimate based on ATAGI’s advice (an in-hospital case fatality rate (hCFR) of 4.22%)</w:t>
      </w:r>
      <w:r w:rsidR="005405C3" w:rsidRPr="009A4DCA">
        <w:t xml:space="preserve"> </w:t>
      </w:r>
      <w:r w:rsidRPr="009A4DCA">
        <w:t>to be more plausible.</w:t>
      </w:r>
    </w:p>
    <w:p w14:paraId="2EDBA384" w14:textId="190DF94F" w:rsidR="001525D4" w:rsidRPr="009A4DCA" w:rsidRDefault="005405C3">
      <w:pPr>
        <w:pStyle w:val="3-BodyText"/>
        <w:widowControl w:val="0"/>
        <w:numPr>
          <w:ilvl w:val="1"/>
          <w:numId w:val="1"/>
        </w:numPr>
        <w:rPr>
          <w:snapToGrid w:val="0"/>
        </w:rPr>
      </w:pPr>
      <w:bookmarkStart w:id="107" w:name="_Ref183686833"/>
      <w:r w:rsidRPr="009A4DCA">
        <w:rPr>
          <w:snapToGrid w:val="0"/>
        </w:rPr>
        <w:t xml:space="preserve">The PBAC noted applying the revisions outlined in paragraph </w:t>
      </w:r>
      <w:r w:rsidR="007B1759" w:rsidRPr="009A4DCA">
        <w:rPr>
          <w:snapToGrid w:val="0"/>
        </w:rPr>
        <w:fldChar w:fldCharType="begin"/>
      </w:r>
      <w:r w:rsidR="007B1759" w:rsidRPr="009A4DCA">
        <w:rPr>
          <w:snapToGrid w:val="0"/>
        </w:rPr>
        <w:instrText xml:space="preserve"> REF _Ref183601225 \r \h </w:instrText>
      </w:r>
      <w:r w:rsidR="007B1759" w:rsidRPr="009A4DCA">
        <w:rPr>
          <w:snapToGrid w:val="0"/>
        </w:rPr>
      </w:r>
      <w:r w:rsidR="007B1759" w:rsidRPr="009A4DCA">
        <w:rPr>
          <w:snapToGrid w:val="0"/>
        </w:rPr>
        <w:fldChar w:fldCharType="separate"/>
      </w:r>
      <w:r w:rsidR="007B2F50">
        <w:rPr>
          <w:snapToGrid w:val="0"/>
        </w:rPr>
        <w:t>7.16</w:t>
      </w:r>
      <w:r w:rsidR="007B1759" w:rsidRPr="009A4DCA">
        <w:rPr>
          <w:snapToGrid w:val="0"/>
        </w:rPr>
        <w:fldChar w:fldCharType="end"/>
      </w:r>
      <w:r w:rsidRPr="009A4DCA">
        <w:rPr>
          <w:snapToGrid w:val="0"/>
        </w:rPr>
        <w:t xml:space="preserve"> to the economic model increased the ICER from </w:t>
      </w:r>
      <w:r w:rsidR="00D32AE4" w:rsidRPr="00D32AE4">
        <w:rPr>
          <w:snapToGrid w:val="0"/>
        </w:rPr>
        <w:t>$15,000 to &lt; $25,000</w:t>
      </w:r>
      <w:r w:rsidR="00D32AE4">
        <w:rPr>
          <w:snapToGrid w:val="0"/>
        </w:rPr>
        <w:t xml:space="preserve"> </w:t>
      </w:r>
      <w:r w:rsidRPr="009A4DCA">
        <w:rPr>
          <w:snapToGrid w:val="0"/>
        </w:rPr>
        <w:t xml:space="preserve">to </w:t>
      </w:r>
      <w:r w:rsidR="00617B0B" w:rsidRPr="00617B0B">
        <w:rPr>
          <w:snapToGrid w:val="0"/>
        </w:rPr>
        <w:t>$95,000 to &lt; $115,000</w:t>
      </w:r>
      <w:r w:rsidR="00617B0B">
        <w:rPr>
          <w:snapToGrid w:val="0"/>
        </w:rPr>
        <w:t xml:space="preserve"> </w:t>
      </w:r>
      <w:r w:rsidRPr="009A4DCA">
        <w:rPr>
          <w:snapToGrid w:val="0"/>
        </w:rPr>
        <w:t>per QALY gained</w:t>
      </w:r>
      <w:r w:rsidR="001525D4" w:rsidRPr="009A4DCA">
        <w:rPr>
          <w:snapToGrid w:val="0"/>
        </w:rPr>
        <w:t>, and considered these inputs were appropriate (</w:t>
      </w:r>
      <w:r w:rsidR="001525D4" w:rsidRPr="009A4DCA">
        <w:t xml:space="preserve">hospitalisation rate of 384 per 100,000 person-years, </w:t>
      </w:r>
      <w:r w:rsidR="001525D4" w:rsidRPr="009A4DCA">
        <w:rPr>
          <w:rFonts w:ascii="Calibri" w:eastAsia="Times New Roman" w:hAnsi="Calibri" w:cs="Arial"/>
          <w:szCs w:val="24"/>
        </w:rPr>
        <w:t>mortality rate adjusted using the case fatality rate ratio of 4.22%; and duration of VE of 2 years</w:t>
      </w:r>
      <w:r w:rsidR="005B1A48" w:rsidRPr="009A4DCA">
        <w:rPr>
          <w:rFonts w:ascii="Calibri" w:eastAsia="Times New Roman" w:hAnsi="Calibri" w:cs="Arial"/>
          <w:szCs w:val="24"/>
        </w:rPr>
        <w:t>)</w:t>
      </w:r>
      <w:r w:rsidRPr="009A4DCA">
        <w:rPr>
          <w:snapToGrid w:val="0"/>
        </w:rPr>
        <w:t xml:space="preserve">. </w:t>
      </w:r>
      <w:r w:rsidR="0025641A" w:rsidRPr="009A4DCA">
        <w:rPr>
          <w:snapToGrid w:val="0"/>
        </w:rPr>
        <w:t xml:space="preserve">The PBAC </w:t>
      </w:r>
      <w:r w:rsidR="0025641A" w:rsidRPr="009A4DCA">
        <w:t xml:space="preserve">advised that the vaccine would be acceptably cost-effective if the ICER for the revised economic model was no more than </w:t>
      </w:r>
      <w:r w:rsidR="002B1852" w:rsidRPr="002B1852">
        <w:t>$5,000 to &lt; $15,000</w:t>
      </w:r>
      <w:r w:rsidR="005D3163">
        <w:t xml:space="preserve"> </w:t>
      </w:r>
      <w:r w:rsidR="0025641A" w:rsidRPr="009A4DCA">
        <w:t>per QALY</w:t>
      </w:r>
      <w:r w:rsidR="008022C1" w:rsidRPr="009A4DCA">
        <w:t xml:space="preserve"> for this population</w:t>
      </w:r>
      <w:r w:rsidR="0025641A" w:rsidRPr="009A4DCA">
        <w:t>.</w:t>
      </w:r>
      <w:bookmarkEnd w:id="107"/>
      <w:r w:rsidR="001525D4" w:rsidRPr="009A4DCA">
        <w:t xml:space="preserve"> </w:t>
      </w:r>
    </w:p>
    <w:p w14:paraId="5008BE56" w14:textId="7F53320C" w:rsidR="0025641A" w:rsidRPr="009A4DCA" w:rsidRDefault="0025641A" w:rsidP="0025641A">
      <w:pPr>
        <w:widowControl w:val="0"/>
        <w:spacing w:after="120"/>
        <w:ind w:left="720"/>
        <w:rPr>
          <w:b/>
          <w:bCs/>
          <w:snapToGrid w:val="0"/>
        </w:rPr>
      </w:pPr>
      <w:r w:rsidRPr="009A4DCA">
        <w:rPr>
          <w:b/>
          <w:bCs/>
          <w:snapToGrid w:val="0"/>
        </w:rPr>
        <w:t>Aboriginal and Torres Strait Islander peoples aged 60 to 74 years</w:t>
      </w:r>
    </w:p>
    <w:p w14:paraId="375668A5" w14:textId="08739AA8" w:rsidR="001A5636" w:rsidRPr="009A4DCA" w:rsidRDefault="000C5FC5">
      <w:pPr>
        <w:widowControl w:val="0"/>
        <w:numPr>
          <w:ilvl w:val="1"/>
          <w:numId w:val="1"/>
        </w:numPr>
        <w:spacing w:after="120"/>
        <w:rPr>
          <w:snapToGrid w:val="0"/>
        </w:rPr>
      </w:pPr>
      <w:bookmarkStart w:id="108" w:name="_Ref183637036"/>
      <w:r w:rsidRPr="009A4DCA">
        <w:rPr>
          <w:snapToGrid w:val="0"/>
        </w:rPr>
        <w:t xml:space="preserve">The PBAC noted that </w:t>
      </w:r>
      <w:r w:rsidR="007B1759" w:rsidRPr="009A4DCA">
        <w:rPr>
          <w:snapToGrid w:val="0"/>
        </w:rPr>
        <w:t xml:space="preserve">to reflect the increased </w:t>
      </w:r>
      <w:r w:rsidR="007B1759" w:rsidRPr="009A4DCA">
        <w:rPr>
          <w:rFonts w:asciiTheme="minorHAnsi" w:hAnsiTheme="minorHAnsi"/>
          <w:bCs/>
          <w:snapToGrid w:val="0"/>
        </w:rPr>
        <w:t>burden of RSV disease in Aboriginal and Torres Strait Islander people,</w:t>
      </w:r>
      <w:r w:rsidR="007B1759" w:rsidRPr="009A4DCA">
        <w:rPr>
          <w:snapToGrid w:val="0"/>
        </w:rPr>
        <w:t xml:space="preserve"> the incidence of RSV hospitalisation applied in the </w:t>
      </w:r>
      <w:r w:rsidRPr="009A4DCA">
        <w:rPr>
          <w:snapToGrid w:val="0"/>
        </w:rPr>
        <w:t xml:space="preserve">economic model </w:t>
      </w:r>
      <w:r w:rsidR="007B1759" w:rsidRPr="009A4DCA">
        <w:rPr>
          <w:snapToGrid w:val="0"/>
        </w:rPr>
        <w:t xml:space="preserve">was 1.5 times </w:t>
      </w:r>
      <w:r w:rsidR="0031361D" w:rsidRPr="009A4DCA">
        <w:rPr>
          <w:snapToGrid w:val="0"/>
        </w:rPr>
        <w:t>the rate</w:t>
      </w:r>
      <w:r w:rsidR="007B1759" w:rsidRPr="009A4DCA">
        <w:rPr>
          <w:snapToGrid w:val="0"/>
        </w:rPr>
        <w:t xml:space="preserve"> for people aged </w:t>
      </w:r>
      <w:r w:rsidR="007B1759" w:rsidRPr="009A4DCA">
        <w:rPr>
          <w:rFonts w:cs="Calibri"/>
          <w:snapToGrid w:val="0"/>
        </w:rPr>
        <w:t>≥</w:t>
      </w:r>
      <w:r w:rsidR="007B1759" w:rsidRPr="009A4DCA">
        <w:rPr>
          <w:snapToGrid w:val="0"/>
        </w:rPr>
        <w:t xml:space="preserve"> 75 years</w:t>
      </w:r>
      <w:r w:rsidR="00C57498" w:rsidRPr="009A4DCA">
        <w:rPr>
          <w:snapToGrid w:val="0"/>
        </w:rPr>
        <w:t xml:space="preserve"> and the magnitude of the increase was consistent with advice provided by ATAGI. The PBAC noted based on an incidence of 384 per 100,000 person years for people aged </w:t>
      </w:r>
      <w:r w:rsidR="00C57498" w:rsidRPr="009A4DCA">
        <w:rPr>
          <w:rFonts w:cs="Calibri"/>
          <w:snapToGrid w:val="0"/>
        </w:rPr>
        <w:t>≥</w:t>
      </w:r>
      <w:r w:rsidR="00ED6879" w:rsidRPr="009A4DCA">
        <w:rPr>
          <w:snapToGrid w:val="0"/>
        </w:rPr>
        <w:t> </w:t>
      </w:r>
      <w:r w:rsidR="00C57498" w:rsidRPr="009A4DCA">
        <w:rPr>
          <w:snapToGrid w:val="0"/>
        </w:rPr>
        <w:t xml:space="preserve">75 years, the incidence for </w:t>
      </w:r>
      <w:r w:rsidR="00C57498" w:rsidRPr="009A4DCA">
        <w:rPr>
          <w:rFonts w:asciiTheme="minorHAnsi" w:hAnsiTheme="minorHAnsi"/>
          <w:bCs/>
          <w:snapToGrid w:val="0"/>
        </w:rPr>
        <w:t>Aboriginal and Torres Strait Islander people was 576 per 100,000 person-years</w:t>
      </w:r>
      <w:r w:rsidRPr="009A4DCA">
        <w:rPr>
          <w:snapToGrid w:val="0"/>
        </w:rPr>
        <w:t xml:space="preserve"> (i.e., 3</w:t>
      </w:r>
      <w:r w:rsidR="00C57498" w:rsidRPr="009A4DCA">
        <w:rPr>
          <w:snapToGrid w:val="0"/>
        </w:rPr>
        <w:t>84</w:t>
      </w:r>
      <w:r w:rsidRPr="009A4DCA">
        <w:rPr>
          <w:snapToGrid w:val="0"/>
        </w:rPr>
        <w:t xml:space="preserve"> x 1.5 = 5</w:t>
      </w:r>
      <w:r w:rsidR="00C57498" w:rsidRPr="009A4DCA">
        <w:rPr>
          <w:snapToGrid w:val="0"/>
        </w:rPr>
        <w:t>76)</w:t>
      </w:r>
      <w:r w:rsidRPr="009A4DCA">
        <w:rPr>
          <w:snapToGrid w:val="0"/>
        </w:rPr>
        <w:t>.</w:t>
      </w:r>
      <w:r w:rsidR="00C57498" w:rsidRPr="009A4DCA">
        <w:rPr>
          <w:snapToGrid w:val="0"/>
        </w:rPr>
        <w:t xml:space="preserve"> Although</w:t>
      </w:r>
      <w:r w:rsidR="0002089F" w:rsidRPr="009A4DCA">
        <w:rPr>
          <w:snapToGrid w:val="0"/>
        </w:rPr>
        <w:t xml:space="preserve"> uncertain, the PBAC considered the </w:t>
      </w:r>
      <w:r w:rsidR="00ED6879" w:rsidRPr="009A4DCA">
        <w:rPr>
          <w:snapToGrid w:val="0"/>
        </w:rPr>
        <w:t xml:space="preserve">assumed </w:t>
      </w:r>
      <w:r w:rsidR="00C57498" w:rsidRPr="009A4DCA">
        <w:rPr>
          <w:snapToGrid w:val="0"/>
        </w:rPr>
        <w:t>incidence of hospitalisations due to RSV</w:t>
      </w:r>
      <w:r w:rsidR="0002089F" w:rsidRPr="009A4DCA">
        <w:rPr>
          <w:snapToGrid w:val="0"/>
        </w:rPr>
        <w:t xml:space="preserve"> to be </w:t>
      </w:r>
      <w:r w:rsidR="00ED6879" w:rsidRPr="009A4DCA">
        <w:rPr>
          <w:snapToGrid w:val="0"/>
        </w:rPr>
        <w:t>reasonable</w:t>
      </w:r>
      <w:r w:rsidR="0002089F" w:rsidRPr="009A4DCA">
        <w:rPr>
          <w:snapToGrid w:val="0"/>
        </w:rPr>
        <w:t xml:space="preserve"> in the context of the relatively small population size</w:t>
      </w:r>
      <w:r w:rsidR="005B0EF3" w:rsidRPr="009A4DCA">
        <w:rPr>
          <w:snapToGrid w:val="0"/>
        </w:rPr>
        <w:t>.</w:t>
      </w:r>
      <w:bookmarkEnd w:id="108"/>
      <w:r w:rsidR="001A5636" w:rsidRPr="009A4DCA">
        <w:rPr>
          <w:snapToGrid w:val="0"/>
        </w:rPr>
        <w:t xml:space="preserve">  As for the population aged 75 years, the </w:t>
      </w:r>
      <w:r w:rsidR="001A5636" w:rsidRPr="009A4DCA">
        <w:t>PBAC agreed with ESC and considered the vaccine efficacy should be truncated at 2 years, and the hCFR of 4.22% should be applied to estimate mortality in the model.</w:t>
      </w:r>
    </w:p>
    <w:p w14:paraId="32C9282D" w14:textId="2EC1AD58" w:rsidR="00C57498" w:rsidRPr="009A4DCA" w:rsidRDefault="00C57498">
      <w:pPr>
        <w:widowControl w:val="0"/>
        <w:numPr>
          <w:ilvl w:val="1"/>
          <w:numId w:val="1"/>
        </w:numPr>
        <w:spacing w:after="120"/>
        <w:rPr>
          <w:snapToGrid w:val="0"/>
        </w:rPr>
      </w:pPr>
      <w:bookmarkStart w:id="109" w:name="_Ref183638617"/>
      <w:r w:rsidRPr="009A4DCA">
        <w:rPr>
          <w:snapToGrid w:val="0"/>
        </w:rPr>
        <w:t>The PBAC noted applying the revision</w:t>
      </w:r>
      <w:r w:rsidR="001A5636" w:rsidRPr="009A4DCA">
        <w:rPr>
          <w:snapToGrid w:val="0"/>
        </w:rPr>
        <w:t xml:space="preserve">s </w:t>
      </w:r>
      <w:r w:rsidRPr="009A4DCA">
        <w:rPr>
          <w:snapToGrid w:val="0"/>
        </w:rPr>
        <w:t xml:space="preserve">outlined in paragraph </w:t>
      </w:r>
      <w:r w:rsidR="00EE4A14" w:rsidRPr="009A4DCA">
        <w:rPr>
          <w:snapToGrid w:val="0"/>
        </w:rPr>
        <w:fldChar w:fldCharType="begin"/>
      </w:r>
      <w:r w:rsidR="00EE4A14" w:rsidRPr="009A4DCA">
        <w:rPr>
          <w:snapToGrid w:val="0"/>
        </w:rPr>
        <w:instrText xml:space="preserve"> REF _Ref183637036 \r \h </w:instrText>
      </w:r>
      <w:r w:rsidR="00EE4A14" w:rsidRPr="009A4DCA">
        <w:rPr>
          <w:snapToGrid w:val="0"/>
        </w:rPr>
      </w:r>
      <w:r w:rsidR="00EE4A14" w:rsidRPr="009A4DCA">
        <w:rPr>
          <w:snapToGrid w:val="0"/>
        </w:rPr>
        <w:fldChar w:fldCharType="separate"/>
      </w:r>
      <w:r w:rsidR="007B2F50">
        <w:rPr>
          <w:snapToGrid w:val="0"/>
        </w:rPr>
        <w:t>7.18</w:t>
      </w:r>
      <w:r w:rsidR="00EE4A14" w:rsidRPr="009A4DCA">
        <w:rPr>
          <w:snapToGrid w:val="0"/>
        </w:rPr>
        <w:fldChar w:fldCharType="end"/>
      </w:r>
      <w:r w:rsidR="00EE4A14" w:rsidRPr="009A4DCA">
        <w:rPr>
          <w:snapToGrid w:val="0"/>
        </w:rPr>
        <w:t xml:space="preserve"> </w:t>
      </w:r>
      <w:r w:rsidRPr="009A4DCA">
        <w:rPr>
          <w:snapToGrid w:val="0"/>
        </w:rPr>
        <w:t xml:space="preserve">to the economic model increased the ICER from </w:t>
      </w:r>
      <w:r w:rsidR="00970082" w:rsidRPr="00970082">
        <w:rPr>
          <w:snapToGrid w:val="0"/>
        </w:rPr>
        <w:t>$5,000 to &lt; $15,000</w:t>
      </w:r>
      <w:r w:rsidR="00970082">
        <w:rPr>
          <w:snapToGrid w:val="0"/>
        </w:rPr>
        <w:t xml:space="preserve"> </w:t>
      </w:r>
      <w:r w:rsidRPr="009A4DCA">
        <w:rPr>
          <w:snapToGrid w:val="0"/>
        </w:rPr>
        <w:t xml:space="preserve">to </w:t>
      </w:r>
      <w:r w:rsidR="00716A9A" w:rsidRPr="00716A9A">
        <w:rPr>
          <w:snapToGrid w:val="0"/>
        </w:rPr>
        <w:t>$55,000 to &lt; $75,000</w:t>
      </w:r>
      <w:r w:rsidR="00716A9A">
        <w:rPr>
          <w:snapToGrid w:val="0"/>
        </w:rPr>
        <w:t xml:space="preserve"> </w:t>
      </w:r>
      <w:r w:rsidRPr="009A4DCA">
        <w:rPr>
          <w:snapToGrid w:val="0"/>
        </w:rPr>
        <w:t>per QALY gained</w:t>
      </w:r>
      <w:r w:rsidR="00ED6879" w:rsidRPr="009A4DCA">
        <w:rPr>
          <w:snapToGrid w:val="0"/>
        </w:rPr>
        <w:t>, and considered these inputs were appropriate (</w:t>
      </w:r>
      <w:r w:rsidR="00ED6879" w:rsidRPr="009A4DCA">
        <w:t>hospitalisation rate of 576 per 100,000 person-years, mortality rate adjusted using the case fatality rate ratio of 4.22%; and duration of VE of 2 years</w:t>
      </w:r>
      <w:r w:rsidR="005B1A48" w:rsidRPr="009A4DCA">
        <w:rPr>
          <w:snapToGrid w:val="0"/>
        </w:rPr>
        <w:t>)</w:t>
      </w:r>
      <w:r w:rsidRPr="009A4DCA">
        <w:rPr>
          <w:snapToGrid w:val="0"/>
        </w:rPr>
        <w:t xml:space="preserve">. The PBAC </w:t>
      </w:r>
      <w:r w:rsidRPr="009A4DCA">
        <w:t xml:space="preserve">advised that the vaccine would be acceptably cost-effective if the ICER for the revised economic model was no more than </w:t>
      </w:r>
      <w:r w:rsidR="00D046A0" w:rsidRPr="00D046A0">
        <w:t>$5,000 to &lt; $15,000</w:t>
      </w:r>
      <w:r w:rsidR="00917352">
        <w:t xml:space="preserve"> </w:t>
      </w:r>
      <w:r w:rsidRPr="009A4DCA">
        <w:t>per QALY</w:t>
      </w:r>
      <w:r w:rsidR="008022C1" w:rsidRPr="009A4DCA">
        <w:t xml:space="preserve"> for this population</w:t>
      </w:r>
      <w:r w:rsidRPr="009A4DCA">
        <w:t>.</w:t>
      </w:r>
      <w:bookmarkEnd w:id="109"/>
    </w:p>
    <w:p w14:paraId="7AD7CFFC" w14:textId="181AA173" w:rsidR="000C5FC5" w:rsidRPr="009A4DCA" w:rsidRDefault="0002089F" w:rsidP="00B0774D">
      <w:pPr>
        <w:keepNext/>
        <w:widowControl w:val="0"/>
        <w:spacing w:after="120"/>
        <w:ind w:left="720"/>
        <w:rPr>
          <w:b/>
          <w:bCs/>
          <w:snapToGrid w:val="0"/>
        </w:rPr>
      </w:pPr>
      <w:r w:rsidRPr="009A4DCA">
        <w:rPr>
          <w:b/>
          <w:bCs/>
          <w:snapToGrid w:val="0"/>
        </w:rPr>
        <w:t>Adults aged 60 to 74 years with at least one risk factor for severe RSV disease</w:t>
      </w:r>
    </w:p>
    <w:p w14:paraId="7C2CD0B2" w14:textId="7D94CFAA" w:rsidR="002311C0" w:rsidRPr="009A4DCA" w:rsidRDefault="00F5607C">
      <w:pPr>
        <w:widowControl w:val="0"/>
        <w:numPr>
          <w:ilvl w:val="1"/>
          <w:numId w:val="1"/>
        </w:numPr>
        <w:spacing w:after="120"/>
        <w:rPr>
          <w:rFonts w:asciiTheme="minorHAnsi" w:hAnsiTheme="minorHAnsi"/>
          <w:snapToGrid w:val="0"/>
        </w:rPr>
      </w:pPr>
      <w:bookmarkStart w:id="110" w:name="_Ref183019617"/>
      <w:bookmarkEnd w:id="104"/>
      <w:bookmarkEnd w:id="105"/>
      <w:r w:rsidRPr="009A4DCA">
        <w:rPr>
          <w:rFonts w:eastAsiaTheme="majorEastAsia" w:cstheme="majorBidi"/>
          <w:bCs/>
          <w:spacing w:val="5"/>
          <w:kern w:val="28"/>
          <w:lang w:eastAsia="en-US"/>
        </w:rPr>
        <w:t>The PBAC noted that the population of a</w:t>
      </w:r>
      <w:r w:rsidRPr="009A4DCA">
        <w:rPr>
          <w:rFonts w:asciiTheme="minorHAnsi" w:hAnsiTheme="minorHAnsi"/>
          <w:snapToGrid w:val="0"/>
        </w:rPr>
        <w:t>dults with at least one risk factor aged 60 to 74 years</w:t>
      </w:r>
      <w:r w:rsidRPr="009A4DCA">
        <w:rPr>
          <w:snapToGrid w:val="0"/>
        </w:rPr>
        <w:t xml:space="preserve"> was heterogenous, with a range of different risk factors proposed (see paragraph </w:t>
      </w:r>
      <w:r w:rsidRPr="009A4DCA">
        <w:rPr>
          <w:snapToGrid w:val="0"/>
        </w:rPr>
        <w:fldChar w:fldCharType="begin"/>
      </w:r>
      <w:r w:rsidRPr="009A4DCA">
        <w:rPr>
          <w:snapToGrid w:val="0"/>
        </w:rPr>
        <w:instrText xml:space="preserve"> REF _Ref183017702 \r \h </w:instrText>
      </w:r>
      <w:r w:rsidRPr="009A4DCA">
        <w:rPr>
          <w:snapToGrid w:val="0"/>
        </w:rPr>
      </w:r>
      <w:r w:rsidRPr="009A4DCA">
        <w:rPr>
          <w:snapToGrid w:val="0"/>
        </w:rPr>
        <w:fldChar w:fldCharType="separate"/>
      </w:r>
      <w:r w:rsidR="007B2F50">
        <w:rPr>
          <w:snapToGrid w:val="0"/>
        </w:rPr>
        <w:t>3.2</w:t>
      </w:r>
      <w:r w:rsidRPr="009A4DCA">
        <w:rPr>
          <w:snapToGrid w:val="0"/>
        </w:rPr>
        <w:fldChar w:fldCharType="end"/>
      </w:r>
      <w:r w:rsidRPr="009A4DCA">
        <w:rPr>
          <w:snapToGrid w:val="0"/>
        </w:rPr>
        <w:t xml:space="preserve">). The PBAC </w:t>
      </w:r>
      <w:r w:rsidR="00D8761F" w:rsidRPr="009A4DCA">
        <w:rPr>
          <w:snapToGrid w:val="0"/>
        </w:rPr>
        <w:t xml:space="preserve">also </w:t>
      </w:r>
      <w:r w:rsidRPr="009A4DCA">
        <w:rPr>
          <w:snapToGrid w:val="0"/>
        </w:rPr>
        <w:t>noted that it was uncertain whether obesity should be included as a risk factor for NIP eligibility (see paragraph</w:t>
      </w:r>
      <w:r w:rsidR="001473DB" w:rsidRPr="009A4DCA">
        <w:rPr>
          <w:snapToGrid w:val="0"/>
        </w:rPr>
        <w:t xml:space="preserve"> </w:t>
      </w:r>
      <w:r w:rsidR="00640DA4" w:rsidRPr="009A4DCA">
        <w:rPr>
          <w:snapToGrid w:val="0"/>
        </w:rPr>
        <w:fldChar w:fldCharType="begin"/>
      </w:r>
      <w:r w:rsidR="00640DA4" w:rsidRPr="009A4DCA">
        <w:rPr>
          <w:snapToGrid w:val="0"/>
        </w:rPr>
        <w:instrText xml:space="preserve"> REF _Ref180488135 \r \h </w:instrText>
      </w:r>
      <w:r w:rsidR="00640DA4" w:rsidRPr="009A4DCA">
        <w:rPr>
          <w:snapToGrid w:val="0"/>
        </w:rPr>
      </w:r>
      <w:r w:rsidR="00640DA4" w:rsidRPr="009A4DCA">
        <w:rPr>
          <w:snapToGrid w:val="0"/>
        </w:rPr>
        <w:fldChar w:fldCharType="separate"/>
      </w:r>
      <w:r w:rsidR="007B2F50">
        <w:rPr>
          <w:snapToGrid w:val="0"/>
        </w:rPr>
        <w:t>6.77</w:t>
      </w:r>
      <w:r w:rsidR="00640DA4" w:rsidRPr="009A4DCA">
        <w:rPr>
          <w:snapToGrid w:val="0"/>
        </w:rPr>
        <w:fldChar w:fldCharType="end"/>
      </w:r>
      <w:r w:rsidRPr="009A4DCA">
        <w:rPr>
          <w:snapToGrid w:val="0"/>
        </w:rPr>
        <w:t xml:space="preserve">). With regard to the </w:t>
      </w:r>
      <w:r w:rsidRPr="009A4DCA">
        <w:rPr>
          <w:snapToGrid w:val="0"/>
        </w:rPr>
        <w:lastRenderedPageBreak/>
        <w:t xml:space="preserve">hospitalisation rate for the population, the PBAC noted that the submission’s approach was to </w:t>
      </w:r>
      <w:r w:rsidRPr="009A4DCA">
        <w:rPr>
          <w:rFonts w:asciiTheme="minorHAnsi" w:hAnsiTheme="minorHAnsi"/>
          <w:snapToGrid w:val="0"/>
        </w:rPr>
        <w:t>apply the same rate as for adults aged ≥75 years</w:t>
      </w:r>
      <w:r w:rsidRPr="009A4DCA">
        <w:rPr>
          <w:snapToGrid w:val="0"/>
        </w:rPr>
        <w:t>, however this appeared to be overestimated</w:t>
      </w:r>
      <w:r w:rsidR="008C7A64" w:rsidRPr="009A4DCA">
        <w:rPr>
          <w:snapToGrid w:val="0"/>
        </w:rPr>
        <w:t xml:space="preserve">, </w:t>
      </w:r>
      <w:r w:rsidR="00EC0C4D" w:rsidRPr="009A4DCA">
        <w:rPr>
          <w:snapToGrid w:val="0"/>
        </w:rPr>
        <w:t xml:space="preserve">based on available data including the </w:t>
      </w:r>
      <w:r w:rsidR="00EC0C4D" w:rsidRPr="009A4DCA">
        <w:t xml:space="preserve">AIHW data and the </w:t>
      </w:r>
      <w:r w:rsidRPr="009A4DCA">
        <w:rPr>
          <w:snapToGrid w:val="0"/>
        </w:rPr>
        <w:t xml:space="preserve">Australian modelling study (see paragraph </w:t>
      </w:r>
      <w:r w:rsidRPr="009A4DCA">
        <w:rPr>
          <w:snapToGrid w:val="0"/>
        </w:rPr>
        <w:fldChar w:fldCharType="begin"/>
      </w:r>
      <w:r w:rsidRPr="009A4DCA">
        <w:rPr>
          <w:snapToGrid w:val="0"/>
        </w:rPr>
        <w:instrText xml:space="preserve"> REF _Ref183016887 \r \h </w:instrText>
      </w:r>
      <w:r w:rsidR="00685857" w:rsidRPr="009A4DCA">
        <w:rPr>
          <w:snapToGrid w:val="0"/>
        </w:rPr>
        <w:instrText xml:space="preserve"> \* MERGEFORMAT </w:instrText>
      </w:r>
      <w:r w:rsidRPr="009A4DCA">
        <w:rPr>
          <w:snapToGrid w:val="0"/>
        </w:rPr>
      </w:r>
      <w:r w:rsidRPr="009A4DCA">
        <w:rPr>
          <w:snapToGrid w:val="0"/>
        </w:rPr>
        <w:fldChar w:fldCharType="separate"/>
      </w:r>
      <w:r w:rsidR="007B2F50">
        <w:rPr>
          <w:snapToGrid w:val="0"/>
        </w:rPr>
        <w:t>6.54</w:t>
      </w:r>
      <w:r w:rsidRPr="009A4DCA">
        <w:rPr>
          <w:snapToGrid w:val="0"/>
        </w:rPr>
        <w:fldChar w:fldCharType="end"/>
      </w:r>
      <w:r w:rsidRPr="009A4DCA">
        <w:rPr>
          <w:snapToGrid w:val="0"/>
        </w:rPr>
        <w:t xml:space="preserve">). </w:t>
      </w:r>
      <w:r w:rsidR="00D8761F" w:rsidRPr="009A4DCA">
        <w:rPr>
          <w:snapToGrid w:val="0"/>
        </w:rPr>
        <w:t xml:space="preserve">Similarly, the submission had applied the </w:t>
      </w:r>
      <w:r w:rsidR="00D8761F" w:rsidRPr="009A4DCA">
        <w:rPr>
          <w:rFonts w:asciiTheme="minorHAnsi" w:hAnsiTheme="minorHAnsi"/>
          <w:snapToGrid w:val="0"/>
        </w:rPr>
        <w:t xml:space="preserve">same mortality rate </w:t>
      </w:r>
      <w:r w:rsidR="00312B6E" w:rsidRPr="009A4DCA">
        <w:rPr>
          <w:rFonts w:asciiTheme="minorHAnsi" w:hAnsiTheme="minorHAnsi"/>
          <w:snapToGrid w:val="0"/>
        </w:rPr>
        <w:t xml:space="preserve">for this population </w:t>
      </w:r>
      <w:r w:rsidR="00D8761F" w:rsidRPr="009A4DCA">
        <w:rPr>
          <w:rFonts w:asciiTheme="minorHAnsi" w:hAnsiTheme="minorHAnsi"/>
          <w:snapToGrid w:val="0"/>
        </w:rPr>
        <w:t>as for adults aged ≥75 years, however alternative estimates were available for younger cohorts (</w:t>
      </w:r>
      <w:r w:rsidR="00D8761F" w:rsidRPr="009A4DCA">
        <w:rPr>
          <w:rFonts w:asciiTheme="minorHAnsi" w:hAnsiTheme="minorHAnsi"/>
          <w:snapToGrid w:val="0"/>
        </w:rPr>
        <w:fldChar w:fldCharType="begin"/>
      </w:r>
      <w:r w:rsidR="00D8761F" w:rsidRPr="009A4DCA">
        <w:rPr>
          <w:rFonts w:asciiTheme="minorHAnsi" w:hAnsiTheme="minorHAnsi"/>
          <w:snapToGrid w:val="0"/>
        </w:rPr>
        <w:instrText xml:space="preserve"> REF _Ref175665548 \h </w:instrText>
      </w:r>
      <w:r w:rsidR="00D8761F" w:rsidRPr="009A4DCA">
        <w:rPr>
          <w:rFonts w:asciiTheme="minorHAnsi" w:hAnsiTheme="minorHAnsi"/>
          <w:snapToGrid w:val="0"/>
        </w:rPr>
      </w:r>
      <w:r w:rsidR="00D8761F" w:rsidRPr="009A4DCA">
        <w:rPr>
          <w:rFonts w:asciiTheme="minorHAnsi" w:hAnsiTheme="minorHAnsi"/>
          <w:snapToGrid w:val="0"/>
        </w:rPr>
        <w:fldChar w:fldCharType="separate"/>
      </w:r>
      <w:r w:rsidR="007B2F50" w:rsidRPr="009A4DCA">
        <w:t xml:space="preserve">Table </w:t>
      </w:r>
      <w:r w:rsidR="007B2F50">
        <w:rPr>
          <w:noProof/>
        </w:rPr>
        <w:t>13</w:t>
      </w:r>
      <w:r w:rsidR="00D8761F" w:rsidRPr="009A4DCA">
        <w:rPr>
          <w:rFonts w:asciiTheme="minorHAnsi" w:hAnsiTheme="minorHAnsi"/>
          <w:snapToGrid w:val="0"/>
        </w:rPr>
        <w:fldChar w:fldCharType="end"/>
      </w:r>
      <w:r w:rsidR="00D8761F" w:rsidRPr="009A4DCA">
        <w:rPr>
          <w:rFonts w:asciiTheme="minorHAnsi" w:hAnsiTheme="minorHAnsi"/>
          <w:snapToGrid w:val="0"/>
        </w:rPr>
        <w:t xml:space="preserve">). </w:t>
      </w:r>
      <w:r w:rsidR="00D8761F" w:rsidRPr="009A4DCA">
        <w:rPr>
          <w:snapToGrid w:val="0"/>
        </w:rPr>
        <w:t xml:space="preserve">The PBAC noted that </w:t>
      </w:r>
      <w:r w:rsidR="00312B6E" w:rsidRPr="009A4DCA">
        <w:rPr>
          <w:snapToGrid w:val="0"/>
        </w:rPr>
        <w:t>sensitivity analyses testing the impact of alternative inputs resulted in large increases in the ICER (</w:t>
      </w:r>
      <w:r w:rsidR="001B3A7B" w:rsidRPr="009A4DCA">
        <w:rPr>
          <w:snapToGrid w:val="0"/>
        </w:rPr>
        <w:fldChar w:fldCharType="begin"/>
      </w:r>
      <w:r w:rsidR="001B3A7B" w:rsidRPr="009A4DCA">
        <w:rPr>
          <w:snapToGrid w:val="0"/>
        </w:rPr>
        <w:instrText xml:space="preserve"> REF _Ref177428165 \h </w:instrText>
      </w:r>
      <w:r w:rsidR="001B3A7B" w:rsidRPr="009A4DCA">
        <w:rPr>
          <w:snapToGrid w:val="0"/>
        </w:rPr>
      </w:r>
      <w:r w:rsidR="001B3A7B" w:rsidRPr="009A4DCA">
        <w:rPr>
          <w:snapToGrid w:val="0"/>
        </w:rPr>
        <w:fldChar w:fldCharType="separate"/>
      </w:r>
      <w:r w:rsidR="007B2F50" w:rsidRPr="009A4DCA">
        <w:t xml:space="preserve">Table </w:t>
      </w:r>
      <w:r w:rsidR="007B2F50">
        <w:rPr>
          <w:noProof/>
        </w:rPr>
        <w:t>20</w:t>
      </w:r>
      <w:r w:rsidR="001B3A7B" w:rsidRPr="009A4DCA">
        <w:rPr>
          <w:snapToGrid w:val="0"/>
        </w:rPr>
        <w:fldChar w:fldCharType="end"/>
      </w:r>
      <w:r w:rsidR="00312B6E" w:rsidRPr="009A4DCA">
        <w:rPr>
          <w:snapToGrid w:val="0"/>
        </w:rPr>
        <w:t xml:space="preserve">). </w:t>
      </w:r>
      <w:r w:rsidR="008022C1" w:rsidRPr="009A4DCA">
        <w:rPr>
          <w:snapToGrid w:val="0"/>
        </w:rPr>
        <w:t xml:space="preserve">The PBAC considered this extent of uncertainty was not acceptable in the context of the large size of this population. </w:t>
      </w:r>
      <w:r w:rsidR="00CF7509" w:rsidRPr="009A4DCA">
        <w:rPr>
          <w:rFonts w:asciiTheme="minorHAnsi" w:hAnsiTheme="minorHAnsi"/>
          <w:snapToGrid w:val="0"/>
        </w:rPr>
        <w:t xml:space="preserve">The PBAC considered that </w:t>
      </w:r>
      <w:r w:rsidR="00111B24" w:rsidRPr="009A4DCA">
        <w:t>it would be informative to see a r</w:t>
      </w:r>
      <w:r w:rsidR="00CF7509" w:rsidRPr="009A4DCA">
        <w:t>ange of ICERs</w:t>
      </w:r>
      <w:r w:rsidR="00111B24" w:rsidRPr="009A4DCA">
        <w:t xml:space="preserve"> for different subgroups </w:t>
      </w:r>
      <w:r w:rsidR="0032481F" w:rsidRPr="009A4DCA">
        <w:t xml:space="preserve">within </w:t>
      </w:r>
      <w:r w:rsidR="00111B24" w:rsidRPr="009A4DCA">
        <w:t>this population</w:t>
      </w:r>
      <w:r w:rsidR="002E12D0" w:rsidRPr="009A4DCA">
        <w:t xml:space="preserve">. </w:t>
      </w:r>
      <w:r w:rsidR="00CF7509" w:rsidRPr="009A4DCA">
        <w:t xml:space="preserve">The PBAC considered that </w:t>
      </w:r>
      <w:r w:rsidR="00111B24" w:rsidRPr="009A4DCA">
        <w:t>treating this population as a single cohort</w:t>
      </w:r>
      <w:r w:rsidR="00CF7509" w:rsidRPr="009A4DCA">
        <w:t xml:space="preserve"> was a simplification</w:t>
      </w:r>
      <w:r w:rsidR="00111B24" w:rsidRPr="009A4DCA">
        <w:t xml:space="preserve">, and that on average, the submission’s approach </w:t>
      </w:r>
      <w:r w:rsidR="00CF7509" w:rsidRPr="009A4DCA">
        <w:t>likely overestimated</w:t>
      </w:r>
      <w:r w:rsidR="0032481F" w:rsidRPr="009A4DCA">
        <w:t xml:space="preserve"> both the</w:t>
      </w:r>
      <w:r w:rsidR="00CF7509" w:rsidRPr="009A4DCA">
        <w:t xml:space="preserve"> </w:t>
      </w:r>
      <w:r w:rsidR="00111B24" w:rsidRPr="009A4DCA">
        <w:t xml:space="preserve">baseline risks and the benefits of the vaccine given the submission’s approach to </w:t>
      </w:r>
      <w:r w:rsidR="002E12D0" w:rsidRPr="009A4DCA">
        <w:t>estimate life expectancy in this population u</w:t>
      </w:r>
      <w:r w:rsidR="002E12D0" w:rsidRPr="009A4DCA">
        <w:rPr>
          <w:lang w:eastAsia="en-US"/>
        </w:rPr>
        <w:t xml:space="preserve">sing the standard Australian Bureau of Statistics (ABS) life tables for 2019-2021 (which reflect the overall population, not the high-risk population proposed for listing). </w:t>
      </w:r>
      <w:bookmarkEnd w:id="110"/>
    </w:p>
    <w:p w14:paraId="6F9E6A3C" w14:textId="7BDF8B23" w:rsidR="004F1AD2" w:rsidRPr="009A4DCA" w:rsidRDefault="005B0EF3">
      <w:pPr>
        <w:widowControl w:val="0"/>
        <w:numPr>
          <w:ilvl w:val="1"/>
          <w:numId w:val="1"/>
        </w:numPr>
        <w:spacing w:after="120"/>
        <w:rPr>
          <w:rFonts w:asciiTheme="minorHAnsi" w:hAnsiTheme="minorHAnsi"/>
          <w:snapToGrid w:val="0"/>
        </w:rPr>
      </w:pPr>
      <w:r w:rsidRPr="009A4DCA">
        <w:t>The PBAC did not recommend NIP listing for adults aged 60 to 74 years with at least one risk factor for severe RSV disease, because it considered that the economic evaluation did not provide a robust estimate of cost-effectiveness for this population</w:t>
      </w:r>
      <w:r w:rsidR="00935FD7">
        <w:t>, and the financial estimates were uncertain (</w:t>
      </w:r>
      <w:r w:rsidR="00935FD7" w:rsidRPr="009A4DCA">
        <w:t xml:space="preserve">see paragraph </w:t>
      </w:r>
      <w:r w:rsidR="00935FD7">
        <w:fldChar w:fldCharType="begin"/>
      </w:r>
      <w:r w:rsidR="00935FD7">
        <w:instrText xml:space="preserve"> REF _Ref183755422 \r \h </w:instrText>
      </w:r>
      <w:r w:rsidR="00935FD7">
        <w:fldChar w:fldCharType="separate"/>
      </w:r>
      <w:r w:rsidR="007B2F50">
        <w:t>7.23</w:t>
      </w:r>
      <w:r w:rsidR="00935FD7">
        <w:fldChar w:fldCharType="end"/>
      </w:r>
      <w:r w:rsidR="00935FD7" w:rsidRPr="009A4DCA">
        <w:t xml:space="preserve"> below</w:t>
      </w:r>
      <w:r w:rsidR="00935FD7">
        <w:t>)</w:t>
      </w:r>
      <w:r w:rsidR="00935FD7" w:rsidRPr="009A4DCA">
        <w:t xml:space="preserve">. </w:t>
      </w:r>
      <w:r w:rsidR="00B93585" w:rsidRPr="009A4DCA">
        <w:t xml:space="preserve">The PBAC advised that </w:t>
      </w:r>
      <w:r w:rsidR="002152C2" w:rsidRPr="009A4DCA">
        <w:t xml:space="preserve">a new </w:t>
      </w:r>
      <w:r w:rsidR="00D75969" w:rsidRPr="009A4DCA">
        <w:t>submission would be</w:t>
      </w:r>
      <w:r w:rsidR="00B93585" w:rsidRPr="009A4DCA">
        <w:t xml:space="preserve"> required to </w:t>
      </w:r>
      <w:r w:rsidR="0020377A" w:rsidRPr="009A4DCA">
        <w:t>support listing for adults aged 60 to 74 years with at least one risk factor for severe RSV disease</w:t>
      </w:r>
      <w:r w:rsidR="0032481F" w:rsidRPr="009A4DCA">
        <w:t xml:space="preserve"> (see paragraph </w:t>
      </w:r>
      <w:r w:rsidR="0032481F" w:rsidRPr="009A4DCA">
        <w:fldChar w:fldCharType="begin"/>
      </w:r>
      <w:r w:rsidR="0032481F" w:rsidRPr="009A4DCA">
        <w:instrText xml:space="preserve"> REF _Ref183091882 \r \h </w:instrText>
      </w:r>
      <w:r w:rsidR="0032481F" w:rsidRPr="009A4DCA">
        <w:fldChar w:fldCharType="separate"/>
      </w:r>
      <w:r w:rsidR="007B2F50">
        <w:t>7.23</w:t>
      </w:r>
      <w:r w:rsidR="0032481F" w:rsidRPr="009A4DCA">
        <w:fldChar w:fldCharType="end"/>
      </w:r>
      <w:r w:rsidR="0032481F" w:rsidRPr="009A4DCA">
        <w:t xml:space="preserve"> below)</w:t>
      </w:r>
      <w:r w:rsidR="00B93585" w:rsidRPr="009A4DCA">
        <w:t>.</w:t>
      </w:r>
    </w:p>
    <w:p w14:paraId="3FF2099D" w14:textId="052E07D2" w:rsidR="004B6F4F" w:rsidRPr="009A4DCA" w:rsidRDefault="00CA6C41">
      <w:pPr>
        <w:pStyle w:val="3-BodyText"/>
        <w:numPr>
          <w:ilvl w:val="1"/>
          <w:numId w:val="1"/>
        </w:numPr>
        <w:spacing w:before="120"/>
        <w:ind w:left="709"/>
      </w:pPr>
      <w:r w:rsidRPr="009A4DCA">
        <w:t xml:space="preserve">The PBAC noted that the PSCR had presented revised financial implications using more recent population estimates as shown in </w:t>
      </w:r>
      <w:r w:rsidRPr="009A4DCA">
        <w:fldChar w:fldCharType="begin"/>
      </w:r>
      <w:r w:rsidRPr="009A4DCA">
        <w:instrText xml:space="preserve"> REF _Ref104805295 \h </w:instrText>
      </w:r>
      <w:r w:rsidR="00685857" w:rsidRPr="009A4DCA">
        <w:instrText xml:space="preserve"> \* MERGEFORMAT </w:instrText>
      </w:r>
      <w:r w:rsidRPr="009A4DCA">
        <w:fldChar w:fldCharType="separate"/>
      </w:r>
      <w:r w:rsidR="007B2F50" w:rsidRPr="009A4DCA">
        <w:t xml:space="preserve">Table </w:t>
      </w:r>
      <w:r w:rsidR="007B2F50">
        <w:t>22</w:t>
      </w:r>
      <w:r w:rsidRPr="009A4DCA">
        <w:fldChar w:fldCharType="end"/>
      </w:r>
      <w:r w:rsidRPr="009A4DCA">
        <w:t xml:space="preserve">, </w:t>
      </w:r>
      <w:r w:rsidR="00EA63AE" w:rsidRPr="009A4DCA">
        <w:t xml:space="preserve">and that </w:t>
      </w:r>
      <w:r w:rsidRPr="009A4DCA">
        <w:t xml:space="preserve">the estimates would need to be recalculated </w:t>
      </w:r>
      <w:r w:rsidR="00566E37" w:rsidRPr="009A4DCA">
        <w:t xml:space="preserve">for the two recommended populations </w:t>
      </w:r>
      <w:r w:rsidR="00D6665D" w:rsidRPr="009A4DCA">
        <w:t>using the cost-effective price</w:t>
      </w:r>
      <w:r w:rsidR="004B6F4F" w:rsidRPr="009A4DCA">
        <w:t>s</w:t>
      </w:r>
      <w:r w:rsidR="00D6665D" w:rsidRPr="009A4DCA">
        <w:t xml:space="preserve"> based on the advice in paragraph</w:t>
      </w:r>
      <w:r w:rsidR="008022C1" w:rsidRPr="009A4DCA">
        <w:t xml:space="preserve">s </w:t>
      </w:r>
      <w:r w:rsidR="008022C1" w:rsidRPr="009A4DCA">
        <w:fldChar w:fldCharType="begin"/>
      </w:r>
      <w:r w:rsidR="008022C1" w:rsidRPr="009A4DCA">
        <w:instrText xml:space="preserve"> REF _Ref183601225 \r \h </w:instrText>
      </w:r>
      <w:r w:rsidR="008022C1" w:rsidRPr="009A4DCA">
        <w:fldChar w:fldCharType="separate"/>
      </w:r>
      <w:r w:rsidR="007B2F50">
        <w:t>7.16</w:t>
      </w:r>
      <w:r w:rsidR="008022C1" w:rsidRPr="009A4DCA">
        <w:fldChar w:fldCharType="end"/>
      </w:r>
      <w:r w:rsidR="008022C1" w:rsidRPr="009A4DCA">
        <w:t xml:space="preserve"> to </w:t>
      </w:r>
      <w:r w:rsidR="008022C1" w:rsidRPr="009A4DCA">
        <w:fldChar w:fldCharType="begin"/>
      </w:r>
      <w:r w:rsidR="008022C1" w:rsidRPr="009A4DCA">
        <w:instrText xml:space="preserve"> REF _Ref183638617 \r \h </w:instrText>
      </w:r>
      <w:r w:rsidR="008022C1" w:rsidRPr="009A4DCA">
        <w:fldChar w:fldCharType="separate"/>
      </w:r>
      <w:r w:rsidR="007B2F50">
        <w:t>7.19</w:t>
      </w:r>
      <w:r w:rsidR="008022C1" w:rsidRPr="009A4DCA">
        <w:fldChar w:fldCharType="end"/>
      </w:r>
      <w:r w:rsidR="008022C1" w:rsidRPr="009A4DCA">
        <w:t>.</w:t>
      </w:r>
      <w:r w:rsidR="007570E6" w:rsidRPr="009A4DCA">
        <w:t xml:space="preserve"> </w:t>
      </w:r>
      <w:r w:rsidR="004B6F4F" w:rsidRPr="009A4DCA">
        <w:t xml:space="preserve">The PBAC </w:t>
      </w:r>
      <w:r w:rsidR="00EA63AE" w:rsidRPr="009A4DCA">
        <w:t>noted that the</w:t>
      </w:r>
      <w:r w:rsidR="00A568F3" w:rsidRPr="009A4DCA">
        <w:t xml:space="preserve"> cost</w:t>
      </w:r>
      <w:r w:rsidR="00A568F3" w:rsidRPr="009A4DCA">
        <w:noBreakHyphen/>
        <w:t>effective price</w:t>
      </w:r>
      <w:r w:rsidR="00EA63AE" w:rsidRPr="009A4DCA">
        <w:t xml:space="preserve"> differed</w:t>
      </w:r>
      <w:r w:rsidR="00A568F3" w:rsidRPr="009A4DCA">
        <w:t xml:space="preserve"> for </w:t>
      </w:r>
      <w:r w:rsidR="004B6F4F" w:rsidRPr="009A4DCA">
        <w:t xml:space="preserve">the two recommended populations </w:t>
      </w:r>
      <w:r w:rsidR="00A83011" w:rsidRPr="009A4DCA">
        <w:t xml:space="preserve">and </w:t>
      </w:r>
      <w:r w:rsidR="00EA63AE" w:rsidRPr="009A4DCA">
        <w:t>the submission had estimated</w:t>
      </w:r>
      <w:r w:rsidR="004B6F4F" w:rsidRPr="009A4DCA">
        <w:t xml:space="preserve"> </w:t>
      </w:r>
      <w:r w:rsidR="00E44A34" w:rsidRPr="007B2F50">
        <w:rPr>
          <w:color w:val="000000"/>
          <w:w w:val="15"/>
          <w:shd w:val="solid" w:color="000000" w:fill="000000"/>
          <w:fitText w:val="-20" w:id="-762046963"/>
          <w14:textFill>
            <w14:solidFill>
              <w14:srgbClr w14:val="000000">
                <w14:alpha w14:val="100000"/>
              </w14:srgbClr>
            </w14:solidFill>
          </w14:textFill>
        </w:rPr>
        <w:t xml:space="preserve">|  </w:t>
      </w:r>
      <w:r w:rsidR="00E44A34" w:rsidRPr="007B2F50">
        <w:rPr>
          <w:color w:val="000000"/>
          <w:spacing w:val="-69"/>
          <w:w w:val="15"/>
          <w:shd w:val="solid" w:color="000000" w:fill="000000"/>
          <w:fitText w:val="-20" w:id="-762046963"/>
          <w14:textFill>
            <w14:solidFill>
              <w14:srgbClr w14:val="000000">
                <w14:alpha w14:val="100000"/>
              </w14:srgbClr>
            </w14:solidFill>
          </w14:textFill>
        </w:rPr>
        <w:t>|</w:t>
      </w:r>
      <w:r w:rsidR="004B6F4F" w:rsidRPr="00075036">
        <w:t xml:space="preserve">% </w:t>
      </w:r>
      <w:r w:rsidR="004B6F4F" w:rsidRPr="009A4DCA">
        <w:t xml:space="preserve">of use in adults aged ≥75 years and </w:t>
      </w:r>
      <w:r w:rsidR="00E44A34" w:rsidRPr="007B2F50">
        <w:rPr>
          <w:color w:val="000000"/>
          <w:w w:val="15"/>
          <w:shd w:val="solid" w:color="000000" w:fill="000000"/>
          <w:fitText w:val="-20" w:id="-762046962"/>
          <w14:textFill>
            <w14:solidFill>
              <w14:srgbClr w14:val="000000">
                <w14:alpha w14:val="100000"/>
              </w14:srgbClr>
            </w14:solidFill>
          </w14:textFill>
        </w:rPr>
        <w:t xml:space="preserve">|  </w:t>
      </w:r>
      <w:r w:rsidR="00E44A34" w:rsidRPr="007B2F50">
        <w:rPr>
          <w:color w:val="000000"/>
          <w:spacing w:val="-69"/>
          <w:w w:val="15"/>
          <w:shd w:val="solid" w:color="000000" w:fill="000000"/>
          <w:fitText w:val="-20" w:id="-762046962"/>
          <w14:textFill>
            <w14:solidFill>
              <w14:srgbClr w14:val="000000">
                <w14:alpha w14:val="100000"/>
              </w14:srgbClr>
            </w14:solidFill>
          </w14:textFill>
        </w:rPr>
        <w:t>|</w:t>
      </w:r>
      <w:r w:rsidR="004B6F4F" w:rsidRPr="00CB3611">
        <w:t xml:space="preserve">% </w:t>
      </w:r>
      <w:r w:rsidR="004B6F4F" w:rsidRPr="009A4DCA">
        <w:t>of use in Aboriginal or Torres Strait Islander adults aged 60-74 years (</w:t>
      </w:r>
      <w:r w:rsidR="004B6F4F" w:rsidRPr="009A4DCA">
        <w:fldChar w:fldCharType="begin"/>
      </w:r>
      <w:r w:rsidR="004B6F4F" w:rsidRPr="009A4DCA">
        <w:instrText xml:space="preserve"> REF _Ref175677908 \h </w:instrText>
      </w:r>
      <w:r w:rsidR="004B6F4F" w:rsidRPr="009A4DCA">
        <w:fldChar w:fldCharType="separate"/>
      </w:r>
      <w:r w:rsidR="007B2F50" w:rsidRPr="009A4DCA">
        <w:t xml:space="preserve">Table </w:t>
      </w:r>
      <w:r w:rsidR="007B2F50">
        <w:rPr>
          <w:noProof/>
        </w:rPr>
        <w:t>17</w:t>
      </w:r>
      <w:r w:rsidR="004B6F4F" w:rsidRPr="009A4DCA">
        <w:fldChar w:fldCharType="end"/>
      </w:r>
      <w:r w:rsidR="004B6F4F" w:rsidRPr="009A4DCA">
        <w:t>).</w:t>
      </w:r>
    </w:p>
    <w:p w14:paraId="354F6ED2" w14:textId="3642FE41" w:rsidR="00345EA5" w:rsidRPr="009A4DCA" w:rsidRDefault="007570E6">
      <w:pPr>
        <w:pStyle w:val="3-BodyText"/>
        <w:widowControl w:val="0"/>
        <w:numPr>
          <w:ilvl w:val="1"/>
          <w:numId w:val="1"/>
        </w:numPr>
        <w:rPr>
          <w:snapToGrid w:val="0"/>
        </w:rPr>
      </w:pPr>
      <w:bookmarkStart w:id="111" w:name="_Ref183755422"/>
      <w:bookmarkStart w:id="112" w:name="_Hlk183755284"/>
      <w:r w:rsidRPr="009A4DCA">
        <w:t xml:space="preserve">The PBAC noted that the financial impact </w:t>
      </w:r>
      <w:r w:rsidR="008C75FE" w:rsidRPr="009A4DCA">
        <w:t>for</w:t>
      </w:r>
      <w:r w:rsidRPr="009A4DCA">
        <w:t xml:space="preserve"> the </w:t>
      </w:r>
      <w:r w:rsidR="008C75FE" w:rsidRPr="009A4DCA">
        <w:t xml:space="preserve">proposed </w:t>
      </w:r>
      <w:r w:rsidRPr="009A4DCA">
        <w:rPr>
          <w:rFonts w:eastAsiaTheme="majorEastAsia" w:cstheme="majorBidi"/>
          <w:bCs/>
          <w:spacing w:val="5"/>
          <w:kern w:val="28"/>
          <w:lang w:eastAsia="en-US"/>
        </w:rPr>
        <w:t>population of a</w:t>
      </w:r>
      <w:r w:rsidRPr="009A4DCA">
        <w:rPr>
          <w:snapToGrid w:val="0"/>
        </w:rPr>
        <w:t>dults with at least one risk factor aged 60 to 74 years</w:t>
      </w:r>
      <w:r w:rsidR="00EB1CA6" w:rsidRPr="009A4DCA">
        <w:rPr>
          <w:snapToGrid w:val="0"/>
        </w:rPr>
        <w:t xml:space="preserve"> was</w:t>
      </w:r>
      <w:r w:rsidR="00AC3B5E" w:rsidRPr="009A4DCA">
        <w:rPr>
          <w:snapToGrid w:val="0"/>
        </w:rPr>
        <w:t xml:space="preserve"> large and</w:t>
      </w:r>
      <w:r w:rsidR="00EB1CA6" w:rsidRPr="009A4DCA">
        <w:rPr>
          <w:snapToGrid w:val="0"/>
        </w:rPr>
        <w:t xml:space="preserve"> uncertain</w:t>
      </w:r>
      <w:r w:rsidR="008C75FE" w:rsidRPr="009A4DCA">
        <w:t>.</w:t>
      </w:r>
      <w:r w:rsidR="00A466BE" w:rsidRPr="009A4DCA">
        <w:t xml:space="preserve"> </w:t>
      </w:r>
      <w:r w:rsidR="00AC3B5E" w:rsidRPr="009A4DCA">
        <w:t xml:space="preserve">The PBAC noted </w:t>
      </w:r>
      <w:r w:rsidR="00267182" w:rsidRPr="009A4DCA">
        <w:rPr>
          <w:snapToGrid w:val="0"/>
        </w:rPr>
        <w:t xml:space="preserve">the cost to the NIP of listing RSVpreF was </w:t>
      </w:r>
      <w:r w:rsidR="00D0203C" w:rsidRPr="00D0203C">
        <w:rPr>
          <w:snapToGrid w:val="0"/>
        </w:rPr>
        <w:t>$200 million to &lt; $300 million</w:t>
      </w:r>
      <w:r w:rsidR="00D0203C" w:rsidRPr="00D0203C" w:rsidDel="00D0203C">
        <w:rPr>
          <w:snapToGrid w:val="0"/>
        </w:rPr>
        <w:t xml:space="preserve"> </w:t>
      </w:r>
      <w:r w:rsidR="00267182" w:rsidRPr="009A4DCA">
        <w:rPr>
          <w:snapToGrid w:val="0"/>
        </w:rPr>
        <w:t xml:space="preserve">over 6 years for </w:t>
      </w:r>
      <w:r w:rsidR="00267182" w:rsidRPr="009A4DCA">
        <w:t>this population</w:t>
      </w:r>
      <w:r w:rsidR="00AC3B5E" w:rsidRPr="009A4DCA">
        <w:t xml:space="preserve"> based on the submission’s estimates (</w:t>
      </w:r>
      <w:r w:rsidR="00AC3B5E" w:rsidRPr="009A4DCA">
        <w:fldChar w:fldCharType="begin"/>
      </w:r>
      <w:r w:rsidR="00AC3B5E" w:rsidRPr="009A4DCA">
        <w:instrText xml:space="preserve"> REF _Ref177432122 \h </w:instrText>
      </w:r>
      <w:r w:rsidR="00AC3B5E" w:rsidRPr="009A4DCA">
        <w:fldChar w:fldCharType="separate"/>
      </w:r>
      <w:r w:rsidR="007B2F50" w:rsidRPr="009A4DCA">
        <w:t xml:space="preserve">Table </w:t>
      </w:r>
      <w:r w:rsidR="007B2F50">
        <w:rPr>
          <w:noProof/>
        </w:rPr>
        <w:t>23</w:t>
      </w:r>
      <w:r w:rsidR="00AC3B5E" w:rsidRPr="009A4DCA">
        <w:fldChar w:fldCharType="end"/>
      </w:r>
      <w:r w:rsidR="00AC3B5E" w:rsidRPr="009A4DCA">
        <w:t>)</w:t>
      </w:r>
      <w:r w:rsidR="00267182" w:rsidRPr="009A4DCA">
        <w:t xml:space="preserve">. </w:t>
      </w:r>
      <w:r w:rsidR="00A466BE" w:rsidRPr="009A4DCA">
        <w:rPr>
          <w:rFonts w:eastAsiaTheme="majorEastAsia" w:cstheme="majorBidi"/>
          <w:bCs/>
          <w:spacing w:val="5"/>
          <w:kern w:val="28"/>
          <w:lang w:eastAsia="en-US"/>
        </w:rPr>
        <w:t xml:space="preserve">The PBAC noted that </w:t>
      </w:r>
      <w:r w:rsidR="00076729" w:rsidRPr="009A4DCA">
        <w:rPr>
          <w:rFonts w:eastAsiaTheme="majorEastAsia" w:cstheme="majorBidi"/>
          <w:bCs/>
          <w:spacing w:val="5"/>
          <w:kern w:val="28"/>
          <w:lang w:eastAsia="en-US"/>
        </w:rPr>
        <w:t xml:space="preserve">the proposed population was heterogeneous with </w:t>
      </w:r>
      <w:r w:rsidR="00A466BE" w:rsidRPr="009A4DCA">
        <w:rPr>
          <w:snapToGrid w:val="0"/>
        </w:rPr>
        <w:t xml:space="preserve">a range of risk factors proposed </w:t>
      </w:r>
      <w:r w:rsidR="00076729" w:rsidRPr="009A4DCA">
        <w:rPr>
          <w:snapToGrid w:val="0"/>
        </w:rPr>
        <w:t xml:space="preserve">for </w:t>
      </w:r>
      <w:r w:rsidR="00AC3B5E" w:rsidRPr="009A4DCA">
        <w:rPr>
          <w:snapToGrid w:val="0"/>
        </w:rPr>
        <w:t xml:space="preserve">NIP </w:t>
      </w:r>
      <w:r w:rsidR="00076729" w:rsidRPr="009A4DCA">
        <w:rPr>
          <w:snapToGrid w:val="0"/>
        </w:rPr>
        <w:t xml:space="preserve">eligibility </w:t>
      </w:r>
      <w:r w:rsidR="00AC3B5E" w:rsidRPr="009A4DCA">
        <w:rPr>
          <w:snapToGrid w:val="0"/>
        </w:rPr>
        <w:t>for</w:t>
      </w:r>
      <w:r w:rsidR="00076729" w:rsidRPr="009A4DCA">
        <w:rPr>
          <w:snapToGrid w:val="0"/>
        </w:rPr>
        <w:t xml:space="preserve"> RSVpreF </w:t>
      </w:r>
      <w:r w:rsidR="00A466BE" w:rsidRPr="009A4DCA">
        <w:rPr>
          <w:snapToGrid w:val="0"/>
        </w:rPr>
        <w:t xml:space="preserve">(see paragraph </w:t>
      </w:r>
      <w:r w:rsidR="00A466BE" w:rsidRPr="009A4DCA">
        <w:rPr>
          <w:snapToGrid w:val="0"/>
        </w:rPr>
        <w:fldChar w:fldCharType="begin"/>
      </w:r>
      <w:r w:rsidR="00A466BE" w:rsidRPr="009A4DCA">
        <w:rPr>
          <w:snapToGrid w:val="0"/>
        </w:rPr>
        <w:instrText xml:space="preserve"> REF _Ref183017702 \r \h </w:instrText>
      </w:r>
      <w:r w:rsidR="00A466BE" w:rsidRPr="009A4DCA">
        <w:rPr>
          <w:snapToGrid w:val="0"/>
        </w:rPr>
      </w:r>
      <w:r w:rsidR="00A466BE" w:rsidRPr="009A4DCA">
        <w:rPr>
          <w:snapToGrid w:val="0"/>
        </w:rPr>
        <w:fldChar w:fldCharType="separate"/>
      </w:r>
      <w:r w:rsidR="007B2F50">
        <w:rPr>
          <w:snapToGrid w:val="0"/>
        </w:rPr>
        <w:t>3.2</w:t>
      </w:r>
      <w:r w:rsidR="00A466BE" w:rsidRPr="009A4DCA">
        <w:rPr>
          <w:snapToGrid w:val="0"/>
        </w:rPr>
        <w:fldChar w:fldCharType="end"/>
      </w:r>
      <w:r w:rsidR="00A466BE" w:rsidRPr="009A4DCA">
        <w:rPr>
          <w:snapToGrid w:val="0"/>
        </w:rPr>
        <w:t>)</w:t>
      </w:r>
      <w:r w:rsidR="00076729" w:rsidRPr="009A4DCA">
        <w:rPr>
          <w:snapToGrid w:val="0"/>
        </w:rPr>
        <w:t xml:space="preserve">, which made estimation of the population size </w:t>
      </w:r>
      <w:r w:rsidR="00AC3B5E" w:rsidRPr="009A4DCA">
        <w:rPr>
          <w:snapToGrid w:val="0"/>
        </w:rPr>
        <w:t xml:space="preserve">and likely vaccine uptake </w:t>
      </w:r>
      <w:r w:rsidR="00076729" w:rsidRPr="009A4DCA">
        <w:rPr>
          <w:snapToGrid w:val="0"/>
        </w:rPr>
        <w:t>challenging</w:t>
      </w:r>
      <w:r w:rsidR="00A466BE" w:rsidRPr="009A4DCA">
        <w:rPr>
          <w:snapToGrid w:val="0"/>
        </w:rPr>
        <w:t xml:space="preserve">. </w:t>
      </w:r>
      <w:r w:rsidR="00AC3B5E" w:rsidRPr="009A4DCA">
        <w:rPr>
          <w:snapToGrid w:val="0"/>
        </w:rPr>
        <w:t xml:space="preserve">The PBAC considered there was a potential risk for usage of RSVpreF in the 60-74 year age group outside of the intended high risk population, due to the number and nature of some of the listed conditions. </w:t>
      </w:r>
      <w:r w:rsidR="00A466BE" w:rsidRPr="009A4DCA">
        <w:rPr>
          <w:snapToGrid w:val="0"/>
        </w:rPr>
        <w:t xml:space="preserve">The PBAC </w:t>
      </w:r>
      <w:r w:rsidR="00AC3B5E" w:rsidRPr="009A4DCA">
        <w:rPr>
          <w:snapToGrid w:val="0"/>
        </w:rPr>
        <w:t xml:space="preserve">also </w:t>
      </w:r>
      <w:r w:rsidR="00A466BE" w:rsidRPr="009A4DCA">
        <w:rPr>
          <w:snapToGrid w:val="0"/>
        </w:rPr>
        <w:t xml:space="preserve">noted it was uncertain whether obesity should be included as a risk factor for NIP eligibility </w:t>
      </w:r>
      <w:r w:rsidR="00076729" w:rsidRPr="009A4DCA">
        <w:rPr>
          <w:snapToGrid w:val="0"/>
        </w:rPr>
        <w:t xml:space="preserve">and this could have a significant impact on the patient </w:t>
      </w:r>
      <w:r w:rsidR="00AC3B5E" w:rsidRPr="009A4DCA">
        <w:rPr>
          <w:snapToGrid w:val="0"/>
        </w:rPr>
        <w:t>estimates</w:t>
      </w:r>
      <w:r w:rsidR="00076729" w:rsidRPr="009A4DCA">
        <w:rPr>
          <w:snapToGrid w:val="0"/>
        </w:rPr>
        <w:t xml:space="preserve"> </w:t>
      </w:r>
      <w:r w:rsidR="00A466BE" w:rsidRPr="009A4DCA">
        <w:rPr>
          <w:snapToGrid w:val="0"/>
        </w:rPr>
        <w:t xml:space="preserve">(see paragraph </w:t>
      </w:r>
      <w:r w:rsidR="00A466BE" w:rsidRPr="009A4DCA">
        <w:rPr>
          <w:snapToGrid w:val="0"/>
        </w:rPr>
        <w:fldChar w:fldCharType="begin"/>
      </w:r>
      <w:r w:rsidR="00A466BE" w:rsidRPr="009A4DCA">
        <w:rPr>
          <w:snapToGrid w:val="0"/>
        </w:rPr>
        <w:instrText xml:space="preserve"> REF _Ref180488135 \r \h </w:instrText>
      </w:r>
      <w:r w:rsidR="00A466BE" w:rsidRPr="009A4DCA">
        <w:rPr>
          <w:snapToGrid w:val="0"/>
        </w:rPr>
      </w:r>
      <w:r w:rsidR="00A466BE" w:rsidRPr="009A4DCA">
        <w:rPr>
          <w:snapToGrid w:val="0"/>
        </w:rPr>
        <w:fldChar w:fldCharType="separate"/>
      </w:r>
      <w:r w:rsidR="007B2F50">
        <w:rPr>
          <w:snapToGrid w:val="0"/>
        </w:rPr>
        <w:t>6.77</w:t>
      </w:r>
      <w:r w:rsidR="00A466BE" w:rsidRPr="009A4DCA">
        <w:rPr>
          <w:snapToGrid w:val="0"/>
        </w:rPr>
        <w:fldChar w:fldCharType="end"/>
      </w:r>
      <w:r w:rsidR="00A466BE" w:rsidRPr="009A4DCA">
        <w:rPr>
          <w:snapToGrid w:val="0"/>
        </w:rPr>
        <w:t>).</w:t>
      </w:r>
      <w:bookmarkStart w:id="113" w:name="_Ref183029693"/>
      <w:bookmarkStart w:id="114" w:name="_Ref183091882"/>
      <w:bookmarkEnd w:id="111"/>
    </w:p>
    <w:bookmarkEnd w:id="112"/>
    <w:p w14:paraId="5CD50AE4" w14:textId="532E6116" w:rsidR="001570BE" w:rsidRPr="009A4DCA" w:rsidRDefault="001570BE">
      <w:pPr>
        <w:pStyle w:val="3-BodyText"/>
        <w:widowControl w:val="0"/>
        <w:numPr>
          <w:ilvl w:val="1"/>
          <w:numId w:val="1"/>
        </w:numPr>
        <w:rPr>
          <w:snapToGrid w:val="0"/>
        </w:rPr>
      </w:pPr>
      <w:r w:rsidRPr="009A4DCA">
        <w:lastRenderedPageBreak/>
        <w:t>The PBAC advised that a submission</w:t>
      </w:r>
      <w:r w:rsidR="0032481F" w:rsidRPr="009A4DCA">
        <w:t xml:space="preserve"> to request NIP listing</w:t>
      </w:r>
      <w:r w:rsidRPr="009A4DCA">
        <w:t xml:space="preserve"> </w:t>
      </w:r>
      <w:r w:rsidR="0032481F" w:rsidRPr="009A4DCA">
        <w:t>of</w:t>
      </w:r>
      <w:r w:rsidRPr="009A4DCA">
        <w:t xml:space="preserve"> RSVpreF for adults aged 60 to 74 years with at least one risk factor for severe RSV disease should</w:t>
      </w:r>
      <w:r w:rsidR="00575F23" w:rsidRPr="009A4DCA">
        <w:t xml:space="preserve"> (at a minimum)</w:t>
      </w:r>
      <w:r w:rsidRPr="009A4DCA">
        <w:t>:</w:t>
      </w:r>
      <w:bookmarkEnd w:id="113"/>
      <w:bookmarkEnd w:id="114"/>
    </w:p>
    <w:p w14:paraId="6140CB38" w14:textId="732FA139" w:rsidR="001570BE" w:rsidRPr="009A4DCA" w:rsidRDefault="00575F23" w:rsidP="004959A2">
      <w:pPr>
        <w:pStyle w:val="ListParagraph"/>
        <w:numPr>
          <w:ilvl w:val="0"/>
          <w:numId w:val="37"/>
        </w:numPr>
        <w:ind w:left="1134"/>
        <w:jc w:val="both"/>
      </w:pPr>
      <w:r w:rsidRPr="009A4DCA">
        <w:t>Address the r</w:t>
      </w:r>
      <w:r w:rsidR="00387D70" w:rsidRPr="009A4DCA">
        <w:t>equested population</w:t>
      </w:r>
      <w:r w:rsidRPr="009A4DCA">
        <w:t xml:space="preserve"> to</w:t>
      </w:r>
      <w:r w:rsidR="00387D70" w:rsidRPr="009A4DCA">
        <w:t xml:space="preserve"> </w:t>
      </w:r>
      <w:r w:rsidRPr="009A4DCA">
        <w:t>e</w:t>
      </w:r>
      <w:r w:rsidR="00CA6C41" w:rsidRPr="009A4DCA">
        <w:t>nsure</w:t>
      </w:r>
      <w:r w:rsidR="00387D70" w:rsidRPr="009A4DCA">
        <w:t xml:space="preserve"> that the s</w:t>
      </w:r>
      <w:r w:rsidR="001570BE" w:rsidRPr="009A4DCA">
        <w:t>pecification of risk factors</w:t>
      </w:r>
      <w:r w:rsidR="00387D70" w:rsidRPr="009A4DCA">
        <w:t xml:space="preserve"> is consistent with current ATAGI advice or otherwise explain the rationale for any differences </w:t>
      </w:r>
      <w:r w:rsidR="001570BE" w:rsidRPr="009A4DCA">
        <w:t>(see paragraph</w:t>
      </w:r>
      <w:r w:rsidR="006245BC" w:rsidRPr="009A4DCA">
        <w:t>s</w:t>
      </w:r>
      <w:r w:rsidR="001570BE" w:rsidRPr="009A4DCA">
        <w:t xml:space="preserve"> </w:t>
      </w:r>
      <w:r w:rsidR="006245BC" w:rsidRPr="009A4DCA">
        <w:fldChar w:fldCharType="begin"/>
      </w:r>
      <w:r w:rsidR="006245BC" w:rsidRPr="009A4DCA">
        <w:instrText xml:space="preserve"> REF _Ref183017702 \r \h </w:instrText>
      </w:r>
      <w:r w:rsidR="006245BC" w:rsidRPr="009A4DCA">
        <w:fldChar w:fldCharType="separate"/>
      </w:r>
      <w:r w:rsidR="007B2F50">
        <w:t>3.2</w:t>
      </w:r>
      <w:r w:rsidR="006245BC" w:rsidRPr="009A4DCA">
        <w:fldChar w:fldCharType="end"/>
      </w:r>
      <w:r w:rsidR="006245BC" w:rsidRPr="009A4DCA">
        <w:t xml:space="preserve"> and </w:t>
      </w:r>
      <w:r w:rsidR="00387D70" w:rsidRPr="009A4DCA">
        <w:fldChar w:fldCharType="begin"/>
      </w:r>
      <w:r w:rsidR="00387D70" w:rsidRPr="009A4DCA">
        <w:instrText xml:space="preserve"> REF _Ref183019617 \r \h </w:instrText>
      </w:r>
      <w:r w:rsidR="00685857" w:rsidRPr="009A4DCA">
        <w:instrText xml:space="preserve"> \* MERGEFORMAT </w:instrText>
      </w:r>
      <w:r w:rsidR="00387D70" w:rsidRPr="009A4DCA">
        <w:fldChar w:fldCharType="separate"/>
      </w:r>
      <w:r w:rsidR="007B2F50">
        <w:t>7.20</w:t>
      </w:r>
      <w:r w:rsidR="00387D70" w:rsidRPr="009A4DCA">
        <w:fldChar w:fldCharType="end"/>
      </w:r>
      <w:r w:rsidR="001570BE" w:rsidRPr="009A4DCA">
        <w:t>)</w:t>
      </w:r>
      <w:r w:rsidR="00387D70" w:rsidRPr="009A4DCA">
        <w:t>;</w:t>
      </w:r>
    </w:p>
    <w:p w14:paraId="2CDE2824" w14:textId="05D8D024" w:rsidR="007B7274" w:rsidRPr="009A4DCA" w:rsidRDefault="00CA6C41" w:rsidP="004959A2">
      <w:pPr>
        <w:pStyle w:val="ListParagraph"/>
        <w:numPr>
          <w:ilvl w:val="0"/>
          <w:numId w:val="37"/>
        </w:numPr>
        <w:ind w:left="1134"/>
        <w:jc w:val="both"/>
      </w:pPr>
      <w:r w:rsidRPr="009A4DCA">
        <w:t xml:space="preserve">Present </w:t>
      </w:r>
      <w:r w:rsidR="00BF1658" w:rsidRPr="009A4DCA">
        <w:t xml:space="preserve">available </w:t>
      </w:r>
      <w:r w:rsidRPr="009A4DCA">
        <w:t>c</w:t>
      </w:r>
      <w:r w:rsidR="001570BE" w:rsidRPr="009A4DCA">
        <w:t xml:space="preserve">linical evidence </w:t>
      </w:r>
      <w:r w:rsidR="0099056C" w:rsidRPr="009A4DCA">
        <w:t>for</w:t>
      </w:r>
      <w:r w:rsidRPr="009A4DCA">
        <w:t xml:space="preserve"> the proposed population and </w:t>
      </w:r>
      <w:r w:rsidR="0099056C" w:rsidRPr="009A4DCA">
        <w:t xml:space="preserve">assess </w:t>
      </w:r>
      <w:r w:rsidRPr="009A4DCA">
        <w:t xml:space="preserve">to what extent the estimates of vaccine efficacy from the overall trial population are applicable, noting that ATAGI considered that there were gaps in the evidence for some pre-specified high-risk conditions ( see paragraph </w:t>
      </w:r>
      <w:r w:rsidRPr="009A4DCA">
        <w:fldChar w:fldCharType="begin"/>
      </w:r>
      <w:r w:rsidRPr="009A4DCA">
        <w:instrText xml:space="preserve"> REF _Ref182419380 \r \h </w:instrText>
      </w:r>
      <w:r w:rsidR="009D25EE" w:rsidRPr="009A4DCA">
        <w:instrText xml:space="preserve"> \* MERGEFORMAT </w:instrText>
      </w:r>
      <w:r w:rsidRPr="009A4DCA">
        <w:fldChar w:fldCharType="separate"/>
      </w:r>
      <w:r w:rsidR="007B2F50">
        <w:t>6.10</w:t>
      </w:r>
      <w:r w:rsidRPr="009A4DCA">
        <w:fldChar w:fldCharType="end"/>
      </w:r>
      <w:r w:rsidRPr="009A4DCA">
        <w:t>)</w:t>
      </w:r>
      <w:r w:rsidR="007B7274" w:rsidRPr="009A4DCA">
        <w:t xml:space="preserve"> </w:t>
      </w:r>
      <w:r w:rsidR="00BF1658" w:rsidRPr="009A4DCA">
        <w:t>and</w:t>
      </w:r>
      <w:r w:rsidR="007B7274" w:rsidRPr="009A4DCA">
        <w:t xml:space="preserve"> that </w:t>
      </w:r>
      <w:r w:rsidR="007B7274" w:rsidRPr="009A4DCA">
        <w:rPr>
          <w:iCs/>
        </w:rPr>
        <w:t>people who are considered medically at-risk</w:t>
      </w:r>
      <w:r w:rsidR="00BF1658" w:rsidRPr="009A4DCA">
        <w:rPr>
          <w:iCs/>
        </w:rPr>
        <w:t xml:space="preserve"> </w:t>
      </w:r>
      <w:r w:rsidR="007B7274" w:rsidRPr="009A4DCA">
        <w:rPr>
          <w:iCs/>
        </w:rPr>
        <w:t>may have lower immune responses and thus a lower VE following an RSV vaccination</w:t>
      </w:r>
      <w:r w:rsidR="00BF1658" w:rsidRPr="009A4DCA">
        <w:rPr>
          <w:iCs/>
        </w:rPr>
        <w:t xml:space="preserve"> </w:t>
      </w:r>
      <w:r w:rsidR="00BF1658" w:rsidRPr="009A4DCA">
        <w:t xml:space="preserve">(see paragraph </w:t>
      </w:r>
      <w:r w:rsidR="00BF1658" w:rsidRPr="009A4DCA">
        <w:fldChar w:fldCharType="begin"/>
      </w:r>
      <w:r w:rsidR="00BF1658" w:rsidRPr="009A4DCA">
        <w:instrText xml:space="preserve"> REF _Ref183032198 \r \h  \* MERGEFORMAT </w:instrText>
      </w:r>
      <w:r w:rsidR="00BF1658" w:rsidRPr="009A4DCA">
        <w:fldChar w:fldCharType="separate"/>
      </w:r>
      <w:r w:rsidR="007B2F50">
        <w:t>6.45</w:t>
      </w:r>
      <w:r w:rsidR="00BF1658" w:rsidRPr="009A4DCA">
        <w:fldChar w:fldCharType="end"/>
      </w:r>
      <w:r w:rsidR="00BF1658" w:rsidRPr="009A4DCA">
        <w:t>)</w:t>
      </w:r>
      <w:r w:rsidR="007B7274" w:rsidRPr="009A4DCA">
        <w:rPr>
          <w:iCs/>
        </w:rPr>
        <w:t xml:space="preserve">. The PBAC considered that these uncertainties should be addressed in a future submission where possible, with respect to estimates of VE and duration of protection in the requested population. </w:t>
      </w:r>
      <w:r w:rsidR="002C0840" w:rsidRPr="009A4DCA">
        <w:rPr>
          <w:iCs/>
        </w:rPr>
        <w:t xml:space="preserve">The PBAC </w:t>
      </w:r>
      <w:r w:rsidR="0099056C" w:rsidRPr="009A4DCA">
        <w:rPr>
          <w:iCs/>
        </w:rPr>
        <w:t xml:space="preserve">advised </w:t>
      </w:r>
      <w:r w:rsidR="002C0840" w:rsidRPr="009A4DCA">
        <w:rPr>
          <w:iCs/>
        </w:rPr>
        <w:t xml:space="preserve">that the impact of different risk conditions on the </w:t>
      </w:r>
      <w:r w:rsidR="0099056C" w:rsidRPr="009A4DCA">
        <w:rPr>
          <w:iCs/>
        </w:rPr>
        <w:t xml:space="preserve">baseline risk of severe RSV disease, as well as on efficacy </w:t>
      </w:r>
      <w:r w:rsidR="002C0840" w:rsidRPr="009A4DCA">
        <w:rPr>
          <w:iCs/>
        </w:rPr>
        <w:t>outcomes should be considered.</w:t>
      </w:r>
    </w:p>
    <w:p w14:paraId="63897D45" w14:textId="7B1589FA" w:rsidR="00CA6C41" w:rsidRPr="009A4DCA" w:rsidRDefault="00CA6C41" w:rsidP="004959A2">
      <w:pPr>
        <w:pStyle w:val="ListParagraph"/>
        <w:numPr>
          <w:ilvl w:val="0"/>
          <w:numId w:val="37"/>
        </w:numPr>
        <w:ind w:left="1134"/>
        <w:jc w:val="both"/>
      </w:pPr>
      <w:r w:rsidRPr="009A4DCA">
        <w:t xml:space="preserve">Present an economic evaluation for the proposed population, noting the PBAC’s observation that the population was heterogenous and that it would be informative to see a range of ICERs for different subgroups </w:t>
      </w:r>
      <w:r w:rsidR="00575F23" w:rsidRPr="009A4DCA">
        <w:t xml:space="preserve">within </w:t>
      </w:r>
      <w:r w:rsidRPr="009A4DCA">
        <w:t xml:space="preserve">this population (paragraph </w:t>
      </w:r>
      <w:r w:rsidRPr="009A4DCA">
        <w:fldChar w:fldCharType="begin"/>
      </w:r>
      <w:r w:rsidRPr="009A4DCA">
        <w:instrText xml:space="preserve"> REF _Ref183019617 \r \h </w:instrText>
      </w:r>
      <w:r w:rsidR="009D25EE" w:rsidRPr="009A4DCA">
        <w:instrText xml:space="preserve"> \* MERGEFORMAT </w:instrText>
      </w:r>
      <w:r w:rsidRPr="009A4DCA">
        <w:fldChar w:fldCharType="separate"/>
      </w:r>
      <w:r w:rsidR="007B2F50">
        <w:t>7.20</w:t>
      </w:r>
      <w:r w:rsidRPr="009A4DCA">
        <w:fldChar w:fldCharType="end"/>
      </w:r>
      <w:r w:rsidRPr="009A4DCA">
        <w:t>).</w:t>
      </w:r>
    </w:p>
    <w:p w14:paraId="63A67617" w14:textId="391ADAF2" w:rsidR="00CA6C41" w:rsidRPr="009A4DCA" w:rsidRDefault="00CA6C41" w:rsidP="004959A2">
      <w:pPr>
        <w:pStyle w:val="ListParagraph"/>
        <w:numPr>
          <w:ilvl w:val="0"/>
          <w:numId w:val="37"/>
        </w:numPr>
        <w:ind w:left="1134"/>
        <w:jc w:val="both"/>
        <w:rPr>
          <w:bCs/>
        </w:rPr>
      </w:pPr>
      <w:r w:rsidRPr="009A4DCA">
        <w:rPr>
          <w:bCs/>
        </w:rPr>
        <w:t xml:space="preserve">Present financial estimates for the proposed population, reflecting the requested population, ensuring that the question about </w:t>
      </w:r>
      <w:r w:rsidR="00566E37" w:rsidRPr="009A4DCA">
        <w:rPr>
          <w:bCs/>
        </w:rPr>
        <w:t xml:space="preserve">whether obesity should be included as a risk factor </w:t>
      </w:r>
      <w:r w:rsidR="00312B6E" w:rsidRPr="009A4DCA">
        <w:rPr>
          <w:bCs/>
        </w:rPr>
        <w:t xml:space="preserve">for NIP eligibility </w:t>
      </w:r>
      <w:r w:rsidRPr="009A4DCA">
        <w:rPr>
          <w:bCs/>
        </w:rPr>
        <w:t xml:space="preserve">has been resolved (see paragraph </w:t>
      </w:r>
      <w:r w:rsidRPr="009A4DCA">
        <w:rPr>
          <w:bCs/>
        </w:rPr>
        <w:fldChar w:fldCharType="begin"/>
      </w:r>
      <w:r w:rsidRPr="009A4DCA">
        <w:rPr>
          <w:bCs/>
        </w:rPr>
        <w:instrText xml:space="preserve"> REF _Ref183019617 \r \h </w:instrText>
      </w:r>
      <w:r w:rsidR="009D25EE" w:rsidRPr="009A4DCA">
        <w:rPr>
          <w:bCs/>
        </w:rPr>
        <w:instrText xml:space="preserve"> \* MERGEFORMAT </w:instrText>
      </w:r>
      <w:r w:rsidRPr="009A4DCA">
        <w:rPr>
          <w:bCs/>
        </w:rPr>
      </w:r>
      <w:r w:rsidRPr="009A4DCA">
        <w:rPr>
          <w:bCs/>
        </w:rPr>
        <w:fldChar w:fldCharType="separate"/>
      </w:r>
      <w:r w:rsidR="007B2F50">
        <w:rPr>
          <w:bCs/>
        </w:rPr>
        <w:t>7.20</w:t>
      </w:r>
      <w:r w:rsidRPr="009A4DCA">
        <w:rPr>
          <w:bCs/>
        </w:rPr>
        <w:fldChar w:fldCharType="end"/>
      </w:r>
      <w:r w:rsidRPr="009A4DCA">
        <w:rPr>
          <w:bCs/>
        </w:rPr>
        <w:t>).</w:t>
      </w:r>
    </w:p>
    <w:p w14:paraId="08A49245" w14:textId="210C508D" w:rsidR="001570BE" w:rsidRPr="009A4DCA" w:rsidRDefault="001570BE" w:rsidP="001570BE">
      <w:pPr>
        <w:pStyle w:val="3-BodyText"/>
        <w:numPr>
          <w:ilvl w:val="1"/>
          <w:numId w:val="1"/>
        </w:numPr>
        <w:spacing w:before="0"/>
        <w:rPr>
          <w:bCs/>
        </w:rPr>
      </w:pPr>
      <w:r w:rsidRPr="009A4DCA">
        <w:rPr>
          <w:bCs/>
        </w:rPr>
        <w:t xml:space="preserve">The </w:t>
      </w:r>
      <w:r w:rsidR="002152C2" w:rsidRPr="009A4DCA">
        <w:rPr>
          <w:bCs/>
        </w:rPr>
        <w:t xml:space="preserve">new </w:t>
      </w:r>
      <w:r w:rsidRPr="009A4DCA">
        <w:rPr>
          <w:bCs/>
        </w:rPr>
        <w:t xml:space="preserve">submission may be lodged at any future standard due date for PBAC </w:t>
      </w:r>
      <w:r w:rsidR="002152C2" w:rsidRPr="009A4DCA">
        <w:rPr>
          <w:bCs/>
        </w:rPr>
        <w:t>submissions applying to Category 2 submissions</w:t>
      </w:r>
      <w:r w:rsidRPr="009A4DCA">
        <w:rPr>
          <w:bCs/>
        </w:rPr>
        <w:t>.</w:t>
      </w:r>
    </w:p>
    <w:p w14:paraId="2935BA60" w14:textId="2257BFA7" w:rsidR="001570BE" w:rsidRPr="009A4DCA" w:rsidRDefault="00CA6C41" w:rsidP="008C1CDB">
      <w:pPr>
        <w:pStyle w:val="3-BodyText"/>
        <w:numPr>
          <w:ilvl w:val="1"/>
          <w:numId w:val="1"/>
        </w:numPr>
        <w:spacing w:before="0"/>
        <w:rPr>
          <w:rStyle w:val="ui-provider"/>
          <w:bCs/>
        </w:rPr>
      </w:pPr>
      <w:r w:rsidRPr="009A4DCA">
        <w:rPr>
          <w:rStyle w:val="ui-provider"/>
          <w:bCs/>
        </w:rPr>
        <w:t>The PBAC reiterated that the submission</w:t>
      </w:r>
      <w:r w:rsidRPr="009A4DCA">
        <w:t xml:space="preserve"> requested listing on the NIP for a single dose of vaccine and that if the sponsor wishes to request listing for revaccination in the future, PBAC consideration of a new submission</w:t>
      </w:r>
      <w:r w:rsidR="00575F23" w:rsidRPr="009A4DCA">
        <w:t xml:space="preserve"> would be required</w:t>
      </w:r>
      <w:r w:rsidRPr="009A4DCA">
        <w:t>.</w:t>
      </w:r>
    </w:p>
    <w:p w14:paraId="05520A76" w14:textId="24B2A5EF" w:rsidR="008B129C" w:rsidRPr="009A4DCA" w:rsidRDefault="00CB453F" w:rsidP="008B129C">
      <w:pPr>
        <w:widowControl w:val="0"/>
        <w:numPr>
          <w:ilvl w:val="1"/>
          <w:numId w:val="1"/>
        </w:numPr>
        <w:spacing w:after="120"/>
        <w:rPr>
          <w:bCs/>
        </w:rPr>
      </w:pPr>
      <w:r w:rsidRPr="009A4DCA">
        <w:rPr>
          <w:rFonts w:asciiTheme="minorHAnsi" w:hAnsiTheme="minorHAnsi"/>
          <w:bCs/>
          <w:snapToGrid w:val="0"/>
        </w:rPr>
        <w:t xml:space="preserve">The PBAC noted that this submission is not eligible for an Independent Review </w:t>
      </w:r>
      <w:r w:rsidR="0058059C" w:rsidRPr="009A4DCA">
        <w:t>because it is only relevant to submissions requesting a listing (or change to a listing) on the PBS</w:t>
      </w:r>
      <w:r w:rsidRPr="009A4DCA">
        <w:rPr>
          <w:rFonts w:asciiTheme="minorHAnsi" w:hAnsiTheme="minorHAnsi"/>
          <w:bCs/>
          <w:snapToGrid w:val="0"/>
        </w:rPr>
        <w:t>.</w:t>
      </w:r>
    </w:p>
    <w:p w14:paraId="30FAC2E2" w14:textId="48EE14DB" w:rsidR="00210232" w:rsidRPr="009A4DCA" w:rsidRDefault="00210232" w:rsidP="00210232">
      <w:pPr>
        <w:rPr>
          <w:rFonts w:asciiTheme="minorHAnsi" w:hAnsiTheme="minorHAnsi"/>
          <w:b/>
          <w:snapToGrid w:val="0"/>
        </w:rPr>
      </w:pPr>
      <w:r w:rsidRPr="009A4DCA">
        <w:rPr>
          <w:rFonts w:asciiTheme="minorHAnsi" w:hAnsiTheme="minorHAnsi"/>
          <w:b/>
          <w:snapToGrid w:val="0"/>
        </w:rPr>
        <w:t>Outcome:</w:t>
      </w:r>
    </w:p>
    <w:p w14:paraId="4C2C58F9" w14:textId="4627C441" w:rsidR="008B129C" w:rsidRPr="009A4DCA" w:rsidRDefault="00210232" w:rsidP="004959A2">
      <w:pPr>
        <w:rPr>
          <w:rFonts w:asciiTheme="minorHAnsi" w:hAnsiTheme="minorHAnsi"/>
          <w:b/>
          <w:bCs/>
          <w:snapToGrid w:val="0"/>
        </w:rPr>
      </w:pPr>
      <w:r w:rsidRPr="009A4DCA">
        <w:rPr>
          <w:rFonts w:asciiTheme="minorHAnsi" w:hAnsiTheme="minorHAnsi"/>
          <w:bCs/>
          <w:snapToGrid w:val="0"/>
        </w:rPr>
        <w:t>Recommended</w:t>
      </w:r>
      <w:r w:rsidR="00CA06D9" w:rsidRPr="009A4DCA">
        <w:rPr>
          <w:rFonts w:asciiTheme="minorHAnsi" w:hAnsiTheme="minorHAnsi"/>
          <w:bCs/>
          <w:snapToGrid w:val="0"/>
        </w:rPr>
        <w:t xml:space="preserve"> </w:t>
      </w:r>
    </w:p>
    <w:bookmarkEnd w:id="95"/>
    <w:p w14:paraId="6B04DFFC" w14:textId="77777777" w:rsidR="00B431C8" w:rsidRPr="009A4DCA" w:rsidRDefault="00B431C8" w:rsidP="00B431C8">
      <w:pPr>
        <w:pStyle w:val="2-SectionHeading"/>
        <w:numPr>
          <w:ilvl w:val="0"/>
          <w:numId w:val="1"/>
        </w:numPr>
      </w:pPr>
      <w:r w:rsidRPr="009A4DCA">
        <w:t>Recommended listing</w:t>
      </w:r>
    </w:p>
    <w:p w14:paraId="3511C973" w14:textId="527DC6C0" w:rsidR="00B431C8" w:rsidRPr="009A4DCA" w:rsidRDefault="00B431C8" w:rsidP="004959A2">
      <w:pPr>
        <w:pStyle w:val="3-BodyText"/>
        <w:rPr>
          <w:b/>
          <w:snapToGrid w:val="0"/>
        </w:rPr>
      </w:pPr>
      <w:r w:rsidRPr="009A4DCA">
        <w:rPr>
          <w:snapToGrid w:val="0"/>
        </w:rPr>
        <w:t xml:space="preserve">Add </w:t>
      </w:r>
      <w:r w:rsidR="002E12D0" w:rsidRPr="009A4DCA">
        <w:rPr>
          <w:snapToGrid w:val="0"/>
        </w:rPr>
        <w:t>the following circumstances</w:t>
      </w:r>
      <w:r w:rsidRPr="009A4DCA">
        <w:rPr>
          <w:snapToGrid w:val="0"/>
        </w:rPr>
        <w:t xml:space="preserve"> to the Determination:</w:t>
      </w:r>
    </w:p>
    <w:tbl>
      <w:tblPr>
        <w:tblStyle w:val="TableGrid"/>
        <w:tblW w:w="5000" w:type="pct"/>
        <w:tblLook w:val="04A0" w:firstRow="1" w:lastRow="0" w:firstColumn="1" w:lastColumn="0" w:noHBand="0" w:noVBand="1"/>
      </w:tblPr>
      <w:tblGrid>
        <w:gridCol w:w="3398"/>
        <w:gridCol w:w="1134"/>
        <w:gridCol w:w="2837"/>
        <w:gridCol w:w="1648"/>
      </w:tblGrid>
      <w:tr w:rsidR="00B431C8" w:rsidRPr="009A4DCA" w14:paraId="251CB977" w14:textId="77777777">
        <w:tc>
          <w:tcPr>
            <w:tcW w:w="1884" w:type="pct"/>
          </w:tcPr>
          <w:p w14:paraId="2BAF1D8F" w14:textId="561F7C91" w:rsidR="00B431C8" w:rsidRPr="00F54D1B" w:rsidRDefault="00B431C8" w:rsidP="00F54D1B">
            <w:pPr>
              <w:keepNext/>
              <w:keepLines/>
              <w:rPr>
                <w:rFonts w:ascii="Arial Narrow" w:hAnsi="Arial Narrow"/>
                <w:b/>
                <w:bCs/>
                <w:sz w:val="20"/>
                <w:szCs w:val="20"/>
              </w:rPr>
            </w:pPr>
            <w:r w:rsidRPr="009A4DCA">
              <w:rPr>
                <w:rFonts w:ascii="Arial Narrow" w:hAnsi="Arial Narrow"/>
                <w:b/>
                <w:bCs/>
                <w:sz w:val="20"/>
                <w:szCs w:val="20"/>
              </w:rPr>
              <w:lastRenderedPageBreak/>
              <w:t>Vaccine and the circumstances in which vaccine may be provided</w:t>
            </w:r>
          </w:p>
        </w:tc>
        <w:tc>
          <w:tcPr>
            <w:tcW w:w="629" w:type="pct"/>
          </w:tcPr>
          <w:p w14:paraId="780DCE8A" w14:textId="77777777" w:rsidR="00B431C8" w:rsidRPr="009A4DCA" w:rsidRDefault="00B431C8" w:rsidP="008C1CDB">
            <w:pPr>
              <w:pStyle w:val="In-tableHeading"/>
              <w:rPr>
                <w:lang w:val="en-AU"/>
              </w:rPr>
            </w:pPr>
            <w:r w:rsidRPr="009A4DCA">
              <w:rPr>
                <w:lang w:val="en-AU"/>
              </w:rPr>
              <w:t>Brand</w:t>
            </w:r>
          </w:p>
        </w:tc>
        <w:tc>
          <w:tcPr>
            <w:tcW w:w="1573" w:type="pct"/>
          </w:tcPr>
          <w:p w14:paraId="44B96AEF" w14:textId="1E5160A0" w:rsidR="00B431C8" w:rsidRPr="009A4DCA" w:rsidRDefault="0052060D" w:rsidP="008C1CDB">
            <w:pPr>
              <w:pStyle w:val="In-tableHeading"/>
              <w:rPr>
                <w:lang w:val="en-AU"/>
              </w:rPr>
            </w:pPr>
            <w:r w:rsidRPr="009A4DCA">
              <w:rPr>
                <w:lang w:val="en-AU"/>
              </w:rPr>
              <w:t>Formulation</w:t>
            </w:r>
          </w:p>
        </w:tc>
        <w:tc>
          <w:tcPr>
            <w:tcW w:w="914" w:type="pct"/>
          </w:tcPr>
          <w:p w14:paraId="184834C2" w14:textId="77777777" w:rsidR="00B431C8" w:rsidRPr="009A4DCA" w:rsidRDefault="00B431C8" w:rsidP="008C1CDB">
            <w:pPr>
              <w:pStyle w:val="In-tableHeading"/>
              <w:rPr>
                <w:lang w:val="en-AU"/>
              </w:rPr>
            </w:pPr>
            <w:r w:rsidRPr="009A4DCA">
              <w:rPr>
                <w:rFonts w:eastAsiaTheme="minorEastAsia"/>
                <w:szCs w:val="20"/>
                <w:lang w:val="en-AU"/>
              </w:rPr>
              <w:t>Number and timing of doses</w:t>
            </w:r>
          </w:p>
        </w:tc>
      </w:tr>
      <w:tr w:rsidR="00B431C8" w:rsidRPr="009A4DCA" w14:paraId="522253ED" w14:textId="77777777">
        <w:trPr>
          <w:trHeight w:val="357"/>
        </w:trPr>
        <w:tc>
          <w:tcPr>
            <w:tcW w:w="1884" w:type="pct"/>
          </w:tcPr>
          <w:p w14:paraId="5A03CC8A" w14:textId="77777777" w:rsidR="00B431C8" w:rsidRPr="009A4DCA" w:rsidRDefault="00B431C8" w:rsidP="008C1CDB">
            <w:pPr>
              <w:pStyle w:val="Tabletext"/>
              <w:keepNext/>
              <w:keepLines/>
              <w:rPr>
                <w:bCs/>
                <w:u w:val="single"/>
              </w:rPr>
            </w:pPr>
            <w:r w:rsidRPr="009A4DCA">
              <w:rPr>
                <w:bCs/>
                <w:u w:val="single"/>
              </w:rPr>
              <w:t>Vaccine</w:t>
            </w:r>
          </w:p>
          <w:p w14:paraId="5ECAC0D1" w14:textId="7A192A1E" w:rsidR="00B431C8" w:rsidRPr="009A4DCA" w:rsidRDefault="00B431C8" w:rsidP="008C1CDB">
            <w:pPr>
              <w:pStyle w:val="Tabletext"/>
              <w:keepNext/>
              <w:keepLines/>
              <w:rPr>
                <w:bCs/>
              </w:rPr>
            </w:pPr>
            <w:r w:rsidRPr="009A4DCA">
              <w:rPr>
                <w:bCs/>
              </w:rPr>
              <w:t xml:space="preserve">Respiratory Syncytial Virus (RSV) stabilised prefusion F </w:t>
            </w:r>
            <w:r w:rsidR="0052060D" w:rsidRPr="009A4DCA">
              <w:rPr>
                <w:bCs/>
              </w:rPr>
              <w:t xml:space="preserve">subunit </w:t>
            </w:r>
            <w:r w:rsidRPr="009A4DCA">
              <w:rPr>
                <w:bCs/>
              </w:rPr>
              <w:t>vaccine (RSVpreF)</w:t>
            </w:r>
          </w:p>
          <w:p w14:paraId="23540757" w14:textId="77777777" w:rsidR="00B431C8" w:rsidRPr="009A4DCA" w:rsidRDefault="00B431C8" w:rsidP="008C1CDB">
            <w:pPr>
              <w:pStyle w:val="Tabletext"/>
              <w:keepNext/>
              <w:keepLines/>
              <w:rPr>
                <w:bCs/>
              </w:rPr>
            </w:pPr>
          </w:p>
          <w:p w14:paraId="69AA6048" w14:textId="77777777" w:rsidR="00B431C8" w:rsidRPr="009A4DCA" w:rsidRDefault="00B431C8" w:rsidP="008C1CDB">
            <w:pPr>
              <w:pStyle w:val="Tabletext"/>
              <w:keepNext/>
              <w:keepLines/>
              <w:rPr>
                <w:bCs/>
                <w:u w:val="single"/>
              </w:rPr>
            </w:pPr>
            <w:r w:rsidRPr="009A4DCA">
              <w:rPr>
                <w:bCs/>
                <w:u w:val="single"/>
              </w:rPr>
              <w:t>Circumstances</w:t>
            </w:r>
          </w:p>
          <w:p w14:paraId="483C9587" w14:textId="77777777" w:rsidR="00B431C8" w:rsidRPr="009A4DCA" w:rsidRDefault="00B431C8" w:rsidP="00C6762E">
            <w:pPr>
              <w:pStyle w:val="Tabletext"/>
              <w:keepNext/>
              <w:keepLines/>
              <w:numPr>
                <w:ilvl w:val="0"/>
                <w:numId w:val="6"/>
              </w:numPr>
              <w:ind w:left="313" w:hanging="142"/>
            </w:pPr>
            <w:r w:rsidRPr="009A4DCA">
              <w:t>Adults 75 years of age and above;</w:t>
            </w:r>
          </w:p>
          <w:p w14:paraId="5741410C" w14:textId="77777777" w:rsidR="00B431C8" w:rsidRPr="009A4DCA" w:rsidRDefault="00B431C8" w:rsidP="00C6762E">
            <w:pPr>
              <w:pStyle w:val="Tabletext"/>
              <w:keepNext/>
              <w:keepLines/>
              <w:numPr>
                <w:ilvl w:val="0"/>
                <w:numId w:val="6"/>
              </w:numPr>
              <w:ind w:left="313" w:hanging="142"/>
            </w:pPr>
            <w:r w:rsidRPr="009A4DCA">
              <w:t>Aboriginal and Torres Strait Islander peoples aged 60 to 74 years.</w:t>
            </w:r>
          </w:p>
        </w:tc>
        <w:tc>
          <w:tcPr>
            <w:tcW w:w="629" w:type="pct"/>
          </w:tcPr>
          <w:p w14:paraId="7D693D80" w14:textId="77777777" w:rsidR="00B431C8" w:rsidRPr="009A4DCA" w:rsidRDefault="00B431C8" w:rsidP="008C1CDB">
            <w:pPr>
              <w:pStyle w:val="Tabletext"/>
              <w:keepNext/>
              <w:keepLines/>
              <w:jc w:val="center"/>
              <w:rPr>
                <w:iCs/>
              </w:rPr>
            </w:pPr>
            <w:r w:rsidRPr="009A4DCA">
              <w:rPr>
                <w:iCs/>
              </w:rPr>
              <w:t>Abrysvo</w:t>
            </w:r>
          </w:p>
        </w:tc>
        <w:tc>
          <w:tcPr>
            <w:tcW w:w="1573" w:type="pct"/>
          </w:tcPr>
          <w:p w14:paraId="5557B58A" w14:textId="77777777" w:rsidR="0052060D" w:rsidRPr="009A4DCA" w:rsidRDefault="0052060D" w:rsidP="008C1CDB">
            <w:pPr>
              <w:pStyle w:val="Tabletext"/>
              <w:keepNext/>
              <w:keepLines/>
            </w:pPr>
            <w:r w:rsidRPr="009A4DCA">
              <w:t>Injection (0.5mL)</w:t>
            </w:r>
          </w:p>
          <w:p w14:paraId="49695707" w14:textId="06B6BEFE" w:rsidR="00B431C8" w:rsidRPr="009A4DCA" w:rsidRDefault="00B431C8" w:rsidP="008C1CDB">
            <w:pPr>
              <w:pStyle w:val="Tabletext"/>
              <w:keepNext/>
              <w:keepLines/>
            </w:pPr>
          </w:p>
        </w:tc>
        <w:tc>
          <w:tcPr>
            <w:tcW w:w="914" w:type="pct"/>
          </w:tcPr>
          <w:p w14:paraId="693C8760" w14:textId="77777777" w:rsidR="00B431C8" w:rsidRPr="009A4DCA" w:rsidRDefault="00B431C8" w:rsidP="008C1CDB">
            <w:pPr>
              <w:pStyle w:val="Tabletext"/>
              <w:keepNext/>
              <w:keepLines/>
              <w:rPr>
                <w:iCs/>
              </w:rPr>
            </w:pPr>
            <w:r w:rsidRPr="009A4DCA">
              <w:rPr>
                <w:iCs/>
              </w:rPr>
              <w:t>1 dose</w:t>
            </w:r>
          </w:p>
        </w:tc>
      </w:tr>
    </w:tbl>
    <w:p w14:paraId="6D0F62BC" w14:textId="77777777" w:rsidR="00B431C8" w:rsidRPr="009A4DCA" w:rsidRDefault="00B431C8" w:rsidP="00B431C8">
      <w:pPr>
        <w:jc w:val="left"/>
        <w:rPr>
          <w:rFonts w:asciiTheme="minorHAnsi" w:hAnsiTheme="minorHAnsi"/>
          <w:bCs/>
          <w:snapToGrid w:val="0"/>
        </w:rPr>
      </w:pPr>
    </w:p>
    <w:p w14:paraId="31D69210" w14:textId="64C633A9" w:rsidR="008B129C" w:rsidRPr="009A4DCA" w:rsidRDefault="00B431C8" w:rsidP="008B129C">
      <w:pPr>
        <w:jc w:val="left"/>
        <w:rPr>
          <w:rFonts w:asciiTheme="minorHAnsi" w:hAnsiTheme="minorHAnsi"/>
          <w:b/>
          <w:i/>
          <w:iCs/>
          <w:snapToGrid w:val="0"/>
        </w:rPr>
      </w:pPr>
      <w:r w:rsidRPr="009A4DCA">
        <w:rPr>
          <w:rFonts w:asciiTheme="minorHAnsi" w:hAnsiTheme="minorHAnsi"/>
          <w:b/>
          <w:i/>
          <w:iCs/>
          <w:snapToGrid w:val="0"/>
        </w:rPr>
        <w:t>This restriction may be subject to further review. Should there be any changes made to the restriction the sponsor will be informed.</w:t>
      </w:r>
    </w:p>
    <w:p w14:paraId="19F8AB32" w14:textId="77777777" w:rsidR="00A807E7" w:rsidRPr="00A807E7" w:rsidRDefault="00A807E7" w:rsidP="004959A2">
      <w:pPr>
        <w:pStyle w:val="2-SectionHeading"/>
      </w:pPr>
      <w:r w:rsidRPr="00A807E7">
        <w:t>Context for Decision </w:t>
      </w:r>
    </w:p>
    <w:p w14:paraId="73CC6F35" w14:textId="77777777" w:rsidR="00A807E7" w:rsidRPr="00A807E7" w:rsidRDefault="00A807E7" w:rsidP="004959A2">
      <w:pPr>
        <w:pStyle w:val="3-BodyText"/>
        <w:numPr>
          <w:ilvl w:val="0"/>
          <w:numId w:val="0"/>
        </w:numPr>
        <w:ind w:left="720"/>
        <w:rPr>
          <w:snapToGrid w:val="0"/>
        </w:rPr>
      </w:pPr>
      <w:r w:rsidRPr="00A807E7">
        <w:rPr>
          <w:snapToGrid w:val="0"/>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A807E7">
        <w:rPr>
          <w:snapToGrid w:val="0"/>
        </w:rPr>
        <w:t> </w:t>
      </w:r>
    </w:p>
    <w:p w14:paraId="04D3407D" w14:textId="77777777" w:rsidR="00A807E7" w:rsidRPr="00A807E7" w:rsidRDefault="00A807E7" w:rsidP="004959A2">
      <w:pPr>
        <w:pStyle w:val="2-SectionHeading"/>
      </w:pPr>
      <w:r w:rsidRPr="00A807E7">
        <w:t>Sponsor’s Comment </w:t>
      </w:r>
    </w:p>
    <w:p w14:paraId="54E91BA9" w14:textId="393669F2" w:rsidR="00733781" w:rsidRPr="00B874B4" w:rsidRDefault="00733781" w:rsidP="004959A2">
      <w:pPr>
        <w:pStyle w:val="3-BodyText"/>
        <w:numPr>
          <w:ilvl w:val="0"/>
          <w:numId w:val="0"/>
        </w:numPr>
        <w:ind w:left="720"/>
        <w:rPr>
          <w:snapToGrid w:val="0"/>
        </w:rPr>
      </w:pPr>
      <w:r w:rsidRPr="00B874B4">
        <w:rPr>
          <w:snapToGrid w:val="0"/>
        </w:rPr>
        <w:t>Pfizer Australia welcomes the Pharmaceutical Benefits Advisory Committee (PBAC) recommendation for Abrysvo® to be funded through the National Immunisation Program for the prevention of lower respiratory tract disease caused by RSV for adults 75 years of age and above and Aboriginal and Torres Strait Islander people 60 to 74 years of age. We will continue to work with the PBAC and the Department of Health and Aged Care to provide funded access, including for adults 60</w:t>
      </w:r>
      <w:r w:rsidR="006A7F50" w:rsidRPr="00B874B4">
        <w:rPr>
          <w:snapToGrid w:val="0"/>
        </w:rPr>
        <w:t xml:space="preserve"> to </w:t>
      </w:r>
      <w:r w:rsidR="00717CDE" w:rsidRPr="00B874B4">
        <w:rPr>
          <w:snapToGrid w:val="0"/>
        </w:rPr>
        <w:t>74</w:t>
      </w:r>
      <w:r w:rsidRPr="00B874B4">
        <w:rPr>
          <w:snapToGrid w:val="0"/>
        </w:rPr>
        <w:t xml:space="preserve"> years of age with a risk factor for severe RSV disease</w:t>
      </w:r>
      <w:r w:rsidR="0067460C" w:rsidRPr="00B874B4">
        <w:rPr>
          <w:snapToGrid w:val="0"/>
        </w:rPr>
        <w:t>.</w:t>
      </w:r>
    </w:p>
    <w:p w14:paraId="6EC87DD4" w14:textId="77777777" w:rsidR="008B129C" w:rsidRPr="009A4DCA" w:rsidRDefault="008B129C" w:rsidP="008B129C">
      <w:pPr>
        <w:jc w:val="left"/>
        <w:rPr>
          <w:rFonts w:asciiTheme="minorHAnsi" w:hAnsiTheme="minorHAnsi"/>
          <w:b/>
          <w:i/>
          <w:iCs/>
          <w:snapToGrid w:val="0"/>
        </w:rPr>
      </w:pPr>
    </w:p>
    <w:sectPr w:rsidR="008B129C" w:rsidRPr="009A4DCA" w:rsidSect="000F671F">
      <w:headerReference w:type="default" r:id="rId12"/>
      <w:footerReference w:type="defaul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D433" w14:textId="77777777" w:rsidR="00A73EEF" w:rsidRDefault="00A73EEF" w:rsidP="00124A51">
      <w:r>
        <w:separator/>
      </w:r>
    </w:p>
    <w:p w14:paraId="2B0A752E" w14:textId="77777777" w:rsidR="00A73EEF" w:rsidRDefault="00A73EEF"/>
  </w:endnote>
  <w:endnote w:type="continuationSeparator" w:id="0">
    <w:p w14:paraId="2D0D81EC" w14:textId="77777777" w:rsidR="00A73EEF" w:rsidRDefault="00A73EEF" w:rsidP="00124A51">
      <w:r>
        <w:continuationSeparator/>
      </w:r>
    </w:p>
    <w:p w14:paraId="7A3E13BF" w14:textId="77777777" w:rsidR="00A73EEF" w:rsidRDefault="00A73EEF"/>
  </w:endnote>
  <w:endnote w:type="continuationNotice" w:id="1">
    <w:p w14:paraId="2169AE92" w14:textId="77777777" w:rsidR="00A73EEF" w:rsidRDefault="00A73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D066" w14:textId="14FCCF13" w:rsidR="00A22E6F" w:rsidRDefault="00A22E6F" w:rsidP="00753B29">
    <w:pPr>
      <w:pStyle w:val="Footer"/>
      <w:jc w:val="center"/>
    </w:pPr>
  </w:p>
  <w:p w14:paraId="3ECECA7F" w14:textId="11B7500D" w:rsidR="00A22E6F" w:rsidRPr="007C1CD9" w:rsidRDefault="00D37091" w:rsidP="006028D3">
    <w:pPr>
      <w:pStyle w:val="PageFooter"/>
    </w:pPr>
    <w:sdt>
      <w:sdtPr>
        <w:id w:val="1036156457"/>
        <w:docPartObj>
          <w:docPartGallery w:val="Page Numbers (Bottom of Page)"/>
          <w:docPartUnique/>
        </w:docPartObj>
      </w:sdtPr>
      <w:sdtEndPr>
        <w:rPr>
          <w:noProof/>
        </w:rPr>
      </w:sdtEndPr>
      <w:sdtContent>
        <w:r w:rsidR="00A22E6F">
          <w:fldChar w:fldCharType="begin"/>
        </w:r>
        <w:r w:rsidR="00A22E6F">
          <w:instrText xml:space="preserve"> PAGE   \* MERGEFORMAT </w:instrText>
        </w:r>
        <w:r w:rsidR="00A22E6F">
          <w:fldChar w:fldCharType="separate"/>
        </w:r>
        <w:r w:rsidR="00A22E6F">
          <w:rPr>
            <w:noProof/>
          </w:rPr>
          <w:t>2</w:t>
        </w:r>
        <w:r w:rsidR="00A22E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F773" w14:textId="77777777" w:rsidR="00A73EEF" w:rsidRDefault="00A73EEF" w:rsidP="00124A51">
      <w:r>
        <w:separator/>
      </w:r>
    </w:p>
    <w:p w14:paraId="5FA5B903" w14:textId="77777777" w:rsidR="00A73EEF" w:rsidRDefault="00A73EEF"/>
  </w:footnote>
  <w:footnote w:type="continuationSeparator" w:id="0">
    <w:p w14:paraId="6547B35E" w14:textId="77777777" w:rsidR="00A73EEF" w:rsidRDefault="00A73EEF" w:rsidP="00124A51">
      <w:r>
        <w:continuationSeparator/>
      </w:r>
    </w:p>
    <w:p w14:paraId="0AB90EF8" w14:textId="77777777" w:rsidR="00A73EEF" w:rsidRDefault="00A73EEF"/>
  </w:footnote>
  <w:footnote w:type="continuationNotice" w:id="1">
    <w:p w14:paraId="5F2E9F87" w14:textId="77777777" w:rsidR="00A73EEF" w:rsidRDefault="00A73EEF"/>
  </w:footnote>
  <w:footnote w:id="2">
    <w:p w14:paraId="1B6C1EAA" w14:textId="77777777" w:rsidR="006B3C57" w:rsidRPr="00C6148D" w:rsidRDefault="006B3C57" w:rsidP="00586C6E">
      <w:pPr>
        <w:pStyle w:val="FootnoteText"/>
        <w:jc w:val="both"/>
        <w:rPr>
          <w:lang w:val="en-US"/>
        </w:rPr>
      </w:pPr>
      <w:r>
        <w:rPr>
          <w:rStyle w:val="FootnoteReference"/>
        </w:rPr>
        <w:footnoteRef/>
      </w:r>
      <w:r>
        <w:t xml:space="preserve"> </w:t>
      </w:r>
      <w:r w:rsidRPr="00C6148D">
        <w:t xml:space="preserve">Tabor, D., Fernandes, F., Langedijk, A., Wilkins, D., Lebbink, R., T. A., &amp; ...Abram, M. (2020). Global Molecular Epidemiology of Respiratory Syncytial Virus from the 2017-2018 INFORM-RSV Study. </w:t>
      </w:r>
      <w:r w:rsidRPr="00C6148D">
        <w:rPr>
          <w:i/>
          <w:iCs/>
        </w:rPr>
        <w:t>J Clin Microbiol</w:t>
      </w:r>
      <w:r w:rsidRPr="00C6148D">
        <w:t>, 59(1</w:t>
      </w:r>
      <w:r>
        <w:t>).</w:t>
      </w:r>
    </w:p>
  </w:footnote>
  <w:footnote w:id="3">
    <w:p w14:paraId="1DE11CE7" w14:textId="4EF3F214" w:rsidR="006B3C57" w:rsidRPr="00AF718E" w:rsidRDefault="006B3C57" w:rsidP="00586C6E">
      <w:pPr>
        <w:pStyle w:val="FootnoteText"/>
        <w:jc w:val="both"/>
        <w:rPr>
          <w:lang w:val="en-US"/>
        </w:rPr>
      </w:pPr>
      <w:r>
        <w:rPr>
          <w:rStyle w:val="FootnoteReference"/>
        </w:rPr>
        <w:footnoteRef/>
      </w:r>
      <w:r>
        <w:t xml:space="preserve"> </w:t>
      </w:r>
      <w:r w:rsidRPr="00AF718E">
        <w:t>Eden, J., Sikazewe, C., &amp; Xie, R. (2022). Off-season RSV epidemics in Australia after easing of COV</w:t>
      </w:r>
      <w:r w:rsidR="009A4DCA">
        <w:t>I</w:t>
      </w:r>
      <w:r w:rsidRPr="00AF718E">
        <w:t xml:space="preserve">D-19 restrictions. </w:t>
      </w:r>
      <w:r w:rsidRPr="00AF718E">
        <w:rPr>
          <w:i/>
          <w:iCs/>
        </w:rPr>
        <w:t>Nature Communications, 2884</w:t>
      </w:r>
      <w:r w:rsidRPr="00AF718E">
        <w:t>, 1-</w:t>
      </w:r>
      <w:r>
        <w:t>8</w:t>
      </w:r>
    </w:p>
  </w:footnote>
  <w:footnote w:id="4">
    <w:p w14:paraId="390A5E41" w14:textId="77777777" w:rsidR="00772781" w:rsidRPr="000C3F47" w:rsidRDefault="00772781" w:rsidP="00586C6E">
      <w:pPr>
        <w:pStyle w:val="FootnoteText"/>
        <w:jc w:val="both"/>
        <w:rPr>
          <w:lang w:val="en-US"/>
        </w:rPr>
      </w:pPr>
      <w:r>
        <w:rPr>
          <w:rStyle w:val="FootnoteReference"/>
        </w:rPr>
        <w:footnoteRef/>
      </w:r>
      <w:r>
        <w:t xml:space="preserve"> </w:t>
      </w:r>
      <w:r w:rsidRPr="000C3F47">
        <w:t xml:space="preserve">Nam, H., &amp; Ison, M. (2019). Respiratory syncytial virus infection in adults. </w:t>
      </w:r>
      <w:r w:rsidRPr="000C3F47">
        <w:rPr>
          <w:i/>
          <w:iCs/>
        </w:rPr>
        <w:t>BMJ</w:t>
      </w:r>
      <w:r w:rsidRPr="000C3F47">
        <w:t>, Sep;366:l502</w:t>
      </w:r>
      <w:r>
        <w:t>1.</w:t>
      </w:r>
    </w:p>
  </w:footnote>
  <w:footnote w:id="5">
    <w:p w14:paraId="601E85C9" w14:textId="77777777" w:rsidR="006B3C57" w:rsidRPr="00AF718E" w:rsidRDefault="006B3C57" w:rsidP="00586C6E">
      <w:pPr>
        <w:pStyle w:val="FootnoteText"/>
        <w:jc w:val="both"/>
        <w:rPr>
          <w:lang w:val="en-US"/>
        </w:rPr>
      </w:pPr>
      <w:r>
        <w:rPr>
          <w:rStyle w:val="FootnoteReference"/>
        </w:rPr>
        <w:footnoteRef/>
      </w:r>
      <w:r>
        <w:t xml:space="preserve"> </w:t>
      </w:r>
      <w:r w:rsidRPr="00AF718E">
        <w:t xml:space="preserve">Shi, Vennard, S., Jasiewicz, F., Brogden, R., Nair, H., &amp; Investigators, f. R. (2022). Disease burden estimates of respiratory syncytial virus related acute respiratory infections in adults with comorbidity: a systematic review and meta-analysis. </w:t>
      </w:r>
      <w:r w:rsidRPr="00AF718E">
        <w:rPr>
          <w:i/>
          <w:iCs/>
        </w:rPr>
        <w:t>J Infect Dis.</w:t>
      </w:r>
      <w:r w:rsidRPr="00AF718E">
        <w:t>, Aug;226:S17-</w:t>
      </w:r>
      <w:r>
        <w:t>21.</w:t>
      </w:r>
    </w:p>
  </w:footnote>
  <w:footnote w:id="6">
    <w:p w14:paraId="24F6A8BA" w14:textId="02658DBE" w:rsidR="00835B11" w:rsidRDefault="00835B11" w:rsidP="00586C6E">
      <w:pPr>
        <w:pStyle w:val="FootnoteText"/>
        <w:jc w:val="both"/>
      </w:pPr>
      <w:r>
        <w:rPr>
          <w:rStyle w:val="FootnoteReference"/>
        </w:rPr>
        <w:footnoteRef/>
      </w:r>
      <w:r>
        <w:t xml:space="preserve"> Thindwa D et al., Global patterns of rebound to normal RSV dynamics following COVID-19 suppression, </w:t>
      </w:r>
      <w:r w:rsidRPr="00835B11">
        <w:rPr>
          <w:i/>
          <w:iCs/>
        </w:rPr>
        <w:t>BMC Infectious diseases</w:t>
      </w:r>
      <w:r>
        <w:t xml:space="preserve"> 2024;24:635-646.</w:t>
      </w:r>
    </w:p>
  </w:footnote>
  <w:footnote w:id="7">
    <w:p w14:paraId="190A37D2" w14:textId="07106C8B" w:rsidR="00082307" w:rsidRDefault="00082307" w:rsidP="0023069B">
      <w:pPr>
        <w:pStyle w:val="FootnoteText"/>
        <w:jc w:val="both"/>
      </w:pPr>
      <w:r>
        <w:rPr>
          <w:rStyle w:val="FootnoteReference"/>
        </w:rPr>
        <w:footnoteRef/>
      </w:r>
      <w:r>
        <w:t xml:space="preserve"> </w:t>
      </w:r>
      <w:r w:rsidR="00E737D1">
        <w:t>Symptoms for RSV-LRTI and ARI were p</w:t>
      </w:r>
      <w:r w:rsidR="00E06DDE">
        <w:t>redefined</w:t>
      </w:r>
      <w:r w:rsidR="00E737D1">
        <w:t xml:space="preserve">. </w:t>
      </w:r>
      <w:r w:rsidR="00563456">
        <w:t>RSV-</w:t>
      </w:r>
      <w:r>
        <w:t xml:space="preserve">LRTI were defined as </w:t>
      </w:r>
      <w:r w:rsidR="00E355B3" w:rsidRPr="00E355B3">
        <w:t>ARI with ≥ 2</w:t>
      </w:r>
      <w:r w:rsidR="00AE0F8D">
        <w:t xml:space="preserve"> or </w:t>
      </w:r>
      <w:r w:rsidR="00AE0F8D" w:rsidRPr="00E355B3">
        <w:t xml:space="preserve">≥ </w:t>
      </w:r>
      <w:r w:rsidR="00AE0F8D">
        <w:t>3</w:t>
      </w:r>
      <w:r w:rsidR="00E355B3" w:rsidRPr="00E355B3">
        <w:t xml:space="preserve"> of the 5 LRTI symptoms lasting more than 1 day during the same illness, </w:t>
      </w:r>
      <w:r w:rsidR="004675F0">
        <w:t>and</w:t>
      </w:r>
      <w:r w:rsidR="00E355B3" w:rsidRPr="00E355B3">
        <w:t xml:space="preserve"> RT-PCR–confirmed RSV infection within 7 days of ARI symptom onset.</w:t>
      </w:r>
      <w:r w:rsidR="002A257E">
        <w:t xml:space="preserve"> ARI were defined as </w:t>
      </w:r>
      <w:r w:rsidR="00B7642D">
        <w:t>a</w:t>
      </w:r>
      <w:r w:rsidR="008B628B" w:rsidRPr="008B628B">
        <w:t>n illness involving 1 or more of the following 7 respiratory illness symptoms, lasting more than 1 day (new or increased): sore throat, cough, nasal congestion, nasal discharge, wheezing, sputum production, shortness of breath</w:t>
      </w:r>
      <w:r w:rsidR="008B628B">
        <w:t xml:space="preserve">. </w:t>
      </w:r>
    </w:p>
  </w:footnote>
  <w:footnote w:id="8">
    <w:p w14:paraId="77DF54C9" w14:textId="1543606B" w:rsidR="002631A1" w:rsidRDefault="002631A1" w:rsidP="0023069B">
      <w:pPr>
        <w:pStyle w:val="FootnoteText"/>
        <w:jc w:val="both"/>
      </w:pPr>
      <w:r>
        <w:rPr>
          <w:rStyle w:val="FootnoteReference"/>
        </w:rPr>
        <w:footnoteRef/>
      </w:r>
      <w:r>
        <w:t xml:space="preserve"> Further detail from the ATAGI advice to the PBAC indicated t</w:t>
      </w:r>
      <w:r w:rsidRPr="002631A1">
        <w:t xml:space="preserve">hese criteria were agreed </w:t>
      </w:r>
      <w:r>
        <w:t>with</w:t>
      </w:r>
      <w:r w:rsidRPr="002631A1">
        <w:t xml:space="preserve"> the Committee for Medicinal Products for Human Use (CHMP) and the Centre for Biologics Evaluation and Research (CBER), who stated that this would support </w:t>
      </w:r>
      <w:r>
        <w:t>registration</w:t>
      </w:r>
      <w:r w:rsidRPr="002631A1">
        <w:t>.</w:t>
      </w:r>
    </w:p>
  </w:footnote>
  <w:footnote w:id="9">
    <w:p w14:paraId="62F0EF83" w14:textId="77777777" w:rsidR="007D5A26" w:rsidRPr="00A5392A" w:rsidRDefault="007D5A26" w:rsidP="007D5A26">
      <w:pPr>
        <w:pStyle w:val="FootnoteText"/>
        <w:jc w:val="both"/>
      </w:pPr>
      <w:r w:rsidRPr="001114DC">
        <w:rPr>
          <w:rStyle w:val="FootnoteReference"/>
          <w:sz w:val="18"/>
        </w:rPr>
        <w:footnoteRef/>
      </w:r>
      <w:r w:rsidRPr="001114DC">
        <w:rPr>
          <w:sz w:val="18"/>
          <w:szCs w:val="18"/>
        </w:rPr>
        <w:t xml:space="preserve"> Tartof, S.Y. Real-world Abrysvo Vaccine Effectiveness (VE) Against </w:t>
      </w:r>
      <w:r>
        <w:rPr>
          <w:sz w:val="18"/>
          <w:szCs w:val="18"/>
        </w:rPr>
        <w:t>RSV</w:t>
      </w:r>
      <w:r w:rsidRPr="001114DC">
        <w:rPr>
          <w:sz w:val="18"/>
          <w:szCs w:val="18"/>
        </w:rPr>
        <w:t>-related Severe Acute Respiratory Infection (ARI) Hospitalizations and Emergency Department (ED) Visits – Kaiser Permanente Southern California (KPSC), November 2023–April 2024</w:t>
      </w:r>
      <w:r>
        <w:rPr>
          <w:sz w:val="18"/>
          <w:szCs w:val="18"/>
        </w:rPr>
        <w:t xml:space="preserve">. ID Week 2024. </w:t>
      </w:r>
    </w:p>
  </w:footnote>
  <w:footnote w:id="10">
    <w:p w14:paraId="2218A77B" w14:textId="77777777" w:rsidR="00DA50F1" w:rsidRPr="00DC6346" w:rsidRDefault="00DA50F1" w:rsidP="00D470A3">
      <w:pPr>
        <w:pStyle w:val="FootnoteText"/>
        <w:jc w:val="both"/>
      </w:pPr>
      <w:r>
        <w:rPr>
          <w:rStyle w:val="FootnoteReference"/>
        </w:rPr>
        <w:footnoteRef/>
      </w:r>
      <w:r>
        <w:t xml:space="preserve"> B</w:t>
      </w:r>
      <w:r w:rsidRPr="00DE3A69">
        <w:t>ruyndonckx R, Polkowska-Kramek A, Liang C, Nuttens C, Tran TMP, Gessner BD, Begier E. Estimation of Symptomatic Respiratory Syncytial Virus Infection Incidence in Adults in Multiple Countries: A Time-Series Model-Based Analysis Protocol. Infect Dis Ther. 2024 Apr;13(4):953-963. doi: 10.1007/s40121-024-00948-9. Epub 2024 Mar 18. PMID: 38499832; PMCID: PMC11058168.</w:t>
      </w:r>
    </w:p>
  </w:footnote>
  <w:footnote w:id="11">
    <w:p w14:paraId="16D62B68" w14:textId="77777777" w:rsidR="00D96526" w:rsidRDefault="00D96526" w:rsidP="00D96526">
      <w:pPr>
        <w:pStyle w:val="FootnoteText"/>
      </w:pPr>
      <w:r>
        <w:rPr>
          <w:rStyle w:val="FootnoteReference"/>
        </w:rPr>
        <w:footnoteRef/>
      </w:r>
      <w:r>
        <w:t xml:space="preserve"> </w:t>
      </w:r>
      <w:r w:rsidRPr="00672EF6">
        <w:rPr>
          <w:iCs/>
        </w:rPr>
        <w:t>Economic model, ABRYSVO_Older Adults_CEA_July 2024, spreadsheet ‘variables’ cell E14</w:t>
      </w:r>
      <w:r>
        <w:rPr>
          <w:iCs/>
        </w:rPr>
        <w:t>.</w:t>
      </w:r>
    </w:p>
  </w:footnote>
  <w:footnote w:id="12">
    <w:p w14:paraId="26DDDE78" w14:textId="77777777" w:rsidR="00DA50F1" w:rsidRPr="00277E88" w:rsidRDefault="00DA50F1" w:rsidP="00B915E3">
      <w:pPr>
        <w:pStyle w:val="FootnoteText"/>
        <w:jc w:val="both"/>
        <w:rPr>
          <w:iCs/>
        </w:rPr>
      </w:pPr>
      <w:r>
        <w:rPr>
          <w:rStyle w:val="FootnoteReference"/>
        </w:rPr>
        <w:footnoteRef/>
      </w:r>
      <w:r>
        <w:t xml:space="preserve"> </w:t>
      </w:r>
      <w:r w:rsidRPr="00277E88">
        <w:rPr>
          <w:iCs/>
        </w:rPr>
        <w:t xml:space="preserve">Calculation using Economic model, ABRYSVO_Older Adults_CEA_July 2024, spreadsheet ‘ABR’: </w:t>
      </w:r>
      <w:r w:rsidRPr="00277E88">
        <w:rPr>
          <w:iCs/>
        </w:rPr>
        <w:br/>
        <w:t xml:space="preserve">10.8% = 0.000021(cell M5)/0.000191 (cell L5)*100. </w:t>
      </w:r>
    </w:p>
  </w:footnote>
  <w:footnote w:id="13">
    <w:p w14:paraId="28AC71B2" w14:textId="77777777" w:rsidR="00DA50F1" w:rsidRDefault="00DA50F1" w:rsidP="00B915E3">
      <w:pPr>
        <w:pStyle w:val="FootnoteText"/>
        <w:jc w:val="both"/>
      </w:pPr>
      <w:r>
        <w:rPr>
          <w:rStyle w:val="FootnoteReference"/>
        </w:rPr>
        <w:footnoteRef/>
      </w:r>
      <w:r>
        <w:t xml:space="preserve"> </w:t>
      </w:r>
      <w:r w:rsidRPr="00BA3D5A">
        <w:t>Molnar D, La EM, Verelst F, Poston S, Graham J, Van Bellinghen LA, Curran D. Public Health Impact of the Adjuvanted RSVPreF3 Vaccine for Respiratory Syncytial Virus Prevention Among Older Adults in the United States. Infect Dis Ther. 2024 Apr;13(4):827-844. doi: 10.1007/s40121-024-00939-w. Epub 2024 Mar 20. PMID: 38507143; PMCID: PMC11058166.</w:t>
      </w:r>
    </w:p>
  </w:footnote>
  <w:footnote w:id="14">
    <w:p w14:paraId="346F26E4" w14:textId="14C18AF8" w:rsidR="00622660" w:rsidRDefault="00622660" w:rsidP="00B915E3">
      <w:pPr>
        <w:pStyle w:val="FootnoteText"/>
        <w:jc w:val="both"/>
      </w:pPr>
      <w:r>
        <w:rPr>
          <w:rStyle w:val="FootnoteReference"/>
        </w:rPr>
        <w:footnoteRef/>
      </w:r>
      <w:r>
        <w:t xml:space="preserve"> </w:t>
      </w:r>
      <w:r w:rsidRPr="00622660">
        <w:t xml:space="preserve">  National Center for Immunization and Respiratory Diseases. RSV Vaccination in Adults: Work Group Interpretations. ACIP Meeting, 24 October 2024. https://www.cdc.gov/acip/downloads/slides-2024-10-23-24/06-RSV-Adult-Melgar-508.pdf</w:t>
      </w:r>
    </w:p>
  </w:footnote>
  <w:footnote w:id="15">
    <w:p w14:paraId="7A9273CE" w14:textId="77777777" w:rsidR="00DA50F1" w:rsidRDefault="00DA50F1" w:rsidP="00DA50F1">
      <w:pPr>
        <w:pStyle w:val="FootnoteText"/>
      </w:pPr>
      <w:r>
        <w:rPr>
          <w:rStyle w:val="FootnoteReference"/>
        </w:rPr>
        <w:footnoteRef/>
      </w:r>
      <w:r>
        <w:t xml:space="preserve"> </w:t>
      </w:r>
      <w:r w:rsidRPr="0072627B">
        <w:t xml:space="preserve">Falsey AR, Walsh EE, Osborne RH, Vandendijck Y, Ren X, Witek J, Kang D, Chan E, Scott J, Ispas G. Comparative assessment of reported symptoms of influenza, respiratory syncytial virus, and human metapneumovirus infection during hospitalization and post-discharge assessed by Respiratory Intensity and Impact Questionnaire. Influenza Other Respir Viruses. 2022 Jan;16(1):79-89. doi: 10.1111/irv.12903. </w:t>
      </w:r>
    </w:p>
  </w:footnote>
  <w:footnote w:id="16">
    <w:p w14:paraId="5F71A43D" w14:textId="77777777" w:rsidR="00DA50F1" w:rsidRDefault="00DA50F1" w:rsidP="00DA50F1">
      <w:pPr>
        <w:pStyle w:val="FootnoteText"/>
      </w:pPr>
      <w:r>
        <w:rPr>
          <w:rStyle w:val="FootnoteReference"/>
        </w:rPr>
        <w:footnoteRef/>
      </w:r>
      <w:r>
        <w:t xml:space="preserve"> </w:t>
      </w:r>
      <w:r w:rsidRPr="002B1F23">
        <w:t xml:space="preserve">Mao Z, Li X, Korsten K, Bont L, Butler C, Wildenbeest J, Coenen S, Hens N, Bilcke J, Beutels P; RESCEU Investigators. Economic Burden and Health-Related Quality of Life of Respiratory Syncytial Virus and Influenza Infection in European Community-Dwelling Older Adults. J Infect Dis. 2022 Aug 12;226(Suppl 1):S87-S94. doi: 10.1093/infdis/jiac069. </w:t>
      </w:r>
    </w:p>
  </w:footnote>
  <w:footnote w:id="17">
    <w:p w14:paraId="65254E14" w14:textId="77777777" w:rsidR="00C764F4" w:rsidRDefault="00C764F4" w:rsidP="00DA27F2">
      <w:pPr>
        <w:pStyle w:val="FootnoteText"/>
        <w:jc w:val="both"/>
      </w:pPr>
      <w:r>
        <w:rPr>
          <w:rStyle w:val="FootnoteReference"/>
        </w:rPr>
        <w:footnoteRef/>
      </w:r>
      <w:r>
        <w:t xml:space="preserve"> ABS Population projections, reference period 2022 (base) to 2071, URL:  </w:t>
      </w:r>
      <w:hyperlink r:id="rId1" w:history="1">
        <w:r w:rsidRPr="0025710A">
          <w:rPr>
            <w:rStyle w:val="Hyperlink"/>
          </w:rPr>
          <w:t>https://www.abs.gov.au/statistics/people/population/population-projections-australia/latest-release</w:t>
        </w:r>
      </w:hyperlink>
      <w:r>
        <w:t xml:space="preserve"> </w:t>
      </w:r>
    </w:p>
  </w:footnote>
  <w:footnote w:id="18">
    <w:p w14:paraId="0E88D01F" w14:textId="77777777" w:rsidR="0060543D" w:rsidRPr="009626AC" w:rsidRDefault="0060543D" w:rsidP="00DA27F2">
      <w:pPr>
        <w:pStyle w:val="FootnoteText"/>
        <w:jc w:val="both"/>
        <w:rPr>
          <w:iCs/>
        </w:rPr>
      </w:pPr>
      <w:r>
        <w:rPr>
          <w:rStyle w:val="FootnoteReference"/>
        </w:rPr>
        <w:footnoteRef/>
      </w:r>
      <w:r>
        <w:t xml:space="preserve"> ABS </w:t>
      </w:r>
      <w:r w:rsidRPr="00004E64">
        <w:t>Estimates and Projections, Aboriginal and Torres Strait Islander Australians</w:t>
      </w:r>
      <w:r>
        <w:t>, Reference period 2011 to 2031,</w:t>
      </w:r>
      <w:r w:rsidRPr="00004E64">
        <w:t xml:space="preserve"> </w:t>
      </w:r>
      <w:r w:rsidRPr="009626AC">
        <w:rPr>
          <w:iCs/>
        </w:rPr>
        <w:t xml:space="preserve">URL: </w:t>
      </w:r>
      <w:hyperlink r:id="rId2" w:history="1">
        <w:r w:rsidRPr="009626AC">
          <w:rPr>
            <w:rStyle w:val="Hyperlink"/>
            <w:iCs/>
          </w:rPr>
          <w:t>https://www.abs.gov.au/statistics/people/aboriginal-and-torres-strait-islander-peoples/estimates-and-projections-aboriginal-and-torres-strait-islander-australians/latest-release</w:t>
        </w:r>
      </w:hyperlink>
      <w:r w:rsidRPr="009626AC">
        <w:rPr>
          <w:iCs/>
        </w:rPr>
        <w:t>.</w:t>
      </w:r>
    </w:p>
  </w:footnote>
  <w:footnote w:id="19">
    <w:p w14:paraId="2D64B9E3" w14:textId="77777777" w:rsidR="008C5322" w:rsidRDefault="008C5322" w:rsidP="008C5322">
      <w:pPr>
        <w:pStyle w:val="FootnoteText"/>
      </w:pPr>
      <w:r>
        <w:rPr>
          <w:rStyle w:val="FootnoteReference"/>
        </w:rPr>
        <w:footnoteRef/>
      </w:r>
      <w:r>
        <w:t xml:space="preserve"> </w:t>
      </w:r>
      <w:r w:rsidRPr="003B1158">
        <w:t>https://immunisationhandbook.health.gov.au/contents/vaccine-preventable-diseases/influenza-flu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0F08" w14:textId="683814FD" w:rsidR="00A22E6F" w:rsidRPr="0083601F" w:rsidRDefault="003C2F90" w:rsidP="0083601F">
    <w:pPr>
      <w:pStyle w:val="Header"/>
      <w:rPr>
        <w:rFonts w:asciiTheme="minorHAnsi" w:hAnsiTheme="minorHAnsi"/>
        <w:color w:val="808080"/>
      </w:rPr>
    </w:pPr>
    <w:r>
      <w:rPr>
        <w:rFonts w:asciiTheme="minorHAnsi" w:hAnsiTheme="minorHAnsi"/>
        <w:color w:val="808080"/>
      </w:rPr>
      <w:t>Public Summary Document</w:t>
    </w:r>
    <w:r w:rsidR="00984091" w:rsidRPr="00056684">
      <w:rPr>
        <w:rFonts w:asciiTheme="minorHAnsi" w:hAnsiTheme="minorHAnsi"/>
        <w:color w:val="808080"/>
      </w:rPr>
      <w:t xml:space="preserve"> – </w:t>
    </w:r>
    <w:r w:rsidR="00A22E6F">
      <w:rPr>
        <w:rFonts w:asciiTheme="minorHAnsi" w:hAnsiTheme="minorHAnsi"/>
        <w:color w:val="808080"/>
      </w:rPr>
      <w:t xml:space="preserve">November 2024 </w:t>
    </w:r>
    <w:r w:rsidR="00A22E6F" w:rsidRPr="00195452">
      <w:rPr>
        <w:rFonts w:asciiTheme="minorHAnsi" w:hAnsiTheme="minorHAnsi"/>
        <w:color w:val="808080"/>
      </w:rPr>
      <w:t>PBAC Meeting</w:t>
    </w:r>
  </w:p>
  <w:p w14:paraId="71BDC29D" w14:textId="77777777" w:rsidR="00A22E6F" w:rsidRPr="008C7ECB" w:rsidRDefault="00A22E6F" w:rsidP="0089438A">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E877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579"/>
    <w:multiLevelType w:val="hybridMultilevel"/>
    <w:tmpl w:val="9D484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176D0"/>
    <w:multiLevelType w:val="hybridMultilevel"/>
    <w:tmpl w:val="9EEEB67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 w15:restartNumberingAfterBreak="0">
    <w:nsid w:val="0991348D"/>
    <w:multiLevelType w:val="hybridMultilevel"/>
    <w:tmpl w:val="9208B4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D3D1587"/>
    <w:multiLevelType w:val="hybridMultilevel"/>
    <w:tmpl w:val="DD10452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A27454"/>
    <w:multiLevelType w:val="hybridMultilevel"/>
    <w:tmpl w:val="F9E44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000C3"/>
    <w:multiLevelType w:val="hybridMultilevel"/>
    <w:tmpl w:val="C292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83D63"/>
    <w:multiLevelType w:val="hybridMultilevel"/>
    <w:tmpl w:val="8286E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F93A30"/>
    <w:multiLevelType w:val="hybridMultilevel"/>
    <w:tmpl w:val="F0849C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1E049FF"/>
    <w:multiLevelType w:val="hybridMultilevel"/>
    <w:tmpl w:val="DE74B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9F274CB"/>
    <w:multiLevelType w:val="hybridMultilevel"/>
    <w:tmpl w:val="DE0AC3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4B773C"/>
    <w:multiLevelType w:val="multilevel"/>
    <w:tmpl w:val="66B2250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964D8"/>
    <w:multiLevelType w:val="multilevel"/>
    <w:tmpl w:val="66B2250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346AD7"/>
    <w:multiLevelType w:val="hybridMultilevel"/>
    <w:tmpl w:val="C1E4D6A8"/>
    <w:lvl w:ilvl="0" w:tplc="CFBE442A">
      <w:start w:val="1"/>
      <w:numFmt w:val="bullet"/>
      <w:pStyle w:val="ListParagraph"/>
      <w:lvlText w:val=""/>
      <w:lvlJc w:val="left"/>
      <w:pPr>
        <w:ind w:left="1440" w:hanging="360"/>
      </w:pPr>
      <w:rPr>
        <w:rFonts w:ascii="Symbol" w:hAnsi="Symbol" w:hint="default"/>
      </w:rPr>
    </w:lvl>
    <w:lvl w:ilvl="1" w:tplc="AFFCEF02">
      <w:numFmt w:val="bullet"/>
      <w:lvlText w:val="•"/>
      <w:lvlJc w:val="left"/>
      <w:pPr>
        <w:ind w:left="2520" w:hanging="720"/>
      </w:pPr>
      <w:rPr>
        <w:rFonts w:ascii="Calibri" w:eastAsia="Times New Roman"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121FA0"/>
    <w:multiLevelType w:val="hybridMultilevel"/>
    <w:tmpl w:val="A4E20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AE117B"/>
    <w:multiLevelType w:val="hybridMultilevel"/>
    <w:tmpl w:val="862822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61C1CA6"/>
    <w:multiLevelType w:val="hybridMultilevel"/>
    <w:tmpl w:val="7CB6B7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945551A"/>
    <w:multiLevelType w:val="multilevel"/>
    <w:tmpl w:val="23F621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E94482"/>
    <w:multiLevelType w:val="hybridMultilevel"/>
    <w:tmpl w:val="C9EE48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093DE5"/>
    <w:multiLevelType w:val="hybridMultilevel"/>
    <w:tmpl w:val="6AE2FC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29A5645"/>
    <w:multiLevelType w:val="hybridMultilevel"/>
    <w:tmpl w:val="520C15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3E14DA6"/>
    <w:multiLevelType w:val="hybridMultilevel"/>
    <w:tmpl w:val="4F3C0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D0CBD"/>
    <w:multiLevelType w:val="multilevel"/>
    <w:tmpl w:val="FEF0D5D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0D4D78"/>
    <w:multiLevelType w:val="multilevel"/>
    <w:tmpl w:val="66B2250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EF1386"/>
    <w:multiLevelType w:val="hybridMultilevel"/>
    <w:tmpl w:val="71786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84C16"/>
    <w:multiLevelType w:val="hybridMultilevel"/>
    <w:tmpl w:val="4A3668F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F8C05E6"/>
    <w:multiLevelType w:val="hybridMultilevel"/>
    <w:tmpl w:val="E4BEE1C2"/>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30" w15:restartNumberingAfterBreak="0">
    <w:nsid w:val="52747368"/>
    <w:multiLevelType w:val="hybridMultilevel"/>
    <w:tmpl w:val="3D58CE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4C14119"/>
    <w:multiLevelType w:val="hybridMultilevel"/>
    <w:tmpl w:val="1C50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A95920"/>
    <w:multiLevelType w:val="hybridMultilevel"/>
    <w:tmpl w:val="171CE7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7674B1B"/>
    <w:multiLevelType w:val="hybridMultilevel"/>
    <w:tmpl w:val="FCCE17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AFE1E45"/>
    <w:multiLevelType w:val="hybridMultilevel"/>
    <w:tmpl w:val="04C4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9D6BB4"/>
    <w:multiLevelType w:val="hybridMultilevel"/>
    <w:tmpl w:val="4218E0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FFF132E"/>
    <w:multiLevelType w:val="hybridMultilevel"/>
    <w:tmpl w:val="E5989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07430E"/>
    <w:multiLevelType w:val="hybridMultilevel"/>
    <w:tmpl w:val="55AA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368B9"/>
    <w:multiLevelType w:val="multilevel"/>
    <w:tmpl w:val="8B1A0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6C217F82"/>
    <w:multiLevelType w:val="hybridMultilevel"/>
    <w:tmpl w:val="F170E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147F6"/>
    <w:multiLevelType w:val="hybridMultilevel"/>
    <w:tmpl w:val="DC02F1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2765AEF"/>
    <w:multiLevelType w:val="hybridMultilevel"/>
    <w:tmpl w:val="74EE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0A3B5D"/>
    <w:multiLevelType w:val="hybridMultilevel"/>
    <w:tmpl w:val="5B6E23F2"/>
    <w:lvl w:ilvl="0" w:tplc="664C108A">
      <w:start w:val="1"/>
      <w:numFmt w:val="bullet"/>
      <w:lvlText w:val=""/>
      <w:lvlJc w:val="left"/>
      <w:pPr>
        <w:ind w:left="1020" w:hanging="360"/>
      </w:pPr>
      <w:rPr>
        <w:rFonts w:ascii="Symbol" w:hAnsi="Symbol"/>
      </w:rPr>
    </w:lvl>
    <w:lvl w:ilvl="1" w:tplc="FE62850C">
      <w:start w:val="1"/>
      <w:numFmt w:val="bullet"/>
      <w:lvlText w:val=""/>
      <w:lvlJc w:val="left"/>
      <w:pPr>
        <w:ind w:left="1020" w:hanging="360"/>
      </w:pPr>
      <w:rPr>
        <w:rFonts w:ascii="Symbol" w:hAnsi="Symbol"/>
      </w:rPr>
    </w:lvl>
    <w:lvl w:ilvl="2" w:tplc="9AEA7E00">
      <w:start w:val="1"/>
      <w:numFmt w:val="bullet"/>
      <w:lvlText w:val=""/>
      <w:lvlJc w:val="left"/>
      <w:pPr>
        <w:ind w:left="1020" w:hanging="360"/>
      </w:pPr>
      <w:rPr>
        <w:rFonts w:ascii="Symbol" w:hAnsi="Symbol"/>
      </w:rPr>
    </w:lvl>
    <w:lvl w:ilvl="3" w:tplc="2AE4E4CA">
      <w:start w:val="1"/>
      <w:numFmt w:val="bullet"/>
      <w:lvlText w:val=""/>
      <w:lvlJc w:val="left"/>
      <w:pPr>
        <w:ind w:left="1020" w:hanging="360"/>
      </w:pPr>
      <w:rPr>
        <w:rFonts w:ascii="Symbol" w:hAnsi="Symbol"/>
      </w:rPr>
    </w:lvl>
    <w:lvl w:ilvl="4" w:tplc="BA8624D8">
      <w:start w:val="1"/>
      <w:numFmt w:val="bullet"/>
      <w:lvlText w:val=""/>
      <w:lvlJc w:val="left"/>
      <w:pPr>
        <w:ind w:left="1020" w:hanging="360"/>
      </w:pPr>
      <w:rPr>
        <w:rFonts w:ascii="Symbol" w:hAnsi="Symbol"/>
      </w:rPr>
    </w:lvl>
    <w:lvl w:ilvl="5" w:tplc="FF448326">
      <w:start w:val="1"/>
      <w:numFmt w:val="bullet"/>
      <w:lvlText w:val=""/>
      <w:lvlJc w:val="left"/>
      <w:pPr>
        <w:ind w:left="1020" w:hanging="360"/>
      </w:pPr>
      <w:rPr>
        <w:rFonts w:ascii="Symbol" w:hAnsi="Symbol"/>
      </w:rPr>
    </w:lvl>
    <w:lvl w:ilvl="6" w:tplc="AFDAEF40">
      <w:start w:val="1"/>
      <w:numFmt w:val="bullet"/>
      <w:lvlText w:val=""/>
      <w:lvlJc w:val="left"/>
      <w:pPr>
        <w:ind w:left="1020" w:hanging="360"/>
      </w:pPr>
      <w:rPr>
        <w:rFonts w:ascii="Symbol" w:hAnsi="Symbol"/>
      </w:rPr>
    </w:lvl>
    <w:lvl w:ilvl="7" w:tplc="FF306200">
      <w:start w:val="1"/>
      <w:numFmt w:val="bullet"/>
      <w:lvlText w:val=""/>
      <w:lvlJc w:val="left"/>
      <w:pPr>
        <w:ind w:left="1020" w:hanging="360"/>
      </w:pPr>
      <w:rPr>
        <w:rFonts w:ascii="Symbol" w:hAnsi="Symbol"/>
      </w:rPr>
    </w:lvl>
    <w:lvl w:ilvl="8" w:tplc="32F2E6E8">
      <w:start w:val="1"/>
      <w:numFmt w:val="bullet"/>
      <w:lvlText w:val=""/>
      <w:lvlJc w:val="left"/>
      <w:pPr>
        <w:ind w:left="1020" w:hanging="360"/>
      </w:pPr>
      <w:rPr>
        <w:rFonts w:ascii="Symbol" w:hAnsi="Symbol"/>
      </w:rPr>
    </w:lvl>
  </w:abstractNum>
  <w:abstractNum w:abstractNumId="44" w15:restartNumberingAfterBreak="0">
    <w:nsid w:val="76C079C7"/>
    <w:multiLevelType w:val="hybridMultilevel"/>
    <w:tmpl w:val="33D024F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F34F7D"/>
    <w:multiLevelType w:val="hybridMultilevel"/>
    <w:tmpl w:val="47BE92D0"/>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num w:numId="1" w16cid:durableId="900556196">
    <w:abstractNumId w:val="45"/>
  </w:num>
  <w:num w:numId="2" w16cid:durableId="1494419449">
    <w:abstractNumId w:val="24"/>
  </w:num>
  <w:num w:numId="3" w16cid:durableId="1870530799">
    <w:abstractNumId w:val="0"/>
  </w:num>
  <w:num w:numId="4" w16cid:durableId="1550023777">
    <w:abstractNumId w:val="7"/>
  </w:num>
  <w:num w:numId="5" w16cid:durableId="1712876236">
    <w:abstractNumId w:val="39"/>
  </w:num>
  <w:num w:numId="6" w16cid:durableId="1965115116">
    <w:abstractNumId w:val="15"/>
  </w:num>
  <w:num w:numId="7" w16cid:durableId="2095084529">
    <w:abstractNumId w:val="45"/>
  </w:num>
  <w:num w:numId="8" w16cid:durableId="1061904948">
    <w:abstractNumId w:val="9"/>
  </w:num>
  <w:num w:numId="9" w16cid:durableId="943463396">
    <w:abstractNumId w:val="23"/>
  </w:num>
  <w:num w:numId="10" w16cid:durableId="2138255061">
    <w:abstractNumId w:val="37"/>
  </w:num>
  <w:num w:numId="11" w16cid:durableId="1062288098">
    <w:abstractNumId w:val="26"/>
  </w:num>
  <w:num w:numId="12" w16cid:durableId="419375030">
    <w:abstractNumId w:val="12"/>
  </w:num>
  <w:num w:numId="13" w16cid:durableId="803159845">
    <w:abstractNumId w:val="20"/>
  </w:num>
  <w:num w:numId="14" w16cid:durableId="1202208536">
    <w:abstractNumId w:val="18"/>
  </w:num>
  <w:num w:numId="15" w16cid:durableId="1270700290">
    <w:abstractNumId w:val="35"/>
  </w:num>
  <w:num w:numId="16" w16cid:durableId="1836799692">
    <w:abstractNumId w:val="4"/>
  </w:num>
  <w:num w:numId="17" w16cid:durableId="1990477316">
    <w:abstractNumId w:val="43"/>
  </w:num>
  <w:num w:numId="18" w16cid:durableId="194269884">
    <w:abstractNumId w:val="14"/>
  </w:num>
  <w:num w:numId="19" w16cid:durableId="463737981">
    <w:abstractNumId w:val="13"/>
  </w:num>
  <w:num w:numId="20" w16cid:durableId="394470648">
    <w:abstractNumId w:val="46"/>
  </w:num>
  <w:num w:numId="21" w16cid:durableId="1608459952">
    <w:abstractNumId w:val="36"/>
  </w:num>
  <w:num w:numId="22" w16cid:durableId="1966421075">
    <w:abstractNumId w:val="5"/>
  </w:num>
  <w:num w:numId="23" w16cid:durableId="1167214138">
    <w:abstractNumId w:val="31"/>
  </w:num>
  <w:num w:numId="24" w16cid:durableId="2051609369">
    <w:abstractNumId w:val="27"/>
  </w:num>
  <w:num w:numId="25" w16cid:durableId="1118450824">
    <w:abstractNumId w:val="2"/>
  </w:num>
  <w:num w:numId="26" w16cid:durableId="638337567">
    <w:abstractNumId w:val="41"/>
  </w:num>
  <w:num w:numId="27" w16cid:durableId="546333956">
    <w:abstractNumId w:val="3"/>
  </w:num>
  <w:num w:numId="28" w16cid:durableId="1893032534">
    <w:abstractNumId w:val="32"/>
  </w:num>
  <w:num w:numId="29" w16cid:durableId="704675619">
    <w:abstractNumId w:val="17"/>
  </w:num>
  <w:num w:numId="30" w16cid:durableId="539976648">
    <w:abstractNumId w:val="21"/>
  </w:num>
  <w:num w:numId="31" w16cid:durableId="1868982998">
    <w:abstractNumId w:val="30"/>
  </w:num>
  <w:num w:numId="32" w16cid:durableId="1521314100">
    <w:abstractNumId w:val="22"/>
  </w:num>
  <w:num w:numId="33" w16cid:durableId="150605027">
    <w:abstractNumId w:val="8"/>
  </w:num>
  <w:num w:numId="34" w16cid:durableId="704404786">
    <w:abstractNumId w:val="10"/>
  </w:num>
  <w:num w:numId="35" w16cid:durableId="65618203">
    <w:abstractNumId w:val="33"/>
  </w:num>
  <w:num w:numId="36" w16cid:durableId="1811285609">
    <w:abstractNumId w:val="11"/>
  </w:num>
  <w:num w:numId="37" w16cid:durableId="2062290606">
    <w:abstractNumId w:val="40"/>
  </w:num>
  <w:num w:numId="38" w16cid:durableId="1882281535">
    <w:abstractNumId w:val="25"/>
  </w:num>
  <w:num w:numId="39" w16cid:durableId="907350809">
    <w:abstractNumId w:val="34"/>
  </w:num>
  <w:num w:numId="40" w16cid:durableId="1990286148">
    <w:abstractNumId w:val="6"/>
  </w:num>
  <w:num w:numId="41" w16cid:durableId="525756515">
    <w:abstractNumId w:val="42"/>
  </w:num>
  <w:num w:numId="42" w16cid:durableId="698942627">
    <w:abstractNumId w:val="1"/>
  </w:num>
  <w:num w:numId="43" w16cid:durableId="1939026507">
    <w:abstractNumId w:val="16"/>
  </w:num>
  <w:num w:numId="44" w16cid:durableId="5098057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0668497">
    <w:abstractNumId w:val="44"/>
  </w:num>
  <w:num w:numId="46" w16cid:durableId="1807359376">
    <w:abstractNumId w:val="15"/>
  </w:num>
  <w:num w:numId="47" w16cid:durableId="1117140144">
    <w:abstractNumId w:val="45"/>
  </w:num>
  <w:num w:numId="48" w16cid:durableId="1621179584">
    <w:abstractNumId w:val="38"/>
  </w:num>
  <w:num w:numId="49" w16cid:durableId="1330018165">
    <w:abstractNumId w:val="19"/>
  </w:num>
  <w:num w:numId="50" w16cid:durableId="740560610">
    <w:abstractNumId w:val="28"/>
  </w:num>
  <w:num w:numId="51" w16cid:durableId="192560802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8A"/>
    <w:rsid w:val="000004BB"/>
    <w:rsid w:val="00000790"/>
    <w:rsid w:val="000008BE"/>
    <w:rsid w:val="000009C9"/>
    <w:rsid w:val="00000B65"/>
    <w:rsid w:val="00000DF3"/>
    <w:rsid w:val="00000E1B"/>
    <w:rsid w:val="0000110B"/>
    <w:rsid w:val="000015C5"/>
    <w:rsid w:val="000015D8"/>
    <w:rsid w:val="00001716"/>
    <w:rsid w:val="00001906"/>
    <w:rsid w:val="00001AC2"/>
    <w:rsid w:val="00001E58"/>
    <w:rsid w:val="00001EED"/>
    <w:rsid w:val="00002028"/>
    <w:rsid w:val="00002255"/>
    <w:rsid w:val="00002A13"/>
    <w:rsid w:val="00002B31"/>
    <w:rsid w:val="00003499"/>
    <w:rsid w:val="000037C9"/>
    <w:rsid w:val="00003891"/>
    <w:rsid w:val="00003978"/>
    <w:rsid w:val="000039B7"/>
    <w:rsid w:val="00003A3A"/>
    <w:rsid w:val="00003F1B"/>
    <w:rsid w:val="000045FF"/>
    <w:rsid w:val="000048EF"/>
    <w:rsid w:val="00004E64"/>
    <w:rsid w:val="00004EF4"/>
    <w:rsid w:val="00005192"/>
    <w:rsid w:val="000051EE"/>
    <w:rsid w:val="000052CD"/>
    <w:rsid w:val="00005487"/>
    <w:rsid w:val="000056B9"/>
    <w:rsid w:val="00005887"/>
    <w:rsid w:val="0000593C"/>
    <w:rsid w:val="00005975"/>
    <w:rsid w:val="00005CF7"/>
    <w:rsid w:val="00005F00"/>
    <w:rsid w:val="00006055"/>
    <w:rsid w:val="0000639A"/>
    <w:rsid w:val="000064F9"/>
    <w:rsid w:val="000066FA"/>
    <w:rsid w:val="00006708"/>
    <w:rsid w:val="00007072"/>
    <w:rsid w:val="00007214"/>
    <w:rsid w:val="00007598"/>
    <w:rsid w:val="00007A7B"/>
    <w:rsid w:val="00007C25"/>
    <w:rsid w:val="00007E2C"/>
    <w:rsid w:val="00007FA9"/>
    <w:rsid w:val="00010072"/>
    <w:rsid w:val="00010354"/>
    <w:rsid w:val="00010407"/>
    <w:rsid w:val="000104E2"/>
    <w:rsid w:val="000106E4"/>
    <w:rsid w:val="00010729"/>
    <w:rsid w:val="000108FF"/>
    <w:rsid w:val="00010AC1"/>
    <w:rsid w:val="00010CAF"/>
    <w:rsid w:val="00010DB6"/>
    <w:rsid w:val="0001169C"/>
    <w:rsid w:val="0001177C"/>
    <w:rsid w:val="0001198E"/>
    <w:rsid w:val="00011B8E"/>
    <w:rsid w:val="00011B95"/>
    <w:rsid w:val="00012106"/>
    <w:rsid w:val="00012395"/>
    <w:rsid w:val="00012626"/>
    <w:rsid w:val="000127F1"/>
    <w:rsid w:val="00012D38"/>
    <w:rsid w:val="00013247"/>
    <w:rsid w:val="000134A5"/>
    <w:rsid w:val="00013727"/>
    <w:rsid w:val="00013DFA"/>
    <w:rsid w:val="00013F8F"/>
    <w:rsid w:val="00013FB2"/>
    <w:rsid w:val="00014AE2"/>
    <w:rsid w:val="00014AE6"/>
    <w:rsid w:val="00015157"/>
    <w:rsid w:val="0001524B"/>
    <w:rsid w:val="000153C7"/>
    <w:rsid w:val="0001544F"/>
    <w:rsid w:val="000154A9"/>
    <w:rsid w:val="00015886"/>
    <w:rsid w:val="000162EF"/>
    <w:rsid w:val="0001648B"/>
    <w:rsid w:val="000165FF"/>
    <w:rsid w:val="00016937"/>
    <w:rsid w:val="00017D1B"/>
    <w:rsid w:val="00017DA9"/>
    <w:rsid w:val="00017F1E"/>
    <w:rsid w:val="000202B8"/>
    <w:rsid w:val="00020461"/>
    <w:rsid w:val="0002049B"/>
    <w:rsid w:val="0002071D"/>
    <w:rsid w:val="000207C9"/>
    <w:rsid w:val="0002089F"/>
    <w:rsid w:val="00020B3B"/>
    <w:rsid w:val="000212B5"/>
    <w:rsid w:val="00021301"/>
    <w:rsid w:val="0002133E"/>
    <w:rsid w:val="000214F4"/>
    <w:rsid w:val="000216C6"/>
    <w:rsid w:val="000216D2"/>
    <w:rsid w:val="000217B7"/>
    <w:rsid w:val="00021948"/>
    <w:rsid w:val="00021985"/>
    <w:rsid w:val="00021B4D"/>
    <w:rsid w:val="0002225F"/>
    <w:rsid w:val="0002235D"/>
    <w:rsid w:val="00022841"/>
    <w:rsid w:val="00022868"/>
    <w:rsid w:val="00022A33"/>
    <w:rsid w:val="00022D1B"/>
    <w:rsid w:val="00023763"/>
    <w:rsid w:val="00023AED"/>
    <w:rsid w:val="00023D16"/>
    <w:rsid w:val="00023D2D"/>
    <w:rsid w:val="00024A83"/>
    <w:rsid w:val="00024EB5"/>
    <w:rsid w:val="00024EE3"/>
    <w:rsid w:val="00025255"/>
    <w:rsid w:val="000252EF"/>
    <w:rsid w:val="0002544B"/>
    <w:rsid w:val="00025586"/>
    <w:rsid w:val="00025805"/>
    <w:rsid w:val="000259FD"/>
    <w:rsid w:val="00025B41"/>
    <w:rsid w:val="00025BD8"/>
    <w:rsid w:val="000268F2"/>
    <w:rsid w:val="000269E4"/>
    <w:rsid w:val="00027347"/>
    <w:rsid w:val="000274B8"/>
    <w:rsid w:val="000276F8"/>
    <w:rsid w:val="00027739"/>
    <w:rsid w:val="00030182"/>
    <w:rsid w:val="000301C4"/>
    <w:rsid w:val="00030553"/>
    <w:rsid w:val="00030688"/>
    <w:rsid w:val="0003111C"/>
    <w:rsid w:val="00031199"/>
    <w:rsid w:val="00031275"/>
    <w:rsid w:val="00031C0B"/>
    <w:rsid w:val="00032381"/>
    <w:rsid w:val="000323E7"/>
    <w:rsid w:val="00032C2E"/>
    <w:rsid w:val="00032D39"/>
    <w:rsid w:val="00033158"/>
    <w:rsid w:val="0003323B"/>
    <w:rsid w:val="00033555"/>
    <w:rsid w:val="0003367A"/>
    <w:rsid w:val="00033863"/>
    <w:rsid w:val="000339F6"/>
    <w:rsid w:val="00033C73"/>
    <w:rsid w:val="000340B9"/>
    <w:rsid w:val="000341FF"/>
    <w:rsid w:val="000343F7"/>
    <w:rsid w:val="000344AB"/>
    <w:rsid w:val="000347A0"/>
    <w:rsid w:val="00034C90"/>
    <w:rsid w:val="00034DC1"/>
    <w:rsid w:val="000350E6"/>
    <w:rsid w:val="00035138"/>
    <w:rsid w:val="0003543B"/>
    <w:rsid w:val="00035497"/>
    <w:rsid w:val="0003597E"/>
    <w:rsid w:val="00035BAD"/>
    <w:rsid w:val="00035D97"/>
    <w:rsid w:val="00035DC0"/>
    <w:rsid w:val="000362E8"/>
    <w:rsid w:val="00036829"/>
    <w:rsid w:val="00036A42"/>
    <w:rsid w:val="00036B38"/>
    <w:rsid w:val="00036B5A"/>
    <w:rsid w:val="00036BC2"/>
    <w:rsid w:val="00036C04"/>
    <w:rsid w:val="00036D7F"/>
    <w:rsid w:val="0003728C"/>
    <w:rsid w:val="000372AB"/>
    <w:rsid w:val="000375A1"/>
    <w:rsid w:val="000377A5"/>
    <w:rsid w:val="000378BD"/>
    <w:rsid w:val="000378ED"/>
    <w:rsid w:val="00037988"/>
    <w:rsid w:val="00037C9F"/>
    <w:rsid w:val="000401CD"/>
    <w:rsid w:val="00040254"/>
    <w:rsid w:val="0004066F"/>
    <w:rsid w:val="000406EA"/>
    <w:rsid w:val="00040895"/>
    <w:rsid w:val="00040994"/>
    <w:rsid w:val="00040CB9"/>
    <w:rsid w:val="000410A0"/>
    <w:rsid w:val="00041202"/>
    <w:rsid w:val="00041512"/>
    <w:rsid w:val="000418C1"/>
    <w:rsid w:val="00041E83"/>
    <w:rsid w:val="00042CA1"/>
    <w:rsid w:val="00042D5C"/>
    <w:rsid w:val="00042ED1"/>
    <w:rsid w:val="000430DA"/>
    <w:rsid w:val="0004327C"/>
    <w:rsid w:val="000433F1"/>
    <w:rsid w:val="000434E8"/>
    <w:rsid w:val="000435EE"/>
    <w:rsid w:val="000439BB"/>
    <w:rsid w:val="00043C37"/>
    <w:rsid w:val="00043DCF"/>
    <w:rsid w:val="00044AF5"/>
    <w:rsid w:val="00044B61"/>
    <w:rsid w:val="00044C11"/>
    <w:rsid w:val="00044C48"/>
    <w:rsid w:val="00044FAB"/>
    <w:rsid w:val="00045017"/>
    <w:rsid w:val="0004513B"/>
    <w:rsid w:val="00045440"/>
    <w:rsid w:val="00045A2B"/>
    <w:rsid w:val="000462D6"/>
    <w:rsid w:val="000463B5"/>
    <w:rsid w:val="000465D1"/>
    <w:rsid w:val="0004698F"/>
    <w:rsid w:val="00046AA1"/>
    <w:rsid w:val="00046D64"/>
    <w:rsid w:val="00046DD8"/>
    <w:rsid w:val="00046E4A"/>
    <w:rsid w:val="000474AF"/>
    <w:rsid w:val="0004762D"/>
    <w:rsid w:val="00047C10"/>
    <w:rsid w:val="000505BC"/>
    <w:rsid w:val="000505F1"/>
    <w:rsid w:val="00050642"/>
    <w:rsid w:val="0005077F"/>
    <w:rsid w:val="000508C2"/>
    <w:rsid w:val="00050953"/>
    <w:rsid w:val="00050AC7"/>
    <w:rsid w:val="00050B50"/>
    <w:rsid w:val="00050B66"/>
    <w:rsid w:val="00050BA8"/>
    <w:rsid w:val="00050CBF"/>
    <w:rsid w:val="00050D17"/>
    <w:rsid w:val="00050F30"/>
    <w:rsid w:val="00051047"/>
    <w:rsid w:val="0005166E"/>
    <w:rsid w:val="00051997"/>
    <w:rsid w:val="00051CA8"/>
    <w:rsid w:val="00052763"/>
    <w:rsid w:val="0005357C"/>
    <w:rsid w:val="00053605"/>
    <w:rsid w:val="000538DC"/>
    <w:rsid w:val="000539D0"/>
    <w:rsid w:val="000541B6"/>
    <w:rsid w:val="00054231"/>
    <w:rsid w:val="00054621"/>
    <w:rsid w:val="000546D7"/>
    <w:rsid w:val="00054938"/>
    <w:rsid w:val="00054A8D"/>
    <w:rsid w:val="00054FC0"/>
    <w:rsid w:val="0005518C"/>
    <w:rsid w:val="00055483"/>
    <w:rsid w:val="0005558A"/>
    <w:rsid w:val="000556DA"/>
    <w:rsid w:val="000557C2"/>
    <w:rsid w:val="000559D6"/>
    <w:rsid w:val="00055E46"/>
    <w:rsid w:val="00055EE5"/>
    <w:rsid w:val="00055F0D"/>
    <w:rsid w:val="000564C8"/>
    <w:rsid w:val="00056537"/>
    <w:rsid w:val="000567E7"/>
    <w:rsid w:val="00056C14"/>
    <w:rsid w:val="00056C72"/>
    <w:rsid w:val="00056ECF"/>
    <w:rsid w:val="00057059"/>
    <w:rsid w:val="0005722B"/>
    <w:rsid w:val="00057852"/>
    <w:rsid w:val="000578F2"/>
    <w:rsid w:val="00060014"/>
    <w:rsid w:val="0006025D"/>
    <w:rsid w:val="0006043C"/>
    <w:rsid w:val="000604B2"/>
    <w:rsid w:val="000604DF"/>
    <w:rsid w:val="00060884"/>
    <w:rsid w:val="00060B8F"/>
    <w:rsid w:val="00060C95"/>
    <w:rsid w:val="000611B1"/>
    <w:rsid w:val="000617A8"/>
    <w:rsid w:val="0006189E"/>
    <w:rsid w:val="00061EDE"/>
    <w:rsid w:val="00062114"/>
    <w:rsid w:val="00062324"/>
    <w:rsid w:val="00062B60"/>
    <w:rsid w:val="00062C40"/>
    <w:rsid w:val="00062CBD"/>
    <w:rsid w:val="00062E4E"/>
    <w:rsid w:val="00063191"/>
    <w:rsid w:val="00063BDD"/>
    <w:rsid w:val="00063F25"/>
    <w:rsid w:val="00063F86"/>
    <w:rsid w:val="00063FF9"/>
    <w:rsid w:val="0006426B"/>
    <w:rsid w:val="00064687"/>
    <w:rsid w:val="0006470B"/>
    <w:rsid w:val="000648DF"/>
    <w:rsid w:val="00064993"/>
    <w:rsid w:val="00064CD5"/>
    <w:rsid w:val="00064F14"/>
    <w:rsid w:val="000653B5"/>
    <w:rsid w:val="00065754"/>
    <w:rsid w:val="00065C25"/>
    <w:rsid w:val="000660C9"/>
    <w:rsid w:val="00066360"/>
    <w:rsid w:val="00066372"/>
    <w:rsid w:val="00066961"/>
    <w:rsid w:val="00066AF8"/>
    <w:rsid w:val="00066DB8"/>
    <w:rsid w:val="00066F35"/>
    <w:rsid w:val="00066F47"/>
    <w:rsid w:val="0006706B"/>
    <w:rsid w:val="000675D1"/>
    <w:rsid w:val="00067A52"/>
    <w:rsid w:val="00067B40"/>
    <w:rsid w:val="00067B5D"/>
    <w:rsid w:val="00067FAF"/>
    <w:rsid w:val="00070094"/>
    <w:rsid w:val="000704A5"/>
    <w:rsid w:val="00070587"/>
    <w:rsid w:val="000706DE"/>
    <w:rsid w:val="000707DE"/>
    <w:rsid w:val="00070C88"/>
    <w:rsid w:val="00070FC4"/>
    <w:rsid w:val="00070FF0"/>
    <w:rsid w:val="000710F1"/>
    <w:rsid w:val="00071248"/>
    <w:rsid w:val="00071A0B"/>
    <w:rsid w:val="00071AB3"/>
    <w:rsid w:val="00071DFB"/>
    <w:rsid w:val="00071E98"/>
    <w:rsid w:val="00071FE9"/>
    <w:rsid w:val="000720B9"/>
    <w:rsid w:val="0007223C"/>
    <w:rsid w:val="0007231F"/>
    <w:rsid w:val="0007280F"/>
    <w:rsid w:val="0007293A"/>
    <w:rsid w:val="00072AAB"/>
    <w:rsid w:val="00072BB7"/>
    <w:rsid w:val="000730A1"/>
    <w:rsid w:val="000735D6"/>
    <w:rsid w:val="000736E2"/>
    <w:rsid w:val="000737F7"/>
    <w:rsid w:val="00073F14"/>
    <w:rsid w:val="000741FB"/>
    <w:rsid w:val="000742A2"/>
    <w:rsid w:val="00074511"/>
    <w:rsid w:val="0007452C"/>
    <w:rsid w:val="0007495F"/>
    <w:rsid w:val="00075036"/>
    <w:rsid w:val="0007518C"/>
    <w:rsid w:val="00075965"/>
    <w:rsid w:val="00075F8E"/>
    <w:rsid w:val="00076729"/>
    <w:rsid w:val="0007672F"/>
    <w:rsid w:val="00076B54"/>
    <w:rsid w:val="00076B89"/>
    <w:rsid w:val="00077125"/>
    <w:rsid w:val="00077348"/>
    <w:rsid w:val="0007736F"/>
    <w:rsid w:val="000773DF"/>
    <w:rsid w:val="0007748F"/>
    <w:rsid w:val="000774F0"/>
    <w:rsid w:val="00077593"/>
    <w:rsid w:val="000802FC"/>
    <w:rsid w:val="000804D3"/>
    <w:rsid w:val="0008062A"/>
    <w:rsid w:val="0008062B"/>
    <w:rsid w:val="00080909"/>
    <w:rsid w:val="00080C8B"/>
    <w:rsid w:val="00080CAF"/>
    <w:rsid w:val="00080CD8"/>
    <w:rsid w:val="00080D6D"/>
    <w:rsid w:val="000812CA"/>
    <w:rsid w:val="0008148A"/>
    <w:rsid w:val="00081799"/>
    <w:rsid w:val="00081A86"/>
    <w:rsid w:val="00081E63"/>
    <w:rsid w:val="0008219C"/>
    <w:rsid w:val="00082307"/>
    <w:rsid w:val="0008258D"/>
    <w:rsid w:val="000825B5"/>
    <w:rsid w:val="000827DB"/>
    <w:rsid w:val="000828AC"/>
    <w:rsid w:val="00082B98"/>
    <w:rsid w:val="00082EEE"/>
    <w:rsid w:val="00082F2F"/>
    <w:rsid w:val="00083179"/>
    <w:rsid w:val="00083334"/>
    <w:rsid w:val="00083726"/>
    <w:rsid w:val="00083B83"/>
    <w:rsid w:val="00083D36"/>
    <w:rsid w:val="00083DF6"/>
    <w:rsid w:val="00083E99"/>
    <w:rsid w:val="00084765"/>
    <w:rsid w:val="000847D7"/>
    <w:rsid w:val="00084B05"/>
    <w:rsid w:val="00084EDF"/>
    <w:rsid w:val="00084F4C"/>
    <w:rsid w:val="00084F81"/>
    <w:rsid w:val="00084FA8"/>
    <w:rsid w:val="0008503B"/>
    <w:rsid w:val="000856C5"/>
    <w:rsid w:val="00085A59"/>
    <w:rsid w:val="00085AA2"/>
    <w:rsid w:val="00085C22"/>
    <w:rsid w:val="00085C31"/>
    <w:rsid w:val="00086164"/>
    <w:rsid w:val="00086222"/>
    <w:rsid w:val="00086295"/>
    <w:rsid w:val="00086398"/>
    <w:rsid w:val="0008666C"/>
    <w:rsid w:val="00086FD0"/>
    <w:rsid w:val="00087378"/>
    <w:rsid w:val="0008741B"/>
    <w:rsid w:val="00087534"/>
    <w:rsid w:val="0008791D"/>
    <w:rsid w:val="00087B2F"/>
    <w:rsid w:val="00087D0A"/>
    <w:rsid w:val="0009009E"/>
    <w:rsid w:val="000902D9"/>
    <w:rsid w:val="0009043C"/>
    <w:rsid w:val="00090C7E"/>
    <w:rsid w:val="00090FF7"/>
    <w:rsid w:val="00091134"/>
    <w:rsid w:val="00091158"/>
    <w:rsid w:val="000911AC"/>
    <w:rsid w:val="0009181D"/>
    <w:rsid w:val="000918E0"/>
    <w:rsid w:val="00091D88"/>
    <w:rsid w:val="00091E98"/>
    <w:rsid w:val="00091EA8"/>
    <w:rsid w:val="00092567"/>
    <w:rsid w:val="00092600"/>
    <w:rsid w:val="0009262B"/>
    <w:rsid w:val="00092654"/>
    <w:rsid w:val="000928E8"/>
    <w:rsid w:val="00092C53"/>
    <w:rsid w:val="00092D4D"/>
    <w:rsid w:val="00092EA5"/>
    <w:rsid w:val="00093182"/>
    <w:rsid w:val="00093310"/>
    <w:rsid w:val="00093B84"/>
    <w:rsid w:val="00094046"/>
    <w:rsid w:val="0009407D"/>
    <w:rsid w:val="00094083"/>
    <w:rsid w:val="00094273"/>
    <w:rsid w:val="0009445C"/>
    <w:rsid w:val="0009460D"/>
    <w:rsid w:val="00094A24"/>
    <w:rsid w:val="00094B31"/>
    <w:rsid w:val="000950DC"/>
    <w:rsid w:val="000951CD"/>
    <w:rsid w:val="00095200"/>
    <w:rsid w:val="0009524F"/>
    <w:rsid w:val="0009536D"/>
    <w:rsid w:val="00095632"/>
    <w:rsid w:val="00095811"/>
    <w:rsid w:val="00095FE5"/>
    <w:rsid w:val="00096201"/>
    <w:rsid w:val="00096280"/>
    <w:rsid w:val="00096284"/>
    <w:rsid w:val="00096A18"/>
    <w:rsid w:val="0009705E"/>
    <w:rsid w:val="0009706C"/>
    <w:rsid w:val="000970B0"/>
    <w:rsid w:val="00097551"/>
    <w:rsid w:val="000977F9"/>
    <w:rsid w:val="00097C4D"/>
    <w:rsid w:val="00097E38"/>
    <w:rsid w:val="00097EFB"/>
    <w:rsid w:val="000A070D"/>
    <w:rsid w:val="000A0C2B"/>
    <w:rsid w:val="000A0E68"/>
    <w:rsid w:val="000A13DC"/>
    <w:rsid w:val="000A16AE"/>
    <w:rsid w:val="000A1BC0"/>
    <w:rsid w:val="000A1E63"/>
    <w:rsid w:val="000A2361"/>
    <w:rsid w:val="000A2546"/>
    <w:rsid w:val="000A2CFC"/>
    <w:rsid w:val="000A2F9E"/>
    <w:rsid w:val="000A33FE"/>
    <w:rsid w:val="000A361A"/>
    <w:rsid w:val="000A3C3A"/>
    <w:rsid w:val="000A3E02"/>
    <w:rsid w:val="000A3E47"/>
    <w:rsid w:val="000A3F9E"/>
    <w:rsid w:val="000A4474"/>
    <w:rsid w:val="000A46BF"/>
    <w:rsid w:val="000A50A8"/>
    <w:rsid w:val="000A522B"/>
    <w:rsid w:val="000A52B4"/>
    <w:rsid w:val="000A530E"/>
    <w:rsid w:val="000A5D84"/>
    <w:rsid w:val="000A6039"/>
    <w:rsid w:val="000A6344"/>
    <w:rsid w:val="000A65CA"/>
    <w:rsid w:val="000A694F"/>
    <w:rsid w:val="000A6B52"/>
    <w:rsid w:val="000A7096"/>
    <w:rsid w:val="000A71AA"/>
    <w:rsid w:val="000A71AF"/>
    <w:rsid w:val="000A72E9"/>
    <w:rsid w:val="000A72F5"/>
    <w:rsid w:val="000A72FC"/>
    <w:rsid w:val="000A7453"/>
    <w:rsid w:val="000A752D"/>
    <w:rsid w:val="000A753F"/>
    <w:rsid w:val="000A7D08"/>
    <w:rsid w:val="000A7F67"/>
    <w:rsid w:val="000B0011"/>
    <w:rsid w:val="000B0099"/>
    <w:rsid w:val="000B0121"/>
    <w:rsid w:val="000B0670"/>
    <w:rsid w:val="000B069D"/>
    <w:rsid w:val="000B0E75"/>
    <w:rsid w:val="000B1393"/>
    <w:rsid w:val="000B13FE"/>
    <w:rsid w:val="000B1BF4"/>
    <w:rsid w:val="000B1C38"/>
    <w:rsid w:val="000B1FB5"/>
    <w:rsid w:val="000B2153"/>
    <w:rsid w:val="000B248D"/>
    <w:rsid w:val="000B2858"/>
    <w:rsid w:val="000B287E"/>
    <w:rsid w:val="000B2A25"/>
    <w:rsid w:val="000B2B42"/>
    <w:rsid w:val="000B2B6A"/>
    <w:rsid w:val="000B2B8B"/>
    <w:rsid w:val="000B2CB1"/>
    <w:rsid w:val="000B2DCB"/>
    <w:rsid w:val="000B2E02"/>
    <w:rsid w:val="000B30AE"/>
    <w:rsid w:val="000B343E"/>
    <w:rsid w:val="000B3BED"/>
    <w:rsid w:val="000B3E4C"/>
    <w:rsid w:val="000B3E4E"/>
    <w:rsid w:val="000B3FFB"/>
    <w:rsid w:val="000B404D"/>
    <w:rsid w:val="000B4307"/>
    <w:rsid w:val="000B4549"/>
    <w:rsid w:val="000B4635"/>
    <w:rsid w:val="000B4857"/>
    <w:rsid w:val="000B4940"/>
    <w:rsid w:val="000B4DA7"/>
    <w:rsid w:val="000B4EE4"/>
    <w:rsid w:val="000B5743"/>
    <w:rsid w:val="000B5B02"/>
    <w:rsid w:val="000B5CE0"/>
    <w:rsid w:val="000B6380"/>
    <w:rsid w:val="000B65A0"/>
    <w:rsid w:val="000B674D"/>
    <w:rsid w:val="000B67C8"/>
    <w:rsid w:val="000B6968"/>
    <w:rsid w:val="000B6AA1"/>
    <w:rsid w:val="000B6CAC"/>
    <w:rsid w:val="000B6EF4"/>
    <w:rsid w:val="000B7612"/>
    <w:rsid w:val="000B769E"/>
    <w:rsid w:val="000B78AE"/>
    <w:rsid w:val="000B7932"/>
    <w:rsid w:val="000C01C1"/>
    <w:rsid w:val="000C0544"/>
    <w:rsid w:val="000C0676"/>
    <w:rsid w:val="000C0DA3"/>
    <w:rsid w:val="000C0E17"/>
    <w:rsid w:val="000C0F51"/>
    <w:rsid w:val="000C0FE0"/>
    <w:rsid w:val="000C0FF2"/>
    <w:rsid w:val="000C10C7"/>
    <w:rsid w:val="000C11D9"/>
    <w:rsid w:val="000C1299"/>
    <w:rsid w:val="000C149B"/>
    <w:rsid w:val="000C153A"/>
    <w:rsid w:val="000C1CF1"/>
    <w:rsid w:val="000C2099"/>
    <w:rsid w:val="000C23CD"/>
    <w:rsid w:val="000C2834"/>
    <w:rsid w:val="000C2C90"/>
    <w:rsid w:val="000C3DF9"/>
    <w:rsid w:val="000C4651"/>
    <w:rsid w:val="000C4812"/>
    <w:rsid w:val="000C4C23"/>
    <w:rsid w:val="000C4C3E"/>
    <w:rsid w:val="000C4CF2"/>
    <w:rsid w:val="000C4F2E"/>
    <w:rsid w:val="000C4F4D"/>
    <w:rsid w:val="000C4F5F"/>
    <w:rsid w:val="000C521E"/>
    <w:rsid w:val="000C53C1"/>
    <w:rsid w:val="000C5644"/>
    <w:rsid w:val="000C56BF"/>
    <w:rsid w:val="000C59ED"/>
    <w:rsid w:val="000C5B76"/>
    <w:rsid w:val="000C5C93"/>
    <w:rsid w:val="000C5FC5"/>
    <w:rsid w:val="000C6194"/>
    <w:rsid w:val="000C62A2"/>
    <w:rsid w:val="000C6713"/>
    <w:rsid w:val="000C697A"/>
    <w:rsid w:val="000C6B47"/>
    <w:rsid w:val="000C6E87"/>
    <w:rsid w:val="000C7C0A"/>
    <w:rsid w:val="000C7C36"/>
    <w:rsid w:val="000C7DB2"/>
    <w:rsid w:val="000C7E37"/>
    <w:rsid w:val="000D04B8"/>
    <w:rsid w:val="000D0A1E"/>
    <w:rsid w:val="000D0A5A"/>
    <w:rsid w:val="000D0A79"/>
    <w:rsid w:val="000D0E43"/>
    <w:rsid w:val="000D121E"/>
    <w:rsid w:val="000D1406"/>
    <w:rsid w:val="000D1630"/>
    <w:rsid w:val="000D1985"/>
    <w:rsid w:val="000D1B37"/>
    <w:rsid w:val="000D1BFC"/>
    <w:rsid w:val="000D1C99"/>
    <w:rsid w:val="000D1D5D"/>
    <w:rsid w:val="000D1EE0"/>
    <w:rsid w:val="000D281A"/>
    <w:rsid w:val="000D2848"/>
    <w:rsid w:val="000D2B97"/>
    <w:rsid w:val="000D2F85"/>
    <w:rsid w:val="000D326A"/>
    <w:rsid w:val="000D349F"/>
    <w:rsid w:val="000D387F"/>
    <w:rsid w:val="000D3C4C"/>
    <w:rsid w:val="000D42EF"/>
    <w:rsid w:val="000D504E"/>
    <w:rsid w:val="000D51FB"/>
    <w:rsid w:val="000D54C1"/>
    <w:rsid w:val="000D5DC0"/>
    <w:rsid w:val="000D5E0C"/>
    <w:rsid w:val="000D61A4"/>
    <w:rsid w:val="000D6208"/>
    <w:rsid w:val="000D6345"/>
    <w:rsid w:val="000D685F"/>
    <w:rsid w:val="000D68A6"/>
    <w:rsid w:val="000D6BD4"/>
    <w:rsid w:val="000D6E05"/>
    <w:rsid w:val="000D6FF3"/>
    <w:rsid w:val="000D71E9"/>
    <w:rsid w:val="000D745A"/>
    <w:rsid w:val="000D76B6"/>
    <w:rsid w:val="000D7892"/>
    <w:rsid w:val="000E0062"/>
    <w:rsid w:val="000E011B"/>
    <w:rsid w:val="000E01FC"/>
    <w:rsid w:val="000E026A"/>
    <w:rsid w:val="000E0640"/>
    <w:rsid w:val="000E0B0F"/>
    <w:rsid w:val="000E0C64"/>
    <w:rsid w:val="000E0D8A"/>
    <w:rsid w:val="000E0F2F"/>
    <w:rsid w:val="000E1011"/>
    <w:rsid w:val="000E12F5"/>
    <w:rsid w:val="000E135D"/>
    <w:rsid w:val="000E1F95"/>
    <w:rsid w:val="000E2050"/>
    <w:rsid w:val="000E22AA"/>
    <w:rsid w:val="000E2486"/>
    <w:rsid w:val="000E261A"/>
    <w:rsid w:val="000E2644"/>
    <w:rsid w:val="000E28CE"/>
    <w:rsid w:val="000E2BBA"/>
    <w:rsid w:val="000E2DB8"/>
    <w:rsid w:val="000E2E28"/>
    <w:rsid w:val="000E2E55"/>
    <w:rsid w:val="000E33F8"/>
    <w:rsid w:val="000E3544"/>
    <w:rsid w:val="000E3CED"/>
    <w:rsid w:val="000E3F6D"/>
    <w:rsid w:val="000E45EE"/>
    <w:rsid w:val="000E495C"/>
    <w:rsid w:val="000E5648"/>
    <w:rsid w:val="000E5695"/>
    <w:rsid w:val="000E57CA"/>
    <w:rsid w:val="000E5ABF"/>
    <w:rsid w:val="000E5CEB"/>
    <w:rsid w:val="000E5D1F"/>
    <w:rsid w:val="000E5F46"/>
    <w:rsid w:val="000E60DF"/>
    <w:rsid w:val="000E61D5"/>
    <w:rsid w:val="000E696F"/>
    <w:rsid w:val="000E69DE"/>
    <w:rsid w:val="000E706B"/>
    <w:rsid w:val="000E71F3"/>
    <w:rsid w:val="000E7343"/>
    <w:rsid w:val="000E737E"/>
    <w:rsid w:val="000E757F"/>
    <w:rsid w:val="000E7B65"/>
    <w:rsid w:val="000E7D11"/>
    <w:rsid w:val="000E7D4C"/>
    <w:rsid w:val="000E7DDE"/>
    <w:rsid w:val="000F006C"/>
    <w:rsid w:val="000F00BA"/>
    <w:rsid w:val="000F0329"/>
    <w:rsid w:val="000F05FC"/>
    <w:rsid w:val="000F0994"/>
    <w:rsid w:val="000F0BFA"/>
    <w:rsid w:val="000F11EC"/>
    <w:rsid w:val="000F19C5"/>
    <w:rsid w:val="000F1F52"/>
    <w:rsid w:val="000F22AE"/>
    <w:rsid w:val="000F2608"/>
    <w:rsid w:val="000F26CE"/>
    <w:rsid w:val="000F26DE"/>
    <w:rsid w:val="000F2737"/>
    <w:rsid w:val="000F2840"/>
    <w:rsid w:val="000F2A70"/>
    <w:rsid w:val="000F2D6C"/>
    <w:rsid w:val="000F316A"/>
    <w:rsid w:val="000F34FD"/>
    <w:rsid w:val="000F3946"/>
    <w:rsid w:val="000F3C74"/>
    <w:rsid w:val="000F4155"/>
    <w:rsid w:val="000F4443"/>
    <w:rsid w:val="000F4515"/>
    <w:rsid w:val="000F48FE"/>
    <w:rsid w:val="000F4B8B"/>
    <w:rsid w:val="000F4BB8"/>
    <w:rsid w:val="000F4F84"/>
    <w:rsid w:val="000F4FA9"/>
    <w:rsid w:val="000F4FDE"/>
    <w:rsid w:val="000F5066"/>
    <w:rsid w:val="000F5102"/>
    <w:rsid w:val="000F515C"/>
    <w:rsid w:val="000F5327"/>
    <w:rsid w:val="000F53FB"/>
    <w:rsid w:val="000F5508"/>
    <w:rsid w:val="000F606A"/>
    <w:rsid w:val="000F62A9"/>
    <w:rsid w:val="000F6316"/>
    <w:rsid w:val="000F6436"/>
    <w:rsid w:val="000F671F"/>
    <w:rsid w:val="000F6C0E"/>
    <w:rsid w:val="000F6F8F"/>
    <w:rsid w:val="000F7127"/>
    <w:rsid w:val="000F719C"/>
    <w:rsid w:val="000F74F7"/>
    <w:rsid w:val="000F75AE"/>
    <w:rsid w:val="000F772C"/>
    <w:rsid w:val="000F7B10"/>
    <w:rsid w:val="000F7B54"/>
    <w:rsid w:val="001000B3"/>
    <w:rsid w:val="001000E2"/>
    <w:rsid w:val="001003C4"/>
    <w:rsid w:val="00100569"/>
    <w:rsid w:val="001008B0"/>
    <w:rsid w:val="00100AC7"/>
    <w:rsid w:val="00100EB3"/>
    <w:rsid w:val="00100F8A"/>
    <w:rsid w:val="00100FA7"/>
    <w:rsid w:val="00101066"/>
    <w:rsid w:val="001011DE"/>
    <w:rsid w:val="00101315"/>
    <w:rsid w:val="00101708"/>
    <w:rsid w:val="00101B5B"/>
    <w:rsid w:val="00101BEC"/>
    <w:rsid w:val="001020DF"/>
    <w:rsid w:val="00102183"/>
    <w:rsid w:val="00102379"/>
    <w:rsid w:val="001025EF"/>
    <w:rsid w:val="0010264F"/>
    <w:rsid w:val="001027DB"/>
    <w:rsid w:val="00102C0F"/>
    <w:rsid w:val="00102FE8"/>
    <w:rsid w:val="00103198"/>
    <w:rsid w:val="001034B8"/>
    <w:rsid w:val="0010385B"/>
    <w:rsid w:val="00103BE1"/>
    <w:rsid w:val="00103C55"/>
    <w:rsid w:val="001041C3"/>
    <w:rsid w:val="001042CA"/>
    <w:rsid w:val="0010452E"/>
    <w:rsid w:val="001048A9"/>
    <w:rsid w:val="00104AD6"/>
    <w:rsid w:val="001056D6"/>
    <w:rsid w:val="00105AE2"/>
    <w:rsid w:val="00106058"/>
    <w:rsid w:val="001060C6"/>
    <w:rsid w:val="00106148"/>
    <w:rsid w:val="00106421"/>
    <w:rsid w:val="00106541"/>
    <w:rsid w:val="0010665C"/>
    <w:rsid w:val="001066B9"/>
    <w:rsid w:val="00106952"/>
    <w:rsid w:val="00106B80"/>
    <w:rsid w:val="00107352"/>
    <w:rsid w:val="0010763B"/>
    <w:rsid w:val="00107805"/>
    <w:rsid w:val="0010797A"/>
    <w:rsid w:val="00107E3B"/>
    <w:rsid w:val="0011032E"/>
    <w:rsid w:val="00110D0F"/>
    <w:rsid w:val="00110F25"/>
    <w:rsid w:val="00110FA3"/>
    <w:rsid w:val="001118EA"/>
    <w:rsid w:val="00111AE1"/>
    <w:rsid w:val="00111B24"/>
    <w:rsid w:val="00111B53"/>
    <w:rsid w:val="00111E03"/>
    <w:rsid w:val="00112063"/>
    <w:rsid w:val="00112417"/>
    <w:rsid w:val="00112661"/>
    <w:rsid w:val="00112830"/>
    <w:rsid w:val="001129C5"/>
    <w:rsid w:val="0011342C"/>
    <w:rsid w:val="0011348B"/>
    <w:rsid w:val="00113634"/>
    <w:rsid w:val="00114109"/>
    <w:rsid w:val="0011445B"/>
    <w:rsid w:val="00114914"/>
    <w:rsid w:val="0011495E"/>
    <w:rsid w:val="00114B23"/>
    <w:rsid w:val="00114E29"/>
    <w:rsid w:val="00114E69"/>
    <w:rsid w:val="00114EC2"/>
    <w:rsid w:val="00114F58"/>
    <w:rsid w:val="001151FB"/>
    <w:rsid w:val="0011555F"/>
    <w:rsid w:val="00115982"/>
    <w:rsid w:val="00115D2E"/>
    <w:rsid w:val="00115DF8"/>
    <w:rsid w:val="00115FA3"/>
    <w:rsid w:val="001162FC"/>
    <w:rsid w:val="00116652"/>
    <w:rsid w:val="00116707"/>
    <w:rsid w:val="00116896"/>
    <w:rsid w:val="00116A04"/>
    <w:rsid w:val="00116C53"/>
    <w:rsid w:val="00116C5E"/>
    <w:rsid w:val="00116FB2"/>
    <w:rsid w:val="0011730D"/>
    <w:rsid w:val="00117733"/>
    <w:rsid w:val="0011785A"/>
    <w:rsid w:val="00117D67"/>
    <w:rsid w:val="00117FEB"/>
    <w:rsid w:val="00120024"/>
    <w:rsid w:val="001205FA"/>
    <w:rsid w:val="00120798"/>
    <w:rsid w:val="001207CD"/>
    <w:rsid w:val="00120C78"/>
    <w:rsid w:val="00120E31"/>
    <w:rsid w:val="00120E34"/>
    <w:rsid w:val="00120E75"/>
    <w:rsid w:val="00120FD0"/>
    <w:rsid w:val="001210C5"/>
    <w:rsid w:val="001212D8"/>
    <w:rsid w:val="00121348"/>
    <w:rsid w:val="00121385"/>
    <w:rsid w:val="00121799"/>
    <w:rsid w:val="00121BB9"/>
    <w:rsid w:val="00121C2E"/>
    <w:rsid w:val="00121DFF"/>
    <w:rsid w:val="00122057"/>
    <w:rsid w:val="0012217D"/>
    <w:rsid w:val="001222FC"/>
    <w:rsid w:val="0012261E"/>
    <w:rsid w:val="001226BD"/>
    <w:rsid w:val="00122A99"/>
    <w:rsid w:val="00122B44"/>
    <w:rsid w:val="00122F6A"/>
    <w:rsid w:val="00123454"/>
    <w:rsid w:val="001234FF"/>
    <w:rsid w:val="0012382E"/>
    <w:rsid w:val="00123902"/>
    <w:rsid w:val="00123A28"/>
    <w:rsid w:val="00123A70"/>
    <w:rsid w:val="00123D3A"/>
    <w:rsid w:val="001243F1"/>
    <w:rsid w:val="001244A8"/>
    <w:rsid w:val="001244D9"/>
    <w:rsid w:val="0012470A"/>
    <w:rsid w:val="001248C6"/>
    <w:rsid w:val="0012499C"/>
    <w:rsid w:val="00124A51"/>
    <w:rsid w:val="00124A68"/>
    <w:rsid w:val="00124BE4"/>
    <w:rsid w:val="00124C08"/>
    <w:rsid w:val="001251AB"/>
    <w:rsid w:val="00125ACC"/>
    <w:rsid w:val="00125BD2"/>
    <w:rsid w:val="00125F82"/>
    <w:rsid w:val="00126047"/>
    <w:rsid w:val="001265B8"/>
    <w:rsid w:val="00126621"/>
    <w:rsid w:val="001266A5"/>
    <w:rsid w:val="001269FC"/>
    <w:rsid w:val="00126B1D"/>
    <w:rsid w:val="00126B6C"/>
    <w:rsid w:val="00126EAB"/>
    <w:rsid w:val="00126EF2"/>
    <w:rsid w:val="00126FF0"/>
    <w:rsid w:val="001273D0"/>
    <w:rsid w:val="001273FD"/>
    <w:rsid w:val="0012742F"/>
    <w:rsid w:val="0012790B"/>
    <w:rsid w:val="00127FC1"/>
    <w:rsid w:val="0013004B"/>
    <w:rsid w:val="001301E9"/>
    <w:rsid w:val="001301F6"/>
    <w:rsid w:val="001306B8"/>
    <w:rsid w:val="00130FC5"/>
    <w:rsid w:val="001313F0"/>
    <w:rsid w:val="00131562"/>
    <w:rsid w:val="001317E8"/>
    <w:rsid w:val="00131810"/>
    <w:rsid w:val="0013182B"/>
    <w:rsid w:val="00131D82"/>
    <w:rsid w:val="00131DF4"/>
    <w:rsid w:val="00131EC2"/>
    <w:rsid w:val="0013221B"/>
    <w:rsid w:val="0013228C"/>
    <w:rsid w:val="00132402"/>
    <w:rsid w:val="00132508"/>
    <w:rsid w:val="00132B22"/>
    <w:rsid w:val="00132EA6"/>
    <w:rsid w:val="00132EDE"/>
    <w:rsid w:val="00132F8C"/>
    <w:rsid w:val="00132FE2"/>
    <w:rsid w:val="00133B22"/>
    <w:rsid w:val="00133D36"/>
    <w:rsid w:val="00133EF6"/>
    <w:rsid w:val="001345D1"/>
    <w:rsid w:val="001346CB"/>
    <w:rsid w:val="0013492B"/>
    <w:rsid w:val="001349BB"/>
    <w:rsid w:val="0013505F"/>
    <w:rsid w:val="001357F5"/>
    <w:rsid w:val="001358E1"/>
    <w:rsid w:val="00135B01"/>
    <w:rsid w:val="00135E4D"/>
    <w:rsid w:val="00136036"/>
    <w:rsid w:val="001360C6"/>
    <w:rsid w:val="00136C34"/>
    <w:rsid w:val="001370DC"/>
    <w:rsid w:val="00137645"/>
    <w:rsid w:val="00137A86"/>
    <w:rsid w:val="00140072"/>
    <w:rsid w:val="0014015A"/>
    <w:rsid w:val="00140164"/>
    <w:rsid w:val="00140264"/>
    <w:rsid w:val="0014093E"/>
    <w:rsid w:val="00140A1C"/>
    <w:rsid w:val="00140D95"/>
    <w:rsid w:val="00140E99"/>
    <w:rsid w:val="001416A5"/>
    <w:rsid w:val="001416F8"/>
    <w:rsid w:val="0014185F"/>
    <w:rsid w:val="00141B17"/>
    <w:rsid w:val="00141ECD"/>
    <w:rsid w:val="001422EE"/>
    <w:rsid w:val="00142695"/>
    <w:rsid w:val="00142764"/>
    <w:rsid w:val="00142768"/>
    <w:rsid w:val="001428AE"/>
    <w:rsid w:val="001429C8"/>
    <w:rsid w:val="001429D3"/>
    <w:rsid w:val="00142C75"/>
    <w:rsid w:val="00142F7C"/>
    <w:rsid w:val="00143267"/>
    <w:rsid w:val="00143766"/>
    <w:rsid w:val="00143BA3"/>
    <w:rsid w:val="00143F67"/>
    <w:rsid w:val="00143F71"/>
    <w:rsid w:val="00144503"/>
    <w:rsid w:val="00144605"/>
    <w:rsid w:val="0014491E"/>
    <w:rsid w:val="001449BB"/>
    <w:rsid w:val="00144D4C"/>
    <w:rsid w:val="00145234"/>
    <w:rsid w:val="001453BD"/>
    <w:rsid w:val="00145540"/>
    <w:rsid w:val="00145626"/>
    <w:rsid w:val="001456B0"/>
    <w:rsid w:val="001456BD"/>
    <w:rsid w:val="001457EA"/>
    <w:rsid w:val="00145964"/>
    <w:rsid w:val="00145D8E"/>
    <w:rsid w:val="00146330"/>
    <w:rsid w:val="00146535"/>
    <w:rsid w:val="00146567"/>
    <w:rsid w:val="001465CC"/>
    <w:rsid w:val="0014669A"/>
    <w:rsid w:val="00146701"/>
    <w:rsid w:val="001468B4"/>
    <w:rsid w:val="00146DBC"/>
    <w:rsid w:val="001473DB"/>
    <w:rsid w:val="0014751A"/>
    <w:rsid w:val="00147528"/>
    <w:rsid w:val="001475C8"/>
    <w:rsid w:val="00147762"/>
    <w:rsid w:val="00147846"/>
    <w:rsid w:val="0015003A"/>
    <w:rsid w:val="0015004A"/>
    <w:rsid w:val="00150983"/>
    <w:rsid w:val="00150AD5"/>
    <w:rsid w:val="00150C29"/>
    <w:rsid w:val="00151A12"/>
    <w:rsid w:val="00151D90"/>
    <w:rsid w:val="001525D4"/>
    <w:rsid w:val="00152894"/>
    <w:rsid w:val="001529F1"/>
    <w:rsid w:val="00152B08"/>
    <w:rsid w:val="00152FD1"/>
    <w:rsid w:val="001531DC"/>
    <w:rsid w:val="0015333C"/>
    <w:rsid w:val="0015357F"/>
    <w:rsid w:val="001535DA"/>
    <w:rsid w:val="00153A1A"/>
    <w:rsid w:val="00153DCE"/>
    <w:rsid w:val="00153F98"/>
    <w:rsid w:val="001544FB"/>
    <w:rsid w:val="001545B9"/>
    <w:rsid w:val="001545D9"/>
    <w:rsid w:val="001547AB"/>
    <w:rsid w:val="00154C3F"/>
    <w:rsid w:val="00154E3E"/>
    <w:rsid w:val="0015561E"/>
    <w:rsid w:val="001559DE"/>
    <w:rsid w:val="00155DCD"/>
    <w:rsid w:val="00155E12"/>
    <w:rsid w:val="001561DD"/>
    <w:rsid w:val="00156BBD"/>
    <w:rsid w:val="00156F8F"/>
    <w:rsid w:val="00156FF2"/>
    <w:rsid w:val="001570BE"/>
    <w:rsid w:val="00157130"/>
    <w:rsid w:val="001576B1"/>
    <w:rsid w:val="00157AF1"/>
    <w:rsid w:val="00157C9C"/>
    <w:rsid w:val="00160294"/>
    <w:rsid w:val="0016047B"/>
    <w:rsid w:val="001608E5"/>
    <w:rsid w:val="00160957"/>
    <w:rsid w:val="00160A4C"/>
    <w:rsid w:val="001613AA"/>
    <w:rsid w:val="00161530"/>
    <w:rsid w:val="00161856"/>
    <w:rsid w:val="00161C30"/>
    <w:rsid w:val="0016200D"/>
    <w:rsid w:val="00162427"/>
    <w:rsid w:val="00162704"/>
    <w:rsid w:val="00162913"/>
    <w:rsid w:val="00163187"/>
    <w:rsid w:val="0016343A"/>
    <w:rsid w:val="00163484"/>
    <w:rsid w:val="00163C0A"/>
    <w:rsid w:val="00163C51"/>
    <w:rsid w:val="00163E0A"/>
    <w:rsid w:val="00163EF0"/>
    <w:rsid w:val="00163EFF"/>
    <w:rsid w:val="00163F66"/>
    <w:rsid w:val="00163F74"/>
    <w:rsid w:val="00164211"/>
    <w:rsid w:val="00164331"/>
    <w:rsid w:val="0016478E"/>
    <w:rsid w:val="00164F5E"/>
    <w:rsid w:val="00164F95"/>
    <w:rsid w:val="00165166"/>
    <w:rsid w:val="0016528F"/>
    <w:rsid w:val="00165550"/>
    <w:rsid w:val="00165619"/>
    <w:rsid w:val="0016588C"/>
    <w:rsid w:val="00165C72"/>
    <w:rsid w:val="00165EAF"/>
    <w:rsid w:val="00165EC4"/>
    <w:rsid w:val="001661FB"/>
    <w:rsid w:val="00166929"/>
    <w:rsid w:val="00166B55"/>
    <w:rsid w:val="00166DC8"/>
    <w:rsid w:val="001671A0"/>
    <w:rsid w:val="001674C6"/>
    <w:rsid w:val="001674F6"/>
    <w:rsid w:val="0016767F"/>
    <w:rsid w:val="00167717"/>
    <w:rsid w:val="001677FA"/>
    <w:rsid w:val="00167859"/>
    <w:rsid w:val="001679C3"/>
    <w:rsid w:val="001679E1"/>
    <w:rsid w:val="00170139"/>
    <w:rsid w:val="001701A1"/>
    <w:rsid w:val="001701DF"/>
    <w:rsid w:val="0017020D"/>
    <w:rsid w:val="00170685"/>
    <w:rsid w:val="00170D6C"/>
    <w:rsid w:val="00171061"/>
    <w:rsid w:val="00171505"/>
    <w:rsid w:val="0017167B"/>
    <w:rsid w:val="00172ABC"/>
    <w:rsid w:val="00172FF5"/>
    <w:rsid w:val="001730D2"/>
    <w:rsid w:val="00173116"/>
    <w:rsid w:val="00173565"/>
    <w:rsid w:val="00173674"/>
    <w:rsid w:val="00173B07"/>
    <w:rsid w:val="00173B52"/>
    <w:rsid w:val="00173BE1"/>
    <w:rsid w:val="00173C1C"/>
    <w:rsid w:val="00173DE9"/>
    <w:rsid w:val="001741EB"/>
    <w:rsid w:val="00174248"/>
    <w:rsid w:val="00174258"/>
    <w:rsid w:val="0017428F"/>
    <w:rsid w:val="00174806"/>
    <w:rsid w:val="00174825"/>
    <w:rsid w:val="00174894"/>
    <w:rsid w:val="001751FA"/>
    <w:rsid w:val="00175568"/>
    <w:rsid w:val="00175AB2"/>
    <w:rsid w:val="00175C7E"/>
    <w:rsid w:val="00175F2A"/>
    <w:rsid w:val="001764FE"/>
    <w:rsid w:val="0017667E"/>
    <w:rsid w:val="00176B8F"/>
    <w:rsid w:val="00176C60"/>
    <w:rsid w:val="00176DB3"/>
    <w:rsid w:val="00177531"/>
    <w:rsid w:val="00177569"/>
    <w:rsid w:val="0017769A"/>
    <w:rsid w:val="001778A5"/>
    <w:rsid w:val="001778F8"/>
    <w:rsid w:val="00177CC5"/>
    <w:rsid w:val="0018006A"/>
    <w:rsid w:val="00180129"/>
    <w:rsid w:val="00180394"/>
    <w:rsid w:val="001804A9"/>
    <w:rsid w:val="00180782"/>
    <w:rsid w:val="00180864"/>
    <w:rsid w:val="00180A41"/>
    <w:rsid w:val="00180AC9"/>
    <w:rsid w:val="00180B48"/>
    <w:rsid w:val="001816C0"/>
    <w:rsid w:val="00181749"/>
    <w:rsid w:val="00181C10"/>
    <w:rsid w:val="00181C9D"/>
    <w:rsid w:val="00181D9C"/>
    <w:rsid w:val="00181DFB"/>
    <w:rsid w:val="0018255F"/>
    <w:rsid w:val="00182870"/>
    <w:rsid w:val="00182A28"/>
    <w:rsid w:val="00182BF7"/>
    <w:rsid w:val="00183303"/>
    <w:rsid w:val="001835E5"/>
    <w:rsid w:val="001836C1"/>
    <w:rsid w:val="001837FF"/>
    <w:rsid w:val="00183D34"/>
    <w:rsid w:val="00183EB2"/>
    <w:rsid w:val="00184625"/>
    <w:rsid w:val="00184B0E"/>
    <w:rsid w:val="00184D19"/>
    <w:rsid w:val="00184DA3"/>
    <w:rsid w:val="00184EF9"/>
    <w:rsid w:val="00185143"/>
    <w:rsid w:val="0018538F"/>
    <w:rsid w:val="0018559D"/>
    <w:rsid w:val="00185647"/>
    <w:rsid w:val="0018570C"/>
    <w:rsid w:val="00185AF2"/>
    <w:rsid w:val="00185B93"/>
    <w:rsid w:val="00185BFA"/>
    <w:rsid w:val="00185F82"/>
    <w:rsid w:val="00186357"/>
    <w:rsid w:val="00186AF2"/>
    <w:rsid w:val="00186B5D"/>
    <w:rsid w:val="00186CA9"/>
    <w:rsid w:val="00186D49"/>
    <w:rsid w:val="00187091"/>
    <w:rsid w:val="0018752F"/>
    <w:rsid w:val="00187910"/>
    <w:rsid w:val="00187A04"/>
    <w:rsid w:val="00187CD3"/>
    <w:rsid w:val="00190274"/>
    <w:rsid w:val="001903AF"/>
    <w:rsid w:val="00190679"/>
    <w:rsid w:val="00190A7A"/>
    <w:rsid w:val="00190C74"/>
    <w:rsid w:val="0019147C"/>
    <w:rsid w:val="001919AD"/>
    <w:rsid w:val="00191A93"/>
    <w:rsid w:val="00191CE5"/>
    <w:rsid w:val="00191D4B"/>
    <w:rsid w:val="00191E08"/>
    <w:rsid w:val="00192B4D"/>
    <w:rsid w:val="00192CED"/>
    <w:rsid w:val="00192D74"/>
    <w:rsid w:val="00193142"/>
    <w:rsid w:val="001931C1"/>
    <w:rsid w:val="00193228"/>
    <w:rsid w:val="00193838"/>
    <w:rsid w:val="00193EAA"/>
    <w:rsid w:val="0019400D"/>
    <w:rsid w:val="0019407F"/>
    <w:rsid w:val="00194308"/>
    <w:rsid w:val="001943F0"/>
    <w:rsid w:val="001945DE"/>
    <w:rsid w:val="001946FD"/>
    <w:rsid w:val="00194AD8"/>
    <w:rsid w:val="00194B29"/>
    <w:rsid w:val="00194BBF"/>
    <w:rsid w:val="00195222"/>
    <w:rsid w:val="0019532B"/>
    <w:rsid w:val="00195452"/>
    <w:rsid w:val="00195581"/>
    <w:rsid w:val="0019578B"/>
    <w:rsid w:val="00195EDE"/>
    <w:rsid w:val="00195EE4"/>
    <w:rsid w:val="001965DD"/>
    <w:rsid w:val="00196929"/>
    <w:rsid w:val="00196A6C"/>
    <w:rsid w:val="00197293"/>
    <w:rsid w:val="001972F3"/>
    <w:rsid w:val="00197480"/>
    <w:rsid w:val="001975D8"/>
    <w:rsid w:val="0019787C"/>
    <w:rsid w:val="001A022A"/>
    <w:rsid w:val="001A0261"/>
    <w:rsid w:val="001A0791"/>
    <w:rsid w:val="001A0A0C"/>
    <w:rsid w:val="001A178E"/>
    <w:rsid w:val="001A1D4B"/>
    <w:rsid w:val="001A1D6D"/>
    <w:rsid w:val="001A1D84"/>
    <w:rsid w:val="001A268C"/>
    <w:rsid w:val="001A2AB1"/>
    <w:rsid w:val="001A2E80"/>
    <w:rsid w:val="001A38E6"/>
    <w:rsid w:val="001A40A5"/>
    <w:rsid w:val="001A43FA"/>
    <w:rsid w:val="001A47C5"/>
    <w:rsid w:val="001A48F4"/>
    <w:rsid w:val="001A522D"/>
    <w:rsid w:val="001A5280"/>
    <w:rsid w:val="001A5470"/>
    <w:rsid w:val="001A5636"/>
    <w:rsid w:val="001A5958"/>
    <w:rsid w:val="001A59FB"/>
    <w:rsid w:val="001A5C0B"/>
    <w:rsid w:val="001A5CD5"/>
    <w:rsid w:val="001A5E9E"/>
    <w:rsid w:val="001A5F0B"/>
    <w:rsid w:val="001A6354"/>
    <w:rsid w:val="001A6366"/>
    <w:rsid w:val="001A64B9"/>
    <w:rsid w:val="001A6962"/>
    <w:rsid w:val="001A6A1E"/>
    <w:rsid w:val="001A6CEE"/>
    <w:rsid w:val="001A6FC8"/>
    <w:rsid w:val="001A7179"/>
    <w:rsid w:val="001A7AE8"/>
    <w:rsid w:val="001A7DFC"/>
    <w:rsid w:val="001A7FE4"/>
    <w:rsid w:val="001B03B8"/>
    <w:rsid w:val="001B0535"/>
    <w:rsid w:val="001B096D"/>
    <w:rsid w:val="001B0B52"/>
    <w:rsid w:val="001B0F45"/>
    <w:rsid w:val="001B19A8"/>
    <w:rsid w:val="001B19B4"/>
    <w:rsid w:val="001B1BE1"/>
    <w:rsid w:val="001B1BE6"/>
    <w:rsid w:val="001B1C60"/>
    <w:rsid w:val="001B1D67"/>
    <w:rsid w:val="001B1D8F"/>
    <w:rsid w:val="001B203A"/>
    <w:rsid w:val="001B204E"/>
    <w:rsid w:val="001B2141"/>
    <w:rsid w:val="001B2372"/>
    <w:rsid w:val="001B23DF"/>
    <w:rsid w:val="001B2C15"/>
    <w:rsid w:val="001B2C55"/>
    <w:rsid w:val="001B2DD6"/>
    <w:rsid w:val="001B2E0E"/>
    <w:rsid w:val="001B30F0"/>
    <w:rsid w:val="001B3443"/>
    <w:rsid w:val="001B382F"/>
    <w:rsid w:val="001B3A7B"/>
    <w:rsid w:val="001B3B75"/>
    <w:rsid w:val="001B3E13"/>
    <w:rsid w:val="001B40BF"/>
    <w:rsid w:val="001B43A9"/>
    <w:rsid w:val="001B4429"/>
    <w:rsid w:val="001B45B7"/>
    <w:rsid w:val="001B48E2"/>
    <w:rsid w:val="001B4D20"/>
    <w:rsid w:val="001B533B"/>
    <w:rsid w:val="001B5778"/>
    <w:rsid w:val="001B5C83"/>
    <w:rsid w:val="001B5CD4"/>
    <w:rsid w:val="001B654C"/>
    <w:rsid w:val="001B66F4"/>
    <w:rsid w:val="001B6F74"/>
    <w:rsid w:val="001B7190"/>
    <w:rsid w:val="001B71B9"/>
    <w:rsid w:val="001B73B2"/>
    <w:rsid w:val="001B74D7"/>
    <w:rsid w:val="001B75BF"/>
    <w:rsid w:val="001B788E"/>
    <w:rsid w:val="001B7A0C"/>
    <w:rsid w:val="001B7C30"/>
    <w:rsid w:val="001B7F84"/>
    <w:rsid w:val="001C00B4"/>
    <w:rsid w:val="001C00F3"/>
    <w:rsid w:val="001C02DC"/>
    <w:rsid w:val="001C0365"/>
    <w:rsid w:val="001C1054"/>
    <w:rsid w:val="001C175B"/>
    <w:rsid w:val="001C1E9F"/>
    <w:rsid w:val="001C223F"/>
    <w:rsid w:val="001C22AE"/>
    <w:rsid w:val="001C25BE"/>
    <w:rsid w:val="001C2A9B"/>
    <w:rsid w:val="001C3203"/>
    <w:rsid w:val="001C3404"/>
    <w:rsid w:val="001C340F"/>
    <w:rsid w:val="001C34EC"/>
    <w:rsid w:val="001C3722"/>
    <w:rsid w:val="001C3C58"/>
    <w:rsid w:val="001C3DD6"/>
    <w:rsid w:val="001C3DF3"/>
    <w:rsid w:val="001C401C"/>
    <w:rsid w:val="001C4299"/>
    <w:rsid w:val="001C4346"/>
    <w:rsid w:val="001C43F4"/>
    <w:rsid w:val="001C46EB"/>
    <w:rsid w:val="001C474F"/>
    <w:rsid w:val="001C4874"/>
    <w:rsid w:val="001C4D41"/>
    <w:rsid w:val="001C51BD"/>
    <w:rsid w:val="001C526B"/>
    <w:rsid w:val="001C553B"/>
    <w:rsid w:val="001C5825"/>
    <w:rsid w:val="001C5863"/>
    <w:rsid w:val="001C5E83"/>
    <w:rsid w:val="001C5F94"/>
    <w:rsid w:val="001C6082"/>
    <w:rsid w:val="001C6514"/>
    <w:rsid w:val="001C6689"/>
    <w:rsid w:val="001C6890"/>
    <w:rsid w:val="001C6A21"/>
    <w:rsid w:val="001C6B33"/>
    <w:rsid w:val="001C6E66"/>
    <w:rsid w:val="001C745E"/>
    <w:rsid w:val="001C76C2"/>
    <w:rsid w:val="001C7CCA"/>
    <w:rsid w:val="001D0DDB"/>
    <w:rsid w:val="001D1100"/>
    <w:rsid w:val="001D132B"/>
    <w:rsid w:val="001D1391"/>
    <w:rsid w:val="001D1603"/>
    <w:rsid w:val="001D16D7"/>
    <w:rsid w:val="001D1D75"/>
    <w:rsid w:val="001D1FA3"/>
    <w:rsid w:val="001D2355"/>
    <w:rsid w:val="001D24C9"/>
    <w:rsid w:val="001D2509"/>
    <w:rsid w:val="001D2522"/>
    <w:rsid w:val="001D25A1"/>
    <w:rsid w:val="001D25D7"/>
    <w:rsid w:val="001D27DA"/>
    <w:rsid w:val="001D28AD"/>
    <w:rsid w:val="001D2F74"/>
    <w:rsid w:val="001D3196"/>
    <w:rsid w:val="001D3566"/>
    <w:rsid w:val="001D35DA"/>
    <w:rsid w:val="001D367B"/>
    <w:rsid w:val="001D374C"/>
    <w:rsid w:val="001D399D"/>
    <w:rsid w:val="001D3BCE"/>
    <w:rsid w:val="001D3BE4"/>
    <w:rsid w:val="001D4004"/>
    <w:rsid w:val="001D401F"/>
    <w:rsid w:val="001D4083"/>
    <w:rsid w:val="001D40CE"/>
    <w:rsid w:val="001D41E1"/>
    <w:rsid w:val="001D42B9"/>
    <w:rsid w:val="001D43A9"/>
    <w:rsid w:val="001D43DD"/>
    <w:rsid w:val="001D454E"/>
    <w:rsid w:val="001D4933"/>
    <w:rsid w:val="001D4AC6"/>
    <w:rsid w:val="001D4CB7"/>
    <w:rsid w:val="001D50B2"/>
    <w:rsid w:val="001D5124"/>
    <w:rsid w:val="001D5522"/>
    <w:rsid w:val="001D6400"/>
    <w:rsid w:val="001D65FF"/>
    <w:rsid w:val="001D680E"/>
    <w:rsid w:val="001D700A"/>
    <w:rsid w:val="001D71F4"/>
    <w:rsid w:val="001D73D5"/>
    <w:rsid w:val="001D74D5"/>
    <w:rsid w:val="001D7540"/>
    <w:rsid w:val="001D7645"/>
    <w:rsid w:val="001D7AAB"/>
    <w:rsid w:val="001D7E85"/>
    <w:rsid w:val="001E01EC"/>
    <w:rsid w:val="001E0639"/>
    <w:rsid w:val="001E06D2"/>
    <w:rsid w:val="001E0983"/>
    <w:rsid w:val="001E09D5"/>
    <w:rsid w:val="001E0AF9"/>
    <w:rsid w:val="001E155A"/>
    <w:rsid w:val="001E1A8D"/>
    <w:rsid w:val="001E1E86"/>
    <w:rsid w:val="001E1F76"/>
    <w:rsid w:val="001E204E"/>
    <w:rsid w:val="001E2070"/>
    <w:rsid w:val="001E22E5"/>
    <w:rsid w:val="001E238E"/>
    <w:rsid w:val="001E23E1"/>
    <w:rsid w:val="001E2483"/>
    <w:rsid w:val="001E293F"/>
    <w:rsid w:val="001E2A12"/>
    <w:rsid w:val="001E2B1E"/>
    <w:rsid w:val="001E2CFF"/>
    <w:rsid w:val="001E2D5B"/>
    <w:rsid w:val="001E2F24"/>
    <w:rsid w:val="001E30D4"/>
    <w:rsid w:val="001E34DF"/>
    <w:rsid w:val="001E34EB"/>
    <w:rsid w:val="001E3661"/>
    <w:rsid w:val="001E37F0"/>
    <w:rsid w:val="001E3828"/>
    <w:rsid w:val="001E3BDF"/>
    <w:rsid w:val="001E3C5E"/>
    <w:rsid w:val="001E3DE1"/>
    <w:rsid w:val="001E4465"/>
    <w:rsid w:val="001E4637"/>
    <w:rsid w:val="001E4F74"/>
    <w:rsid w:val="001E5133"/>
    <w:rsid w:val="001E51E1"/>
    <w:rsid w:val="001E52EB"/>
    <w:rsid w:val="001E5573"/>
    <w:rsid w:val="001E564F"/>
    <w:rsid w:val="001E59DF"/>
    <w:rsid w:val="001E5DD4"/>
    <w:rsid w:val="001E5EFA"/>
    <w:rsid w:val="001E5FB4"/>
    <w:rsid w:val="001E61D2"/>
    <w:rsid w:val="001E63AE"/>
    <w:rsid w:val="001E65BD"/>
    <w:rsid w:val="001E66CD"/>
    <w:rsid w:val="001E6860"/>
    <w:rsid w:val="001E6F01"/>
    <w:rsid w:val="001E732A"/>
    <w:rsid w:val="001E740C"/>
    <w:rsid w:val="001E7A7A"/>
    <w:rsid w:val="001E7C36"/>
    <w:rsid w:val="001E7C39"/>
    <w:rsid w:val="001E7DD2"/>
    <w:rsid w:val="001F0ACA"/>
    <w:rsid w:val="001F0B8E"/>
    <w:rsid w:val="001F0BC9"/>
    <w:rsid w:val="001F10C8"/>
    <w:rsid w:val="001F1235"/>
    <w:rsid w:val="001F14AB"/>
    <w:rsid w:val="001F19BB"/>
    <w:rsid w:val="001F1BE8"/>
    <w:rsid w:val="001F1C0E"/>
    <w:rsid w:val="001F1CB3"/>
    <w:rsid w:val="001F244B"/>
    <w:rsid w:val="001F2BDB"/>
    <w:rsid w:val="001F2CB2"/>
    <w:rsid w:val="001F2E12"/>
    <w:rsid w:val="001F3548"/>
    <w:rsid w:val="001F38B5"/>
    <w:rsid w:val="001F3927"/>
    <w:rsid w:val="001F3A22"/>
    <w:rsid w:val="001F4081"/>
    <w:rsid w:val="001F40B6"/>
    <w:rsid w:val="001F4307"/>
    <w:rsid w:val="001F4768"/>
    <w:rsid w:val="001F49C8"/>
    <w:rsid w:val="001F4AF7"/>
    <w:rsid w:val="001F4FF1"/>
    <w:rsid w:val="001F53CE"/>
    <w:rsid w:val="001F566E"/>
    <w:rsid w:val="001F5BE6"/>
    <w:rsid w:val="001F5E12"/>
    <w:rsid w:val="001F5E97"/>
    <w:rsid w:val="001F6268"/>
    <w:rsid w:val="001F6842"/>
    <w:rsid w:val="001F6B6B"/>
    <w:rsid w:val="001F6B8C"/>
    <w:rsid w:val="001F6ECB"/>
    <w:rsid w:val="001F7361"/>
    <w:rsid w:val="001F7383"/>
    <w:rsid w:val="001F751C"/>
    <w:rsid w:val="001F7768"/>
    <w:rsid w:val="001F792D"/>
    <w:rsid w:val="00200163"/>
    <w:rsid w:val="00200C37"/>
    <w:rsid w:val="00200F8C"/>
    <w:rsid w:val="002011B0"/>
    <w:rsid w:val="00201213"/>
    <w:rsid w:val="002012AC"/>
    <w:rsid w:val="00201397"/>
    <w:rsid w:val="002018CB"/>
    <w:rsid w:val="00201AAE"/>
    <w:rsid w:val="00201B86"/>
    <w:rsid w:val="00201BA7"/>
    <w:rsid w:val="00201E2E"/>
    <w:rsid w:val="00201F48"/>
    <w:rsid w:val="00202921"/>
    <w:rsid w:val="00203068"/>
    <w:rsid w:val="00203181"/>
    <w:rsid w:val="0020328F"/>
    <w:rsid w:val="00203742"/>
    <w:rsid w:val="0020377A"/>
    <w:rsid w:val="00203783"/>
    <w:rsid w:val="0020385F"/>
    <w:rsid w:val="0020429E"/>
    <w:rsid w:val="00204773"/>
    <w:rsid w:val="002047CD"/>
    <w:rsid w:val="00204955"/>
    <w:rsid w:val="002049F9"/>
    <w:rsid w:val="00205425"/>
    <w:rsid w:val="00205521"/>
    <w:rsid w:val="00205526"/>
    <w:rsid w:val="002058BF"/>
    <w:rsid w:val="002058E5"/>
    <w:rsid w:val="00205A39"/>
    <w:rsid w:val="00205A75"/>
    <w:rsid w:val="00205B1E"/>
    <w:rsid w:val="00205B72"/>
    <w:rsid w:val="00205E03"/>
    <w:rsid w:val="0020688A"/>
    <w:rsid w:val="002068A0"/>
    <w:rsid w:val="00206D54"/>
    <w:rsid w:val="00207021"/>
    <w:rsid w:val="0020732F"/>
    <w:rsid w:val="002074A9"/>
    <w:rsid w:val="00207847"/>
    <w:rsid w:val="00207856"/>
    <w:rsid w:val="00207D00"/>
    <w:rsid w:val="00210232"/>
    <w:rsid w:val="0021058E"/>
    <w:rsid w:val="002105C1"/>
    <w:rsid w:val="00210736"/>
    <w:rsid w:val="00210811"/>
    <w:rsid w:val="00210ECE"/>
    <w:rsid w:val="002114F2"/>
    <w:rsid w:val="00211692"/>
    <w:rsid w:val="002116FD"/>
    <w:rsid w:val="00211772"/>
    <w:rsid w:val="002118EA"/>
    <w:rsid w:val="00211992"/>
    <w:rsid w:val="00211A89"/>
    <w:rsid w:val="00211CF9"/>
    <w:rsid w:val="00212986"/>
    <w:rsid w:val="00212DF8"/>
    <w:rsid w:val="00212FC7"/>
    <w:rsid w:val="00213144"/>
    <w:rsid w:val="0021319C"/>
    <w:rsid w:val="0021329B"/>
    <w:rsid w:val="0021329C"/>
    <w:rsid w:val="00213EF5"/>
    <w:rsid w:val="00214065"/>
    <w:rsid w:val="00214085"/>
    <w:rsid w:val="00214322"/>
    <w:rsid w:val="00214466"/>
    <w:rsid w:val="00214626"/>
    <w:rsid w:val="0021497C"/>
    <w:rsid w:val="00214AA6"/>
    <w:rsid w:val="002152C2"/>
    <w:rsid w:val="00215499"/>
    <w:rsid w:val="002157A4"/>
    <w:rsid w:val="002158E9"/>
    <w:rsid w:val="00215A7B"/>
    <w:rsid w:val="00215B4C"/>
    <w:rsid w:val="00215D49"/>
    <w:rsid w:val="00216104"/>
    <w:rsid w:val="00216379"/>
    <w:rsid w:val="00216BF5"/>
    <w:rsid w:val="00216EAD"/>
    <w:rsid w:val="002174BE"/>
    <w:rsid w:val="00217CB2"/>
    <w:rsid w:val="00217D29"/>
    <w:rsid w:val="00217D3D"/>
    <w:rsid w:val="00217F82"/>
    <w:rsid w:val="0022054B"/>
    <w:rsid w:val="0022057E"/>
    <w:rsid w:val="00220788"/>
    <w:rsid w:val="002209E1"/>
    <w:rsid w:val="00220C48"/>
    <w:rsid w:val="00220F3B"/>
    <w:rsid w:val="00221A74"/>
    <w:rsid w:val="00221E06"/>
    <w:rsid w:val="00222077"/>
    <w:rsid w:val="002221B9"/>
    <w:rsid w:val="0022227C"/>
    <w:rsid w:val="00222598"/>
    <w:rsid w:val="0022279F"/>
    <w:rsid w:val="002229D3"/>
    <w:rsid w:val="0022334E"/>
    <w:rsid w:val="00223567"/>
    <w:rsid w:val="002237C2"/>
    <w:rsid w:val="00223B49"/>
    <w:rsid w:val="00223D5A"/>
    <w:rsid w:val="00223DFB"/>
    <w:rsid w:val="00223E05"/>
    <w:rsid w:val="00223E0F"/>
    <w:rsid w:val="002240AE"/>
    <w:rsid w:val="002240EE"/>
    <w:rsid w:val="002245EA"/>
    <w:rsid w:val="0022470A"/>
    <w:rsid w:val="00224A70"/>
    <w:rsid w:val="00224B07"/>
    <w:rsid w:val="00224B44"/>
    <w:rsid w:val="00224C18"/>
    <w:rsid w:val="00224D76"/>
    <w:rsid w:val="00224DD4"/>
    <w:rsid w:val="00224F88"/>
    <w:rsid w:val="00225281"/>
    <w:rsid w:val="002252F2"/>
    <w:rsid w:val="0022666F"/>
    <w:rsid w:val="00226DBD"/>
    <w:rsid w:val="00227051"/>
    <w:rsid w:val="002270B0"/>
    <w:rsid w:val="0022760C"/>
    <w:rsid w:val="002278A0"/>
    <w:rsid w:val="00227A8B"/>
    <w:rsid w:val="00227AE6"/>
    <w:rsid w:val="00227B62"/>
    <w:rsid w:val="0023069B"/>
    <w:rsid w:val="002309CC"/>
    <w:rsid w:val="00230DAC"/>
    <w:rsid w:val="00230FEA"/>
    <w:rsid w:val="002311C0"/>
    <w:rsid w:val="00231BA9"/>
    <w:rsid w:val="00231CCC"/>
    <w:rsid w:val="00231CE1"/>
    <w:rsid w:val="00231E9E"/>
    <w:rsid w:val="0023209F"/>
    <w:rsid w:val="0023217F"/>
    <w:rsid w:val="002323FD"/>
    <w:rsid w:val="002325D0"/>
    <w:rsid w:val="00232768"/>
    <w:rsid w:val="002329D5"/>
    <w:rsid w:val="002329D6"/>
    <w:rsid w:val="00232D4F"/>
    <w:rsid w:val="00232D8C"/>
    <w:rsid w:val="002330C4"/>
    <w:rsid w:val="0023343C"/>
    <w:rsid w:val="0023375B"/>
    <w:rsid w:val="002337B3"/>
    <w:rsid w:val="00233C01"/>
    <w:rsid w:val="00233D25"/>
    <w:rsid w:val="00233F4A"/>
    <w:rsid w:val="002340C6"/>
    <w:rsid w:val="0023413C"/>
    <w:rsid w:val="002341EF"/>
    <w:rsid w:val="002346F0"/>
    <w:rsid w:val="00234984"/>
    <w:rsid w:val="00234E7A"/>
    <w:rsid w:val="00234F03"/>
    <w:rsid w:val="002350DA"/>
    <w:rsid w:val="002351C3"/>
    <w:rsid w:val="00235299"/>
    <w:rsid w:val="0023562F"/>
    <w:rsid w:val="00235791"/>
    <w:rsid w:val="0023592B"/>
    <w:rsid w:val="00235A04"/>
    <w:rsid w:val="00235A83"/>
    <w:rsid w:val="00236035"/>
    <w:rsid w:val="00236116"/>
    <w:rsid w:val="002361EC"/>
    <w:rsid w:val="0023629D"/>
    <w:rsid w:val="002363A9"/>
    <w:rsid w:val="00236634"/>
    <w:rsid w:val="0023682B"/>
    <w:rsid w:val="00236A63"/>
    <w:rsid w:val="00236D44"/>
    <w:rsid w:val="00237135"/>
    <w:rsid w:val="00237255"/>
    <w:rsid w:val="00237993"/>
    <w:rsid w:val="00237D56"/>
    <w:rsid w:val="00237DC3"/>
    <w:rsid w:val="0024002C"/>
    <w:rsid w:val="00240400"/>
    <w:rsid w:val="002407C4"/>
    <w:rsid w:val="00240B2C"/>
    <w:rsid w:val="0024101F"/>
    <w:rsid w:val="00241B86"/>
    <w:rsid w:val="002420FD"/>
    <w:rsid w:val="002424AF"/>
    <w:rsid w:val="00242AF5"/>
    <w:rsid w:val="0024302A"/>
    <w:rsid w:val="002433CB"/>
    <w:rsid w:val="002434DB"/>
    <w:rsid w:val="002437E6"/>
    <w:rsid w:val="002439DC"/>
    <w:rsid w:val="00243D6B"/>
    <w:rsid w:val="00244109"/>
    <w:rsid w:val="002441D2"/>
    <w:rsid w:val="00244452"/>
    <w:rsid w:val="002446BC"/>
    <w:rsid w:val="002448F1"/>
    <w:rsid w:val="00244C86"/>
    <w:rsid w:val="00244D0F"/>
    <w:rsid w:val="00244DC8"/>
    <w:rsid w:val="00244DDF"/>
    <w:rsid w:val="00244E15"/>
    <w:rsid w:val="00244F0C"/>
    <w:rsid w:val="002450E6"/>
    <w:rsid w:val="0024544A"/>
    <w:rsid w:val="002458BA"/>
    <w:rsid w:val="00245980"/>
    <w:rsid w:val="00245CE9"/>
    <w:rsid w:val="00245DA7"/>
    <w:rsid w:val="002460E4"/>
    <w:rsid w:val="0024636C"/>
    <w:rsid w:val="0024681C"/>
    <w:rsid w:val="00246950"/>
    <w:rsid w:val="00246B98"/>
    <w:rsid w:val="00246FDF"/>
    <w:rsid w:val="00247925"/>
    <w:rsid w:val="00247AC4"/>
    <w:rsid w:val="00247BFB"/>
    <w:rsid w:val="002501F0"/>
    <w:rsid w:val="002508D3"/>
    <w:rsid w:val="00250A6E"/>
    <w:rsid w:val="00250C46"/>
    <w:rsid w:val="00250FB0"/>
    <w:rsid w:val="00251006"/>
    <w:rsid w:val="002510A8"/>
    <w:rsid w:val="002512DC"/>
    <w:rsid w:val="00251482"/>
    <w:rsid w:val="00251F0D"/>
    <w:rsid w:val="002524D5"/>
    <w:rsid w:val="0025266A"/>
    <w:rsid w:val="002528DC"/>
    <w:rsid w:val="0025296A"/>
    <w:rsid w:val="0025336D"/>
    <w:rsid w:val="0025343E"/>
    <w:rsid w:val="0025361B"/>
    <w:rsid w:val="00253976"/>
    <w:rsid w:val="00253A50"/>
    <w:rsid w:val="00253B1D"/>
    <w:rsid w:val="00253D98"/>
    <w:rsid w:val="00253FDA"/>
    <w:rsid w:val="00254108"/>
    <w:rsid w:val="0025445B"/>
    <w:rsid w:val="00254768"/>
    <w:rsid w:val="00254C74"/>
    <w:rsid w:val="00254DCF"/>
    <w:rsid w:val="002550DA"/>
    <w:rsid w:val="0025534B"/>
    <w:rsid w:val="00255A78"/>
    <w:rsid w:val="00255A91"/>
    <w:rsid w:val="00255BB7"/>
    <w:rsid w:val="00255E3B"/>
    <w:rsid w:val="002562E4"/>
    <w:rsid w:val="0025641A"/>
    <w:rsid w:val="00256478"/>
    <w:rsid w:val="00256FDC"/>
    <w:rsid w:val="00257218"/>
    <w:rsid w:val="00257541"/>
    <w:rsid w:val="00257661"/>
    <w:rsid w:val="002577E2"/>
    <w:rsid w:val="002577ED"/>
    <w:rsid w:val="00257A39"/>
    <w:rsid w:val="00257A8A"/>
    <w:rsid w:val="00257AC4"/>
    <w:rsid w:val="00257BBE"/>
    <w:rsid w:val="00257D0C"/>
    <w:rsid w:val="00257F58"/>
    <w:rsid w:val="002600A9"/>
    <w:rsid w:val="002600E6"/>
    <w:rsid w:val="0026027B"/>
    <w:rsid w:val="00260687"/>
    <w:rsid w:val="00260A25"/>
    <w:rsid w:val="00260B52"/>
    <w:rsid w:val="00261EEF"/>
    <w:rsid w:val="002622E7"/>
    <w:rsid w:val="0026230A"/>
    <w:rsid w:val="0026250D"/>
    <w:rsid w:val="002625A8"/>
    <w:rsid w:val="002625EA"/>
    <w:rsid w:val="00262A1A"/>
    <w:rsid w:val="00262A87"/>
    <w:rsid w:val="002631A1"/>
    <w:rsid w:val="0026376F"/>
    <w:rsid w:val="00263B6C"/>
    <w:rsid w:val="00263F1B"/>
    <w:rsid w:val="00263F4B"/>
    <w:rsid w:val="00264188"/>
    <w:rsid w:val="00264231"/>
    <w:rsid w:val="00264248"/>
    <w:rsid w:val="0026474B"/>
    <w:rsid w:val="00264B57"/>
    <w:rsid w:val="00264D26"/>
    <w:rsid w:val="002650B9"/>
    <w:rsid w:val="002651D4"/>
    <w:rsid w:val="00266049"/>
    <w:rsid w:val="00266505"/>
    <w:rsid w:val="00266729"/>
    <w:rsid w:val="00266A6E"/>
    <w:rsid w:val="00266CA6"/>
    <w:rsid w:val="00267182"/>
    <w:rsid w:val="00267460"/>
    <w:rsid w:val="002675EA"/>
    <w:rsid w:val="00267642"/>
    <w:rsid w:val="00267AEA"/>
    <w:rsid w:val="002700E6"/>
    <w:rsid w:val="002706EC"/>
    <w:rsid w:val="00270C34"/>
    <w:rsid w:val="00270F89"/>
    <w:rsid w:val="00270FDB"/>
    <w:rsid w:val="002712FC"/>
    <w:rsid w:val="0027131C"/>
    <w:rsid w:val="002713DE"/>
    <w:rsid w:val="002716D2"/>
    <w:rsid w:val="002716E8"/>
    <w:rsid w:val="00271800"/>
    <w:rsid w:val="00271CCD"/>
    <w:rsid w:val="0027214F"/>
    <w:rsid w:val="002725FC"/>
    <w:rsid w:val="002726CA"/>
    <w:rsid w:val="0027274B"/>
    <w:rsid w:val="0027283A"/>
    <w:rsid w:val="0027294B"/>
    <w:rsid w:val="00272C64"/>
    <w:rsid w:val="00272D8B"/>
    <w:rsid w:val="00272F5E"/>
    <w:rsid w:val="00273495"/>
    <w:rsid w:val="00273976"/>
    <w:rsid w:val="00273A5D"/>
    <w:rsid w:val="00273C2A"/>
    <w:rsid w:val="00273EB4"/>
    <w:rsid w:val="00274187"/>
    <w:rsid w:val="002743BB"/>
    <w:rsid w:val="00274622"/>
    <w:rsid w:val="00274682"/>
    <w:rsid w:val="00274A2A"/>
    <w:rsid w:val="00274DB1"/>
    <w:rsid w:val="00274F5B"/>
    <w:rsid w:val="00275158"/>
    <w:rsid w:val="002753F9"/>
    <w:rsid w:val="002754CE"/>
    <w:rsid w:val="00275A8C"/>
    <w:rsid w:val="00275C5A"/>
    <w:rsid w:val="0027639E"/>
    <w:rsid w:val="002765DF"/>
    <w:rsid w:val="0027677E"/>
    <w:rsid w:val="0027678B"/>
    <w:rsid w:val="00276DF5"/>
    <w:rsid w:val="00276EA3"/>
    <w:rsid w:val="00277096"/>
    <w:rsid w:val="002771BD"/>
    <w:rsid w:val="002771CD"/>
    <w:rsid w:val="00277E86"/>
    <w:rsid w:val="00277E88"/>
    <w:rsid w:val="00280E39"/>
    <w:rsid w:val="00280FA6"/>
    <w:rsid w:val="00281014"/>
    <w:rsid w:val="00281164"/>
    <w:rsid w:val="002811AF"/>
    <w:rsid w:val="00281343"/>
    <w:rsid w:val="002813EA"/>
    <w:rsid w:val="002814DE"/>
    <w:rsid w:val="002816C9"/>
    <w:rsid w:val="002818C1"/>
    <w:rsid w:val="00281A1D"/>
    <w:rsid w:val="00281D17"/>
    <w:rsid w:val="00281DE2"/>
    <w:rsid w:val="00281DE6"/>
    <w:rsid w:val="00281F34"/>
    <w:rsid w:val="00282257"/>
    <w:rsid w:val="002825B4"/>
    <w:rsid w:val="002826A6"/>
    <w:rsid w:val="002826B4"/>
    <w:rsid w:val="002826E2"/>
    <w:rsid w:val="00282A3E"/>
    <w:rsid w:val="00283C4F"/>
    <w:rsid w:val="00283F58"/>
    <w:rsid w:val="002841FC"/>
    <w:rsid w:val="0028428A"/>
    <w:rsid w:val="00284B36"/>
    <w:rsid w:val="00284D84"/>
    <w:rsid w:val="00284E52"/>
    <w:rsid w:val="00284E91"/>
    <w:rsid w:val="00285534"/>
    <w:rsid w:val="0028581F"/>
    <w:rsid w:val="00285BCE"/>
    <w:rsid w:val="00285C40"/>
    <w:rsid w:val="00285C7F"/>
    <w:rsid w:val="0028665D"/>
    <w:rsid w:val="00286E83"/>
    <w:rsid w:val="00287014"/>
    <w:rsid w:val="00287171"/>
    <w:rsid w:val="00287CAF"/>
    <w:rsid w:val="00290157"/>
    <w:rsid w:val="00290222"/>
    <w:rsid w:val="00290385"/>
    <w:rsid w:val="00290644"/>
    <w:rsid w:val="00290D41"/>
    <w:rsid w:val="00290E34"/>
    <w:rsid w:val="00290E39"/>
    <w:rsid w:val="00290EFD"/>
    <w:rsid w:val="00291098"/>
    <w:rsid w:val="0029148B"/>
    <w:rsid w:val="002917E4"/>
    <w:rsid w:val="00291B5E"/>
    <w:rsid w:val="00292209"/>
    <w:rsid w:val="002924EE"/>
    <w:rsid w:val="00292DFC"/>
    <w:rsid w:val="0029348F"/>
    <w:rsid w:val="00293864"/>
    <w:rsid w:val="00293FB0"/>
    <w:rsid w:val="00294633"/>
    <w:rsid w:val="002946FF"/>
    <w:rsid w:val="00294836"/>
    <w:rsid w:val="00294850"/>
    <w:rsid w:val="00294CF9"/>
    <w:rsid w:val="002951CD"/>
    <w:rsid w:val="00295222"/>
    <w:rsid w:val="00295304"/>
    <w:rsid w:val="002956B2"/>
    <w:rsid w:val="0029599A"/>
    <w:rsid w:val="00295C5B"/>
    <w:rsid w:val="0029619E"/>
    <w:rsid w:val="002968D4"/>
    <w:rsid w:val="0029698D"/>
    <w:rsid w:val="00296B28"/>
    <w:rsid w:val="00296FE5"/>
    <w:rsid w:val="00297384"/>
    <w:rsid w:val="0029798B"/>
    <w:rsid w:val="002979CD"/>
    <w:rsid w:val="00297C91"/>
    <w:rsid w:val="00297E76"/>
    <w:rsid w:val="002A006A"/>
    <w:rsid w:val="002A084C"/>
    <w:rsid w:val="002A093D"/>
    <w:rsid w:val="002A0DFE"/>
    <w:rsid w:val="002A0E78"/>
    <w:rsid w:val="002A0EF2"/>
    <w:rsid w:val="002A1049"/>
    <w:rsid w:val="002A14AB"/>
    <w:rsid w:val="002A15FD"/>
    <w:rsid w:val="002A196F"/>
    <w:rsid w:val="002A1A2F"/>
    <w:rsid w:val="002A1BBC"/>
    <w:rsid w:val="002A1D0F"/>
    <w:rsid w:val="002A1D4D"/>
    <w:rsid w:val="002A22B4"/>
    <w:rsid w:val="002A257E"/>
    <w:rsid w:val="002A2590"/>
    <w:rsid w:val="002A271E"/>
    <w:rsid w:val="002A27C6"/>
    <w:rsid w:val="002A27F9"/>
    <w:rsid w:val="002A29AD"/>
    <w:rsid w:val="002A29DD"/>
    <w:rsid w:val="002A2ADE"/>
    <w:rsid w:val="002A2BB8"/>
    <w:rsid w:val="002A2E52"/>
    <w:rsid w:val="002A2F50"/>
    <w:rsid w:val="002A2F8B"/>
    <w:rsid w:val="002A3160"/>
    <w:rsid w:val="002A3204"/>
    <w:rsid w:val="002A3235"/>
    <w:rsid w:val="002A3305"/>
    <w:rsid w:val="002A42C0"/>
    <w:rsid w:val="002A4C5E"/>
    <w:rsid w:val="002A4E7F"/>
    <w:rsid w:val="002A5062"/>
    <w:rsid w:val="002A529D"/>
    <w:rsid w:val="002A54F1"/>
    <w:rsid w:val="002A5561"/>
    <w:rsid w:val="002A55B9"/>
    <w:rsid w:val="002A58CB"/>
    <w:rsid w:val="002A5FF8"/>
    <w:rsid w:val="002A60AB"/>
    <w:rsid w:val="002A6523"/>
    <w:rsid w:val="002A6714"/>
    <w:rsid w:val="002A6A33"/>
    <w:rsid w:val="002A6D3E"/>
    <w:rsid w:val="002A6E79"/>
    <w:rsid w:val="002A73E3"/>
    <w:rsid w:val="002A7710"/>
    <w:rsid w:val="002A7943"/>
    <w:rsid w:val="002A7BE0"/>
    <w:rsid w:val="002A7C96"/>
    <w:rsid w:val="002A7D56"/>
    <w:rsid w:val="002B012F"/>
    <w:rsid w:val="002B05A1"/>
    <w:rsid w:val="002B09A4"/>
    <w:rsid w:val="002B1323"/>
    <w:rsid w:val="002B1385"/>
    <w:rsid w:val="002B1789"/>
    <w:rsid w:val="002B1852"/>
    <w:rsid w:val="002B19A8"/>
    <w:rsid w:val="002B1A81"/>
    <w:rsid w:val="002B1B9D"/>
    <w:rsid w:val="002B1C1F"/>
    <w:rsid w:val="002B1E91"/>
    <w:rsid w:val="002B1EB2"/>
    <w:rsid w:val="002B1F23"/>
    <w:rsid w:val="002B1FFD"/>
    <w:rsid w:val="002B22CA"/>
    <w:rsid w:val="002B2417"/>
    <w:rsid w:val="002B281C"/>
    <w:rsid w:val="002B2869"/>
    <w:rsid w:val="002B2C6B"/>
    <w:rsid w:val="002B2D70"/>
    <w:rsid w:val="002B2EA8"/>
    <w:rsid w:val="002B2FC0"/>
    <w:rsid w:val="002B320C"/>
    <w:rsid w:val="002B3951"/>
    <w:rsid w:val="002B3968"/>
    <w:rsid w:val="002B39C4"/>
    <w:rsid w:val="002B3CB6"/>
    <w:rsid w:val="002B407B"/>
    <w:rsid w:val="002B4183"/>
    <w:rsid w:val="002B42FC"/>
    <w:rsid w:val="002B432F"/>
    <w:rsid w:val="002B4BC7"/>
    <w:rsid w:val="002B4E4F"/>
    <w:rsid w:val="002B5564"/>
    <w:rsid w:val="002B5A26"/>
    <w:rsid w:val="002B5E3E"/>
    <w:rsid w:val="002B6055"/>
    <w:rsid w:val="002B62B3"/>
    <w:rsid w:val="002B6553"/>
    <w:rsid w:val="002B6754"/>
    <w:rsid w:val="002B6BE7"/>
    <w:rsid w:val="002B6CCE"/>
    <w:rsid w:val="002B7251"/>
    <w:rsid w:val="002B74F0"/>
    <w:rsid w:val="002B7993"/>
    <w:rsid w:val="002B7CDD"/>
    <w:rsid w:val="002C00B6"/>
    <w:rsid w:val="002C07AD"/>
    <w:rsid w:val="002C0840"/>
    <w:rsid w:val="002C08C4"/>
    <w:rsid w:val="002C08D9"/>
    <w:rsid w:val="002C09A4"/>
    <w:rsid w:val="002C0CE6"/>
    <w:rsid w:val="002C0DB7"/>
    <w:rsid w:val="002C1030"/>
    <w:rsid w:val="002C1187"/>
    <w:rsid w:val="002C1237"/>
    <w:rsid w:val="002C14EF"/>
    <w:rsid w:val="002C1C7F"/>
    <w:rsid w:val="002C20A6"/>
    <w:rsid w:val="002C2273"/>
    <w:rsid w:val="002C2442"/>
    <w:rsid w:val="002C2448"/>
    <w:rsid w:val="002C2510"/>
    <w:rsid w:val="002C251F"/>
    <w:rsid w:val="002C2775"/>
    <w:rsid w:val="002C27C1"/>
    <w:rsid w:val="002C2A17"/>
    <w:rsid w:val="002C2C3B"/>
    <w:rsid w:val="002C3338"/>
    <w:rsid w:val="002C34AA"/>
    <w:rsid w:val="002C36E3"/>
    <w:rsid w:val="002C3841"/>
    <w:rsid w:val="002C3C08"/>
    <w:rsid w:val="002C3CC4"/>
    <w:rsid w:val="002C416A"/>
    <w:rsid w:val="002C422F"/>
    <w:rsid w:val="002C4230"/>
    <w:rsid w:val="002C468D"/>
    <w:rsid w:val="002C481B"/>
    <w:rsid w:val="002C4D39"/>
    <w:rsid w:val="002C4E63"/>
    <w:rsid w:val="002C5099"/>
    <w:rsid w:val="002C5255"/>
    <w:rsid w:val="002C52D2"/>
    <w:rsid w:val="002C57AE"/>
    <w:rsid w:val="002C5889"/>
    <w:rsid w:val="002C5950"/>
    <w:rsid w:val="002C5A59"/>
    <w:rsid w:val="002C6591"/>
    <w:rsid w:val="002C6708"/>
    <w:rsid w:val="002C6A7C"/>
    <w:rsid w:val="002C6B48"/>
    <w:rsid w:val="002C6EBF"/>
    <w:rsid w:val="002C71CE"/>
    <w:rsid w:val="002C7213"/>
    <w:rsid w:val="002C7261"/>
    <w:rsid w:val="002C744A"/>
    <w:rsid w:val="002C7BD6"/>
    <w:rsid w:val="002C7E76"/>
    <w:rsid w:val="002D05A6"/>
    <w:rsid w:val="002D075D"/>
    <w:rsid w:val="002D0789"/>
    <w:rsid w:val="002D08F8"/>
    <w:rsid w:val="002D0B75"/>
    <w:rsid w:val="002D0E69"/>
    <w:rsid w:val="002D0EB7"/>
    <w:rsid w:val="002D123E"/>
    <w:rsid w:val="002D1C90"/>
    <w:rsid w:val="002D2080"/>
    <w:rsid w:val="002D223B"/>
    <w:rsid w:val="002D229C"/>
    <w:rsid w:val="002D25CF"/>
    <w:rsid w:val="002D2632"/>
    <w:rsid w:val="002D2905"/>
    <w:rsid w:val="002D2A5C"/>
    <w:rsid w:val="002D2D46"/>
    <w:rsid w:val="002D2E34"/>
    <w:rsid w:val="002D2FCC"/>
    <w:rsid w:val="002D34C7"/>
    <w:rsid w:val="002D3A25"/>
    <w:rsid w:val="002D3B0B"/>
    <w:rsid w:val="002D3B5A"/>
    <w:rsid w:val="002D3CC9"/>
    <w:rsid w:val="002D4251"/>
    <w:rsid w:val="002D45FD"/>
    <w:rsid w:val="002D481C"/>
    <w:rsid w:val="002D4A27"/>
    <w:rsid w:val="002D4B24"/>
    <w:rsid w:val="002D4E61"/>
    <w:rsid w:val="002D4EF3"/>
    <w:rsid w:val="002D5325"/>
    <w:rsid w:val="002D5357"/>
    <w:rsid w:val="002D5572"/>
    <w:rsid w:val="002D577C"/>
    <w:rsid w:val="002D5AB2"/>
    <w:rsid w:val="002D5DA6"/>
    <w:rsid w:val="002D6935"/>
    <w:rsid w:val="002D6B38"/>
    <w:rsid w:val="002D6D70"/>
    <w:rsid w:val="002D75D6"/>
    <w:rsid w:val="002D75E0"/>
    <w:rsid w:val="002D7653"/>
    <w:rsid w:val="002D7832"/>
    <w:rsid w:val="002D7F08"/>
    <w:rsid w:val="002E02D4"/>
    <w:rsid w:val="002E03E4"/>
    <w:rsid w:val="002E0529"/>
    <w:rsid w:val="002E06FC"/>
    <w:rsid w:val="002E0ADC"/>
    <w:rsid w:val="002E0E66"/>
    <w:rsid w:val="002E0E87"/>
    <w:rsid w:val="002E0FDF"/>
    <w:rsid w:val="002E1071"/>
    <w:rsid w:val="002E109C"/>
    <w:rsid w:val="002E12D0"/>
    <w:rsid w:val="002E148C"/>
    <w:rsid w:val="002E15B9"/>
    <w:rsid w:val="002E17FC"/>
    <w:rsid w:val="002E1B01"/>
    <w:rsid w:val="002E1DD6"/>
    <w:rsid w:val="002E207B"/>
    <w:rsid w:val="002E2158"/>
    <w:rsid w:val="002E2252"/>
    <w:rsid w:val="002E2406"/>
    <w:rsid w:val="002E245B"/>
    <w:rsid w:val="002E2CC7"/>
    <w:rsid w:val="002E3192"/>
    <w:rsid w:val="002E36AC"/>
    <w:rsid w:val="002E3933"/>
    <w:rsid w:val="002E3B24"/>
    <w:rsid w:val="002E4528"/>
    <w:rsid w:val="002E4898"/>
    <w:rsid w:val="002E4939"/>
    <w:rsid w:val="002E4A1B"/>
    <w:rsid w:val="002E4B72"/>
    <w:rsid w:val="002E4CD2"/>
    <w:rsid w:val="002E4EEE"/>
    <w:rsid w:val="002E4F02"/>
    <w:rsid w:val="002E5506"/>
    <w:rsid w:val="002E571E"/>
    <w:rsid w:val="002E5956"/>
    <w:rsid w:val="002E5A5D"/>
    <w:rsid w:val="002E5AC7"/>
    <w:rsid w:val="002E5DE0"/>
    <w:rsid w:val="002E6429"/>
    <w:rsid w:val="002E6585"/>
    <w:rsid w:val="002E686F"/>
    <w:rsid w:val="002E69EC"/>
    <w:rsid w:val="002E7131"/>
    <w:rsid w:val="002E7451"/>
    <w:rsid w:val="002E74E6"/>
    <w:rsid w:val="002E756F"/>
    <w:rsid w:val="002E7722"/>
    <w:rsid w:val="002E7765"/>
    <w:rsid w:val="002E7773"/>
    <w:rsid w:val="002E7B20"/>
    <w:rsid w:val="002E7FF0"/>
    <w:rsid w:val="002F07BA"/>
    <w:rsid w:val="002F07DB"/>
    <w:rsid w:val="002F0805"/>
    <w:rsid w:val="002F08C6"/>
    <w:rsid w:val="002F0DA9"/>
    <w:rsid w:val="002F1014"/>
    <w:rsid w:val="002F12F3"/>
    <w:rsid w:val="002F1915"/>
    <w:rsid w:val="002F1973"/>
    <w:rsid w:val="002F1AD0"/>
    <w:rsid w:val="002F1E3B"/>
    <w:rsid w:val="002F1FBD"/>
    <w:rsid w:val="002F21E3"/>
    <w:rsid w:val="002F28D8"/>
    <w:rsid w:val="002F2966"/>
    <w:rsid w:val="002F2B31"/>
    <w:rsid w:val="002F2C73"/>
    <w:rsid w:val="002F2D56"/>
    <w:rsid w:val="002F3776"/>
    <w:rsid w:val="002F38E1"/>
    <w:rsid w:val="002F41A4"/>
    <w:rsid w:val="002F475F"/>
    <w:rsid w:val="002F4A6D"/>
    <w:rsid w:val="002F4AD4"/>
    <w:rsid w:val="002F4AF5"/>
    <w:rsid w:val="002F4AFC"/>
    <w:rsid w:val="002F4B40"/>
    <w:rsid w:val="002F5568"/>
    <w:rsid w:val="002F5823"/>
    <w:rsid w:val="002F5A76"/>
    <w:rsid w:val="002F5E15"/>
    <w:rsid w:val="002F6157"/>
    <w:rsid w:val="002F618A"/>
    <w:rsid w:val="002F643C"/>
    <w:rsid w:val="002F65C4"/>
    <w:rsid w:val="002F6704"/>
    <w:rsid w:val="002F689F"/>
    <w:rsid w:val="002F6B27"/>
    <w:rsid w:val="002F6FB9"/>
    <w:rsid w:val="002F6FC4"/>
    <w:rsid w:val="002F71C0"/>
    <w:rsid w:val="002F722F"/>
    <w:rsid w:val="002F7452"/>
    <w:rsid w:val="002F74F1"/>
    <w:rsid w:val="002F7873"/>
    <w:rsid w:val="002F793E"/>
    <w:rsid w:val="002F7A61"/>
    <w:rsid w:val="0030082C"/>
    <w:rsid w:val="00300973"/>
    <w:rsid w:val="00300EB9"/>
    <w:rsid w:val="00300F59"/>
    <w:rsid w:val="00301017"/>
    <w:rsid w:val="003010BD"/>
    <w:rsid w:val="00301209"/>
    <w:rsid w:val="0030155F"/>
    <w:rsid w:val="00301827"/>
    <w:rsid w:val="00301F4E"/>
    <w:rsid w:val="003022FF"/>
    <w:rsid w:val="003025ED"/>
    <w:rsid w:val="00302C45"/>
    <w:rsid w:val="003030CB"/>
    <w:rsid w:val="0030326D"/>
    <w:rsid w:val="00303C84"/>
    <w:rsid w:val="00303DD1"/>
    <w:rsid w:val="0030423E"/>
    <w:rsid w:val="00304303"/>
    <w:rsid w:val="0030471B"/>
    <w:rsid w:val="00304A12"/>
    <w:rsid w:val="00304BB6"/>
    <w:rsid w:val="00304CF3"/>
    <w:rsid w:val="00304EFD"/>
    <w:rsid w:val="003053F2"/>
    <w:rsid w:val="0030587B"/>
    <w:rsid w:val="00305F7F"/>
    <w:rsid w:val="00306118"/>
    <w:rsid w:val="003067BC"/>
    <w:rsid w:val="00306D21"/>
    <w:rsid w:val="00306D98"/>
    <w:rsid w:val="003070D5"/>
    <w:rsid w:val="00307141"/>
    <w:rsid w:val="003071B6"/>
    <w:rsid w:val="003072F0"/>
    <w:rsid w:val="00307690"/>
    <w:rsid w:val="0030786C"/>
    <w:rsid w:val="00307D18"/>
    <w:rsid w:val="00307F4A"/>
    <w:rsid w:val="0031031A"/>
    <w:rsid w:val="00310816"/>
    <w:rsid w:val="00310882"/>
    <w:rsid w:val="00310981"/>
    <w:rsid w:val="00310A59"/>
    <w:rsid w:val="00310C45"/>
    <w:rsid w:val="00310D49"/>
    <w:rsid w:val="00311454"/>
    <w:rsid w:val="00311549"/>
    <w:rsid w:val="00311688"/>
    <w:rsid w:val="003118D2"/>
    <w:rsid w:val="00311D9B"/>
    <w:rsid w:val="00311DFF"/>
    <w:rsid w:val="00311EE6"/>
    <w:rsid w:val="003124AD"/>
    <w:rsid w:val="003124D9"/>
    <w:rsid w:val="00312594"/>
    <w:rsid w:val="003126CB"/>
    <w:rsid w:val="00312AF4"/>
    <w:rsid w:val="00312B6E"/>
    <w:rsid w:val="00312C53"/>
    <w:rsid w:val="00313082"/>
    <w:rsid w:val="00313326"/>
    <w:rsid w:val="00313581"/>
    <w:rsid w:val="0031361D"/>
    <w:rsid w:val="003139F9"/>
    <w:rsid w:val="00313DDC"/>
    <w:rsid w:val="003142A1"/>
    <w:rsid w:val="00314832"/>
    <w:rsid w:val="00314A46"/>
    <w:rsid w:val="00314E29"/>
    <w:rsid w:val="00314EDC"/>
    <w:rsid w:val="00314EF3"/>
    <w:rsid w:val="00315498"/>
    <w:rsid w:val="003155F1"/>
    <w:rsid w:val="00315645"/>
    <w:rsid w:val="00315B46"/>
    <w:rsid w:val="00315E91"/>
    <w:rsid w:val="00316474"/>
    <w:rsid w:val="003164F2"/>
    <w:rsid w:val="00316667"/>
    <w:rsid w:val="00316858"/>
    <w:rsid w:val="00316862"/>
    <w:rsid w:val="0031688C"/>
    <w:rsid w:val="003168E8"/>
    <w:rsid w:val="00316AEB"/>
    <w:rsid w:val="00316D95"/>
    <w:rsid w:val="00316DFC"/>
    <w:rsid w:val="00316E3F"/>
    <w:rsid w:val="00317379"/>
    <w:rsid w:val="0031756C"/>
    <w:rsid w:val="00317CFC"/>
    <w:rsid w:val="00317DF1"/>
    <w:rsid w:val="00317FE9"/>
    <w:rsid w:val="003201DC"/>
    <w:rsid w:val="00320540"/>
    <w:rsid w:val="0032087F"/>
    <w:rsid w:val="003211CF"/>
    <w:rsid w:val="0032132B"/>
    <w:rsid w:val="003214A3"/>
    <w:rsid w:val="0032151C"/>
    <w:rsid w:val="003215CE"/>
    <w:rsid w:val="0032169B"/>
    <w:rsid w:val="00321CD7"/>
    <w:rsid w:val="003220EE"/>
    <w:rsid w:val="00322107"/>
    <w:rsid w:val="00322355"/>
    <w:rsid w:val="00322846"/>
    <w:rsid w:val="003230EC"/>
    <w:rsid w:val="003231FE"/>
    <w:rsid w:val="003232B7"/>
    <w:rsid w:val="00323670"/>
    <w:rsid w:val="00323954"/>
    <w:rsid w:val="0032395E"/>
    <w:rsid w:val="00323A85"/>
    <w:rsid w:val="00323BF8"/>
    <w:rsid w:val="0032416D"/>
    <w:rsid w:val="003243F8"/>
    <w:rsid w:val="00324629"/>
    <w:rsid w:val="0032481F"/>
    <w:rsid w:val="00324AA6"/>
    <w:rsid w:val="00325040"/>
    <w:rsid w:val="00325133"/>
    <w:rsid w:val="003251D1"/>
    <w:rsid w:val="003255BC"/>
    <w:rsid w:val="00325793"/>
    <w:rsid w:val="00325BF8"/>
    <w:rsid w:val="003261E3"/>
    <w:rsid w:val="00326BAA"/>
    <w:rsid w:val="00326D9D"/>
    <w:rsid w:val="00326DA7"/>
    <w:rsid w:val="00326ED7"/>
    <w:rsid w:val="00326FF6"/>
    <w:rsid w:val="003270E4"/>
    <w:rsid w:val="003274A2"/>
    <w:rsid w:val="003279FB"/>
    <w:rsid w:val="00327C04"/>
    <w:rsid w:val="00327C07"/>
    <w:rsid w:val="00330230"/>
    <w:rsid w:val="003305B9"/>
    <w:rsid w:val="0033071F"/>
    <w:rsid w:val="00330CB0"/>
    <w:rsid w:val="00330DAA"/>
    <w:rsid w:val="00330F5C"/>
    <w:rsid w:val="00331178"/>
    <w:rsid w:val="00331385"/>
    <w:rsid w:val="00331437"/>
    <w:rsid w:val="00331630"/>
    <w:rsid w:val="00331740"/>
    <w:rsid w:val="00331BF8"/>
    <w:rsid w:val="00331CC6"/>
    <w:rsid w:val="0033281E"/>
    <w:rsid w:val="003328DA"/>
    <w:rsid w:val="00332C7B"/>
    <w:rsid w:val="00332E8C"/>
    <w:rsid w:val="00332FDA"/>
    <w:rsid w:val="003332B4"/>
    <w:rsid w:val="003335FA"/>
    <w:rsid w:val="003341C3"/>
    <w:rsid w:val="00334E80"/>
    <w:rsid w:val="003350F5"/>
    <w:rsid w:val="0033564E"/>
    <w:rsid w:val="003359CA"/>
    <w:rsid w:val="00335C3B"/>
    <w:rsid w:val="00335F63"/>
    <w:rsid w:val="0033641F"/>
    <w:rsid w:val="00336432"/>
    <w:rsid w:val="00336554"/>
    <w:rsid w:val="003366C9"/>
    <w:rsid w:val="00336867"/>
    <w:rsid w:val="00336C6F"/>
    <w:rsid w:val="003371B0"/>
    <w:rsid w:val="003379A9"/>
    <w:rsid w:val="00337BB8"/>
    <w:rsid w:val="003400D1"/>
    <w:rsid w:val="00340376"/>
    <w:rsid w:val="00340470"/>
    <w:rsid w:val="003405F0"/>
    <w:rsid w:val="00340715"/>
    <w:rsid w:val="00340756"/>
    <w:rsid w:val="00340898"/>
    <w:rsid w:val="00340B88"/>
    <w:rsid w:val="00340C14"/>
    <w:rsid w:val="00340D7A"/>
    <w:rsid w:val="00340DF1"/>
    <w:rsid w:val="00341C76"/>
    <w:rsid w:val="00342010"/>
    <w:rsid w:val="0034204E"/>
    <w:rsid w:val="0034211E"/>
    <w:rsid w:val="003421D7"/>
    <w:rsid w:val="00342272"/>
    <w:rsid w:val="00342384"/>
    <w:rsid w:val="003424A5"/>
    <w:rsid w:val="003424EA"/>
    <w:rsid w:val="0034315E"/>
    <w:rsid w:val="0034359F"/>
    <w:rsid w:val="003437C9"/>
    <w:rsid w:val="00343AC8"/>
    <w:rsid w:val="00343F4C"/>
    <w:rsid w:val="00343F70"/>
    <w:rsid w:val="00343FE9"/>
    <w:rsid w:val="003442F5"/>
    <w:rsid w:val="0034481E"/>
    <w:rsid w:val="00344B38"/>
    <w:rsid w:val="00345135"/>
    <w:rsid w:val="00345A78"/>
    <w:rsid w:val="00345EA5"/>
    <w:rsid w:val="00345FDA"/>
    <w:rsid w:val="00346202"/>
    <w:rsid w:val="003464C5"/>
    <w:rsid w:val="003467B3"/>
    <w:rsid w:val="003467C4"/>
    <w:rsid w:val="00346A03"/>
    <w:rsid w:val="00346C69"/>
    <w:rsid w:val="00346E2A"/>
    <w:rsid w:val="00347691"/>
    <w:rsid w:val="00347762"/>
    <w:rsid w:val="00347EB4"/>
    <w:rsid w:val="00350003"/>
    <w:rsid w:val="0035058B"/>
    <w:rsid w:val="003505D3"/>
    <w:rsid w:val="003506E4"/>
    <w:rsid w:val="003508EA"/>
    <w:rsid w:val="00350DE9"/>
    <w:rsid w:val="00350EE7"/>
    <w:rsid w:val="003516B2"/>
    <w:rsid w:val="003516BB"/>
    <w:rsid w:val="003517F9"/>
    <w:rsid w:val="0035187B"/>
    <w:rsid w:val="003518CB"/>
    <w:rsid w:val="00351A70"/>
    <w:rsid w:val="00351BA9"/>
    <w:rsid w:val="00351CCC"/>
    <w:rsid w:val="00352093"/>
    <w:rsid w:val="003529F9"/>
    <w:rsid w:val="00352E50"/>
    <w:rsid w:val="00352EDB"/>
    <w:rsid w:val="00353117"/>
    <w:rsid w:val="00353384"/>
    <w:rsid w:val="00353EF3"/>
    <w:rsid w:val="00354044"/>
    <w:rsid w:val="00354497"/>
    <w:rsid w:val="00354AE4"/>
    <w:rsid w:val="00354EA0"/>
    <w:rsid w:val="00354F64"/>
    <w:rsid w:val="00355234"/>
    <w:rsid w:val="00355CDF"/>
    <w:rsid w:val="0035600F"/>
    <w:rsid w:val="003560B5"/>
    <w:rsid w:val="003561F3"/>
    <w:rsid w:val="0035620E"/>
    <w:rsid w:val="003562FC"/>
    <w:rsid w:val="003564DB"/>
    <w:rsid w:val="00356B28"/>
    <w:rsid w:val="00356D07"/>
    <w:rsid w:val="00356F4E"/>
    <w:rsid w:val="00356F7C"/>
    <w:rsid w:val="00357051"/>
    <w:rsid w:val="00357153"/>
    <w:rsid w:val="00357476"/>
    <w:rsid w:val="003575BE"/>
    <w:rsid w:val="00357876"/>
    <w:rsid w:val="003578E3"/>
    <w:rsid w:val="00357C00"/>
    <w:rsid w:val="00357C90"/>
    <w:rsid w:val="00357D16"/>
    <w:rsid w:val="00360040"/>
    <w:rsid w:val="003600C5"/>
    <w:rsid w:val="00360345"/>
    <w:rsid w:val="00360424"/>
    <w:rsid w:val="00360872"/>
    <w:rsid w:val="00360AB0"/>
    <w:rsid w:val="003611BD"/>
    <w:rsid w:val="00361A05"/>
    <w:rsid w:val="00361F1E"/>
    <w:rsid w:val="00361FFB"/>
    <w:rsid w:val="00362047"/>
    <w:rsid w:val="003624C4"/>
    <w:rsid w:val="00362703"/>
    <w:rsid w:val="003628FF"/>
    <w:rsid w:val="003629AD"/>
    <w:rsid w:val="00362A6B"/>
    <w:rsid w:val="00363003"/>
    <w:rsid w:val="0036309C"/>
    <w:rsid w:val="00363561"/>
    <w:rsid w:val="00363724"/>
    <w:rsid w:val="00363814"/>
    <w:rsid w:val="00363907"/>
    <w:rsid w:val="00363B00"/>
    <w:rsid w:val="00363B0A"/>
    <w:rsid w:val="00363F01"/>
    <w:rsid w:val="0036409B"/>
    <w:rsid w:val="0036412B"/>
    <w:rsid w:val="00364303"/>
    <w:rsid w:val="00364307"/>
    <w:rsid w:val="0036467D"/>
    <w:rsid w:val="00364788"/>
    <w:rsid w:val="003654AC"/>
    <w:rsid w:val="003657A5"/>
    <w:rsid w:val="0036598D"/>
    <w:rsid w:val="00365D1C"/>
    <w:rsid w:val="00365E5A"/>
    <w:rsid w:val="0036614C"/>
    <w:rsid w:val="0036624D"/>
    <w:rsid w:val="00366642"/>
    <w:rsid w:val="0036683B"/>
    <w:rsid w:val="00366D7A"/>
    <w:rsid w:val="00370315"/>
    <w:rsid w:val="00370679"/>
    <w:rsid w:val="0037088D"/>
    <w:rsid w:val="00370C96"/>
    <w:rsid w:val="00370E89"/>
    <w:rsid w:val="003710CF"/>
    <w:rsid w:val="0037110E"/>
    <w:rsid w:val="00371BCE"/>
    <w:rsid w:val="00371BDA"/>
    <w:rsid w:val="00371D1D"/>
    <w:rsid w:val="00371DB0"/>
    <w:rsid w:val="00371E5E"/>
    <w:rsid w:val="00372426"/>
    <w:rsid w:val="00372680"/>
    <w:rsid w:val="00372876"/>
    <w:rsid w:val="003728A1"/>
    <w:rsid w:val="00372D28"/>
    <w:rsid w:val="00372DFE"/>
    <w:rsid w:val="00372EF8"/>
    <w:rsid w:val="00372F77"/>
    <w:rsid w:val="00372FF9"/>
    <w:rsid w:val="00373198"/>
    <w:rsid w:val="0037358A"/>
    <w:rsid w:val="00373598"/>
    <w:rsid w:val="003737B5"/>
    <w:rsid w:val="0037399D"/>
    <w:rsid w:val="00373A88"/>
    <w:rsid w:val="00373C79"/>
    <w:rsid w:val="0037417E"/>
    <w:rsid w:val="0037425F"/>
    <w:rsid w:val="0037447F"/>
    <w:rsid w:val="0037458F"/>
    <w:rsid w:val="003747FB"/>
    <w:rsid w:val="00374855"/>
    <w:rsid w:val="00374AA5"/>
    <w:rsid w:val="00374BC4"/>
    <w:rsid w:val="00374DF2"/>
    <w:rsid w:val="00375050"/>
    <w:rsid w:val="003750F6"/>
    <w:rsid w:val="00375105"/>
    <w:rsid w:val="00375A95"/>
    <w:rsid w:val="00376066"/>
    <w:rsid w:val="003760FC"/>
    <w:rsid w:val="0037635C"/>
    <w:rsid w:val="0037643D"/>
    <w:rsid w:val="0037681C"/>
    <w:rsid w:val="00376BBA"/>
    <w:rsid w:val="0037740A"/>
    <w:rsid w:val="003775F7"/>
    <w:rsid w:val="00377FF6"/>
    <w:rsid w:val="003800A9"/>
    <w:rsid w:val="0038036B"/>
    <w:rsid w:val="003807E6"/>
    <w:rsid w:val="00380802"/>
    <w:rsid w:val="00380F33"/>
    <w:rsid w:val="0038142B"/>
    <w:rsid w:val="003814E7"/>
    <w:rsid w:val="00381E23"/>
    <w:rsid w:val="00382353"/>
    <w:rsid w:val="003825C5"/>
    <w:rsid w:val="00382835"/>
    <w:rsid w:val="00383375"/>
    <w:rsid w:val="003833B4"/>
    <w:rsid w:val="0038357F"/>
    <w:rsid w:val="0038365C"/>
    <w:rsid w:val="0038367E"/>
    <w:rsid w:val="0038369B"/>
    <w:rsid w:val="00383B78"/>
    <w:rsid w:val="003844C1"/>
    <w:rsid w:val="003845B5"/>
    <w:rsid w:val="0038481C"/>
    <w:rsid w:val="0038481E"/>
    <w:rsid w:val="00384ED6"/>
    <w:rsid w:val="003852FC"/>
    <w:rsid w:val="00385305"/>
    <w:rsid w:val="003857B9"/>
    <w:rsid w:val="003859AA"/>
    <w:rsid w:val="00385A9D"/>
    <w:rsid w:val="00385CE7"/>
    <w:rsid w:val="003860E8"/>
    <w:rsid w:val="0038681B"/>
    <w:rsid w:val="00386983"/>
    <w:rsid w:val="00386A33"/>
    <w:rsid w:val="00386FC9"/>
    <w:rsid w:val="00387121"/>
    <w:rsid w:val="00387B93"/>
    <w:rsid w:val="00387C3E"/>
    <w:rsid w:val="00387CBA"/>
    <w:rsid w:val="00387D70"/>
    <w:rsid w:val="003902B1"/>
    <w:rsid w:val="0039060B"/>
    <w:rsid w:val="00390727"/>
    <w:rsid w:val="003915B1"/>
    <w:rsid w:val="003915FF"/>
    <w:rsid w:val="003916E2"/>
    <w:rsid w:val="0039179C"/>
    <w:rsid w:val="0039199C"/>
    <w:rsid w:val="00391A08"/>
    <w:rsid w:val="0039253D"/>
    <w:rsid w:val="00392616"/>
    <w:rsid w:val="003929C8"/>
    <w:rsid w:val="00392B31"/>
    <w:rsid w:val="00393002"/>
    <w:rsid w:val="003931CD"/>
    <w:rsid w:val="00394A4E"/>
    <w:rsid w:val="00394E87"/>
    <w:rsid w:val="00395044"/>
    <w:rsid w:val="00395F39"/>
    <w:rsid w:val="00395FAC"/>
    <w:rsid w:val="003960A3"/>
    <w:rsid w:val="00396504"/>
    <w:rsid w:val="003967E1"/>
    <w:rsid w:val="00396896"/>
    <w:rsid w:val="00396FD0"/>
    <w:rsid w:val="00397008"/>
    <w:rsid w:val="003974D8"/>
    <w:rsid w:val="00397566"/>
    <w:rsid w:val="003976BF"/>
    <w:rsid w:val="00397746"/>
    <w:rsid w:val="00397946"/>
    <w:rsid w:val="003979EA"/>
    <w:rsid w:val="00397E35"/>
    <w:rsid w:val="003A0148"/>
    <w:rsid w:val="003A0E06"/>
    <w:rsid w:val="003A0F3B"/>
    <w:rsid w:val="003A0F9B"/>
    <w:rsid w:val="003A113C"/>
    <w:rsid w:val="003A121A"/>
    <w:rsid w:val="003A1543"/>
    <w:rsid w:val="003A1672"/>
    <w:rsid w:val="003A172E"/>
    <w:rsid w:val="003A18B5"/>
    <w:rsid w:val="003A19A5"/>
    <w:rsid w:val="003A1A7A"/>
    <w:rsid w:val="003A1C69"/>
    <w:rsid w:val="003A20B6"/>
    <w:rsid w:val="003A214C"/>
    <w:rsid w:val="003A2392"/>
    <w:rsid w:val="003A2831"/>
    <w:rsid w:val="003A29B9"/>
    <w:rsid w:val="003A2D2C"/>
    <w:rsid w:val="003A3565"/>
    <w:rsid w:val="003A3AD2"/>
    <w:rsid w:val="003A3CB6"/>
    <w:rsid w:val="003A3ED1"/>
    <w:rsid w:val="003A40C2"/>
    <w:rsid w:val="003A40F8"/>
    <w:rsid w:val="003A420E"/>
    <w:rsid w:val="003A42C9"/>
    <w:rsid w:val="003A44DB"/>
    <w:rsid w:val="003A46D1"/>
    <w:rsid w:val="003A4722"/>
    <w:rsid w:val="003A4996"/>
    <w:rsid w:val="003A4C14"/>
    <w:rsid w:val="003A4CC5"/>
    <w:rsid w:val="003A4EF4"/>
    <w:rsid w:val="003A533C"/>
    <w:rsid w:val="003A5357"/>
    <w:rsid w:val="003A5ADD"/>
    <w:rsid w:val="003A5FB5"/>
    <w:rsid w:val="003A60A8"/>
    <w:rsid w:val="003A6731"/>
    <w:rsid w:val="003A6BCF"/>
    <w:rsid w:val="003A7373"/>
    <w:rsid w:val="003A7AAC"/>
    <w:rsid w:val="003A7D24"/>
    <w:rsid w:val="003A7D99"/>
    <w:rsid w:val="003A7DF6"/>
    <w:rsid w:val="003B0239"/>
    <w:rsid w:val="003B07DE"/>
    <w:rsid w:val="003B094A"/>
    <w:rsid w:val="003B0AA1"/>
    <w:rsid w:val="003B0B2C"/>
    <w:rsid w:val="003B0CB9"/>
    <w:rsid w:val="003B0ED3"/>
    <w:rsid w:val="003B0FA0"/>
    <w:rsid w:val="003B1158"/>
    <w:rsid w:val="003B153E"/>
    <w:rsid w:val="003B1A7D"/>
    <w:rsid w:val="003B1BA4"/>
    <w:rsid w:val="003B25F2"/>
    <w:rsid w:val="003B29B6"/>
    <w:rsid w:val="003B2E17"/>
    <w:rsid w:val="003B315F"/>
    <w:rsid w:val="003B35B7"/>
    <w:rsid w:val="003B38DB"/>
    <w:rsid w:val="003B3971"/>
    <w:rsid w:val="003B3CDE"/>
    <w:rsid w:val="003B3D00"/>
    <w:rsid w:val="003B4275"/>
    <w:rsid w:val="003B4658"/>
    <w:rsid w:val="003B48C5"/>
    <w:rsid w:val="003B522F"/>
    <w:rsid w:val="003B557C"/>
    <w:rsid w:val="003B55D1"/>
    <w:rsid w:val="003B5613"/>
    <w:rsid w:val="003B5798"/>
    <w:rsid w:val="003B5853"/>
    <w:rsid w:val="003B5B61"/>
    <w:rsid w:val="003B5CAA"/>
    <w:rsid w:val="003B5E11"/>
    <w:rsid w:val="003B5F88"/>
    <w:rsid w:val="003B6388"/>
    <w:rsid w:val="003B6448"/>
    <w:rsid w:val="003B6BDE"/>
    <w:rsid w:val="003B7141"/>
    <w:rsid w:val="003B737C"/>
    <w:rsid w:val="003B765E"/>
    <w:rsid w:val="003C020D"/>
    <w:rsid w:val="003C02E3"/>
    <w:rsid w:val="003C0EB0"/>
    <w:rsid w:val="003C110C"/>
    <w:rsid w:val="003C121F"/>
    <w:rsid w:val="003C124E"/>
    <w:rsid w:val="003C12E5"/>
    <w:rsid w:val="003C149A"/>
    <w:rsid w:val="003C1507"/>
    <w:rsid w:val="003C164F"/>
    <w:rsid w:val="003C1654"/>
    <w:rsid w:val="003C1B2E"/>
    <w:rsid w:val="003C2085"/>
    <w:rsid w:val="003C2248"/>
    <w:rsid w:val="003C2375"/>
    <w:rsid w:val="003C24FF"/>
    <w:rsid w:val="003C25D3"/>
    <w:rsid w:val="003C27D7"/>
    <w:rsid w:val="003C2815"/>
    <w:rsid w:val="003C2C25"/>
    <w:rsid w:val="003C2C8A"/>
    <w:rsid w:val="003C2EC4"/>
    <w:rsid w:val="003C2F90"/>
    <w:rsid w:val="003C2FA0"/>
    <w:rsid w:val="003C2FF5"/>
    <w:rsid w:val="003C30E9"/>
    <w:rsid w:val="003C3783"/>
    <w:rsid w:val="003C3C2A"/>
    <w:rsid w:val="003C3EC5"/>
    <w:rsid w:val="003C43E1"/>
    <w:rsid w:val="003C4AF2"/>
    <w:rsid w:val="003C4DCD"/>
    <w:rsid w:val="003C4E63"/>
    <w:rsid w:val="003C5261"/>
    <w:rsid w:val="003C5542"/>
    <w:rsid w:val="003C5652"/>
    <w:rsid w:val="003C5740"/>
    <w:rsid w:val="003C5786"/>
    <w:rsid w:val="003C5943"/>
    <w:rsid w:val="003C5F3F"/>
    <w:rsid w:val="003C606C"/>
    <w:rsid w:val="003C6436"/>
    <w:rsid w:val="003C648C"/>
    <w:rsid w:val="003C6690"/>
    <w:rsid w:val="003C66B4"/>
    <w:rsid w:val="003C671D"/>
    <w:rsid w:val="003C6D8E"/>
    <w:rsid w:val="003C6DA6"/>
    <w:rsid w:val="003C6F23"/>
    <w:rsid w:val="003C756A"/>
    <w:rsid w:val="003C78C8"/>
    <w:rsid w:val="003C7BD5"/>
    <w:rsid w:val="003C7C15"/>
    <w:rsid w:val="003C7C5A"/>
    <w:rsid w:val="003C7D19"/>
    <w:rsid w:val="003C7D2F"/>
    <w:rsid w:val="003C7F5C"/>
    <w:rsid w:val="003D004B"/>
    <w:rsid w:val="003D00BF"/>
    <w:rsid w:val="003D0C5A"/>
    <w:rsid w:val="003D10A2"/>
    <w:rsid w:val="003D14A1"/>
    <w:rsid w:val="003D16A1"/>
    <w:rsid w:val="003D16A4"/>
    <w:rsid w:val="003D1809"/>
    <w:rsid w:val="003D1828"/>
    <w:rsid w:val="003D1DE4"/>
    <w:rsid w:val="003D1E9A"/>
    <w:rsid w:val="003D21C7"/>
    <w:rsid w:val="003D21E1"/>
    <w:rsid w:val="003D2422"/>
    <w:rsid w:val="003D244F"/>
    <w:rsid w:val="003D283F"/>
    <w:rsid w:val="003D2E00"/>
    <w:rsid w:val="003D2F6D"/>
    <w:rsid w:val="003D39A1"/>
    <w:rsid w:val="003D3C49"/>
    <w:rsid w:val="003D3E4E"/>
    <w:rsid w:val="003D3FBF"/>
    <w:rsid w:val="003D4965"/>
    <w:rsid w:val="003D4A30"/>
    <w:rsid w:val="003D4D10"/>
    <w:rsid w:val="003D4E54"/>
    <w:rsid w:val="003D4FC7"/>
    <w:rsid w:val="003D50F3"/>
    <w:rsid w:val="003D5502"/>
    <w:rsid w:val="003D5786"/>
    <w:rsid w:val="003D5939"/>
    <w:rsid w:val="003D5C76"/>
    <w:rsid w:val="003D6815"/>
    <w:rsid w:val="003D6DD4"/>
    <w:rsid w:val="003D7193"/>
    <w:rsid w:val="003D7452"/>
    <w:rsid w:val="003D79BB"/>
    <w:rsid w:val="003D7B01"/>
    <w:rsid w:val="003D7C61"/>
    <w:rsid w:val="003D7C98"/>
    <w:rsid w:val="003D7D9D"/>
    <w:rsid w:val="003E001D"/>
    <w:rsid w:val="003E0362"/>
    <w:rsid w:val="003E0488"/>
    <w:rsid w:val="003E0543"/>
    <w:rsid w:val="003E0764"/>
    <w:rsid w:val="003E07BD"/>
    <w:rsid w:val="003E0A2F"/>
    <w:rsid w:val="003E0D47"/>
    <w:rsid w:val="003E0F63"/>
    <w:rsid w:val="003E1368"/>
    <w:rsid w:val="003E14F5"/>
    <w:rsid w:val="003E1D5A"/>
    <w:rsid w:val="003E201D"/>
    <w:rsid w:val="003E2445"/>
    <w:rsid w:val="003E27E1"/>
    <w:rsid w:val="003E29C7"/>
    <w:rsid w:val="003E2DF6"/>
    <w:rsid w:val="003E2E76"/>
    <w:rsid w:val="003E2F29"/>
    <w:rsid w:val="003E30BE"/>
    <w:rsid w:val="003E33E5"/>
    <w:rsid w:val="003E3A91"/>
    <w:rsid w:val="003E3D4A"/>
    <w:rsid w:val="003E3FF3"/>
    <w:rsid w:val="003E42F0"/>
    <w:rsid w:val="003E4566"/>
    <w:rsid w:val="003E46AF"/>
    <w:rsid w:val="003E4A51"/>
    <w:rsid w:val="003E4EAC"/>
    <w:rsid w:val="003E4F10"/>
    <w:rsid w:val="003E50C8"/>
    <w:rsid w:val="003E5603"/>
    <w:rsid w:val="003E5A45"/>
    <w:rsid w:val="003E5A9E"/>
    <w:rsid w:val="003E5B6B"/>
    <w:rsid w:val="003E65B8"/>
    <w:rsid w:val="003E6D07"/>
    <w:rsid w:val="003E72E3"/>
    <w:rsid w:val="003E749E"/>
    <w:rsid w:val="003E74F6"/>
    <w:rsid w:val="003E75B7"/>
    <w:rsid w:val="003E7A29"/>
    <w:rsid w:val="003F0206"/>
    <w:rsid w:val="003F0585"/>
    <w:rsid w:val="003F07D1"/>
    <w:rsid w:val="003F106A"/>
    <w:rsid w:val="003F1091"/>
    <w:rsid w:val="003F14A1"/>
    <w:rsid w:val="003F1F71"/>
    <w:rsid w:val="003F225C"/>
    <w:rsid w:val="003F230F"/>
    <w:rsid w:val="003F245B"/>
    <w:rsid w:val="003F24F7"/>
    <w:rsid w:val="003F293C"/>
    <w:rsid w:val="003F2A73"/>
    <w:rsid w:val="003F2C56"/>
    <w:rsid w:val="003F30C2"/>
    <w:rsid w:val="003F30D2"/>
    <w:rsid w:val="003F31D8"/>
    <w:rsid w:val="003F342C"/>
    <w:rsid w:val="003F3477"/>
    <w:rsid w:val="003F39DA"/>
    <w:rsid w:val="003F3CE3"/>
    <w:rsid w:val="003F3D46"/>
    <w:rsid w:val="003F3E8F"/>
    <w:rsid w:val="003F3F0B"/>
    <w:rsid w:val="003F3FC6"/>
    <w:rsid w:val="003F4023"/>
    <w:rsid w:val="003F4067"/>
    <w:rsid w:val="003F4156"/>
    <w:rsid w:val="003F442D"/>
    <w:rsid w:val="003F455A"/>
    <w:rsid w:val="003F4A34"/>
    <w:rsid w:val="003F4E6A"/>
    <w:rsid w:val="003F5A02"/>
    <w:rsid w:val="003F5ADF"/>
    <w:rsid w:val="003F5B80"/>
    <w:rsid w:val="003F5BC3"/>
    <w:rsid w:val="003F63F6"/>
    <w:rsid w:val="003F653D"/>
    <w:rsid w:val="003F6B5A"/>
    <w:rsid w:val="003F6FBA"/>
    <w:rsid w:val="003F74D9"/>
    <w:rsid w:val="003F7A93"/>
    <w:rsid w:val="003F7E4E"/>
    <w:rsid w:val="003F7F3C"/>
    <w:rsid w:val="0040076F"/>
    <w:rsid w:val="00400960"/>
    <w:rsid w:val="00400B29"/>
    <w:rsid w:val="00400E70"/>
    <w:rsid w:val="00400E87"/>
    <w:rsid w:val="00400F51"/>
    <w:rsid w:val="00400F57"/>
    <w:rsid w:val="00401283"/>
    <w:rsid w:val="00401384"/>
    <w:rsid w:val="004015B2"/>
    <w:rsid w:val="004016B1"/>
    <w:rsid w:val="00401A5C"/>
    <w:rsid w:val="00401BEE"/>
    <w:rsid w:val="00401D46"/>
    <w:rsid w:val="004024E7"/>
    <w:rsid w:val="00402812"/>
    <w:rsid w:val="00402E16"/>
    <w:rsid w:val="00402E6B"/>
    <w:rsid w:val="00403A94"/>
    <w:rsid w:val="00403D54"/>
    <w:rsid w:val="00404110"/>
    <w:rsid w:val="004044C4"/>
    <w:rsid w:val="004045F0"/>
    <w:rsid w:val="00404D23"/>
    <w:rsid w:val="00404D29"/>
    <w:rsid w:val="0040504B"/>
    <w:rsid w:val="004055FC"/>
    <w:rsid w:val="0040579B"/>
    <w:rsid w:val="004059DA"/>
    <w:rsid w:val="004059F4"/>
    <w:rsid w:val="00405D13"/>
    <w:rsid w:val="0040601B"/>
    <w:rsid w:val="00406414"/>
    <w:rsid w:val="004064E4"/>
    <w:rsid w:val="004065D0"/>
    <w:rsid w:val="0040693E"/>
    <w:rsid w:val="00406DEB"/>
    <w:rsid w:val="00406F37"/>
    <w:rsid w:val="00407115"/>
    <w:rsid w:val="00407439"/>
    <w:rsid w:val="00407DF8"/>
    <w:rsid w:val="00407ED1"/>
    <w:rsid w:val="00407FE5"/>
    <w:rsid w:val="0041009D"/>
    <w:rsid w:val="004101B0"/>
    <w:rsid w:val="00410326"/>
    <w:rsid w:val="00410708"/>
    <w:rsid w:val="00410732"/>
    <w:rsid w:val="00410D37"/>
    <w:rsid w:val="00410EC7"/>
    <w:rsid w:val="00410F52"/>
    <w:rsid w:val="0041154B"/>
    <w:rsid w:val="0041182D"/>
    <w:rsid w:val="00411992"/>
    <w:rsid w:val="004119D9"/>
    <w:rsid w:val="00411B39"/>
    <w:rsid w:val="00411CEB"/>
    <w:rsid w:val="00411E49"/>
    <w:rsid w:val="004125C7"/>
    <w:rsid w:val="00412752"/>
    <w:rsid w:val="004127A7"/>
    <w:rsid w:val="00412845"/>
    <w:rsid w:val="004128F9"/>
    <w:rsid w:val="00412B65"/>
    <w:rsid w:val="00412B75"/>
    <w:rsid w:val="00412D54"/>
    <w:rsid w:val="00412D6B"/>
    <w:rsid w:val="00412EE5"/>
    <w:rsid w:val="00412FDC"/>
    <w:rsid w:val="0041312B"/>
    <w:rsid w:val="004139C1"/>
    <w:rsid w:val="00413A1E"/>
    <w:rsid w:val="0041400A"/>
    <w:rsid w:val="004143D7"/>
    <w:rsid w:val="00414476"/>
    <w:rsid w:val="004146BC"/>
    <w:rsid w:val="00414AD5"/>
    <w:rsid w:val="00414C2E"/>
    <w:rsid w:val="00414E50"/>
    <w:rsid w:val="00414FB2"/>
    <w:rsid w:val="004151CF"/>
    <w:rsid w:val="00415275"/>
    <w:rsid w:val="00415468"/>
    <w:rsid w:val="004158C0"/>
    <w:rsid w:val="004159E3"/>
    <w:rsid w:val="00415A79"/>
    <w:rsid w:val="00416364"/>
    <w:rsid w:val="00416700"/>
    <w:rsid w:val="004167E5"/>
    <w:rsid w:val="00416F9B"/>
    <w:rsid w:val="00417288"/>
    <w:rsid w:val="0041744C"/>
    <w:rsid w:val="004174D2"/>
    <w:rsid w:val="0041778D"/>
    <w:rsid w:val="00417AB5"/>
    <w:rsid w:val="00417B16"/>
    <w:rsid w:val="004202E3"/>
    <w:rsid w:val="0042047F"/>
    <w:rsid w:val="004208FC"/>
    <w:rsid w:val="00420AA6"/>
    <w:rsid w:val="00420B9F"/>
    <w:rsid w:val="00421004"/>
    <w:rsid w:val="00421397"/>
    <w:rsid w:val="0042149D"/>
    <w:rsid w:val="0042149F"/>
    <w:rsid w:val="004217EF"/>
    <w:rsid w:val="0042192C"/>
    <w:rsid w:val="00421EDC"/>
    <w:rsid w:val="00422107"/>
    <w:rsid w:val="00422213"/>
    <w:rsid w:val="00422260"/>
    <w:rsid w:val="004228BA"/>
    <w:rsid w:val="00422A9C"/>
    <w:rsid w:val="00422A9E"/>
    <w:rsid w:val="00422CB3"/>
    <w:rsid w:val="00423965"/>
    <w:rsid w:val="00423DC8"/>
    <w:rsid w:val="0042413F"/>
    <w:rsid w:val="0042444D"/>
    <w:rsid w:val="0042495A"/>
    <w:rsid w:val="004254CF"/>
    <w:rsid w:val="004258D1"/>
    <w:rsid w:val="00425F05"/>
    <w:rsid w:val="00426353"/>
    <w:rsid w:val="00426E2F"/>
    <w:rsid w:val="00426FBF"/>
    <w:rsid w:val="0042700B"/>
    <w:rsid w:val="00427127"/>
    <w:rsid w:val="0042726E"/>
    <w:rsid w:val="00427542"/>
    <w:rsid w:val="004277B3"/>
    <w:rsid w:val="00427CC2"/>
    <w:rsid w:val="00427F54"/>
    <w:rsid w:val="004304CA"/>
    <w:rsid w:val="00430798"/>
    <w:rsid w:val="00430AB5"/>
    <w:rsid w:val="00430BD7"/>
    <w:rsid w:val="00430C0E"/>
    <w:rsid w:val="00430E3A"/>
    <w:rsid w:val="0043194B"/>
    <w:rsid w:val="0043198F"/>
    <w:rsid w:val="004319F8"/>
    <w:rsid w:val="00431C48"/>
    <w:rsid w:val="00431E55"/>
    <w:rsid w:val="00431F77"/>
    <w:rsid w:val="004321F6"/>
    <w:rsid w:val="004322E6"/>
    <w:rsid w:val="00432361"/>
    <w:rsid w:val="00432616"/>
    <w:rsid w:val="004329FB"/>
    <w:rsid w:val="00432B3B"/>
    <w:rsid w:val="00432E22"/>
    <w:rsid w:val="00432E31"/>
    <w:rsid w:val="00433016"/>
    <w:rsid w:val="00433044"/>
    <w:rsid w:val="00433764"/>
    <w:rsid w:val="00433C2C"/>
    <w:rsid w:val="00433D8D"/>
    <w:rsid w:val="00434088"/>
    <w:rsid w:val="0043421C"/>
    <w:rsid w:val="00434266"/>
    <w:rsid w:val="004343AE"/>
    <w:rsid w:val="004346AA"/>
    <w:rsid w:val="00434796"/>
    <w:rsid w:val="00434E80"/>
    <w:rsid w:val="004352DC"/>
    <w:rsid w:val="00435D5A"/>
    <w:rsid w:val="00435FEE"/>
    <w:rsid w:val="0043620B"/>
    <w:rsid w:val="00436399"/>
    <w:rsid w:val="00436CEF"/>
    <w:rsid w:val="00436FD9"/>
    <w:rsid w:val="004375B9"/>
    <w:rsid w:val="004377C3"/>
    <w:rsid w:val="00437B76"/>
    <w:rsid w:val="00437D3D"/>
    <w:rsid w:val="0044058A"/>
    <w:rsid w:val="0044062A"/>
    <w:rsid w:val="00440643"/>
    <w:rsid w:val="00440BFE"/>
    <w:rsid w:val="00440C60"/>
    <w:rsid w:val="00440D3F"/>
    <w:rsid w:val="00440E83"/>
    <w:rsid w:val="0044144B"/>
    <w:rsid w:val="004416FC"/>
    <w:rsid w:val="004419F2"/>
    <w:rsid w:val="00441E84"/>
    <w:rsid w:val="004421C6"/>
    <w:rsid w:val="004423FE"/>
    <w:rsid w:val="00442551"/>
    <w:rsid w:val="004426E0"/>
    <w:rsid w:val="004428D0"/>
    <w:rsid w:val="00442B01"/>
    <w:rsid w:val="00442E70"/>
    <w:rsid w:val="004430B7"/>
    <w:rsid w:val="00443453"/>
    <w:rsid w:val="00443B5B"/>
    <w:rsid w:val="00443CBE"/>
    <w:rsid w:val="004440A9"/>
    <w:rsid w:val="00444185"/>
    <w:rsid w:val="0044425E"/>
    <w:rsid w:val="004443A7"/>
    <w:rsid w:val="0044442C"/>
    <w:rsid w:val="00444B46"/>
    <w:rsid w:val="00444C82"/>
    <w:rsid w:val="00444E60"/>
    <w:rsid w:val="004450C5"/>
    <w:rsid w:val="004453AD"/>
    <w:rsid w:val="00445627"/>
    <w:rsid w:val="00445941"/>
    <w:rsid w:val="004459DA"/>
    <w:rsid w:val="00445C42"/>
    <w:rsid w:val="00445D83"/>
    <w:rsid w:val="004464EB"/>
    <w:rsid w:val="00446B73"/>
    <w:rsid w:val="0044725F"/>
    <w:rsid w:val="0044753C"/>
    <w:rsid w:val="00447746"/>
    <w:rsid w:val="00447BA3"/>
    <w:rsid w:val="00447CA4"/>
    <w:rsid w:val="00447D26"/>
    <w:rsid w:val="00447DFC"/>
    <w:rsid w:val="00450084"/>
    <w:rsid w:val="0045092B"/>
    <w:rsid w:val="00450991"/>
    <w:rsid w:val="00450A5E"/>
    <w:rsid w:val="00450A86"/>
    <w:rsid w:val="00450C7E"/>
    <w:rsid w:val="00450EA1"/>
    <w:rsid w:val="0045111E"/>
    <w:rsid w:val="004512DC"/>
    <w:rsid w:val="00451714"/>
    <w:rsid w:val="00451C39"/>
    <w:rsid w:val="00451C71"/>
    <w:rsid w:val="00451D83"/>
    <w:rsid w:val="00451E11"/>
    <w:rsid w:val="00451E7E"/>
    <w:rsid w:val="004520A3"/>
    <w:rsid w:val="00452132"/>
    <w:rsid w:val="004522B3"/>
    <w:rsid w:val="00452364"/>
    <w:rsid w:val="0045242D"/>
    <w:rsid w:val="004525A6"/>
    <w:rsid w:val="00452CE3"/>
    <w:rsid w:val="00452DE2"/>
    <w:rsid w:val="00452FFC"/>
    <w:rsid w:val="00453145"/>
    <w:rsid w:val="00453268"/>
    <w:rsid w:val="0045351E"/>
    <w:rsid w:val="00453524"/>
    <w:rsid w:val="00453C45"/>
    <w:rsid w:val="00453E0A"/>
    <w:rsid w:val="004541FF"/>
    <w:rsid w:val="004544EE"/>
    <w:rsid w:val="004545DB"/>
    <w:rsid w:val="0045463A"/>
    <w:rsid w:val="00454F20"/>
    <w:rsid w:val="00454F81"/>
    <w:rsid w:val="0045528C"/>
    <w:rsid w:val="004555BF"/>
    <w:rsid w:val="004558AB"/>
    <w:rsid w:val="00455AD4"/>
    <w:rsid w:val="00455D45"/>
    <w:rsid w:val="00455E3F"/>
    <w:rsid w:val="0045624A"/>
    <w:rsid w:val="00456491"/>
    <w:rsid w:val="00456968"/>
    <w:rsid w:val="00456C67"/>
    <w:rsid w:val="004572D5"/>
    <w:rsid w:val="00457929"/>
    <w:rsid w:val="00457DB8"/>
    <w:rsid w:val="00460261"/>
    <w:rsid w:val="0046048F"/>
    <w:rsid w:val="0046099F"/>
    <w:rsid w:val="0046128D"/>
    <w:rsid w:val="0046154E"/>
    <w:rsid w:val="00461775"/>
    <w:rsid w:val="00461ED7"/>
    <w:rsid w:val="004622D7"/>
    <w:rsid w:val="0046240A"/>
    <w:rsid w:val="004628BA"/>
    <w:rsid w:val="00462EB4"/>
    <w:rsid w:val="00463384"/>
    <w:rsid w:val="004638AA"/>
    <w:rsid w:val="004638C6"/>
    <w:rsid w:val="00463C7A"/>
    <w:rsid w:val="00463F97"/>
    <w:rsid w:val="00464011"/>
    <w:rsid w:val="004641F2"/>
    <w:rsid w:val="00464595"/>
    <w:rsid w:val="004648A0"/>
    <w:rsid w:val="00464C9D"/>
    <w:rsid w:val="00464F90"/>
    <w:rsid w:val="00465323"/>
    <w:rsid w:val="004658A6"/>
    <w:rsid w:val="004658B5"/>
    <w:rsid w:val="0046691C"/>
    <w:rsid w:val="00466B23"/>
    <w:rsid w:val="00466DEE"/>
    <w:rsid w:val="0046709A"/>
    <w:rsid w:val="004675B9"/>
    <w:rsid w:val="004675F0"/>
    <w:rsid w:val="00467CAE"/>
    <w:rsid w:val="00467D94"/>
    <w:rsid w:val="00467F57"/>
    <w:rsid w:val="00470513"/>
    <w:rsid w:val="00470A53"/>
    <w:rsid w:val="00471126"/>
    <w:rsid w:val="004711AD"/>
    <w:rsid w:val="0047169F"/>
    <w:rsid w:val="00471929"/>
    <w:rsid w:val="00471E57"/>
    <w:rsid w:val="00471EA5"/>
    <w:rsid w:val="004722CF"/>
    <w:rsid w:val="00472576"/>
    <w:rsid w:val="00472700"/>
    <w:rsid w:val="0047271C"/>
    <w:rsid w:val="00472A79"/>
    <w:rsid w:val="00472CFB"/>
    <w:rsid w:val="00472DFE"/>
    <w:rsid w:val="00473006"/>
    <w:rsid w:val="00473035"/>
    <w:rsid w:val="004733EF"/>
    <w:rsid w:val="004735B2"/>
    <w:rsid w:val="00473DF6"/>
    <w:rsid w:val="00473F19"/>
    <w:rsid w:val="00473F1C"/>
    <w:rsid w:val="0047411B"/>
    <w:rsid w:val="004742DB"/>
    <w:rsid w:val="004743FA"/>
    <w:rsid w:val="0047468F"/>
    <w:rsid w:val="00474A60"/>
    <w:rsid w:val="00474AA0"/>
    <w:rsid w:val="00474DF3"/>
    <w:rsid w:val="00474E19"/>
    <w:rsid w:val="00474EED"/>
    <w:rsid w:val="00474EFF"/>
    <w:rsid w:val="004753B9"/>
    <w:rsid w:val="0047575D"/>
    <w:rsid w:val="004757F4"/>
    <w:rsid w:val="00475DAB"/>
    <w:rsid w:val="00475E22"/>
    <w:rsid w:val="00476019"/>
    <w:rsid w:val="0047694B"/>
    <w:rsid w:val="00476CB2"/>
    <w:rsid w:val="004773C9"/>
    <w:rsid w:val="004773D1"/>
    <w:rsid w:val="004777AC"/>
    <w:rsid w:val="004779E3"/>
    <w:rsid w:val="00477ACD"/>
    <w:rsid w:val="00477C5B"/>
    <w:rsid w:val="00477DDB"/>
    <w:rsid w:val="004802A3"/>
    <w:rsid w:val="0048048F"/>
    <w:rsid w:val="00480570"/>
    <w:rsid w:val="0048088E"/>
    <w:rsid w:val="00480BA6"/>
    <w:rsid w:val="00480DC1"/>
    <w:rsid w:val="00480F09"/>
    <w:rsid w:val="00480F2B"/>
    <w:rsid w:val="0048136C"/>
    <w:rsid w:val="00481415"/>
    <w:rsid w:val="0048170E"/>
    <w:rsid w:val="00481BBC"/>
    <w:rsid w:val="00481C5A"/>
    <w:rsid w:val="00481F12"/>
    <w:rsid w:val="0048215A"/>
    <w:rsid w:val="0048227C"/>
    <w:rsid w:val="0048247F"/>
    <w:rsid w:val="0048256A"/>
    <w:rsid w:val="004826BA"/>
    <w:rsid w:val="00482720"/>
    <w:rsid w:val="00482AC7"/>
    <w:rsid w:val="00482E62"/>
    <w:rsid w:val="00483330"/>
    <w:rsid w:val="004834F1"/>
    <w:rsid w:val="004835E7"/>
    <w:rsid w:val="00483D17"/>
    <w:rsid w:val="00483EAC"/>
    <w:rsid w:val="00483F90"/>
    <w:rsid w:val="00484149"/>
    <w:rsid w:val="00484440"/>
    <w:rsid w:val="004846A4"/>
    <w:rsid w:val="0048484B"/>
    <w:rsid w:val="00485013"/>
    <w:rsid w:val="00485870"/>
    <w:rsid w:val="004859E1"/>
    <w:rsid w:val="00485F20"/>
    <w:rsid w:val="004863F7"/>
    <w:rsid w:val="00486531"/>
    <w:rsid w:val="00486592"/>
    <w:rsid w:val="004867E2"/>
    <w:rsid w:val="0048686B"/>
    <w:rsid w:val="00486893"/>
    <w:rsid w:val="004868B2"/>
    <w:rsid w:val="00486A56"/>
    <w:rsid w:val="00486ED4"/>
    <w:rsid w:val="00486F62"/>
    <w:rsid w:val="004874B8"/>
    <w:rsid w:val="004876D6"/>
    <w:rsid w:val="00487879"/>
    <w:rsid w:val="00487F95"/>
    <w:rsid w:val="0049012A"/>
    <w:rsid w:val="004901C1"/>
    <w:rsid w:val="00490819"/>
    <w:rsid w:val="00490B17"/>
    <w:rsid w:val="00490C3B"/>
    <w:rsid w:val="00491076"/>
    <w:rsid w:val="00491347"/>
    <w:rsid w:val="00491A96"/>
    <w:rsid w:val="00491B3A"/>
    <w:rsid w:val="00491BC5"/>
    <w:rsid w:val="00491C74"/>
    <w:rsid w:val="0049201D"/>
    <w:rsid w:val="00492095"/>
    <w:rsid w:val="00492275"/>
    <w:rsid w:val="0049231F"/>
    <w:rsid w:val="00492697"/>
    <w:rsid w:val="00492CFD"/>
    <w:rsid w:val="00492F77"/>
    <w:rsid w:val="00493155"/>
    <w:rsid w:val="004934B2"/>
    <w:rsid w:val="00493980"/>
    <w:rsid w:val="00493DDF"/>
    <w:rsid w:val="004941EF"/>
    <w:rsid w:val="00494207"/>
    <w:rsid w:val="00494647"/>
    <w:rsid w:val="004946D5"/>
    <w:rsid w:val="004948E3"/>
    <w:rsid w:val="00494D0E"/>
    <w:rsid w:val="00494DD5"/>
    <w:rsid w:val="004951A5"/>
    <w:rsid w:val="00495962"/>
    <w:rsid w:val="004959A2"/>
    <w:rsid w:val="00496174"/>
    <w:rsid w:val="004962D2"/>
    <w:rsid w:val="004962DD"/>
    <w:rsid w:val="0049648F"/>
    <w:rsid w:val="004964F7"/>
    <w:rsid w:val="004965D7"/>
    <w:rsid w:val="00496BB4"/>
    <w:rsid w:val="00497849"/>
    <w:rsid w:val="00497974"/>
    <w:rsid w:val="00497A27"/>
    <w:rsid w:val="00497D5B"/>
    <w:rsid w:val="004A01E0"/>
    <w:rsid w:val="004A039F"/>
    <w:rsid w:val="004A094B"/>
    <w:rsid w:val="004A0B5A"/>
    <w:rsid w:val="004A0DA1"/>
    <w:rsid w:val="004A1097"/>
    <w:rsid w:val="004A13D6"/>
    <w:rsid w:val="004A1AA5"/>
    <w:rsid w:val="004A24CE"/>
    <w:rsid w:val="004A2B5F"/>
    <w:rsid w:val="004A2EE2"/>
    <w:rsid w:val="004A3087"/>
    <w:rsid w:val="004A3234"/>
    <w:rsid w:val="004A33A7"/>
    <w:rsid w:val="004A3736"/>
    <w:rsid w:val="004A3B58"/>
    <w:rsid w:val="004A4187"/>
    <w:rsid w:val="004A4701"/>
    <w:rsid w:val="004A4A20"/>
    <w:rsid w:val="004A4B54"/>
    <w:rsid w:val="004A52E9"/>
    <w:rsid w:val="004A536D"/>
    <w:rsid w:val="004A57D7"/>
    <w:rsid w:val="004A5B6F"/>
    <w:rsid w:val="004A6040"/>
    <w:rsid w:val="004A62B3"/>
    <w:rsid w:val="004A648F"/>
    <w:rsid w:val="004A6513"/>
    <w:rsid w:val="004A6586"/>
    <w:rsid w:val="004A6597"/>
    <w:rsid w:val="004A67F6"/>
    <w:rsid w:val="004A6B01"/>
    <w:rsid w:val="004A6B3D"/>
    <w:rsid w:val="004A6BE0"/>
    <w:rsid w:val="004A70D7"/>
    <w:rsid w:val="004A728F"/>
    <w:rsid w:val="004A735C"/>
    <w:rsid w:val="004A73B2"/>
    <w:rsid w:val="004A75EB"/>
    <w:rsid w:val="004A7848"/>
    <w:rsid w:val="004A7856"/>
    <w:rsid w:val="004A793B"/>
    <w:rsid w:val="004A7A63"/>
    <w:rsid w:val="004A7DCB"/>
    <w:rsid w:val="004B026F"/>
    <w:rsid w:val="004B0468"/>
    <w:rsid w:val="004B0937"/>
    <w:rsid w:val="004B1044"/>
    <w:rsid w:val="004B1120"/>
    <w:rsid w:val="004B12E0"/>
    <w:rsid w:val="004B13E7"/>
    <w:rsid w:val="004B1AEA"/>
    <w:rsid w:val="004B1CB4"/>
    <w:rsid w:val="004B1EE0"/>
    <w:rsid w:val="004B265B"/>
    <w:rsid w:val="004B269B"/>
    <w:rsid w:val="004B28D9"/>
    <w:rsid w:val="004B2969"/>
    <w:rsid w:val="004B2B4E"/>
    <w:rsid w:val="004B2F18"/>
    <w:rsid w:val="004B2F5C"/>
    <w:rsid w:val="004B338F"/>
    <w:rsid w:val="004B33C7"/>
    <w:rsid w:val="004B37DC"/>
    <w:rsid w:val="004B383B"/>
    <w:rsid w:val="004B3B72"/>
    <w:rsid w:val="004B3B9D"/>
    <w:rsid w:val="004B3DDB"/>
    <w:rsid w:val="004B4046"/>
    <w:rsid w:val="004B40D5"/>
    <w:rsid w:val="004B44FD"/>
    <w:rsid w:val="004B49C0"/>
    <w:rsid w:val="004B500E"/>
    <w:rsid w:val="004B5118"/>
    <w:rsid w:val="004B5341"/>
    <w:rsid w:val="004B5607"/>
    <w:rsid w:val="004B5B73"/>
    <w:rsid w:val="004B5CFC"/>
    <w:rsid w:val="004B5CFF"/>
    <w:rsid w:val="004B5D42"/>
    <w:rsid w:val="004B5E36"/>
    <w:rsid w:val="004B642D"/>
    <w:rsid w:val="004B6474"/>
    <w:rsid w:val="004B6792"/>
    <w:rsid w:val="004B6A79"/>
    <w:rsid w:val="004B6AEB"/>
    <w:rsid w:val="004B6F4F"/>
    <w:rsid w:val="004B6F79"/>
    <w:rsid w:val="004B6F87"/>
    <w:rsid w:val="004B75F6"/>
    <w:rsid w:val="004B76D9"/>
    <w:rsid w:val="004B774D"/>
    <w:rsid w:val="004B78AA"/>
    <w:rsid w:val="004B7964"/>
    <w:rsid w:val="004B7B19"/>
    <w:rsid w:val="004B7C94"/>
    <w:rsid w:val="004B7D95"/>
    <w:rsid w:val="004B7DF0"/>
    <w:rsid w:val="004C0344"/>
    <w:rsid w:val="004C0476"/>
    <w:rsid w:val="004C05BD"/>
    <w:rsid w:val="004C08E8"/>
    <w:rsid w:val="004C0D2C"/>
    <w:rsid w:val="004C0E80"/>
    <w:rsid w:val="004C108C"/>
    <w:rsid w:val="004C14BE"/>
    <w:rsid w:val="004C1687"/>
    <w:rsid w:val="004C1E2F"/>
    <w:rsid w:val="004C20D3"/>
    <w:rsid w:val="004C24B1"/>
    <w:rsid w:val="004C24C9"/>
    <w:rsid w:val="004C291D"/>
    <w:rsid w:val="004C2AC2"/>
    <w:rsid w:val="004C2D7E"/>
    <w:rsid w:val="004C2DE5"/>
    <w:rsid w:val="004C3903"/>
    <w:rsid w:val="004C3A72"/>
    <w:rsid w:val="004C3AB0"/>
    <w:rsid w:val="004C3B02"/>
    <w:rsid w:val="004C3EC1"/>
    <w:rsid w:val="004C3EF4"/>
    <w:rsid w:val="004C3F3D"/>
    <w:rsid w:val="004C4198"/>
    <w:rsid w:val="004C49D4"/>
    <w:rsid w:val="004C4AED"/>
    <w:rsid w:val="004C4CA0"/>
    <w:rsid w:val="004C50B2"/>
    <w:rsid w:val="004C5378"/>
    <w:rsid w:val="004C5464"/>
    <w:rsid w:val="004C5F3B"/>
    <w:rsid w:val="004C64AE"/>
    <w:rsid w:val="004C65B5"/>
    <w:rsid w:val="004C6B41"/>
    <w:rsid w:val="004C6C96"/>
    <w:rsid w:val="004C6E25"/>
    <w:rsid w:val="004C70DD"/>
    <w:rsid w:val="004C72BC"/>
    <w:rsid w:val="004C75C6"/>
    <w:rsid w:val="004C7880"/>
    <w:rsid w:val="004C7CFA"/>
    <w:rsid w:val="004C7E8C"/>
    <w:rsid w:val="004D0246"/>
    <w:rsid w:val="004D04F9"/>
    <w:rsid w:val="004D09DC"/>
    <w:rsid w:val="004D0F2D"/>
    <w:rsid w:val="004D13F3"/>
    <w:rsid w:val="004D1BDE"/>
    <w:rsid w:val="004D1CB2"/>
    <w:rsid w:val="004D1DE5"/>
    <w:rsid w:val="004D1F3B"/>
    <w:rsid w:val="004D22E4"/>
    <w:rsid w:val="004D2675"/>
    <w:rsid w:val="004D2A3F"/>
    <w:rsid w:val="004D2B8B"/>
    <w:rsid w:val="004D2C2D"/>
    <w:rsid w:val="004D2D41"/>
    <w:rsid w:val="004D4B69"/>
    <w:rsid w:val="004D4D84"/>
    <w:rsid w:val="004D4E08"/>
    <w:rsid w:val="004D5274"/>
    <w:rsid w:val="004D52EC"/>
    <w:rsid w:val="004D53F6"/>
    <w:rsid w:val="004D5573"/>
    <w:rsid w:val="004D56A0"/>
    <w:rsid w:val="004D58C4"/>
    <w:rsid w:val="004D5A1D"/>
    <w:rsid w:val="004D5B3D"/>
    <w:rsid w:val="004D5DC8"/>
    <w:rsid w:val="004D60A7"/>
    <w:rsid w:val="004D63C0"/>
    <w:rsid w:val="004D6551"/>
    <w:rsid w:val="004D6666"/>
    <w:rsid w:val="004D69B5"/>
    <w:rsid w:val="004D7227"/>
    <w:rsid w:val="004D7236"/>
    <w:rsid w:val="004D776E"/>
    <w:rsid w:val="004D7B5E"/>
    <w:rsid w:val="004E05FA"/>
    <w:rsid w:val="004E0C00"/>
    <w:rsid w:val="004E0E12"/>
    <w:rsid w:val="004E0E7F"/>
    <w:rsid w:val="004E0EB8"/>
    <w:rsid w:val="004E124A"/>
    <w:rsid w:val="004E1335"/>
    <w:rsid w:val="004E14F3"/>
    <w:rsid w:val="004E1559"/>
    <w:rsid w:val="004E18E9"/>
    <w:rsid w:val="004E1F81"/>
    <w:rsid w:val="004E2498"/>
    <w:rsid w:val="004E25EC"/>
    <w:rsid w:val="004E281C"/>
    <w:rsid w:val="004E2ADC"/>
    <w:rsid w:val="004E2C22"/>
    <w:rsid w:val="004E2DD8"/>
    <w:rsid w:val="004E30ED"/>
    <w:rsid w:val="004E312B"/>
    <w:rsid w:val="004E31E4"/>
    <w:rsid w:val="004E357D"/>
    <w:rsid w:val="004E3929"/>
    <w:rsid w:val="004E398E"/>
    <w:rsid w:val="004E3EB3"/>
    <w:rsid w:val="004E3F8E"/>
    <w:rsid w:val="004E43B2"/>
    <w:rsid w:val="004E445D"/>
    <w:rsid w:val="004E4803"/>
    <w:rsid w:val="004E4FCF"/>
    <w:rsid w:val="004E5300"/>
    <w:rsid w:val="004E5390"/>
    <w:rsid w:val="004E5579"/>
    <w:rsid w:val="004E56F2"/>
    <w:rsid w:val="004E5C6D"/>
    <w:rsid w:val="004E5CFE"/>
    <w:rsid w:val="004E5F46"/>
    <w:rsid w:val="004E6135"/>
    <w:rsid w:val="004E625B"/>
    <w:rsid w:val="004E6397"/>
    <w:rsid w:val="004E6DC3"/>
    <w:rsid w:val="004E6EF5"/>
    <w:rsid w:val="004E7245"/>
    <w:rsid w:val="004E751B"/>
    <w:rsid w:val="004E765F"/>
    <w:rsid w:val="004E76A4"/>
    <w:rsid w:val="004E7A1C"/>
    <w:rsid w:val="004E7B79"/>
    <w:rsid w:val="004E7BAC"/>
    <w:rsid w:val="004E7E90"/>
    <w:rsid w:val="004F010D"/>
    <w:rsid w:val="004F02AD"/>
    <w:rsid w:val="004F079C"/>
    <w:rsid w:val="004F0A06"/>
    <w:rsid w:val="004F0F1E"/>
    <w:rsid w:val="004F10AA"/>
    <w:rsid w:val="004F14A6"/>
    <w:rsid w:val="004F15F8"/>
    <w:rsid w:val="004F16EA"/>
    <w:rsid w:val="004F1AD2"/>
    <w:rsid w:val="004F1B1D"/>
    <w:rsid w:val="004F1CC3"/>
    <w:rsid w:val="004F1D02"/>
    <w:rsid w:val="004F1D3A"/>
    <w:rsid w:val="004F2202"/>
    <w:rsid w:val="004F226C"/>
    <w:rsid w:val="004F2409"/>
    <w:rsid w:val="004F2679"/>
    <w:rsid w:val="004F2983"/>
    <w:rsid w:val="004F2F21"/>
    <w:rsid w:val="004F30BE"/>
    <w:rsid w:val="004F314B"/>
    <w:rsid w:val="004F34A9"/>
    <w:rsid w:val="004F370D"/>
    <w:rsid w:val="004F3920"/>
    <w:rsid w:val="004F3D45"/>
    <w:rsid w:val="004F3D7B"/>
    <w:rsid w:val="004F3DE5"/>
    <w:rsid w:val="004F3F52"/>
    <w:rsid w:val="004F41F3"/>
    <w:rsid w:val="004F47E7"/>
    <w:rsid w:val="004F47F4"/>
    <w:rsid w:val="004F5FC4"/>
    <w:rsid w:val="004F6649"/>
    <w:rsid w:val="004F67A7"/>
    <w:rsid w:val="004F68C0"/>
    <w:rsid w:val="004F6913"/>
    <w:rsid w:val="004F6D16"/>
    <w:rsid w:val="004F6EE0"/>
    <w:rsid w:val="004F719B"/>
    <w:rsid w:val="004F775D"/>
    <w:rsid w:val="004F7865"/>
    <w:rsid w:val="004F78D6"/>
    <w:rsid w:val="004F79D6"/>
    <w:rsid w:val="004F7B10"/>
    <w:rsid w:val="004F7D33"/>
    <w:rsid w:val="004F7EB0"/>
    <w:rsid w:val="005006E8"/>
    <w:rsid w:val="005009F7"/>
    <w:rsid w:val="00500B08"/>
    <w:rsid w:val="00500C67"/>
    <w:rsid w:val="00500DDD"/>
    <w:rsid w:val="00500E4C"/>
    <w:rsid w:val="00501288"/>
    <w:rsid w:val="0050174E"/>
    <w:rsid w:val="00501854"/>
    <w:rsid w:val="00501E72"/>
    <w:rsid w:val="00501F0B"/>
    <w:rsid w:val="0050219B"/>
    <w:rsid w:val="005022B2"/>
    <w:rsid w:val="0050294F"/>
    <w:rsid w:val="005030A1"/>
    <w:rsid w:val="00503115"/>
    <w:rsid w:val="0050365F"/>
    <w:rsid w:val="00503AEF"/>
    <w:rsid w:val="00503C83"/>
    <w:rsid w:val="00503D1B"/>
    <w:rsid w:val="00503F17"/>
    <w:rsid w:val="00503F3A"/>
    <w:rsid w:val="00504553"/>
    <w:rsid w:val="00504564"/>
    <w:rsid w:val="005045A1"/>
    <w:rsid w:val="00504BD4"/>
    <w:rsid w:val="00504C20"/>
    <w:rsid w:val="00504CCD"/>
    <w:rsid w:val="005053A4"/>
    <w:rsid w:val="005060D9"/>
    <w:rsid w:val="00506907"/>
    <w:rsid w:val="00506928"/>
    <w:rsid w:val="00507057"/>
    <w:rsid w:val="005072F4"/>
    <w:rsid w:val="005073BF"/>
    <w:rsid w:val="005077EF"/>
    <w:rsid w:val="0050787C"/>
    <w:rsid w:val="005078B5"/>
    <w:rsid w:val="005078DF"/>
    <w:rsid w:val="00507AD4"/>
    <w:rsid w:val="00507DAD"/>
    <w:rsid w:val="00507F6A"/>
    <w:rsid w:val="00510522"/>
    <w:rsid w:val="0051061F"/>
    <w:rsid w:val="00510E3A"/>
    <w:rsid w:val="00511149"/>
    <w:rsid w:val="00511322"/>
    <w:rsid w:val="005116F3"/>
    <w:rsid w:val="0051197D"/>
    <w:rsid w:val="00511982"/>
    <w:rsid w:val="00511AD5"/>
    <w:rsid w:val="00511DBC"/>
    <w:rsid w:val="00511DC7"/>
    <w:rsid w:val="0051209F"/>
    <w:rsid w:val="005120FB"/>
    <w:rsid w:val="0051228C"/>
    <w:rsid w:val="00512496"/>
    <w:rsid w:val="005124E4"/>
    <w:rsid w:val="00512522"/>
    <w:rsid w:val="005135AB"/>
    <w:rsid w:val="005138F2"/>
    <w:rsid w:val="00513C75"/>
    <w:rsid w:val="00513D16"/>
    <w:rsid w:val="00513DCB"/>
    <w:rsid w:val="00514031"/>
    <w:rsid w:val="005142C5"/>
    <w:rsid w:val="005144DE"/>
    <w:rsid w:val="005144FE"/>
    <w:rsid w:val="00514553"/>
    <w:rsid w:val="00514665"/>
    <w:rsid w:val="005146CF"/>
    <w:rsid w:val="00514E95"/>
    <w:rsid w:val="00514EE5"/>
    <w:rsid w:val="0051501B"/>
    <w:rsid w:val="005152B5"/>
    <w:rsid w:val="005154E9"/>
    <w:rsid w:val="00515612"/>
    <w:rsid w:val="00515886"/>
    <w:rsid w:val="00515DB6"/>
    <w:rsid w:val="00515E42"/>
    <w:rsid w:val="00516093"/>
    <w:rsid w:val="005161CC"/>
    <w:rsid w:val="005168BB"/>
    <w:rsid w:val="00516F64"/>
    <w:rsid w:val="00516F9B"/>
    <w:rsid w:val="00517000"/>
    <w:rsid w:val="00517217"/>
    <w:rsid w:val="00517682"/>
    <w:rsid w:val="005179D8"/>
    <w:rsid w:val="00517EF8"/>
    <w:rsid w:val="00517FA5"/>
    <w:rsid w:val="005200FA"/>
    <w:rsid w:val="0052060D"/>
    <w:rsid w:val="00520B4A"/>
    <w:rsid w:val="00520C45"/>
    <w:rsid w:val="00520D85"/>
    <w:rsid w:val="005211B1"/>
    <w:rsid w:val="0052123C"/>
    <w:rsid w:val="00521319"/>
    <w:rsid w:val="00521C32"/>
    <w:rsid w:val="00521D59"/>
    <w:rsid w:val="00521E39"/>
    <w:rsid w:val="00521EC9"/>
    <w:rsid w:val="00522041"/>
    <w:rsid w:val="005220A8"/>
    <w:rsid w:val="00522794"/>
    <w:rsid w:val="00522BC8"/>
    <w:rsid w:val="00522C36"/>
    <w:rsid w:val="00523193"/>
    <w:rsid w:val="0052364C"/>
    <w:rsid w:val="005238D8"/>
    <w:rsid w:val="00523951"/>
    <w:rsid w:val="00523C28"/>
    <w:rsid w:val="00523CD1"/>
    <w:rsid w:val="00523EBB"/>
    <w:rsid w:val="00523F7B"/>
    <w:rsid w:val="005240AA"/>
    <w:rsid w:val="005251E7"/>
    <w:rsid w:val="00525A5F"/>
    <w:rsid w:val="00525B44"/>
    <w:rsid w:val="00525F00"/>
    <w:rsid w:val="005262B5"/>
    <w:rsid w:val="0052631C"/>
    <w:rsid w:val="00526AC5"/>
    <w:rsid w:val="00526C4C"/>
    <w:rsid w:val="00526C79"/>
    <w:rsid w:val="00526C95"/>
    <w:rsid w:val="00526CEB"/>
    <w:rsid w:val="00526FD5"/>
    <w:rsid w:val="0052721E"/>
    <w:rsid w:val="00527610"/>
    <w:rsid w:val="0052764F"/>
    <w:rsid w:val="00527849"/>
    <w:rsid w:val="00527AE7"/>
    <w:rsid w:val="00527C6F"/>
    <w:rsid w:val="005301AB"/>
    <w:rsid w:val="00530213"/>
    <w:rsid w:val="00530553"/>
    <w:rsid w:val="005305E1"/>
    <w:rsid w:val="005306BA"/>
    <w:rsid w:val="00530911"/>
    <w:rsid w:val="00530B80"/>
    <w:rsid w:val="00530D0D"/>
    <w:rsid w:val="00530D88"/>
    <w:rsid w:val="00530F3C"/>
    <w:rsid w:val="00530F92"/>
    <w:rsid w:val="00531087"/>
    <w:rsid w:val="005314A8"/>
    <w:rsid w:val="0053176B"/>
    <w:rsid w:val="00531800"/>
    <w:rsid w:val="00531B0A"/>
    <w:rsid w:val="00531B66"/>
    <w:rsid w:val="00531BED"/>
    <w:rsid w:val="00532008"/>
    <w:rsid w:val="0053211C"/>
    <w:rsid w:val="005323CA"/>
    <w:rsid w:val="005323EF"/>
    <w:rsid w:val="0053247A"/>
    <w:rsid w:val="00532899"/>
    <w:rsid w:val="00532E71"/>
    <w:rsid w:val="00532E8B"/>
    <w:rsid w:val="0053346E"/>
    <w:rsid w:val="00533AAF"/>
    <w:rsid w:val="00533AC3"/>
    <w:rsid w:val="00533B4D"/>
    <w:rsid w:val="00533DCA"/>
    <w:rsid w:val="005340B1"/>
    <w:rsid w:val="005341B3"/>
    <w:rsid w:val="00534422"/>
    <w:rsid w:val="00534516"/>
    <w:rsid w:val="00534AFE"/>
    <w:rsid w:val="005355DE"/>
    <w:rsid w:val="005356AA"/>
    <w:rsid w:val="005357B4"/>
    <w:rsid w:val="00535869"/>
    <w:rsid w:val="0053598A"/>
    <w:rsid w:val="00535ADA"/>
    <w:rsid w:val="00535CBA"/>
    <w:rsid w:val="00535D7A"/>
    <w:rsid w:val="00536191"/>
    <w:rsid w:val="0053636D"/>
    <w:rsid w:val="0053639B"/>
    <w:rsid w:val="0053648C"/>
    <w:rsid w:val="00536568"/>
    <w:rsid w:val="0053660C"/>
    <w:rsid w:val="00536692"/>
    <w:rsid w:val="00536725"/>
    <w:rsid w:val="00536905"/>
    <w:rsid w:val="00536985"/>
    <w:rsid w:val="00536B0F"/>
    <w:rsid w:val="00536F07"/>
    <w:rsid w:val="00536F42"/>
    <w:rsid w:val="00536FE0"/>
    <w:rsid w:val="00537182"/>
    <w:rsid w:val="005375D5"/>
    <w:rsid w:val="0053773A"/>
    <w:rsid w:val="005378A3"/>
    <w:rsid w:val="00537E0F"/>
    <w:rsid w:val="00537E77"/>
    <w:rsid w:val="0054037E"/>
    <w:rsid w:val="00540484"/>
    <w:rsid w:val="005405C3"/>
    <w:rsid w:val="005407C8"/>
    <w:rsid w:val="00540CBF"/>
    <w:rsid w:val="00540CC8"/>
    <w:rsid w:val="00540E44"/>
    <w:rsid w:val="00540EEF"/>
    <w:rsid w:val="005416BA"/>
    <w:rsid w:val="00541768"/>
    <w:rsid w:val="00541780"/>
    <w:rsid w:val="00541D32"/>
    <w:rsid w:val="00541EDD"/>
    <w:rsid w:val="005421EE"/>
    <w:rsid w:val="00542743"/>
    <w:rsid w:val="00542808"/>
    <w:rsid w:val="00542890"/>
    <w:rsid w:val="005429B5"/>
    <w:rsid w:val="00542B38"/>
    <w:rsid w:val="00542C2D"/>
    <w:rsid w:val="005432D8"/>
    <w:rsid w:val="00543AEE"/>
    <w:rsid w:val="00543BC8"/>
    <w:rsid w:val="00543BE5"/>
    <w:rsid w:val="005440DF"/>
    <w:rsid w:val="0054415A"/>
    <w:rsid w:val="00544944"/>
    <w:rsid w:val="00544B11"/>
    <w:rsid w:val="00545727"/>
    <w:rsid w:val="00545DF8"/>
    <w:rsid w:val="0054666A"/>
    <w:rsid w:val="005470A3"/>
    <w:rsid w:val="00547769"/>
    <w:rsid w:val="005478BD"/>
    <w:rsid w:val="005479E3"/>
    <w:rsid w:val="005507C7"/>
    <w:rsid w:val="005508E2"/>
    <w:rsid w:val="00550A8C"/>
    <w:rsid w:val="00550DDA"/>
    <w:rsid w:val="00551985"/>
    <w:rsid w:val="00551C08"/>
    <w:rsid w:val="00551C39"/>
    <w:rsid w:val="00551D04"/>
    <w:rsid w:val="00551D48"/>
    <w:rsid w:val="005521CD"/>
    <w:rsid w:val="005522AF"/>
    <w:rsid w:val="00552442"/>
    <w:rsid w:val="005524A6"/>
    <w:rsid w:val="00552616"/>
    <w:rsid w:val="005529DA"/>
    <w:rsid w:val="00552BD3"/>
    <w:rsid w:val="00552C9C"/>
    <w:rsid w:val="005530F9"/>
    <w:rsid w:val="005532A0"/>
    <w:rsid w:val="005534D1"/>
    <w:rsid w:val="00553E2F"/>
    <w:rsid w:val="00553F28"/>
    <w:rsid w:val="005548B7"/>
    <w:rsid w:val="00554A34"/>
    <w:rsid w:val="00554B07"/>
    <w:rsid w:val="00554F98"/>
    <w:rsid w:val="00555109"/>
    <w:rsid w:val="00555165"/>
    <w:rsid w:val="00555308"/>
    <w:rsid w:val="005554A9"/>
    <w:rsid w:val="00555517"/>
    <w:rsid w:val="005557E4"/>
    <w:rsid w:val="005559B8"/>
    <w:rsid w:val="00555AA3"/>
    <w:rsid w:val="00555C99"/>
    <w:rsid w:val="00555E0C"/>
    <w:rsid w:val="0055605D"/>
    <w:rsid w:val="005563D8"/>
    <w:rsid w:val="00556629"/>
    <w:rsid w:val="005566F7"/>
    <w:rsid w:val="0055678A"/>
    <w:rsid w:val="00556A3E"/>
    <w:rsid w:val="00556A44"/>
    <w:rsid w:val="00556A6D"/>
    <w:rsid w:val="00556AD2"/>
    <w:rsid w:val="00556B35"/>
    <w:rsid w:val="00556B39"/>
    <w:rsid w:val="00557008"/>
    <w:rsid w:val="00557401"/>
    <w:rsid w:val="0055741A"/>
    <w:rsid w:val="005576EE"/>
    <w:rsid w:val="005577B3"/>
    <w:rsid w:val="005578F2"/>
    <w:rsid w:val="0056012B"/>
    <w:rsid w:val="00560621"/>
    <w:rsid w:val="00560A0B"/>
    <w:rsid w:val="00560DC3"/>
    <w:rsid w:val="00560DF6"/>
    <w:rsid w:val="00560E82"/>
    <w:rsid w:val="00560FC1"/>
    <w:rsid w:val="005611B7"/>
    <w:rsid w:val="0056128C"/>
    <w:rsid w:val="00561607"/>
    <w:rsid w:val="005618D4"/>
    <w:rsid w:val="00561995"/>
    <w:rsid w:val="00561C8A"/>
    <w:rsid w:val="00561E03"/>
    <w:rsid w:val="00562EBF"/>
    <w:rsid w:val="00562FE3"/>
    <w:rsid w:val="005632F4"/>
    <w:rsid w:val="00563456"/>
    <w:rsid w:val="005640C7"/>
    <w:rsid w:val="005643CA"/>
    <w:rsid w:val="00564478"/>
    <w:rsid w:val="00564867"/>
    <w:rsid w:val="005649BE"/>
    <w:rsid w:val="00564AD3"/>
    <w:rsid w:val="00564F47"/>
    <w:rsid w:val="005651C8"/>
    <w:rsid w:val="00565390"/>
    <w:rsid w:val="005654B8"/>
    <w:rsid w:val="00565763"/>
    <w:rsid w:val="00565B68"/>
    <w:rsid w:val="00565C79"/>
    <w:rsid w:val="00565DF0"/>
    <w:rsid w:val="005661B4"/>
    <w:rsid w:val="0056621B"/>
    <w:rsid w:val="0056696F"/>
    <w:rsid w:val="00566CCD"/>
    <w:rsid w:val="00566E2F"/>
    <w:rsid w:val="00566E37"/>
    <w:rsid w:val="00566F10"/>
    <w:rsid w:val="00566F24"/>
    <w:rsid w:val="00567028"/>
    <w:rsid w:val="005670E9"/>
    <w:rsid w:val="005677AC"/>
    <w:rsid w:val="005678CB"/>
    <w:rsid w:val="00567958"/>
    <w:rsid w:val="00567ADB"/>
    <w:rsid w:val="00567D89"/>
    <w:rsid w:val="00567F16"/>
    <w:rsid w:val="00570065"/>
    <w:rsid w:val="005702E3"/>
    <w:rsid w:val="00570539"/>
    <w:rsid w:val="0057063C"/>
    <w:rsid w:val="00570A16"/>
    <w:rsid w:val="00571A33"/>
    <w:rsid w:val="00571A54"/>
    <w:rsid w:val="00571B2F"/>
    <w:rsid w:val="00571C25"/>
    <w:rsid w:val="00571FB4"/>
    <w:rsid w:val="00572269"/>
    <w:rsid w:val="0057244A"/>
    <w:rsid w:val="00572522"/>
    <w:rsid w:val="00572806"/>
    <w:rsid w:val="00572895"/>
    <w:rsid w:val="005728F2"/>
    <w:rsid w:val="00572D67"/>
    <w:rsid w:val="00572F26"/>
    <w:rsid w:val="00572F67"/>
    <w:rsid w:val="0057344C"/>
    <w:rsid w:val="00573B65"/>
    <w:rsid w:val="005742F5"/>
    <w:rsid w:val="00574440"/>
    <w:rsid w:val="005745AE"/>
    <w:rsid w:val="00574B69"/>
    <w:rsid w:val="00574C1C"/>
    <w:rsid w:val="00574D36"/>
    <w:rsid w:val="005750C5"/>
    <w:rsid w:val="005752DE"/>
    <w:rsid w:val="0057571E"/>
    <w:rsid w:val="005757FC"/>
    <w:rsid w:val="0057587D"/>
    <w:rsid w:val="00575AB8"/>
    <w:rsid w:val="00575C40"/>
    <w:rsid w:val="00575D60"/>
    <w:rsid w:val="00575D8D"/>
    <w:rsid w:val="00575F23"/>
    <w:rsid w:val="0057603F"/>
    <w:rsid w:val="00576320"/>
    <w:rsid w:val="00576579"/>
    <w:rsid w:val="00576837"/>
    <w:rsid w:val="00576972"/>
    <w:rsid w:val="00576C41"/>
    <w:rsid w:val="00576E6A"/>
    <w:rsid w:val="00576F1D"/>
    <w:rsid w:val="00577248"/>
    <w:rsid w:val="00577369"/>
    <w:rsid w:val="00577453"/>
    <w:rsid w:val="00577A5B"/>
    <w:rsid w:val="005800C5"/>
    <w:rsid w:val="005803F8"/>
    <w:rsid w:val="0058059C"/>
    <w:rsid w:val="005806DD"/>
    <w:rsid w:val="00580703"/>
    <w:rsid w:val="0058087C"/>
    <w:rsid w:val="0058088C"/>
    <w:rsid w:val="00581124"/>
    <w:rsid w:val="005814D1"/>
    <w:rsid w:val="00581BEE"/>
    <w:rsid w:val="00581C11"/>
    <w:rsid w:val="00581C2B"/>
    <w:rsid w:val="0058219F"/>
    <w:rsid w:val="00582344"/>
    <w:rsid w:val="005827B9"/>
    <w:rsid w:val="005828E2"/>
    <w:rsid w:val="005828EF"/>
    <w:rsid w:val="005830C2"/>
    <w:rsid w:val="00583699"/>
    <w:rsid w:val="005839B3"/>
    <w:rsid w:val="00583C3B"/>
    <w:rsid w:val="00583CB9"/>
    <w:rsid w:val="00584A54"/>
    <w:rsid w:val="00584CFA"/>
    <w:rsid w:val="00584D15"/>
    <w:rsid w:val="00584F23"/>
    <w:rsid w:val="005858A1"/>
    <w:rsid w:val="00585A1F"/>
    <w:rsid w:val="00585CD6"/>
    <w:rsid w:val="00585CDD"/>
    <w:rsid w:val="00585D14"/>
    <w:rsid w:val="005860E7"/>
    <w:rsid w:val="0058621C"/>
    <w:rsid w:val="00586331"/>
    <w:rsid w:val="00586755"/>
    <w:rsid w:val="00586B60"/>
    <w:rsid w:val="00586B83"/>
    <w:rsid w:val="00586C6E"/>
    <w:rsid w:val="00586DAF"/>
    <w:rsid w:val="0058704E"/>
    <w:rsid w:val="00587058"/>
    <w:rsid w:val="0058750D"/>
    <w:rsid w:val="00587750"/>
    <w:rsid w:val="005903F8"/>
    <w:rsid w:val="005907E6"/>
    <w:rsid w:val="005908A2"/>
    <w:rsid w:val="00590A07"/>
    <w:rsid w:val="00590AFF"/>
    <w:rsid w:val="00590C47"/>
    <w:rsid w:val="00590CAA"/>
    <w:rsid w:val="00590D91"/>
    <w:rsid w:val="00590E22"/>
    <w:rsid w:val="00590EBF"/>
    <w:rsid w:val="00591661"/>
    <w:rsid w:val="00591814"/>
    <w:rsid w:val="00591826"/>
    <w:rsid w:val="0059192C"/>
    <w:rsid w:val="00591957"/>
    <w:rsid w:val="00591B78"/>
    <w:rsid w:val="00591DF0"/>
    <w:rsid w:val="005921F2"/>
    <w:rsid w:val="00592231"/>
    <w:rsid w:val="00592452"/>
    <w:rsid w:val="005928EE"/>
    <w:rsid w:val="00592A9F"/>
    <w:rsid w:val="00592C19"/>
    <w:rsid w:val="00592DB6"/>
    <w:rsid w:val="00593209"/>
    <w:rsid w:val="0059338A"/>
    <w:rsid w:val="005937C5"/>
    <w:rsid w:val="00593AF9"/>
    <w:rsid w:val="00593C17"/>
    <w:rsid w:val="00593C39"/>
    <w:rsid w:val="00593C9D"/>
    <w:rsid w:val="00593E68"/>
    <w:rsid w:val="005947C5"/>
    <w:rsid w:val="00595658"/>
    <w:rsid w:val="005961C3"/>
    <w:rsid w:val="00596A4F"/>
    <w:rsid w:val="00596CD4"/>
    <w:rsid w:val="00596D92"/>
    <w:rsid w:val="00597300"/>
    <w:rsid w:val="0059753F"/>
    <w:rsid w:val="00597BF9"/>
    <w:rsid w:val="00597C6C"/>
    <w:rsid w:val="00597D05"/>
    <w:rsid w:val="00597D37"/>
    <w:rsid w:val="00597DB4"/>
    <w:rsid w:val="00597F78"/>
    <w:rsid w:val="005A01B2"/>
    <w:rsid w:val="005A07E0"/>
    <w:rsid w:val="005A0A94"/>
    <w:rsid w:val="005A0C11"/>
    <w:rsid w:val="005A0C71"/>
    <w:rsid w:val="005A0D79"/>
    <w:rsid w:val="005A0DAD"/>
    <w:rsid w:val="005A0E5E"/>
    <w:rsid w:val="005A0FBD"/>
    <w:rsid w:val="005A109A"/>
    <w:rsid w:val="005A10B8"/>
    <w:rsid w:val="005A166E"/>
    <w:rsid w:val="005A1A51"/>
    <w:rsid w:val="005A1C69"/>
    <w:rsid w:val="005A2444"/>
    <w:rsid w:val="005A2B03"/>
    <w:rsid w:val="005A2D46"/>
    <w:rsid w:val="005A2F4E"/>
    <w:rsid w:val="005A309A"/>
    <w:rsid w:val="005A361A"/>
    <w:rsid w:val="005A373D"/>
    <w:rsid w:val="005A3772"/>
    <w:rsid w:val="005A3863"/>
    <w:rsid w:val="005A3A82"/>
    <w:rsid w:val="005A3AC1"/>
    <w:rsid w:val="005A3E80"/>
    <w:rsid w:val="005A4145"/>
    <w:rsid w:val="005A4199"/>
    <w:rsid w:val="005A42B2"/>
    <w:rsid w:val="005A433A"/>
    <w:rsid w:val="005A4973"/>
    <w:rsid w:val="005A4B58"/>
    <w:rsid w:val="005A557D"/>
    <w:rsid w:val="005A56E9"/>
    <w:rsid w:val="005A5D1A"/>
    <w:rsid w:val="005A62B2"/>
    <w:rsid w:val="005A670F"/>
    <w:rsid w:val="005A69E6"/>
    <w:rsid w:val="005A6AAD"/>
    <w:rsid w:val="005A6EBB"/>
    <w:rsid w:val="005A736C"/>
    <w:rsid w:val="005A73B7"/>
    <w:rsid w:val="005A75CE"/>
    <w:rsid w:val="005A75F3"/>
    <w:rsid w:val="005A7600"/>
    <w:rsid w:val="005A7BA4"/>
    <w:rsid w:val="005A7C96"/>
    <w:rsid w:val="005A7F56"/>
    <w:rsid w:val="005B0B58"/>
    <w:rsid w:val="005B0BBB"/>
    <w:rsid w:val="005B0D3F"/>
    <w:rsid w:val="005B0DCF"/>
    <w:rsid w:val="005B0E76"/>
    <w:rsid w:val="005B0EF3"/>
    <w:rsid w:val="005B1199"/>
    <w:rsid w:val="005B1404"/>
    <w:rsid w:val="005B1A48"/>
    <w:rsid w:val="005B1B01"/>
    <w:rsid w:val="005B1BC3"/>
    <w:rsid w:val="005B20D6"/>
    <w:rsid w:val="005B23BA"/>
    <w:rsid w:val="005B2A58"/>
    <w:rsid w:val="005B2DE3"/>
    <w:rsid w:val="005B2E23"/>
    <w:rsid w:val="005B311D"/>
    <w:rsid w:val="005B358F"/>
    <w:rsid w:val="005B3AE9"/>
    <w:rsid w:val="005B45A9"/>
    <w:rsid w:val="005B4771"/>
    <w:rsid w:val="005B485D"/>
    <w:rsid w:val="005B49E4"/>
    <w:rsid w:val="005B4E53"/>
    <w:rsid w:val="005B50FA"/>
    <w:rsid w:val="005B554A"/>
    <w:rsid w:val="005B5857"/>
    <w:rsid w:val="005B5ED1"/>
    <w:rsid w:val="005B6019"/>
    <w:rsid w:val="005B62AF"/>
    <w:rsid w:val="005B6AB3"/>
    <w:rsid w:val="005B6B35"/>
    <w:rsid w:val="005B6DAC"/>
    <w:rsid w:val="005B70DC"/>
    <w:rsid w:val="005B77E2"/>
    <w:rsid w:val="005B7A0B"/>
    <w:rsid w:val="005B7E83"/>
    <w:rsid w:val="005C0154"/>
    <w:rsid w:val="005C01CF"/>
    <w:rsid w:val="005C0223"/>
    <w:rsid w:val="005C0F83"/>
    <w:rsid w:val="005C10F3"/>
    <w:rsid w:val="005C11DD"/>
    <w:rsid w:val="005C17EE"/>
    <w:rsid w:val="005C19C4"/>
    <w:rsid w:val="005C1B83"/>
    <w:rsid w:val="005C1C44"/>
    <w:rsid w:val="005C1FFE"/>
    <w:rsid w:val="005C2441"/>
    <w:rsid w:val="005C25FF"/>
    <w:rsid w:val="005C265F"/>
    <w:rsid w:val="005C2886"/>
    <w:rsid w:val="005C2D08"/>
    <w:rsid w:val="005C2D55"/>
    <w:rsid w:val="005C2F02"/>
    <w:rsid w:val="005C321D"/>
    <w:rsid w:val="005C32DD"/>
    <w:rsid w:val="005C346B"/>
    <w:rsid w:val="005C357F"/>
    <w:rsid w:val="005C3965"/>
    <w:rsid w:val="005C422F"/>
    <w:rsid w:val="005C427A"/>
    <w:rsid w:val="005C42CB"/>
    <w:rsid w:val="005C45D8"/>
    <w:rsid w:val="005C4777"/>
    <w:rsid w:val="005C49FD"/>
    <w:rsid w:val="005C4AA3"/>
    <w:rsid w:val="005C4DBD"/>
    <w:rsid w:val="005C591F"/>
    <w:rsid w:val="005C5ABC"/>
    <w:rsid w:val="005C5B3E"/>
    <w:rsid w:val="005C5BAC"/>
    <w:rsid w:val="005C5FD9"/>
    <w:rsid w:val="005C6288"/>
    <w:rsid w:val="005C6524"/>
    <w:rsid w:val="005C6C19"/>
    <w:rsid w:val="005C6D72"/>
    <w:rsid w:val="005C6F32"/>
    <w:rsid w:val="005C6F8D"/>
    <w:rsid w:val="005C708D"/>
    <w:rsid w:val="005C74B1"/>
    <w:rsid w:val="005C74C5"/>
    <w:rsid w:val="005C7568"/>
    <w:rsid w:val="005C76EF"/>
    <w:rsid w:val="005C7A5A"/>
    <w:rsid w:val="005C7A71"/>
    <w:rsid w:val="005C7E1D"/>
    <w:rsid w:val="005D0245"/>
    <w:rsid w:val="005D02A9"/>
    <w:rsid w:val="005D02BC"/>
    <w:rsid w:val="005D044D"/>
    <w:rsid w:val="005D0904"/>
    <w:rsid w:val="005D0ABD"/>
    <w:rsid w:val="005D0BE0"/>
    <w:rsid w:val="005D0C3F"/>
    <w:rsid w:val="005D1032"/>
    <w:rsid w:val="005D133A"/>
    <w:rsid w:val="005D1522"/>
    <w:rsid w:val="005D1871"/>
    <w:rsid w:val="005D18AD"/>
    <w:rsid w:val="005D1BA1"/>
    <w:rsid w:val="005D208A"/>
    <w:rsid w:val="005D23DA"/>
    <w:rsid w:val="005D2451"/>
    <w:rsid w:val="005D26B4"/>
    <w:rsid w:val="005D27E3"/>
    <w:rsid w:val="005D2A1E"/>
    <w:rsid w:val="005D2E2A"/>
    <w:rsid w:val="005D2F71"/>
    <w:rsid w:val="005D2F8A"/>
    <w:rsid w:val="005D3163"/>
    <w:rsid w:val="005D3632"/>
    <w:rsid w:val="005D384F"/>
    <w:rsid w:val="005D3C84"/>
    <w:rsid w:val="005D3E99"/>
    <w:rsid w:val="005D3EFC"/>
    <w:rsid w:val="005D4251"/>
    <w:rsid w:val="005D4650"/>
    <w:rsid w:val="005D46A8"/>
    <w:rsid w:val="005D4974"/>
    <w:rsid w:val="005D4B03"/>
    <w:rsid w:val="005D4C15"/>
    <w:rsid w:val="005D53C0"/>
    <w:rsid w:val="005D552D"/>
    <w:rsid w:val="005D596C"/>
    <w:rsid w:val="005D5AB1"/>
    <w:rsid w:val="005D5F84"/>
    <w:rsid w:val="005D5FBF"/>
    <w:rsid w:val="005D60CE"/>
    <w:rsid w:val="005D6536"/>
    <w:rsid w:val="005D677E"/>
    <w:rsid w:val="005D68E0"/>
    <w:rsid w:val="005D6AD0"/>
    <w:rsid w:val="005D6DCB"/>
    <w:rsid w:val="005D6FC1"/>
    <w:rsid w:val="005D710A"/>
    <w:rsid w:val="005D7149"/>
    <w:rsid w:val="005D71F4"/>
    <w:rsid w:val="005D740C"/>
    <w:rsid w:val="005D76CF"/>
    <w:rsid w:val="005D7773"/>
    <w:rsid w:val="005D7806"/>
    <w:rsid w:val="005D7D3C"/>
    <w:rsid w:val="005E00BD"/>
    <w:rsid w:val="005E0995"/>
    <w:rsid w:val="005E0AF9"/>
    <w:rsid w:val="005E0DA2"/>
    <w:rsid w:val="005E13A2"/>
    <w:rsid w:val="005E188C"/>
    <w:rsid w:val="005E1995"/>
    <w:rsid w:val="005E1BE2"/>
    <w:rsid w:val="005E1C42"/>
    <w:rsid w:val="005E217B"/>
    <w:rsid w:val="005E21F6"/>
    <w:rsid w:val="005E244B"/>
    <w:rsid w:val="005E325F"/>
    <w:rsid w:val="005E33E4"/>
    <w:rsid w:val="005E3788"/>
    <w:rsid w:val="005E3845"/>
    <w:rsid w:val="005E3A5C"/>
    <w:rsid w:val="005E41B0"/>
    <w:rsid w:val="005E4951"/>
    <w:rsid w:val="005E4C1A"/>
    <w:rsid w:val="005E5103"/>
    <w:rsid w:val="005E5619"/>
    <w:rsid w:val="005E57D7"/>
    <w:rsid w:val="005E5996"/>
    <w:rsid w:val="005E5E4F"/>
    <w:rsid w:val="005E5F51"/>
    <w:rsid w:val="005E60EE"/>
    <w:rsid w:val="005E69BE"/>
    <w:rsid w:val="005E6C36"/>
    <w:rsid w:val="005E6CBC"/>
    <w:rsid w:val="005E72E9"/>
    <w:rsid w:val="005E72FF"/>
    <w:rsid w:val="005E73C0"/>
    <w:rsid w:val="005E7514"/>
    <w:rsid w:val="005E7B82"/>
    <w:rsid w:val="005E7C71"/>
    <w:rsid w:val="005F02E3"/>
    <w:rsid w:val="005F07ED"/>
    <w:rsid w:val="005F0821"/>
    <w:rsid w:val="005F0A1C"/>
    <w:rsid w:val="005F0A9E"/>
    <w:rsid w:val="005F0BC3"/>
    <w:rsid w:val="005F0D06"/>
    <w:rsid w:val="005F0F4D"/>
    <w:rsid w:val="005F0FE0"/>
    <w:rsid w:val="005F10C0"/>
    <w:rsid w:val="005F10FC"/>
    <w:rsid w:val="005F1238"/>
    <w:rsid w:val="005F1409"/>
    <w:rsid w:val="005F16E7"/>
    <w:rsid w:val="005F1A28"/>
    <w:rsid w:val="005F1C94"/>
    <w:rsid w:val="005F1D70"/>
    <w:rsid w:val="005F252B"/>
    <w:rsid w:val="005F2654"/>
    <w:rsid w:val="005F2706"/>
    <w:rsid w:val="005F2831"/>
    <w:rsid w:val="005F2B0C"/>
    <w:rsid w:val="005F2D55"/>
    <w:rsid w:val="005F326B"/>
    <w:rsid w:val="005F3550"/>
    <w:rsid w:val="005F3760"/>
    <w:rsid w:val="005F3D0D"/>
    <w:rsid w:val="005F40B8"/>
    <w:rsid w:val="005F410A"/>
    <w:rsid w:val="005F4579"/>
    <w:rsid w:val="005F48A2"/>
    <w:rsid w:val="005F4C7C"/>
    <w:rsid w:val="005F4D63"/>
    <w:rsid w:val="005F4ED7"/>
    <w:rsid w:val="005F577B"/>
    <w:rsid w:val="005F5CFA"/>
    <w:rsid w:val="005F6343"/>
    <w:rsid w:val="005F64AD"/>
    <w:rsid w:val="005F64C8"/>
    <w:rsid w:val="005F6A8F"/>
    <w:rsid w:val="005F6BB7"/>
    <w:rsid w:val="005F6E90"/>
    <w:rsid w:val="005F7119"/>
    <w:rsid w:val="005F7318"/>
    <w:rsid w:val="005F7557"/>
    <w:rsid w:val="005F7588"/>
    <w:rsid w:val="005F7A81"/>
    <w:rsid w:val="005F7B73"/>
    <w:rsid w:val="005F7D31"/>
    <w:rsid w:val="005F7DA8"/>
    <w:rsid w:val="005F7EF9"/>
    <w:rsid w:val="005F7FC0"/>
    <w:rsid w:val="0060016B"/>
    <w:rsid w:val="006001E0"/>
    <w:rsid w:val="006003D6"/>
    <w:rsid w:val="006008AE"/>
    <w:rsid w:val="00600A82"/>
    <w:rsid w:val="00600A87"/>
    <w:rsid w:val="00600AA2"/>
    <w:rsid w:val="00600BBE"/>
    <w:rsid w:val="00600C74"/>
    <w:rsid w:val="00600F1A"/>
    <w:rsid w:val="0060116A"/>
    <w:rsid w:val="00601679"/>
    <w:rsid w:val="006019D0"/>
    <w:rsid w:val="00601AF0"/>
    <w:rsid w:val="00601B9E"/>
    <w:rsid w:val="00601D70"/>
    <w:rsid w:val="00602735"/>
    <w:rsid w:val="006028D3"/>
    <w:rsid w:val="00602CEC"/>
    <w:rsid w:val="00602FA7"/>
    <w:rsid w:val="006031EF"/>
    <w:rsid w:val="00603288"/>
    <w:rsid w:val="0060346F"/>
    <w:rsid w:val="00603DB9"/>
    <w:rsid w:val="00603F67"/>
    <w:rsid w:val="00604139"/>
    <w:rsid w:val="006042C2"/>
    <w:rsid w:val="0060458C"/>
    <w:rsid w:val="006045E7"/>
    <w:rsid w:val="00604727"/>
    <w:rsid w:val="00604888"/>
    <w:rsid w:val="006049A6"/>
    <w:rsid w:val="00604A20"/>
    <w:rsid w:val="00604B4D"/>
    <w:rsid w:val="00604C4C"/>
    <w:rsid w:val="00604DD3"/>
    <w:rsid w:val="00604E0C"/>
    <w:rsid w:val="0060500F"/>
    <w:rsid w:val="0060543D"/>
    <w:rsid w:val="006058C7"/>
    <w:rsid w:val="00605B53"/>
    <w:rsid w:val="00605F30"/>
    <w:rsid w:val="006060A7"/>
    <w:rsid w:val="006061A1"/>
    <w:rsid w:val="006062C8"/>
    <w:rsid w:val="006063C8"/>
    <w:rsid w:val="006065E8"/>
    <w:rsid w:val="00606B6B"/>
    <w:rsid w:val="00606C89"/>
    <w:rsid w:val="00606FBA"/>
    <w:rsid w:val="00607669"/>
    <w:rsid w:val="006076F4"/>
    <w:rsid w:val="00607753"/>
    <w:rsid w:val="006077F4"/>
    <w:rsid w:val="00607910"/>
    <w:rsid w:val="00607AFD"/>
    <w:rsid w:val="00607D0A"/>
    <w:rsid w:val="00607FAC"/>
    <w:rsid w:val="00610022"/>
    <w:rsid w:val="0061005D"/>
    <w:rsid w:val="0061015B"/>
    <w:rsid w:val="00610475"/>
    <w:rsid w:val="00610542"/>
    <w:rsid w:val="0061077F"/>
    <w:rsid w:val="0061092D"/>
    <w:rsid w:val="00610C1E"/>
    <w:rsid w:val="00610DA2"/>
    <w:rsid w:val="00610EC2"/>
    <w:rsid w:val="006111FE"/>
    <w:rsid w:val="006112D2"/>
    <w:rsid w:val="00611921"/>
    <w:rsid w:val="00611A49"/>
    <w:rsid w:val="00611B12"/>
    <w:rsid w:val="00611C36"/>
    <w:rsid w:val="00611DC3"/>
    <w:rsid w:val="00611FA9"/>
    <w:rsid w:val="006120F7"/>
    <w:rsid w:val="006123B9"/>
    <w:rsid w:val="006125A8"/>
    <w:rsid w:val="006127DA"/>
    <w:rsid w:val="00612943"/>
    <w:rsid w:val="00612A55"/>
    <w:rsid w:val="00612C56"/>
    <w:rsid w:val="00612E48"/>
    <w:rsid w:val="00612F97"/>
    <w:rsid w:val="00612FBA"/>
    <w:rsid w:val="0061319A"/>
    <w:rsid w:val="006132AC"/>
    <w:rsid w:val="00613301"/>
    <w:rsid w:val="0061345D"/>
    <w:rsid w:val="006134E1"/>
    <w:rsid w:val="0061357D"/>
    <w:rsid w:val="00613A34"/>
    <w:rsid w:val="00613C17"/>
    <w:rsid w:val="00613E53"/>
    <w:rsid w:val="00613E6A"/>
    <w:rsid w:val="00613EB7"/>
    <w:rsid w:val="00613F77"/>
    <w:rsid w:val="00614198"/>
    <w:rsid w:val="00614DD4"/>
    <w:rsid w:val="00614F2D"/>
    <w:rsid w:val="0061549B"/>
    <w:rsid w:val="0061552B"/>
    <w:rsid w:val="00615952"/>
    <w:rsid w:val="00615B7A"/>
    <w:rsid w:val="00615CF4"/>
    <w:rsid w:val="00616046"/>
    <w:rsid w:val="006163AF"/>
    <w:rsid w:val="00616802"/>
    <w:rsid w:val="00616972"/>
    <w:rsid w:val="006179D4"/>
    <w:rsid w:val="00617AB4"/>
    <w:rsid w:val="00617B0B"/>
    <w:rsid w:val="00617DFB"/>
    <w:rsid w:val="00617E12"/>
    <w:rsid w:val="00620136"/>
    <w:rsid w:val="00620A42"/>
    <w:rsid w:val="00620C0C"/>
    <w:rsid w:val="00620C25"/>
    <w:rsid w:val="00621183"/>
    <w:rsid w:val="0062140C"/>
    <w:rsid w:val="00621477"/>
    <w:rsid w:val="00621727"/>
    <w:rsid w:val="006217E3"/>
    <w:rsid w:val="00621ADA"/>
    <w:rsid w:val="00621BA6"/>
    <w:rsid w:val="00622233"/>
    <w:rsid w:val="0062261B"/>
    <w:rsid w:val="00622660"/>
    <w:rsid w:val="006226D9"/>
    <w:rsid w:val="00622B1E"/>
    <w:rsid w:val="00622BFA"/>
    <w:rsid w:val="00622EEB"/>
    <w:rsid w:val="00623963"/>
    <w:rsid w:val="00623DBA"/>
    <w:rsid w:val="00623DD0"/>
    <w:rsid w:val="00623F7B"/>
    <w:rsid w:val="006241AF"/>
    <w:rsid w:val="0062447B"/>
    <w:rsid w:val="006245BC"/>
    <w:rsid w:val="00624620"/>
    <w:rsid w:val="00624B22"/>
    <w:rsid w:val="00624BD4"/>
    <w:rsid w:val="006255A6"/>
    <w:rsid w:val="0062596C"/>
    <w:rsid w:val="006259C9"/>
    <w:rsid w:val="00625A73"/>
    <w:rsid w:val="00625B06"/>
    <w:rsid w:val="00625B15"/>
    <w:rsid w:val="00625B76"/>
    <w:rsid w:val="0062677E"/>
    <w:rsid w:val="006267EE"/>
    <w:rsid w:val="006268D6"/>
    <w:rsid w:val="00626949"/>
    <w:rsid w:val="00626C44"/>
    <w:rsid w:val="00626D45"/>
    <w:rsid w:val="00626F10"/>
    <w:rsid w:val="00626F99"/>
    <w:rsid w:val="00627102"/>
    <w:rsid w:val="006273B9"/>
    <w:rsid w:val="006274D9"/>
    <w:rsid w:val="006276C9"/>
    <w:rsid w:val="006277E4"/>
    <w:rsid w:val="00627CE8"/>
    <w:rsid w:val="00627CFC"/>
    <w:rsid w:val="00630088"/>
    <w:rsid w:val="006311C4"/>
    <w:rsid w:val="006312D5"/>
    <w:rsid w:val="006313A0"/>
    <w:rsid w:val="0063158F"/>
    <w:rsid w:val="006315C1"/>
    <w:rsid w:val="0063170C"/>
    <w:rsid w:val="006317EB"/>
    <w:rsid w:val="00631A10"/>
    <w:rsid w:val="00631B9E"/>
    <w:rsid w:val="00631D2F"/>
    <w:rsid w:val="00631D6B"/>
    <w:rsid w:val="00631DF2"/>
    <w:rsid w:val="00631F9D"/>
    <w:rsid w:val="0063209E"/>
    <w:rsid w:val="00632183"/>
    <w:rsid w:val="00632366"/>
    <w:rsid w:val="006327C5"/>
    <w:rsid w:val="00632827"/>
    <w:rsid w:val="00632A48"/>
    <w:rsid w:val="006330A1"/>
    <w:rsid w:val="0063323A"/>
    <w:rsid w:val="00633451"/>
    <w:rsid w:val="00633C15"/>
    <w:rsid w:val="00633C2B"/>
    <w:rsid w:val="00634006"/>
    <w:rsid w:val="0063401A"/>
    <w:rsid w:val="0063479F"/>
    <w:rsid w:val="006349FF"/>
    <w:rsid w:val="00634A75"/>
    <w:rsid w:val="00634C17"/>
    <w:rsid w:val="00634D46"/>
    <w:rsid w:val="00634E9F"/>
    <w:rsid w:val="00634F3A"/>
    <w:rsid w:val="006353F0"/>
    <w:rsid w:val="00635684"/>
    <w:rsid w:val="006356EA"/>
    <w:rsid w:val="00635709"/>
    <w:rsid w:val="006357B5"/>
    <w:rsid w:val="006357C5"/>
    <w:rsid w:val="00635B3C"/>
    <w:rsid w:val="00635E99"/>
    <w:rsid w:val="006363E2"/>
    <w:rsid w:val="006364A1"/>
    <w:rsid w:val="0063656B"/>
    <w:rsid w:val="0063678E"/>
    <w:rsid w:val="00636A1D"/>
    <w:rsid w:val="00636CE2"/>
    <w:rsid w:val="00636DB7"/>
    <w:rsid w:val="0063757C"/>
    <w:rsid w:val="00637646"/>
    <w:rsid w:val="0063769D"/>
    <w:rsid w:val="006376FC"/>
    <w:rsid w:val="00637BFD"/>
    <w:rsid w:val="00637C5C"/>
    <w:rsid w:val="00637D88"/>
    <w:rsid w:val="00640409"/>
    <w:rsid w:val="006405AF"/>
    <w:rsid w:val="00640809"/>
    <w:rsid w:val="00640AD0"/>
    <w:rsid w:val="00640DA4"/>
    <w:rsid w:val="00641402"/>
    <w:rsid w:val="00641478"/>
    <w:rsid w:val="00641C4E"/>
    <w:rsid w:val="00641FB3"/>
    <w:rsid w:val="00642106"/>
    <w:rsid w:val="00642863"/>
    <w:rsid w:val="00642A7A"/>
    <w:rsid w:val="00642AC3"/>
    <w:rsid w:val="00642AE9"/>
    <w:rsid w:val="00642D01"/>
    <w:rsid w:val="00642E90"/>
    <w:rsid w:val="0064368C"/>
    <w:rsid w:val="006436B2"/>
    <w:rsid w:val="00643875"/>
    <w:rsid w:val="006438EF"/>
    <w:rsid w:val="00643916"/>
    <w:rsid w:val="006439CE"/>
    <w:rsid w:val="0064404F"/>
    <w:rsid w:val="0064434C"/>
    <w:rsid w:val="0064450B"/>
    <w:rsid w:val="006445AF"/>
    <w:rsid w:val="00644622"/>
    <w:rsid w:val="00644D57"/>
    <w:rsid w:val="00644FC9"/>
    <w:rsid w:val="00645016"/>
    <w:rsid w:val="006450E9"/>
    <w:rsid w:val="00645761"/>
    <w:rsid w:val="00645993"/>
    <w:rsid w:val="00645C2C"/>
    <w:rsid w:val="00645F71"/>
    <w:rsid w:val="00645FEF"/>
    <w:rsid w:val="006461E4"/>
    <w:rsid w:val="0064656A"/>
    <w:rsid w:val="006466A6"/>
    <w:rsid w:val="00646D6F"/>
    <w:rsid w:val="00646E0D"/>
    <w:rsid w:val="00646FC6"/>
    <w:rsid w:val="006471CC"/>
    <w:rsid w:val="006472CF"/>
    <w:rsid w:val="006472FE"/>
    <w:rsid w:val="0064742C"/>
    <w:rsid w:val="00647439"/>
    <w:rsid w:val="006479D3"/>
    <w:rsid w:val="00647A29"/>
    <w:rsid w:val="00647B4A"/>
    <w:rsid w:val="00647C49"/>
    <w:rsid w:val="006500CF"/>
    <w:rsid w:val="00650565"/>
    <w:rsid w:val="0065079F"/>
    <w:rsid w:val="00650F38"/>
    <w:rsid w:val="006513AF"/>
    <w:rsid w:val="00651524"/>
    <w:rsid w:val="006518BB"/>
    <w:rsid w:val="006523F3"/>
    <w:rsid w:val="00652712"/>
    <w:rsid w:val="00652855"/>
    <w:rsid w:val="00652A28"/>
    <w:rsid w:val="00652C42"/>
    <w:rsid w:val="00652DFA"/>
    <w:rsid w:val="00653374"/>
    <w:rsid w:val="0065379F"/>
    <w:rsid w:val="006538CC"/>
    <w:rsid w:val="006538D6"/>
    <w:rsid w:val="00653D34"/>
    <w:rsid w:val="00654091"/>
    <w:rsid w:val="006542B5"/>
    <w:rsid w:val="006542CA"/>
    <w:rsid w:val="00654582"/>
    <w:rsid w:val="0065459B"/>
    <w:rsid w:val="00654E83"/>
    <w:rsid w:val="00654E96"/>
    <w:rsid w:val="006551D1"/>
    <w:rsid w:val="0065559E"/>
    <w:rsid w:val="00655882"/>
    <w:rsid w:val="00655A7F"/>
    <w:rsid w:val="00655AA5"/>
    <w:rsid w:val="00655C72"/>
    <w:rsid w:val="0065606F"/>
    <w:rsid w:val="00656188"/>
    <w:rsid w:val="0065696F"/>
    <w:rsid w:val="00656EF1"/>
    <w:rsid w:val="00657112"/>
    <w:rsid w:val="0065715A"/>
    <w:rsid w:val="006573FE"/>
    <w:rsid w:val="00657CE6"/>
    <w:rsid w:val="00657ED1"/>
    <w:rsid w:val="00660405"/>
    <w:rsid w:val="006608EC"/>
    <w:rsid w:val="00660B2D"/>
    <w:rsid w:val="00660E6C"/>
    <w:rsid w:val="006610F1"/>
    <w:rsid w:val="00661A64"/>
    <w:rsid w:val="00661C6B"/>
    <w:rsid w:val="00661C8C"/>
    <w:rsid w:val="006621EE"/>
    <w:rsid w:val="00662805"/>
    <w:rsid w:val="00662B8C"/>
    <w:rsid w:val="00662D3E"/>
    <w:rsid w:val="00662F02"/>
    <w:rsid w:val="0066395B"/>
    <w:rsid w:val="0066398C"/>
    <w:rsid w:val="00663EE4"/>
    <w:rsid w:val="00663FAB"/>
    <w:rsid w:val="006641D9"/>
    <w:rsid w:val="00664A7E"/>
    <w:rsid w:val="00665372"/>
    <w:rsid w:val="0066541B"/>
    <w:rsid w:val="00665426"/>
    <w:rsid w:val="0066544B"/>
    <w:rsid w:val="00665C6B"/>
    <w:rsid w:val="00665FA1"/>
    <w:rsid w:val="00666329"/>
    <w:rsid w:val="00666C7A"/>
    <w:rsid w:val="00666CEC"/>
    <w:rsid w:val="00666D25"/>
    <w:rsid w:val="00666D39"/>
    <w:rsid w:val="00667083"/>
    <w:rsid w:val="00667214"/>
    <w:rsid w:val="00667272"/>
    <w:rsid w:val="00667443"/>
    <w:rsid w:val="006677EA"/>
    <w:rsid w:val="0066792B"/>
    <w:rsid w:val="00667B26"/>
    <w:rsid w:val="00667BE3"/>
    <w:rsid w:val="00667C2A"/>
    <w:rsid w:val="00667CE2"/>
    <w:rsid w:val="0067004B"/>
    <w:rsid w:val="006702CE"/>
    <w:rsid w:val="0067034F"/>
    <w:rsid w:val="00670A24"/>
    <w:rsid w:val="00670BF7"/>
    <w:rsid w:val="00671004"/>
    <w:rsid w:val="0067108B"/>
    <w:rsid w:val="00671265"/>
    <w:rsid w:val="00671278"/>
    <w:rsid w:val="006714FF"/>
    <w:rsid w:val="00671677"/>
    <w:rsid w:val="00671FAA"/>
    <w:rsid w:val="0067206F"/>
    <w:rsid w:val="00672385"/>
    <w:rsid w:val="00672429"/>
    <w:rsid w:val="00672646"/>
    <w:rsid w:val="00672E65"/>
    <w:rsid w:val="00672EF6"/>
    <w:rsid w:val="00672F58"/>
    <w:rsid w:val="00673391"/>
    <w:rsid w:val="006737C5"/>
    <w:rsid w:val="0067402A"/>
    <w:rsid w:val="00674198"/>
    <w:rsid w:val="006741A4"/>
    <w:rsid w:val="0067460C"/>
    <w:rsid w:val="00674C19"/>
    <w:rsid w:val="00674E42"/>
    <w:rsid w:val="00675163"/>
    <w:rsid w:val="0067519D"/>
    <w:rsid w:val="0067587E"/>
    <w:rsid w:val="00675887"/>
    <w:rsid w:val="00675925"/>
    <w:rsid w:val="00675A6C"/>
    <w:rsid w:val="00675CD3"/>
    <w:rsid w:val="006764D2"/>
    <w:rsid w:val="00676563"/>
    <w:rsid w:val="006767FA"/>
    <w:rsid w:val="00676C35"/>
    <w:rsid w:val="00677123"/>
    <w:rsid w:val="006774E3"/>
    <w:rsid w:val="00677563"/>
    <w:rsid w:val="006778B5"/>
    <w:rsid w:val="00677CE0"/>
    <w:rsid w:val="00677F28"/>
    <w:rsid w:val="00677FB5"/>
    <w:rsid w:val="006800AF"/>
    <w:rsid w:val="00680229"/>
    <w:rsid w:val="0068044B"/>
    <w:rsid w:val="0068064E"/>
    <w:rsid w:val="0068099E"/>
    <w:rsid w:val="0068126E"/>
    <w:rsid w:val="006813C4"/>
    <w:rsid w:val="006813F8"/>
    <w:rsid w:val="00681946"/>
    <w:rsid w:val="00681A10"/>
    <w:rsid w:val="00681B36"/>
    <w:rsid w:val="00681BE7"/>
    <w:rsid w:val="00681F9B"/>
    <w:rsid w:val="006820FC"/>
    <w:rsid w:val="00682112"/>
    <w:rsid w:val="00682BA6"/>
    <w:rsid w:val="00682BE7"/>
    <w:rsid w:val="006833D9"/>
    <w:rsid w:val="006835A2"/>
    <w:rsid w:val="00683686"/>
    <w:rsid w:val="00683E63"/>
    <w:rsid w:val="00684684"/>
    <w:rsid w:val="00684737"/>
    <w:rsid w:val="0068495F"/>
    <w:rsid w:val="00684BF7"/>
    <w:rsid w:val="006857A2"/>
    <w:rsid w:val="00685857"/>
    <w:rsid w:val="00685C65"/>
    <w:rsid w:val="00685CD6"/>
    <w:rsid w:val="00685CF6"/>
    <w:rsid w:val="006860A7"/>
    <w:rsid w:val="00686371"/>
    <w:rsid w:val="0068644F"/>
    <w:rsid w:val="00686497"/>
    <w:rsid w:val="0068659A"/>
    <w:rsid w:val="00686957"/>
    <w:rsid w:val="006872BA"/>
    <w:rsid w:val="006877CD"/>
    <w:rsid w:val="00687901"/>
    <w:rsid w:val="0068794A"/>
    <w:rsid w:val="00687BA5"/>
    <w:rsid w:val="00687DBB"/>
    <w:rsid w:val="006901E4"/>
    <w:rsid w:val="00690323"/>
    <w:rsid w:val="00690795"/>
    <w:rsid w:val="006908B3"/>
    <w:rsid w:val="00690A31"/>
    <w:rsid w:val="00690EFD"/>
    <w:rsid w:val="006910B1"/>
    <w:rsid w:val="006911E1"/>
    <w:rsid w:val="00691499"/>
    <w:rsid w:val="00691648"/>
    <w:rsid w:val="006917D7"/>
    <w:rsid w:val="0069182C"/>
    <w:rsid w:val="006918F9"/>
    <w:rsid w:val="00691E83"/>
    <w:rsid w:val="006920B0"/>
    <w:rsid w:val="0069220B"/>
    <w:rsid w:val="00692975"/>
    <w:rsid w:val="00692EB4"/>
    <w:rsid w:val="00693023"/>
    <w:rsid w:val="006930F7"/>
    <w:rsid w:val="00693182"/>
    <w:rsid w:val="006932CF"/>
    <w:rsid w:val="006932E5"/>
    <w:rsid w:val="00693398"/>
    <w:rsid w:val="00693399"/>
    <w:rsid w:val="0069346F"/>
    <w:rsid w:val="00693A8A"/>
    <w:rsid w:val="00693BFA"/>
    <w:rsid w:val="0069434C"/>
    <w:rsid w:val="00694DA8"/>
    <w:rsid w:val="00694F44"/>
    <w:rsid w:val="0069567A"/>
    <w:rsid w:val="00695AA9"/>
    <w:rsid w:val="00695B9C"/>
    <w:rsid w:val="00695DC0"/>
    <w:rsid w:val="00695E76"/>
    <w:rsid w:val="00695F31"/>
    <w:rsid w:val="006965AA"/>
    <w:rsid w:val="00696738"/>
    <w:rsid w:val="00696839"/>
    <w:rsid w:val="006969F4"/>
    <w:rsid w:val="00696A9F"/>
    <w:rsid w:val="00696CF6"/>
    <w:rsid w:val="00696EF9"/>
    <w:rsid w:val="00696F51"/>
    <w:rsid w:val="006979A5"/>
    <w:rsid w:val="00697F38"/>
    <w:rsid w:val="00697F50"/>
    <w:rsid w:val="006A0143"/>
    <w:rsid w:val="006A016F"/>
    <w:rsid w:val="006A0797"/>
    <w:rsid w:val="006A089E"/>
    <w:rsid w:val="006A0951"/>
    <w:rsid w:val="006A0C28"/>
    <w:rsid w:val="006A0DF7"/>
    <w:rsid w:val="006A10D0"/>
    <w:rsid w:val="006A11F2"/>
    <w:rsid w:val="006A127C"/>
    <w:rsid w:val="006A12E7"/>
    <w:rsid w:val="006A1DC4"/>
    <w:rsid w:val="006A1F7E"/>
    <w:rsid w:val="006A235A"/>
    <w:rsid w:val="006A2E10"/>
    <w:rsid w:val="006A3050"/>
    <w:rsid w:val="006A35F2"/>
    <w:rsid w:val="006A36D5"/>
    <w:rsid w:val="006A3ADD"/>
    <w:rsid w:val="006A3AEE"/>
    <w:rsid w:val="006A4249"/>
    <w:rsid w:val="006A4321"/>
    <w:rsid w:val="006A43D9"/>
    <w:rsid w:val="006A452D"/>
    <w:rsid w:val="006A5074"/>
    <w:rsid w:val="006A52AF"/>
    <w:rsid w:val="006A54D1"/>
    <w:rsid w:val="006A55D8"/>
    <w:rsid w:val="006A57C0"/>
    <w:rsid w:val="006A57FB"/>
    <w:rsid w:val="006A58B3"/>
    <w:rsid w:val="006A6336"/>
    <w:rsid w:val="006A6478"/>
    <w:rsid w:val="006A65E7"/>
    <w:rsid w:val="006A68C9"/>
    <w:rsid w:val="006A6975"/>
    <w:rsid w:val="006A69CC"/>
    <w:rsid w:val="006A6B99"/>
    <w:rsid w:val="006A6BF0"/>
    <w:rsid w:val="006A6DA9"/>
    <w:rsid w:val="006A7058"/>
    <w:rsid w:val="006A71EC"/>
    <w:rsid w:val="006A7626"/>
    <w:rsid w:val="006A781F"/>
    <w:rsid w:val="006A7994"/>
    <w:rsid w:val="006A79A1"/>
    <w:rsid w:val="006A7ACD"/>
    <w:rsid w:val="006A7C14"/>
    <w:rsid w:val="006A7DD1"/>
    <w:rsid w:val="006A7E5F"/>
    <w:rsid w:val="006A7F50"/>
    <w:rsid w:val="006B0139"/>
    <w:rsid w:val="006B01BB"/>
    <w:rsid w:val="006B02CF"/>
    <w:rsid w:val="006B1893"/>
    <w:rsid w:val="006B18CA"/>
    <w:rsid w:val="006B1996"/>
    <w:rsid w:val="006B1B83"/>
    <w:rsid w:val="006B1D6F"/>
    <w:rsid w:val="006B1F2B"/>
    <w:rsid w:val="006B203E"/>
    <w:rsid w:val="006B239D"/>
    <w:rsid w:val="006B261B"/>
    <w:rsid w:val="006B27E4"/>
    <w:rsid w:val="006B2C90"/>
    <w:rsid w:val="006B2DA9"/>
    <w:rsid w:val="006B2DD7"/>
    <w:rsid w:val="006B33F0"/>
    <w:rsid w:val="006B3533"/>
    <w:rsid w:val="006B35E6"/>
    <w:rsid w:val="006B3602"/>
    <w:rsid w:val="006B3698"/>
    <w:rsid w:val="006B3C57"/>
    <w:rsid w:val="006B409A"/>
    <w:rsid w:val="006B451C"/>
    <w:rsid w:val="006B465A"/>
    <w:rsid w:val="006B4CD7"/>
    <w:rsid w:val="006B4F9C"/>
    <w:rsid w:val="006B5828"/>
    <w:rsid w:val="006B5B33"/>
    <w:rsid w:val="006B609E"/>
    <w:rsid w:val="006B62D6"/>
    <w:rsid w:val="006B6D1F"/>
    <w:rsid w:val="006B6DD0"/>
    <w:rsid w:val="006B7733"/>
    <w:rsid w:val="006B795A"/>
    <w:rsid w:val="006B7EE7"/>
    <w:rsid w:val="006C0399"/>
    <w:rsid w:val="006C075D"/>
    <w:rsid w:val="006C0EC0"/>
    <w:rsid w:val="006C0FB7"/>
    <w:rsid w:val="006C14B7"/>
    <w:rsid w:val="006C15A5"/>
    <w:rsid w:val="006C1785"/>
    <w:rsid w:val="006C198B"/>
    <w:rsid w:val="006C1DA4"/>
    <w:rsid w:val="006C1EC9"/>
    <w:rsid w:val="006C2017"/>
    <w:rsid w:val="006C2798"/>
    <w:rsid w:val="006C2A58"/>
    <w:rsid w:val="006C2A8E"/>
    <w:rsid w:val="006C2AF4"/>
    <w:rsid w:val="006C2B57"/>
    <w:rsid w:val="006C2D75"/>
    <w:rsid w:val="006C30C2"/>
    <w:rsid w:val="006C3255"/>
    <w:rsid w:val="006C36D8"/>
    <w:rsid w:val="006C37DD"/>
    <w:rsid w:val="006C3802"/>
    <w:rsid w:val="006C394D"/>
    <w:rsid w:val="006C3C0E"/>
    <w:rsid w:val="006C3D73"/>
    <w:rsid w:val="006C3F11"/>
    <w:rsid w:val="006C3F26"/>
    <w:rsid w:val="006C4076"/>
    <w:rsid w:val="006C4730"/>
    <w:rsid w:val="006C49A4"/>
    <w:rsid w:val="006C53BE"/>
    <w:rsid w:val="006C553B"/>
    <w:rsid w:val="006C5C01"/>
    <w:rsid w:val="006C5C5D"/>
    <w:rsid w:val="006C6032"/>
    <w:rsid w:val="006C62D1"/>
    <w:rsid w:val="006C6759"/>
    <w:rsid w:val="006C6A19"/>
    <w:rsid w:val="006C6D61"/>
    <w:rsid w:val="006C6D89"/>
    <w:rsid w:val="006C7372"/>
    <w:rsid w:val="006C7623"/>
    <w:rsid w:val="006C79E9"/>
    <w:rsid w:val="006C7A1E"/>
    <w:rsid w:val="006C7A5C"/>
    <w:rsid w:val="006C7E46"/>
    <w:rsid w:val="006D0021"/>
    <w:rsid w:val="006D0092"/>
    <w:rsid w:val="006D054E"/>
    <w:rsid w:val="006D0552"/>
    <w:rsid w:val="006D0579"/>
    <w:rsid w:val="006D0BD2"/>
    <w:rsid w:val="006D0C6C"/>
    <w:rsid w:val="006D0D17"/>
    <w:rsid w:val="006D128F"/>
    <w:rsid w:val="006D14B8"/>
    <w:rsid w:val="006D159B"/>
    <w:rsid w:val="006D15CE"/>
    <w:rsid w:val="006D166E"/>
    <w:rsid w:val="006D17CC"/>
    <w:rsid w:val="006D189E"/>
    <w:rsid w:val="006D1992"/>
    <w:rsid w:val="006D1ADC"/>
    <w:rsid w:val="006D20ED"/>
    <w:rsid w:val="006D2286"/>
    <w:rsid w:val="006D28C9"/>
    <w:rsid w:val="006D29DC"/>
    <w:rsid w:val="006D29F8"/>
    <w:rsid w:val="006D2E51"/>
    <w:rsid w:val="006D3174"/>
    <w:rsid w:val="006D33DC"/>
    <w:rsid w:val="006D3971"/>
    <w:rsid w:val="006D3BDA"/>
    <w:rsid w:val="006D3C7D"/>
    <w:rsid w:val="006D4377"/>
    <w:rsid w:val="006D459D"/>
    <w:rsid w:val="006D4659"/>
    <w:rsid w:val="006D5091"/>
    <w:rsid w:val="006D512D"/>
    <w:rsid w:val="006D5979"/>
    <w:rsid w:val="006D5B54"/>
    <w:rsid w:val="006D5D5F"/>
    <w:rsid w:val="006D60E1"/>
    <w:rsid w:val="006D66C4"/>
    <w:rsid w:val="006D68FB"/>
    <w:rsid w:val="006D6989"/>
    <w:rsid w:val="006D6BCB"/>
    <w:rsid w:val="006D6DE3"/>
    <w:rsid w:val="006D6F79"/>
    <w:rsid w:val="006D7166"/>
    <w:rsid w:val="006D7461"/>
    <w:rsid w:val="006E047C"/>
    <w:rsid w:val="006E0A80"/>
    <w:rsid w:val="006E0A85"/>
    <w:rsid w:val="006E0E0A"/>
    <w:rsid w:val="006E155F"/>
    <w:rsid w:val="006E1789"/>
    <w:rsid w:val="006E178A"/>
    <w:rsid w:val="006E1946"/>
    <w:rsid w:val="006E1AB7"/>
    <w:rsid w:val="006E2868"/>
    <w:rsid w:val="006E2996"/>
    <w:rsid w:val="006E2A6D"/>
    <w:rsid w:val="006E2FE6"/>
    <w:rsid w:val="006E335E"/>
    <w:rsid w:val="006E3555"/>
    <w:rsid w:val="006E362E"/>
    <w:rsid w:val="006E3775"/>
    <w:rsid w:val="006E3CC9"/>
    <w:rsid w:val="006E458F"/>
    <w:rsid w:val="006E4C4F"/>
    <w:rsid w:val="006E5226"/>
    <w:rsid w:val="006E52B4"/>
    <w:rsid w:val="006E53C0"/>
    <w:rsid w:val="006E564C"/>
    <w:rsid w:val="006E5B27"/>
    <w:rsid w:val="006E5DD6"/>
    <w:rsid w:val="006E5E6D"/>
    <w:rsid w:val="006E5F53"/>
    <w:rsid w:val="006E66EA"/>
    <w:rsid w:val="006E6FB4"/>
    <w:rsid w:val="006E71FC"/>
    <w:rsid w:val="006E7393"/>
    <w:rsid w:val="006E74FB"/>
    <w:rsid w:val="006E7553"/>
    <w:rsid w:val="006E7C57"/>
    <w:rsid w:val="006E7CC7"/>
    <w:rsid w:val="006E7DDE"/>
    <w:rsid w:val="006F066B"/>
    <w:rsid w:val="006F076F"/>
    <w:rsid w:val="006F0B40"/>
    <w:rsid w:val="006F0B42"/>
    <w:rsid w:val="006F0B76"/>
    <w:rsid w:val="006F0E11"/>
    <w:rsid w:val="006F0FA5"/>
    <w:rsid w:val="006F1041"/>
    <w:rsid w:val="006F13B1"/>
    <w:rsid w:val="006F1613"/>
    <w:rsid w:val="006F2706"/>
    <w:rsid w:val="006F279C"/>
    <w:rsid w:val="006F28A5"/>
    <w:rsid w:val="006F2ABF"/>
    <w:rsid w:val="006F2C6B"/>
    <w:rsid w:val="006F3031"/>
    <w:rsid w:val="006F306C"/>
    <w:rsid w:val="006F3676"/>
    <w:rsid w:val="006F3A1C"/>
    <w:rsid w:val="006F3A52"/>
    <w:rsid w:val="006F3EDD"/>
    <w:rsid w:val="006F433B"/>
    <w:rsid w:val="006F47D4"/>
    <w:rsid w:val="006F4C19"/>
    <w:rsid w:val="006F4CD9"/>
    <w:rsid w:val="006F509B"/>
    <w:rsid w:val="006F556D"/>
    <w:rsid w:val="006F5F86"/>
    <w:rsid w:val="006F61D2"/>
    <w:rsid w:val="006F6239"/>
    <w:rsid w:val="006F63A5"/>
    <w:rsid w:val="006F6684"/>
    <w:rsid w:val="006F679E"/>
    <w:rsid w:val="006F6B0C"/>
    <w:rsid w:val="006F6DE5"/>
    <w:rsid w:val="006F712A"/>
    <w:rsid w:val="006F7613"/>
    <w:rsid w:val="006F78BF"/>
    <w:rsid w:val="006F7A17"/>
    <w:rsid w:val="007002FA"/>
    <w:rsid w:val="00700C31"/>
    <w:rsid w:val="00700DBE"/>
    <w:rsid w:val="00700FF4"/>
    <w:rsid w:val="0070142B"/>
    <w:rsid w:val="0070187B"/>
    <w:rsid w:val="0070192A"/>
    <w:rsid w:val="00701D7D"/>
    <w:rsid w:val="00702611"/>
    <w:rsid w:val="0070276E"/>
    <w:rsid w:val="00702975"/>
    <w:rsid w:val="00702F4C"/>
    <w:rsid w:val="00702F8F"/>
    <w:rsid w:val="007033E3"/>
    <w:rsid w:val="00704161"/>
    <w:rsid w:val="007041F0"/>
    <w:rsid w:val="00704405"/>
    <w:rsid w:val="00704577"/>
    <w:rsid w:val="0070475B"/>
    <w:rsid w:val="00705E7A"/>
    <w:rsid w:val="00705F71"/>
    <w:rsid w:val="00706623"/>
    <w:rsid w:val="00706C1B"/>
    <w:rsid w:val="00706EA1"/>
    <w:rsid w:val="00707845"/>
    <w:rsid w:val="007079FC"/>
    <w:rsid w:val="00707E55"/>
    <w:rsid w:val="00707F3C"/>
    <w:rsid w:val="007102B9"/>
    <w:rsid w:val="00710360"/>
    <w:rsid w:val="0071095E"/>
    <w:rsid w:val="00710A30"/>
    <w:rsid w:val="00710A3E"/>
    <w:rsid w:val="00710C4C"/>
    <w:rsid w:val="00710F6E"/>
    <w:rsid w:val="0071100F"/>
    <w:rsid w:val="00711978"/>
    <w:rsid w:val="00711A36"/>
    <w:rsid w:val="00711B73"/>
    <w:rsid w:val="00711D96"/>
    <w:rsid w:val="00711F22"/>
    <w:rsid w:val="007125D3"/>
    <w:rsid w:val="00712B78"/>
    <w:rsid w:val="007130E9"/>
    <w:rsid w:val="007139F8"/>
    <w:rsid w:val="00713F22"/>
    <w:rsid w:val="00714243"/>
    <w:rsid w:val="0071430C"/>
    <w:rsid w:val="007143F1"/>
    <w:rsid w:val="007146DC"/>
    <w:rsid w:val="007148B4"/>
    <w:rsid w:val="00714B99"/>
    <w:rsid w:val="00714B9D"/>
    <w:rsid w:val="00714C26"/>
    <w:rsid w:val="00714D58"/>
    <w:rsid w:val="007151FD"/>
    <w:rsid w:val="0071529C"/>
    <w:rsid w:val="00715400"/>
    <w:rsid w:val="00715789"/>
    <w:rsid w:val="00715A25"/>
    <w:rsid w:val="00715CA5"/>
    <w:rsid w:val="00715D26"/>
    <w:rsid w:val="00715DFB"/>
    <w:rsid w:val="00715E64"/>
    <w:rsid w:val="00715EDA"/>
    <w:rsid w:val="00716483"/>
    <w:rsid w:val="0071649D"/>
    <w:rsid w:val="007165A2"/>
    <w:rsid w:val="00716A9A"/>
    <w:rsid w:val="00716C33"/>
    <w:rsid w:val="00716FF4"/>
    <w:rsid w:val="007170DA"/>
    <w:rsid w:val="00717145"/>
    <w:rsid w:val="007172AD"/>
    <w:rsid w:val="007172ED"/>
    <w:rsid w:val="00717546"/>
    <w:rsid w:val="0071781D"/>
    <w:rsid w:val="00717912"/>
    <w:rsid w:val="00717915"/>
    <w:rsid w:val="00717990"/>
    <w:rsid w:val="00717B53"/>
    <w:rsid w:val="00717CDE"/>
    <w:rsid w:val="00717D65"/>
    <w:rsid w:val="007207D6"/>
    <w:rsid w:val="00720801"/>
    <w:rsid w:val="00720940"/>
    <w:rsid w:val="00720B44"/>
    <w:rsid w:val="007212DD"/>
    <w:rsid w:val="007216F6"/>
    <w:rsid w:val="0072198D"/>
    <w:rsid w:val="00721CC9"/>
    <w:rsid w:val="00721DAE"/>
    <w:rsid w:val="00721DB9"/>
    <w:rsid w:val="007220A4"/>
    <w:rsid w:val="0072223F"/>
    <w:rsid w:val="0072228C"/>
    <w:rsid w:val="00722326"/>
    <w:rsid w:val="00722354"/>
    <w:rsid w:val="00722B1B"/>
    <w:rsid w:val="00722B4B"/>
    <w:rsid w:val="00722B6C"/>
    <w:rsid w:val="00722C01"/>
    <w:rsid w:val="00722CC5"/>
    <w:rsid w:val="00722EFD"/>
    <w:rsid w:val="00723214"/>
    <w:rsid w:val="00723302"/>
    <w:rsid w:val="00723311"/>
    <w:rsid w:val="007236BA"/>
    <w:rsid w:val="007237B9"/>
    <w:rsid w:val="00723C8D"/>
    <w:rsid w:val="00723F98"/>
    <w:rsid w:val="0072408B"/>
    <w:rsid w:val="0072416F"/>
    <w:rsid w:val="0072466A"/>
    <w:rsid w:val="0072471D"/>
    <w:rsid w:val="00724853"/>
    <w:rsid w:val="00725098"/>
    <w:rsid w:val="0072530C"/>
    <w:rsid w:val="00725375"/>
    <w:rsid w:val="00725B5B"/>
    <w:rsid w:val="00725D24"/>
    <w:rsid w:val="00725ED1"/>
    <w:rsid w:val="0072627B"/>
    <w:rsid w:val="00726505"/>
    <w:rsid w:val="00726729"/>
    <w:rsid w:val="0072678F"/>
    <w:rsid w:val="00727028"/>
    <w:rsid w:val="007271FB"/>
    <w:rsid w:val="007276A5"/>
    <w:rsid w:val="00727833"/>
    <w:rsid w:val="00727B1B"/>
    <w:rsid w:val="00727C94"/>
    <w:rsid w:val="00727CCF"/>
    <w:rsid w:val="00727EF2"/>
    <w:rsid w:val="007305F2"/>
    <w:rsid w:val="00730A23"/>
    <w:rsid w:val="00730A61"/>
    <w:rsid w:val="00730E75"/>
    <w:rsid w:val="00730EE7"/>
    <w:rsid w:val="007315B0"/>
    <w:rsid w:val="007315B3"/>
    <w:rsid w:val="007319C9"/>
    <w:rsid w:val="00731A25"/>
    <w:rsid w:val="00731B0A"/>
    <w:rsid w:val="00731B65"/>
    <w:rsid w:val="00731EAE"/>
    <w:rsid w:val="00731F95"/>
    <w:rsid w:val="00731FFA"/>
    <w:rsid w:val="0073210B"/>
    <w:rsid w:val="00732313"/>
    <w:rsid w:val="007325F5"/>
    <w:rsid w:val="007328B6"/>
    <w:rsid w:val="007329F0"/>
    <w:rsid w:val="00732F17"/>
    <w:rsid w:val="00732F37"/>
    <w:rsid w:val="0073305B"/>
    <w:rsid w:val="00733073"/>
    <w:rsid w:val="00733371"/>
    <w:rsid w:val="00733400"/>
    <w:rsid w:val="00733494"/>
    <w:rsid w:val="00733516"/>
    <w:rsid w:val="00733781"/>
    <w:rsid w:val="0073389D"/>
    <w:rsid w:val="00733A92"/>
    <w:rsid w:val="00733B2E"/>
    <w:rsid w:val="00733C3C"/>
    <w:rsid w:val="00733D35"/>
    <w:rsid w:val="00733DFE"/>
    <w:rsid w:val="007341C3"/>
    <w:rsid w:val="00734232"/>
    <w:rsid w:val="007346E9"/>
    <w:rsid w:val="00734779"/>
    <w:rsid w:val="00735033"/>
    <w:rsid w:val="007351C5"/>
    <w:rsid w:val="00735328"/>
    <w:rsid w:val="0073547B"/>
    <w:rsid w:val="00735489"/>
    <w:rsid w:val="007355DC"/>
    <w:rsid w:val="007358DD"/>
    <w:rsid w:val="007358DE"/>
    <w:rsid w:val="00735A5D"/>
    <w:rsid w:val="0073601A"/>
    <w:rsid w:val="00736048"/>
    <w:rsid w:val="007360D5"/>
    <w:rsid w:val="00736501"/>
    <w:rsid w:val="00736688"/>
    <w:rsid w:val="007366F5"/>
    <w:rsid w:val="0073671A"/>
    <w:rsid w:val="0073685B"/>
    <w:rsid w:val="00736BF7"/>
    <w:rsid w:val="00736F3A"/>
    <w:rsid w:val="007370B9"/>
    <w:rsid w:val="00737411"/>
    <w:rsid w:val="007377F6"/>
    <w:rsid w:val="0073787E"/>
    <w:rsid w:val="00740282"/>
    <w:rsid w:val="00740AF2"/>
    <w:rsid w:val="00740BE4"/>
    <w:rsid w:val="007415FD"/>
    <w:rsid w:val="00741836"/>
    <w:rsid w:val="00741A94"/>
    <w:rsid w:val="00741DC9"/>
    <w:rsid w:val="00742457"/>
    <w:rsid w:val="007425BC"/>
    <w:rsid w:val="007425EE"/>
    <w:rsid w:val="00742917"/>
    <w:rsid w:val="00742CB4"/>
    <w:rsid w:val="00742E94"/>
    <w:rsid w:val="00743071"/>
    <w:rsid w:val="00743309"/>
    <w:rsid w:val="0074368E"/>
    <w:rsid w:val="00743910"/>
    <w:rsid w:val="007441DC"/>
    <w:rsid w:val="007444D8"/>
    <w:rsid w:val="007449B7"/>
    <w:rsid w:val="007449BF"/>
    <w:rsid w:val="00744CFA"/>
    <w:rsid w:val="00744FBF"/>
    <w:rsid w:val="00745223"/>
    <w:rsid w:val="00745275"/>
    <w:rsid w:val="00745A95"/>
    <w:rsid w:val="00745DE6"/>
    <w:rsid w:val="00745FB2"/>
    <w:rsid w:val="00746249"/>
    <w:rsid w:val="007463FE"/>
    <w:rsid w:val="007467EC"/>
    <w:rsid w:val="00746BC0"/>
    <w:rsid w:val="00746D3C"/>
    <w:rsid w:val="00746DA0"/>
    <w:rsid w:val="00747037"/>
    <w:rsid w:val="007476E1"/>
    <w:rsid w:val="0074796E"/>
    <w:rsid w:val="00747B44"/>
    <w:rsid w:val="00747B50"/>
    <w:rsid w:val="00747B56"/>
    <w:rsid w:val="00747CA5"/>
    <w:rsid w:val="00747D27"/>
    <w:rsid w:val="007502E4"/>
    <w:rsid w:val="00750E50"/>
    <w:rsid w:val="00750F2D"/>
    <w:rsid w:val="007510B4"/>
    <w:rsid w:val="007516CF"/>
    <w:rsid w:val="00751AC0"/>
    <w:rsid w:val="00751EB5"/>
    <w:rsid w:val="00751FFA"/>
    <w:rsid w:val="00752142"/>
    <w:rsid w:val="00752339"/>
    <w:rsid w:val="007523F9"/>
    <w:rsid w:val="00752724"/>
    <w:rsid w:val="00752F3E"/>
    <w:rsid w:val="0075312C"/>
    <w:rsid w:val="00753256"/>
    <w:rsid w:val="0075357E"/>
    <w:rsid w:val="007536E7"/>
    <w:rsid w:val="0075397E"/>
    <w:rsid w:val="00753B29"/>
    <w:rsid w:val="00753BBC"/>
    <w:rsid w:val="00753F56"/>
    <w:rsid w:val="00754202"/>
    <w:rsid w:val="00754386"/>
    <w:rsid w:val="00754A94"/>
    <w:rsid w:val="00754BC3"/>
    <w:rsid w:val="00755451"/>
    <w:rsid w:val="00755547"/>
    <w:rsid w:val="00755C45"/>
    <w:rsid w:val="007564A9"/>
    <w:rsid w:val="00756574"/>
    <w:rsid w:val="00756702"/>
    <w:rsid w:val="007570E6"/>
    <w:rsid w:val="007573E8"/>
    <w:rsid w:val="0075764B"/>
    <w:rsid w:val="007576F4"/>
    <w:rsid w:val="00757756"/>
    <w:rsid w:val="00757CBF"/>
    <w:rsid w:val="00757DFE"/>
    <w:rsid w:val="00760231"/>
    <w:rsid w:val="00760486"/>
    <w:rsid w:val="00760729"/>
    <w:rsid w:val="00760922"/>
    <w:rsid w:val="00760A7E"/>
    <w:rsid w:val="00760ACD"/>
    <w:rsid w:val="00760ADC"/>
    <w:rsid w:val="00760B59"/>
    <w:rsid w:val="00760C4E"/>
    <w:rsid w:val="00760F9E"/>
    <w:rsid w:val="007612CE"/>
    <w:rsid w:val="007615F7"/>
    <w:rsid w:val="00761620"/>
    <w:rsid w:val="007616E6"/>
    <w:rsid w:val="007619C8"/>
    <w:rsid w:val="007620A8"/>
    <w:rsid w:val="007627BE"/>
    <w:rsid w:val="00763388"/>
    <w:rsid w:val="00763D42"/>
    <w:rsid w:val="00763FE5"/>
    <w:rsid w:val="00764036"/>
    <w:rsid w:val="00764286"/>
    <w:rsid w:val="00764291"/>
    <w:rsid w:val="0076433B"/>
    <w:rsid w:val="00764374"/>
    <w:rsid w:val="007645D8"/>
    <w:rsid w:val="00764B81"/>
    <w:rsid w:val="00764D21"/>
    <w:rsid w:val="00764F03"/>
    <w:rsid w:val="00764F30"/>
    <w:rsid w:val="007651D3"/>
    <w:rsid w:val="00765494"/>
    <w:rsid w:val="0076551E"/>
    <w:rsid w:val="00765AD1"/>
    <w:rsid w:val="00765B15"/>
    <w:rsid w:val="00765B1A"/>
    <w:rsid w:val="00765DC1"/>
    <w:rsid w:val="007660DD"/>
    <w:rsid w:val="00766875"/>
    <w:rsid w:val="0076696B"/>
    <w:rsid w:val="00766CCD"/>
    <w:rsid w:val="007670EE"/>
    <w:rsid w:val="00767345"/>
    <w:rsid w:val="0076743C"/>
    <w:rsid w:val="007675D9"/>
    <w:rsid w:val="00767AD0"/>
    <w:rsid w:val="0077085A"/>
    <w:rsid w:val="00770C3E"/>
    <w:rsid w:val="00770F22"/>
    <w:rsid w:val="0077129A"/>
    <w:rsid w:val="007715D4"/>
    <w:rsid w:val="0077176C"/>
    <w:rsid w:val="007717F9"/>
    <w:rsid w:val="00771D3F"/>
    <w:rsid w:val="00772190"/>
    <w:rsid w:val="007721FF"/>
    <w:rsid w:val="00772781"/>
    <w:rsid w:val="00772A71"/>
    <w:rsid w:val="00772B6B"/>
    <w:rsid w:val="0077302E"/>
    <w:rsid w:val="00773062"/>
    <w:rsid w:val="007739AB"/>
    <w:rsid w:val="00773A3A"/>
    <w:rsid w:val="00773BA1"/>
    <w:rsid w:val="00773ECE"/>
    <w:rsid w:val="007740EC"/>
    <w:rsid w:val="00774459"/>
    <w:rsid w:val="0077469D"/>
    <w:rsid w:val="00774789"/>
    <w:rsid w:val="0077510B"/>
    <w:rsid w:val="0077562B"/>
    <w:rsid w:val="00775D88"/>
    <w:rsid w:val="00775F08"/>
    <w:rsid w:val="0077610C"/>
    <w:rsid w:val="0077679E"/>
    <w:rsid w:val="007767C7"/>
    <w:rsid w:val="00776856"/>
    <w:rsid w:val="00776A29"/>
    <w:rsid w:val="00776A5E"/>
    <w:rsid w:val="00777335"/>
    <w:rsid w:val="00777565"/>
    <w:rsid w:val="0077759D"/>
    <w:rsid w:val="00777B35"/>
    <w:rsid w:val="00777FC6"/>
    <w:rsid w:val="0078010D"/>
    <w:rsid w:val="0078054A"/>
    <w:rsid w:val="00780920"/>
    <w:rsid w:val="00780966"/>
    <w:rsid w:val="00780C36"/>
    <w:rsid w:val="00780C43"/>
    <w:rsid w:val="00780D91"/>
    <w:rsid w:val="00781526"/>
    <w:rsid w:val="007817CA"/>
    <w:rsid w:val="0078185B"/>
    <w:rsid w:val="00781EAB"/>
    <w:rsid w:val="00781FC7"/>
    <w:rsid w:val="00781FCB"/>
    <w:rsid w:val="00782008"/>
    <w:rsid w:val="007821EB"/>
    <w:rsid w:val="00782271"/>
    <w:rsid w:val="00782363"/>
    <w:rsid w:val="007828EE"/>
    <w:rsid w:val="007828F5"/>
    <w:rsid w:val="00782BF4"/>
    <w:rsid w:val="00782F97"/>
    <w:rsid w:val="00783030"/>
    <w:rsid w:val="00783196"/>
    <w:rsid w:val="007832AA"/>
    <w:rsid w:val="00783722"/>
    <w:rsid w:val="00783725"/>
    <w:rsid w:val="00783731"/>
    <w:rsid w:val="007837A6"/>
    <w:rsid w:val="007837A8"/>
    <w:rsid w:val="00783BFA"/>
    <w:rsid w:val="0078409D"/>
    <w:rsid w:val="007843F2"/>
    <w:rsid w:val="007846FA"/>
    <w:rsid w:val="007848D8"/>
    <w:rsid w:val="007848F8"/>
    <w:rsid w:val="00784A2C"/>
    <w:rsid w:val="00784DC3"/>
    <w:rsid w:val="00784EF6"/>
    <w:rsid w:val="00784FF4"/>
    <w:rsid w:val="007854BD"/>
    <w:rsid w:val="00785A9F"/>
    <w:rsid w:val="00785E91"/>
    <w:rsid w:val="00785FFA"/>
    <w:rsid w:val="0078606F"/>
    <w:rsid w:val="0078618E"/>
    <w:rsid w:val="007861B4"/>
    <w:rsid w:val="00786B4C"/>
    <w:rsid w:val="00786CC6"/>
    <w:rsid w:val="00786E48"/>
    <w:rsid w:val="00786F4F"/>
    <w:rsid w:val="0078712C"/>
    <w:rsid w:val="0078735A"/>
    <w:rsid w:val="00787677"/>
    <w:rsid w:val="00787D76"/>
    <w:rsid w:val="00790033"/>
    <w:rsid w:val="007900D8"/>
    <w:rsid w:val="00790102"/>
    <w:rsid w:val="00790752"/>
    <w:rsid w:val="00790A20"/>
    <w:rsid w:val="00790AA2"/>
    <w:rsid w:val="00790ADE"/>
    <w:rsid w:val="00790C1E"/>
    <w:rsid w:val="00790DCE"/>
    <w:rsid w:val="007910C6"/>
    <w:rsid w:val="007911BB"/>
    <w:rsid w:val="00791201"/>
    <w:rsid w:val="00791886"/>
    <w:rsid w:val="00791D13"/>
    <w:rsid w:val="00791EB1"/>
    <w:rsid w:val="00791EFD"/>
    <w:rsid w:val="007920D0"/>
    <w:rsid w:val="00792202"/>
    <w:rsid w:val="00792209"/>
    <w:rsid w:val="00792446"/>
    <w:rsid w:val="007925DF"/>
    <w:rsid w:val="00792908"/>
    <w:rsid w:val="00792B65"/>
    <w:rsid w:val="00792DED"/>
    <w:rsid w:val="00792EFE"/>
    <w:rsid w:val="007931A7"/>
    <w:rsid w:val="0079358A"/>
    <w:rsid w:val="007939EF"/>
    <w:rsid w:val="00794011"/>
    <w:rsid w:val="007946A9"/>
    <w:rsid w:val="00794762"/>
    <w:rsid w:val="007950B4"/>
    <w:rsid w:val="00795241"/>
    <w:rsid w:val="007952AC"/>
    <w:rsid w:val="00795441"/>
    <w:rsid w:val="0079559F"/>
    <w:rsid w:val="007955ED"/>
    <w:rsid w:val="0079564F"/>
    <w:rsid w:val="007959AD"/>
    <w:rsid w:val="00795C8C"/>
    <w:rsid w:val="00795CB2"/>
    <w:rsid w:val="00796311"/>
    <w:rsid w:val="007966BB"/>
    <w:rsid w:val="00796A1C"/>
    <w:rsid w:val="00796BF7"/>
    <w:rsid w:val="00796D0C"/>
    <w:rsid w:val="00796ED1"/>
    <w:rsid w:val="00796F4D"/>
    <w:rsid w:val="00796FEE"/>
    <w:rsid w:val="00797000"/>
    <w:rsid w:val="00797154"/>
    <w:rsid w:val="007972B8"/>
    <w:rsid w:val="00797765"/>
    <w:rsid w:val="00797B79"/>
    <w:rsid w:val="00797B9B"/>
    <w:rsid w:val="00797D81"/>
    <w:rsid w:val="007A08AA"/>
    <w:rsid w:val="007A08BE"/>
    <w:rsid w:val="007A09F5"/>
    <w:rsid w:val="007A0A12"/>
    <w:rsid w:val="007A0BCE"/>
    <w:rsid w:val="007A0CB8"/>
    <w:rsid w:val="007A0CF8"/>
    <w:rsid w:val="007A0F3C"/>
    <w:rsid w:val="007A0FB6"/>
    <w:rsid w:val="007A1301"/>
    <w:rsid w:val="007A132D"/>
    <w:rsid w:val="007A1345"/>
    <w:rsid w:val="007A139F"/>
    <w:rsid w:val="007A17E4"/>
    <w:rsid w:val="007A18AC"/>
    <w:rsid w:val="007A1FAD"/>
    <w:rsid w:val="007A21AB"/>
    <w:rsid w:val="007A2736"/>
    <w:rsid w:val="007A2DDB"/>
    <w:rsid w:val="007A2F1A"/>
    <w:rsid w:val="007A34DC"/>
    <w:rsid w:val="007A3507"/>
    <w:rsid w:val="007A3853"/>
    <w:rsid w:val="007A3BE3"/>
    <w:rsid w:val="007A3CBD"/>
    <w:rsid w:val="007A403F"/>
    <w:rsid w:val="007A41EE"/>
    <w:rsid w:val="007A42D5"/>
    <w:rsid w:val="007A4B48"/>
    <w:rsid w:val="007A4FDB"/>
    <w:rsid w:val="007A507B"/>
    <w:rsid w:val="007A5222"/>
    <w:rsid w:val="007A531F"/>
    <w:rsid w:val="007A53B5"/>
    <w:rsid w:val="007A543D"/>
    <w:rsid w:val="007A5839"/>
    <w:rsid w:val="007A5B81"/>
    <w:rsid w:val="007A5BED"/>
    <w:rsid w:val="007A5D3D"/>
    <w:rsid w:val="007A67B1"/>
    <w:rsid w:val="007A6C6E"/>
    <w:rsid w:val="007A70BA"/>
    <w:rsid w:val="007A7423"/>
    <w:rsid w:val="007A7765"/>
    <w:rsid w:val="007A78CB"/>
    <w:rsid w:val="007A7C72"/>
    <w:rsid w:val="007A7C83"/>
    <w:rsid w:val="007A7EAA"/>
    <w:rsid w:val="007B0624"/>
    <w:rsid w:val="007B07E2"/>
    <w:rsid w:val="007B0D68"/>
    <w:rsid w:val="007B0DE6"/>
    <w:rsid w:val="007B0DF3"/>
    <w:rsid w:val="007B1759"/>
    <w:rsid w:val="007B1A02"/>
    <w:rsid w:val="007B1C59"/>
    <w:rsid w:val="007B24B6"/>
    <w:rsid w:val="007B251D"/>
    <w:rsid w:val="007B2BDE"/>
    <w:rsid w:val="007B2D29"/>
    <w:rsid w:val="007B2D7D"/>
    <w:rsid w:val="007B2F50"/>
    <w:rsid w:val="007B3281"/>
    <w:rsid w:val="007B3533"/>
    <w:rsid w:val="007B364B"/>
    <w:rsid w:val="007B3CAA"/>
    <w:rsid w:val="007B3D4B"/>
    <w:rsid w:val="007B3EA1"/>
    <w:rsid w:val="007B43AD"/>
    <w:rsid w:val="007B445A"/>
    <w:rsid w:val="007B453E"/>
    <w:rsid w:val="007B4B52"/>
    <w:rsid w:val="007B4F58"/>
    <w:rsid w:val="007B528D"/>
    <w:rsid w:val="007B52C5"/>
    <w:rsid w:val="007B5428"/>
    <w:rsid w:val="007B5B57"/>
    <w:rsid w:val="007B5C10"/>
    <w:rsid w:val="007B618A"/>
    <w:rsid w:val="007B6309"/>
    <w:rsid w:val="007B63CA"/>
    <w:rsid w:val="007B707E"/>
    <w:rsid w:val="007B7274"/>
    <w:rsid w:val="007B72A0"/>
    <w:rsid w:val="007B76AF"/>
    <w:rsid w:val="007B76B1"/>
    <w:rsid w:val="007B77D1"/>
    <w:rsid w:val="007B7B01"/>
    <w:rsid w:val="007B7CD5"/>
    <w:rsid w:val="007B7DF6"/>
    <w:rsid w:val="007B7EEB"/>
    <w:rsid w:val="007C005F"/>
    <w:rsid w:val="007C01E6"/>
    <w:rsid w:val="007C057D"/>
    <w:rsid w:val="007C05D3"/>
    <w:rsid w:val="007C07A4"/>
    <w:rsid w:val="007C07C7"/>
    <w:rsid w:val="007C0D20"/>
    <w:rsid w:val="007C10F6"/>
    <w:rsid w:val="007C1252"/>
    <w:rsid w:val="007C126F"/>
    <w:rsid w:val="007C17F7"/>
    <w:rsid w:val="007C1A53"/>
    <w:rsid w:val="007C1CD9"/>
    <w:rsid w:val="007C21B7"/>
    <w:rsid w:val="007C2843"/>
    <w:rsid w:val="007C2A1E"/>
    <w:rsid w:val="007C3109"/>
    <w:rsid w:val="007C3223"/>
    <w:rsid w:val="007C32EF"/>
    <w:rsid w:val="007C361D"/>
    <w:rsid w:val="007C36D9"/>
    <w:rsid w:val="007C3853"/>
    <w:rsid w:val="007C3980"/>
    <w:rsid w:val="007C3AE2"/>
    <w:rsid w:val="007C4814"/>
    <w:rsid w:val="007C4851"/>
    <w:rsid w:val="007C4B84"/>
    <w:rsid w:val="007C51DA"/>
    <w:rsid w:val="007C540D"/>
    <w:rsid w:val="007C5932"/>
    <w:rsid w:val="007C5D72"/>
    <w:rsid w:val="007C5E9A"/>
    <w:rsid w:val="007C5F18"/>
    <w:rsid w:val="007C649D"/>
    <w:rsid w:val="007C66BA"/>
    <w:rsid w:val="007C6907"/>
    <w:rsid w:val="007C6B4F"/>
    <w:rsid w:val="007C6F10"/>
    <w:rsid w:val="007C70FF"/>
    <w:rsid w:val="007C72AF"/>
    <w:rsid w:val="007C74CC"/>
    <w:rsid w:val="007C7766"/>
    <w:rsid w:val="007C7C25"/>
    <w:rsid w:val="007D004F"/>
    <w:rsid w:val="007D035F"/>
    <w:rsid w:val="007D037E"/>
    <w:rsid w:val="007D0435"/>
    <w:rsid w:val="007D0449"/>
    <w:rsid w:val="007D06B2"/>
    <w:rsid w:val="007D0B38"/>
    <w:rsid w:val="007D0E32"/>
    <w:rsid w:val="007D1073"/>
    <w:rsid w:val="007D12B9"/>
    <w:rsid w:val="007D1718"/>
    <w:rsid w:val="007D2069"/>
    <w:rsid w:val="007D20D9"/>
    <w:rsid w:val="007D254A"/>
    <w:rsid w:val="007D29CE"/>
    <w:rsid w:val="007D2AA1"/>
    <w:rsid w:val="007D31CC"/>
    <w:rsid w:val="007D3827"/>
    <w:rsid w:val="007D3CCC"/>
    <w:rsid w:val="007D3FC4"/>
    <w:rsid w:val="007D4341"/>
    <w:rsid w:val="007D4DFA"/>
    <w:rsid w:val="007D4FDA"/>
    <w:rsid w:val="007D542C"/>
    <w:rsid w:val="007D5440"/>
    <w:rsid w:val="007D5708"/>
    <w:rsid w:val="007D5A26"/>
    <w:rsid w:val="007D5D3B"/>
    <w:rsid w:val="007D5D95"/>
    <w:rsid w:val="007D649B"/>
    <w:rsid w:val="007D69B9"/>
    <w:rsid w:val="007D69EB"/>
    <w:rsid w:val="007D6A24"/>
    <w:rsid w:val="007D6E65"/>
    <w:rsid w:val="007D6F1C"/>
    <w:rsid w:val="007D72FE"/>
    <w:rsid w:val="007D7827"/>
    <w:rsid w:val="007D7B0A"/>
    <w:rsid w:val="007D7DA5"/>
    <w:rsid w:val="007E0160"/>
    <w:rsid w:val="007E0410"/>
    <w:rsid w:val="007E044D"/>
    <w:rsid w:val="007E0846"/>
    <w:rsid w:val="007E0C42"/>
    <w:rsid w:val="007E0E35"/>
    <w:rsid w:val="007E0E61"/>
    <w:rsid w:val="007E0F50"/>
    <w:rsid w:val="007E128F"/>
    <w:rsid w:val="007E133E"/>
    <w:rsid w:val="007E16E3"/>
    <w:rsid w:val="007E186C"/>
    <w:rsid w:val="007E1C89"/>
    <w:rsid w:val="007E1EBB"/>
    <w:rsid w:val="007E1EF5"/>
    <w:rsid w:val="007E270F"/>
    <w:rsid w:val="007E286E"/>
    <w:rsid w:val="007E288F"/>
    <w:rsid w:val="007E2AD9"/>
    <w:rsid w:val="007E2ECE"/>
    <w:rsid w:val="007E340F"/>
    <w:rsid w:val="007E3BF0"/>
    <w:rsid w:val="007E3E17"/>
    <w:rsid w:val="007E40DD"/>
    <w:rsid w:val="007E426F"/>
    <w:rsid w:val="007E4359"/>
    <w:rsid w:val="007E47F6"/>
    <w:rsid w:val="007E4937"/>
    <w:rsid w:val="007E4FC5"/>
    <w:rsid w:val="007E5702"/>
    <w:rsid w:val="007E5892"/>
    <w:rsid w:val="007E5A27"/>
    <w:rsid w:val="007E5E61"/>
    <w:rsid w:val="007E6040"/>
    <w:rsid w:val="007E628C"/>
    <w:rsid w:val="007E644B"/>
    <w:rsid w:val="007E64B1"/>
    <w:rsid w:val="007E6849"/>
    <w:rsid w:val="007E6B25"/>
    <w:rsid w:val="007E6D45"/>
    <w:rsid w:val="007E713A"/>
    <w:rsid w:val="007E73F7"/>
    <w:rsid w:val="007E76FA"/>
    <w:rsid w:val="007E7E91"/>
    <w:rsid w:val="007F0AB5"/>
    <w:rsid w:val="007F0CA0"/>
    <w:rsid w:val="007F0E3B"/>
    <w:rsid w:val="007F1017"/>
    <w:rsid w:val="007F13AA"/>
    <w:rsid w:val="007F13DF"/>
    <w:rsid w:val="007F1699"/>
    <w:rsid w:val="007F16D4"/>
    <w:rsid w:val="007F17D1"/>
    <w:rsid w:val="007F1A2D"/>
    <w:rsid w:val="007F1B66"/>
    <w:rsid w:val="007F1E1D"/>
    <w:rsid w:val="007F200F"/>
    <w:rsid w:val="007F2275"/>
    <w:rsid w:val="007F236E"/>
    <w:rsid w:val="007F2492"/>
    <w:rsid w:val="007F250D"/>
    <w:rsid w:val="007F2655"/>
    <w:rsid w:val="007F2662"/>
    <w:rsid w:val="007F29B5"/>
    <w:rsid w:val="007F2B9C"/>
    <w:rsid w:val="007F2C62"/>
    <w:rsid w:val="007F2CA4"/>
    <w:rsid w:val="007F2D61"/>
    <w:rsid w:val="007F2EE0"/>
    <w:rsid w:val="007F34AD"/>
    <w:rsid w:val="007F3769"/>
    <w:rsid w:val="007F39EB"/>
    <w:rsid w:val="007F3AFB"/>
    <w:rsid w:val="007F3D93"/>
    <w:rsid w:val="007F410F"/>
    <w:rsid w:val="007F42BA"/>
    <w:rsid w:val="007F479B"/>
    <w:rsid w:val="007F47B0"/>
    <w:rsid w:val="007F4A3F"/>
    <w:rsid w:val="007F4A61"/>
    <w:rsid w:val="007F4A6F"/>
    <w:rsid w:val="007F4E11"/>
    <w:rsid w:val="007F5255"/>
    <w:rsid w:val="007F56CC"/>
    <w:rsid w:val="007F5807"/>
    <w:rsid w:val="007F5B89"/>
    <w:rsid w:val="007F5FA0"/>
    <w:rsid w:val="007F6054"/>
    <w:rsid w:val="007F61C2"/>
    <w:rsid w:val="007F6791"/>
    <w:rsid w:val="007F70EF"/>
    <w:rsid w:val="007F7B74"/>
    <w:rsid w:val="007F7DC8"/>
    <w:rsid w:val="007F7E16"/>
    <w:rsid w:val="007F7EF0"/>
    <w:rsid w:val="007F7FBF"/>
    <w:rsid w:val="008006FD"/>
    <w:rsid w:val="008007A6"/>
    <w:rsid w:val="00800946"/>
    <w:rsid w:val="00800A50"/>
    <w:rsid w:val="00800AF2"/>
    <w:rsid w:val="00800EBD"/>
    <w:rsid w:val="00801095"/>
    <w:rsid w:val="00801AF0"/>
    <w:rsid w:val="008022C0"/>
    <w:rsid w:val="008022C1"/>
    <w:rsid w:val="008024D8"/>
    <w:rsid w:val="00802917"/>
    <w:rsid w:val="00802983"/>
    <w:rsid w:val="00802EA4"/>
    <w:rsid w:val="00803173"/>
    <w:rsid w:val="00803625"/>
    <w:rsid w:val="008036C5"/>
    <w:rsid w:val="00803884"/>
    <w:rsid w:val="00803B6B"/>
    <w:rsid w:val="00803E9B"/>
    <w:rsid w:val="0080403E"/>
    <w:rsid w:val="0080407D"/>
    <w:rsid w:val="0080408F"/>
    <w:rsid w:val="008040C3"/>
    <w:rsid w:val="00804231"/>
    <w:rsid w:val="008047A9"/>
    <w:rsid w:val="008047DB"/>
    <w:rsid w:val="00804932"/>
    <w:rsid w:val="00805142"/>
    <w:rsid w:val="00805600"/>
    <w:rsid w:val="0080566B"/>
    <w:rsid w:val="00805DFA"/>
    <w:rsid w:val="00805FCE"/>
    <w:rsid w:val="00806284"/>
    <w:rsid w:val="008069E2"/>
    <w:rsid w:val="00806B05"/>
    <w:rsid w:val="00806B8A"/>
    <w:rsid w:val="00806C89"/>
    <w:rsid w:val="00806EB4"/>
    <w:rsid w:val="00806F05"/>
    <w:rsid w:val="00807122"/>
    <w:rsid w:val="0080726C"/>
    <w:rsid w:val="0080745E"/>
    <w:rsid w:val="00807844"/>
    <w:rsid w:val="00807A6D"/>
    <w:rsid w:val="00807A8B"/>
    <w:rsid w:val="00807B64"/>
    <w:rsid w:val="00807F70"/>
    <w:rsid w:val="00807FD1"/>
    <w:rsid w:val="00810283"/>
    <w:rsid w:val="008107D4"/>
    <w:rsid w:val="00810F73"/>
    <w:rsid w:val="008112CA"/>
    <w:rsid w:val="00811383"/>
    <w:rsid w:val="00811F15"/>
    <w:rsid w:val="008120C0"/>
    <w:rsid w:val="00812149"/>
    <w:rsid w:val="008125AF"/>
    <w:rsid w:val="0081281A"/>
    <w:rsid w:val="00812967"/>
    <w:rsid w:val="00812C0C"/>
    <w:rsid w:val="00812CAC"/>
    <w:rsid w:val="00812DAC"/>
    <w:rsid w:val="00813144"/>
    <w:rsid w:val="008133F0"/>
    <w:rsid w:val="00813DC3"/>
    <w:rsid w:val="00813E94"/>
    <w:rsid w:val="00814566"/>
    <w:rsid w:val="0081502C"/>
    <w:rsid w:val="008152FB"/>
    <w:rsid w:val="0081531F"/>
    <w:rsid w:val="00815371"/>
    <w:rsid w:val="0081545A"/>
    <w:rsid w:val="00815658"/>
    <w:rsid w:val="008159CC"/>
    <w:rsid w:val="00815BA4"/>
    <w:rsid w:val="00815F46"/>
    <w:rsid w:val="008161A6"/>
    <w:rsid w:val="00816361"/>
    <w:rsid w:val="008163BD"/>
    <w:rsid w:val="0081647D"/>
    <w:rsid w:val="008166EF"/>
    <w:rsid w:val="00816726"/>
    <w:rsid w:val="008168BD"/>
    <w:rsid w:val="008169A3"/>
    <w:rsid w:val="00816BC1"/>
    <w:rsid w:val="00816FEF"/>
    <w:rsid w:val="008170DA"/>
    <w:rsid w:val="00817211"/>
    <w:rsid w:val="00817323"/>
    <w:rsid w:val="008177B0"/>
    <w:rsid w:val="008178FE"/>
    <w:rsid w:val="00817A90"/>
    <w:rsid w:val="00817AFD"/>
    <w:rsid w:val="00817C75"/>
    <w:rsid w:val="00817E1C"/>
    <w:rsid w:val="00817F28"/>
    <w:rsid w:val="0082029B"/>
    <w:rsid w:val="00820835"/>
    <w:rsid w:val="00820A8C"/>
    <w:rsid w:val="00820B5E"/>
    <w:rsid w:val="00820BD5"/>
    <w:rsid w:val="00820E0A"/>
    <w:rsid w:val="00820F91"/>
    <w:rsid w:val="008210F0"/>
    <w:rsid w:val="00821320"/>
    <w:rsid w:val="00821566"/>
    <w:rsid w:val="008215FB"/>
    <w:rsid w:val="00821712"/>
    <w:rsid w:val="00821716"/>
    <w:rsid w:val="00821915"/>
    <w:rsid w:val="00821C46"/>
    <w:rsid w:val="00821DCE"/>
    <w:rsid w:val="00821F2A"/>
    <w:rsid w:val="008220CC"/>
    <w:rsid w:val="00822655"/>
    <w:rsid w:val="008226C2"/>
    <w:rsid w:val="00822838"/>
    <w:rsid w:val="00822DF5"/>
    <w:rsid w:val="00823174"/>
    <w:rsid w:val="00823AA3"/>
    <w:rsid w:val="00823FB2"/>
    <w:rsid w:val="008243AA"/>
    <w:rsid w:val="00824489"/>
    <w:rsid w:val="00824828"/>
    <w:rsid w:val="008248D9"/>
    <w:rsid w:val="00824939"/>
    <w:rsid w:val="00824ACF"/>
    <w:rsid w:val="00824CD4"/>
    <w:rsid w:val="00824DD3"/>
    <w:rsid w:val="008252B2"/>
    <w:rsid w:val="00825751"/>
    <w:rsid w:val="00825B1D"/>
    <w:rsid w:val="00825D18"/>
    <w:rsid w:val="008263D7"/>
    <w:rsid w:val="008264D9"/>
    <w:rsid w:val="008264EB"/>
    <w:rsid w:val="008266AF"/>
    <w:rsid w:val="008268CE"/>
    <w:rsid w:val="00827444"/>
    <w:rsid w:val="00827741"/>
    <w:rsid w:val="00827AE8"/>
    <w:rsid w:val="00827C23"/>
    <w:rsid w:val="00827ECB"/>
    <w:rsid w:val="0083006B"/>
    <w:rsid w:val="0083013C"/>
    <w:rsid w:val="008301FA"/>
    <w:rsid w:val="0083079D"/>
    <w:rsid w:val="00830C26"/>
    <w:rsid w:val="00830F2D"/>
    <w:rsid w:val="0083103F"/>
    <w:rsid w:val="0083115A"/>
    <w:rsid w:val="0083123C"/>
    <w:rsid w:val="00831301"/>
    <w:rsid w:val="00831436"/>
    <w:rsid w:val="008314FA"/>
    <w:rsid w:val="008317D4"/>
    <w:rsid w:val="00831A65"/>
    <w:rsid w:val="00831D35"/>
    <w:rsid w:val="00832287"/>
    <w:rsid w:val="008322D9"/>
    <w:rsid w:val="008322DC"/>
    <w:rsid w:val="008326DD"/>
    <w:rsid w:val="008328EE"/>
    <w:rsid w:val="00832953"/>
    <w:rsid w:val="00832BDB"/>
    <w:rsid w:val="0083316A"/>
    <w:rsid w:val="008334A3"/>
    <w:rsid w:val="00833678"/>
    <w:rsid w:val="00833B05"/>
    <w:rsid w:val="00833F9C"/>
    <w:rsid w:val="008346BC"/>
    <w:rsid w:val="00834A6B"/>
    <w:rsid w:val="00834D09"/>
    <w:rsid w:val="0083512C"/>
    <w:rsid w:val="0083539C"/>
    <w:rsid w:val="008353CC"/>
    <w:rsid w:val="0083579F"/>
    <w:rsid w:val="00835B11"/>
    <w:rsid w:val="00835B6A"/>
    <w:rsid w:val="00835B6E"/>
    <w:rsid w:val="00835D87"/>
    <w:rsid w:val="0083601F"/>
    <w:rsid w:val="0083625F"/>
    <w:rsid w:val="008362B4"/>
    <w:rsid w:val="008363DF"/>
    <w:rsid w:val="0083670A"/>
    <w:rsid w:val="00836EC7"/>
    <w:rsid w:val="0083758F"/>
    <w:rsid w:val="00837727"/>
    <w:rsid w:val="00837C32"/>
    <w:rsid w:val="00840088"/>
    <w:rsid w:val="00840247"/>
    <w:rsid w:val="00840382"/>
    <w:rsid w:val="008403D2"/>
    <w:rsid w:val="0084047C"/>
    <w:rsid w:val="00840B25"/>
    <w:rsid w:val="00840B5C"/>
    <w:rsid w:val="00840CA2"/>
    <w:rsid w:val="00840FAC"/>
    <w:rsid w:val="00840FE4"/>
    <w:rsid w:val="00840FF2"/>
    <w:rsid w:val="008414D0"/>
    <w:rsid w:val="008417E9"/>
    <w:rsid w:val="00841BC9"/>
    <w:rsid w:val="008421CE"/>
    <w:rsid w:val="008423DD"/>
    <w:rsid w:val="008424E5"/>
    <w:rsid w:val="0084251B"/>
    <w:rsid w:val="008427D7"/>
    <w:rsid w:val="00842865"/>
    <w:rsid w:val="00842C84"/>
    <w:rsid w:val="00842F6A"/>
    <w:rsid w:val="008430B0"/>
    <w:rsid w:val="008430DD"/>
    <w:rsid w:val="008435ED"/>
    <w:rsid w:val="0084374F"/>
    <w:rsid w:val="00843842"/>
    <w:rsid w:val="00843985"/>
    <w:rsid w:val="00843E49"/>
    <w:rsid w:val="00844A06"/>
    <w:rsid w:val="00844A22"/>
    <w:rsid w:val="00844F91"/>
    <w:rsid w:val="008450A8"/>
    <w:rsid w:val="008453C1"/>
    <w:rsid w:val="00845730"/>
    <w:rsid w:val="00845830"/>
    <w:rsid w:val="008459C0"/>
    <w:rsid w:val="00846180"/>
    <w:rsid w:val="008469EB"/>
    <w:rsid w:val="00846DB6"/>
    <w:rsid w:val="00846F77"/>
    <w:rsid w:val="00847030"/>
    <w:rsid w:val="00847246"/>
    <w:rsid w:val="00847703"/>
    <w:rsid w:val="0084776A"/>
    <w:rsid w:val="0084799E"/>
    <w:rsid w:val="00847DF5"/>
    <w:rsid w:val="0085016A"/>
    <w:rsid w:val="008505B7"/>
    <w:rsid w:val="008507A8"/>
    <w:rsid w:val="008507AF"/>
    <w:rsid w:val="008508E4"/>
    <w:rsid w:val="00850D8A"/>
    <w:rsid w:val="00850D92"/>
    <w:rsid w:val="00850E86"/>
    <w:rsid w:val="00851084"/>
    <w:rsid w:val="00851142"/>
    <w:rsid w:val="008514D3"/>
    <w:rsid w:val="00851879"/>
    <w:rsid w:val="00851903"/>
    <w:rsid w:val="0085194C"/>
    <w:rsid w:val="0085273E"/>
    <w:rsid w:val="0085292F"/>
    <w:rsid w:val="00852C09"/>
    <w:rsid w:val="0085309D"/>
    <w:rsid w:val="0085336D"/>
    <w:rsid w:val="00853CA2"/>
    <w:rsid w:val="008542F8"/>
    <w:rsid w:val="00854373"/>
    <w:rsid w:val="0085458D"/>
    <w:rsid w:val="00854706"/>
    <w:rsid w:val="00854C29"/>
    <w:rsid w:val="00854D38"/>
    <w:rsid w:val="0085541A"/>
    <w:rsid w:val="00855797"/>
    <w:rsid w:val="00855865"/>
    <w:rsid w:val="0085593D"/>
    <w:rsid w:val="008559C5"/>
    <w:rsid w:val="00855C95"/>
    <w:rsid w:val="00856430"/>
    <w:rsid w:val="00856501"/>
    <w:rsid w:val="00856831"/>
    <w:rsid w:val="00856897"/>
    <w:rsid w:val="00856E9A"/>
    <w:rsid w:val="00857327"/>
    <w:rsid w:val="008575CB"/>
    <w:rsid w:val="00857BC8"/>
    <w:rsid w:val="00857FAF"/>
    <w:rsid w:val="00857FCB"/>
    <w:rsid w:val="008602E3"/>
    <w:rsid w:val="0086075D"/>
    <w:rsid w:val="00860844"/>
    <w:rsid w:val="00860A33"/>
    <w:rsid w:val="00860A45"/>
    <w:rsid w:val="00860BE0"/>
    <w:rsid w:val="00861CDC"/>
    <w:rsid w:val="0086200C"/>
    <w:rsid w:val="00862502"/>
    <w:rsid w:val="00862C52"/>
    <w:rsid w:val="00862CC1"/>
    <w:rsid w:val="00863008"/>
    <w:rsid w:val="0086365E"/>
    <w:rsid w:val="00863832"/>
    <w:rsid w:val="008642A7"/>
    <w:rsid w:val="00864822"/>
    <w:rsid w:val="00864B76"/>
    <w:rsid w:val="00865617"/>
    <w:rsid w:val="0086563A"/>
    <w:rsid w:val="0086578E"/>
    <w:rsid w:val="00865803"/>
    <w:rsid w:val="008658C4"/>
    <w:rsid w:val="00865B2E"/>
    <w:rsid w:val="00865CEE"/>
    <w:rsid w:val="00865D0B"/>
    <w:rsid w:val="008660C2"/>
    <w:rsid w:val="008660D4"/>
    <w:rsid w:val="00866AB5"/>
    <w:rsid w:val="00866AE5"/>
    <w:rsid w:val="0086700F"/>
    <w:rsid w:val="00867DEC"/>
    <w:rsid w:val="00870218"/>
    <w:rsid w:val="00870639"/>
    <w:rsid w:val="008707EE"/>
    <w:rsid w:val="00870DEA"/>
    <w:rsid w:val="00870E51"/>
    <w:rsid w:val="00870EE9"/>
    <w:rsid w:val="008710C2"/>
    <w:rsid w:val="0087128E"/>
    <w:rsid w:val="008712AB"/>
    <w:rsid w:val="00871355"/>
    <w:rsid w:val="008714C4"/>
    <w:rsid w:val="00871563"/>
    <w:rsid w:val="008716A7"/>
    <w:rsid w:val="00871BBC"/>
    <w:rsid w:val="00871FA9"/>
    <w:rsid w:val="00872566"/>
    <w:rsid w:val="00872698"/>
    <w:rsid w:val="008726E7"/>
    <w:rsid w:val="008728E9"/>
    <w:rsid w:val="00872B31"/>
    <w:rsid w:val="00872D76"/>
    <w:rsid w:val="00873081"/>
    <w:rsid w:val="008738BB"/>
    <w:rsid w:val="00873C71"/>
    <w:rsid w:val="00873F9B"/>
    <w:rsid w:val="008743DB"/>
    <w:rsid w:val="0087468F"/>
    <w:rsid w:val="00874CF4"/>
    <w:rsid w:val="00874EC0"/>
    <w:rsid w:val="00874FAA"/>
    <w:rsid w:val="00875C7C"/>
    <w:rsid w:val="00875EB3"/>
    <w:rsid w:val="00875FCB"/>
    <w:rsid w:val="008762A6"/>
    <w:rsid w:val="0087643C"/>
    <w:rsid w:val="0087652F"/>
    <w:rsid w:val="00876908"/>
    <w:rsid w:val="00876AB0"/>
    <w:rsid w:val="00876DD7"/>
    <w:rsid w:val="008770AB"/>
    <w:rsid w:val="0088037E"/>
    <w:rsid w:val="0088087E"/>
    <w:rsid w:val="00880A34"/>
    <w:rsid w:val="00880CED"/>
    <w:rsid w:val="00880D77"/>
    <w:rsid w:val="0088135C"/>
    <w:rsid w:val="008815D0"/>
    <w:rsid w:val="0088187D"/>
    <w:rsid w:val="00881A61"/>
    <w:rsid w:val="0088218C"/>
    <w:rsid w:val="008821AC"/>
    <w:rsid w:val="008825FB"/>
    <w:rsid w:val="00882636"/>
    <w:rsid w:val="0088263E"/>
    <w:rsid w:val="00882874"/>
    <w:rsid w:val="008828FC"/>
    <w:rsid w:val="00882D7B"/>
    <w:rsid w:val="00882E3C"/>
    <w:rsid w:val="00882EBB"/>
    <w:rsid w:val="0088308A"/>
    <w:rsid w:val="0088327A"/>
    <w:rsid w:val="008832D0"/>
    <w:rsid w:val="00883435"/>
    <w:rsid w:val="008834E9"/>
    <w:rsid w:val="00883787"/>
    <w:rsid w:val="00883890"/>
    <w:rsid w:val="00883A35"/>
    <w:rsid w:val="00884416"/>
    <w:rsid w:val="00884674"/>
    <w:rsid w:val="00884675"/>
    <w:rsid w:val="00884AF5"/>
    <w:rsid w:val="00884D60"/>
    <w:rsid w:val="00884D98"/>
    <w:rsid w:val="00884EB1"/>
    <w:rsid w:val="00884F63"/>
    <w:rsid w:val="00885263"/>
    <w:rsid w:val="0088557F"/>
    <w:rsid w:val="008855E4"/>
    <w:rsid w:val="008856ED"/>
    <w:rsid w:val="00885793"/>
    <w:rsid w:val="00885ED6"/>
    <w:rsid w:val="0088600B"/>
    <w:rsid w:val="008860AA"/>
    <w:rsid w:val="0088625E"/>
    <w:rsid w:val="00886B5E"/>
    <w:rsid w:val="00886CA8"/>
    <w:rsid w:val="00886CD2"/>
    <w:rsid w:val="00887A0A"/>
    <w:rsid w:val="008904C2"/>
    <w:rsid w:val="00890756"/>
    <w:rsid w:val="008907E6"/>
    <w:rsid w:val="00890B80"/>
    <w:rsid w:val="00890BA0"/>
    <w:rsid w:val="008910AD"/>
    <w:rsid w:val="0089140A"/>
    <w:rsid w:val="00891470"/>
    <w:rsid w:val="00891577"/>
    <w:rsid w:val="00891A45"/>
    <w:rsid w:val="00891B92"/>
    <w:rsid w:val="00891DEC"/>
    <w:rsid w:val="00891E6F"/>
    <w:rsid w:val="008922D9"/>
    <w:rsid w:val="00892468"/>
    <w:rsid w:val="0089275D"/>
    <w:rsid w:val="008929F7"/>
    <w:rsid w:val="00892A36"/>
    <w:rsid w:val="00893239"/>
    <w:rsid w:val="0089331E"/>
    <w:rsid w:val="00893717"/>
    <w:rsid w:val="00893BD4"/>
    <w:rsid w:val="00893BFA"/>
    <w:rsid w:val="0089420E"/>
    <w:rsid w:val="0089438A"/>
    <w:rsid w:val="00894489"/>
    <w:rsid w:val="008946A9"/>
    <w:rsid w:val="008946EB"/>
    <w:rsid w:val="00894761"/>
    <w:rsid w:val="00894C33"/>
    <w:rsid w:val="00894CD6"/>
    <w:rsid w:val="0089556D"/>
    <w:rsid w:val="008959F7"/>
    <w:rsid w:val="00895A4C"/>
    <w:rsid w:val="00895D1F"/>
    <w:rsid w:val="008960DC"/>
    <w:rsid w:val="0089617A"/>
    <w:rsid w:val="00896208"/>
    <w:rsid w:val="008963A5"/>
    <w:rsid w:val="008965DF"/>
    <w:rsid w:val="0089666A"/>
    <w:rsid w:val="0089668F"/>
    <w:rsid w:val="00896957"/>
    <w:rsid w:val="00896B98"/>
    <w:rsid w:val="00896BB3"/>
    <w:rsid w:val="00896D5D"/>
    <w:rsid w:val="0089716D"/>
    <w:rsid w:val="0089724B"/>
    <w:rsid w:val="0089782B"/>
    <w:rsid w:val="00897948"/>
    <w:rsid w:val="00897BD0"/>
    <w:rsid w:val="008A0293"/>
    <w:rsid w:val="008A08BE"/>
    <w:rsid w:val="008A0B17"/>
    <w:rsid w:val="008A0C18"/>
    <w:rsid w:val="008A1033"/>
    <w:rsid w:val="008A109D"/>
    <w:rsid w:val="008A13B3"/>
    <w:rsid w:val="008A1448"/>
    <w:rsid w:val="008A16DE"/>
    <w:rsid w:val="008A1A93"/>
    <w:rsid w:val="008A261C"/>
    <w:rsid w:val="008A283E"/>
    <w:rsid w:val="008A2AD9"/>
    <w:rsid w:val="008A2BA6"/>
    <w:rsid w:val="008A2C94"/>
    <w:rsid w:val="008A2DCF"/>
    <w:rsid w:val="008A2FD9"/>
    <w:rsid w:val="008A3158"/>
    <w:rsid w:val="008A328E"/>
    <w:rsid w:val="008A3363"/>
    <w:rsid w:val="008A3371"/>
    <w:rsid w:val="008A3467"/>
    <w:rsid w:val="008A34CF"/>
    <w:rsid w:val="008A374B"/>
    <w:rsid w:val="008A3765"/>
    <w:rsid w:val="008A3C3E"/>
    <w:rsid w:val="008A3CF4"/>
    <w:rsid w:val="008A3DAE"/>
    <w:rsid w:val="008A3F53"/>
    <w:rsid w:val="008A42B2"/>
    <w:rsid w:val="008A4874"/>
    <w:rsid w:val="008A4D1E"/>
    <w:rsid w:val="008A4DCE"/>
    <w:rsid w:val="008A5097"/>
    <w:rsid w:val="008A54A8"/>
    <w:rsid w:val="008A57E4"/>
    <w:rsid w:val="008A5850"/>
    <w:rsid w:val="008A5CDB"/>
    <w:rsid w:val="008A6244"/>
    <w:rsid w:val="008A6283"/>
    <w:rsid w:val="008A64B0"/>
    <w:rsid w:val="008A664A"/>
    <w:rsid w:val="008A6775"/>
    <w:rsid w:val="008A6BC7"/>
    <w:rsid w:val="008A6DC9"/>
    <w:rsid w:val="008A6FC2"/>
    <w:rsid w:val="008A707D"/>
    <w:rsid w:val="008A7481"/>
    <w:rsid w:val="008A79DE"/>
    <w:rsid w:val="008A7D54"/>
    <w:rsid w:val="008A7F15"/>
    <w:rsid w:val="008B00DE"/>
    <w:rsid w:val="008B0721"/>
    <w:rsid w:val="008B0A12"/>
    <w:rsid w:val="008B0C80"/>
    <w:rsid w:val="008B0DAD"/>
    <w:rsid w:val="008B1196"/>
    <w:rsid w:val="008B129C"/>
    <w:rsid w:val="008B13BF"/>
    <w:rsid w:val="008B1423"/>
    <w:rsid w:val="008B1757"/>
    <w:rsid w:val="008B1A91"/>
    <w:rsid w:val="008B1C33"/>
    <w:rsid w:val="008B1D0F"/>
    <w:rsid w:val="008B1FFF"/>
    <w:rsid w:val="008B24C1"/>
    <w:rsid w:val="008B28EB"/>
    <w:rsid w:val="008B2A2B"/>
    <w:rsid w:val="008B31F0"/>
    <w:rsid w:val="008B3314"/>
    <w:rsid w:val="008B3450"/>
    <w:rsid w:val="008B353F"/>
    <w:rsid w:val="008B37B3"/>
    <w:rsid w:val="008B3E6E"/>
    <w:rsid w:val="008B434A"/>
    <w:rsid w:val="008B469C"/>
    <w:rsid w:val="008B4AB2"/>
    <w:rsid w:val="008B4B6F"/>
    <w:rsid w:val="008B4C55"/>
    <w:rsid w:val="008B504F"/>
    <w:rsid w:val="008B53E4"/>
    <w:rsid w:val="008B56D3"/>
    <w:rsid w:val="008B59C0"/>
    <w:rsid w:val="008B5E0E"/>
    <w:rsid w:val="008B5F6A"/>
    <w:rsid w:val="008B628B"/>
    <w:rsid w:val="008B64A0"/>
    <w:rsid w:val="008B66D1"/>
    <w:rsid w:val="008B6C86"/>
    <w:rsid w:val="008B6CB2"/>
    <w:rsid w:val="008B6D20"/>
    <w:rsid w:val="008B7318"/>
    <w:rsid w:val="008B77A8"/>
    <w:rsid w:val="008B7992"/>
    <w:rsid w:val="008B7D7E"/>
    <w:rsid w:val="008B7EF8"/>
    <w:rsid w:val="008C007E"/>
    <w:rsid w:val="008C046C"/>
    <w:rsid w:val="008C0A55"/>
    <w:rsid w:val="008C0B77"/>
    <w:rsid w:val="008C114E"/>
    <w:rsid w:val="008C14F6"/>
    <w:rsid w:val="008C1686"/>
    <w:rsid w:val="008C16AC"/>
    <w:rsid w:val="008C195D"/>
    <w:rsid w:val="008C1962"/>
    <w:rsid w:val="008C1CDB"/>
    <w:rsid w:val="008C1E3E"/>
    <w:rsid w:val="008C20C2"/>
    <w:rsid w:val="008C2C74"/>
    <w:rsid w:val="008C2D88"/>
    <w:rsid w:val="008C2F41"/>
    <w:rsid w:val="008C2F58"/>
    <w:rsid w:val="008C36D3"/>
    <w:rsid w:val="008C43B7"/>
    <w:rsid w:val="008C446D"/>
    <w:rsid w:val="008C481C"/>
    <w:rsid w:val="008C48CF"/>
    <w:rsid w:val="008C48D3"/>
    <w:rsid w:val="008C4AE8"/>
    <w:rsid w:val="008C4BFD"/>
    <w:rsid w:val="008C4D7C"/>
    <w:rsid w:val="008C4DBD"/>
    <w:rsid w:val="008C4E6B"/>
    <w:rsid w:val="008C510E"/>
    <w:rsid w:val="008C5322"/>
    <w:rsid w:val="008C53B3"/>
    <w:rsid w:val="008C553D"/>
    <w:rsid w:val="008C5610"/>
    <w:rsid w:val="008C56C8"/>
    <w:rsid w:val="008C5739"/>
    <w:rsid w:val="008C5E5F"/>
    <w:rsid w:val="008C611D"/>
    <w:rsid w:val="008C6487"/>
    <w:rsid w:val="008C65C1"/>
    <w:rsid w:val="008C67A2"/>
    <w:rsid w:val="008C6E2E"/>
    <w:rsid w:val="008C6EF5"/>
    <w:rsid w:val="008C71B8"/>
    <w:rsid w:val="008C7282"/>
    <w:rsid w:val="008C7293"/>
    <w:rsid w:val="008C75FE"/>
    <w:rsid w:val="008C7A64"/>
    <w:rsid w:val="008C7BF7"/>
    <w:rsid w:val="008C7ECB"/>
    <w:rsid w:val="008C7FE7"/>
    <w:rsid w:val="008D02FB"/>
    <w:rsid w:val="008D0887"/>
    <w:rsid w:val="008D0AC2"/>
    <w:rsid w:val="008D0D2A"/>
    <w:rsid w:val="008D1088"/>
    <w:rsid w:val="008D10D0"/>
    <w:rsid w:val="008D1395"/>
    <w:rsid w:val="008D166D"/>
    <w:rsid w:val="008D16E9"/>
    <w:rsid w:val="008D1730"/>
    <w:rsid w:val="008D18FD"/>
    <w:rsid w:val="008D1AEE"/>
    <w:rsid w:val="008D1E00"/>
    <w:rsid w:val="008D1F36"/>
    <w:rsid w:val="008D2228"/>
    <w:rsid w:val="008D24A4"/>
    <w:rsid w:val="008D35B1"/>
    <w:rsid w:val="008D3AEE"/>
    <w:rsid w:val="008D3B86"/>
    <w:rsid w:val="008D40C5"/>
    <w:rsid w:val="008D43FD"/>
    <w:rsid w:val="008D4755"/>
    <w:rsid w:val="008D477E"/>
    <w:rsid w:val="008D4C3D"/>
    <w:rsid w:val="008D4DDE"/>
    <w:rsid w:val="008D5430"/>
    <w:rsid w:val="008D5780"/>
    <w:rsid w:val="008D5B31"/>
    <w:rsid w:val="008D5FD5"/>
    <w:rsid w:val="008D60AF"/>
    <w:rsid w:val="008D64E9"/>
    <w:rsid w:val="008D652F"/>
    <w:rsid w:val="008D734E"/>
    <w:rsid w:val="008D743C"/>
    <w:rsid w:val="008D74C7"/>
    <w:rsid w:val="008D766A"/>
    <w:rsid w:val="008D7A04"/>
    <w:rsid w:val="008D7CCA"/>
    <w:rsid w:val="008D7CDC"/>
    <w:rsid w:val="008D7EF8"/>
    <w:rsid w:val="008E03AE"/>
    <w:rsid w:val="008E05E8"/>
    <w:rsid w:val="008E0648"/>
    <w:rsid w:val="008E095A"/>
    <w:rsid w:val="008E0D3C"/>
    <w:rsid w:val="008E10BF"/>
    <w:rsid w:val="008E13FB"/>
    <w:rsid w:val="008E143C"/>
    <w:rsid w:val="008E14CE"/>
    <w:rsid w:val="008E1A76"/>
    <w:rsid w:val="008E1B9E"/>
    <w:rsid w:val="008E1DE7"/>
    <w:rsid w:val="008E22E3"/>
    <w:rsid w:val="008E24A6"/>
    <w:rsid w:val="008E26E3"/>
    <w:rsid w:val="008E277A"/>
    <w:rsid w:val="008E284C"/>
    <w:rsid w:val="008E293F"/>
    <w:rsid w:val="008E2FD4"/>
    <w:rsid w:val="008E3293"/>
    <w:rsid w:val="008E353A"/>
    <w:rsid w:val="008E35B0"/>
    <w:rsid w:val="008E38DC"/>
    <w:rsid w:val="008E4019"/>
    <w:rsid w:val="008E4411"/>
    <w:rsid w:val="008E4437"/>
    <w:rsid w:val="008E4780"/>
    <w:rsid w:val="008E48D3"/>
    <w:rsid w:val="008E49E3"/>
    <w:rsid w:val="008E4C93"/>
    <w:rsid w:val="008E5186"/>
    <w:rsid w:val="008E55AB"/>
    <w:rsid w:val="008E575C"/>
    <w:rsid w:val="008E58C6"/>
    <w:rsid w:val="008E5B14"/>
    <w:rsid w:val="008E5F24"/>
    <w:rsid w:val="008E6096"/>
    <w:rsid w:val="008E6480"/>
    <w:rsid w:val="008E6593"/>
    <w:rsid w:val="008E65D9"/>
    <w:rsid w:val="008E6722"/>
    <w:rsid w:val="008E6946"/>
    <w:rsid w:val="008E6F7E"/>
    <w:rsid w:val="008E6FA8"/>
    <w:rsid w:val="008E7334"/>
    <w:rsid w:val="008E7847"/>
    <w:rsid w:val="008E791F"/>
    <w:rsid w:val="008E7C5E"/>
    <w:rsid w:val="008F0057"/>
    <w:rsid w:val="008F01FC"/>
    <w:rsid w:val="008F03C0"/>
    <w:rsid w:val="008F0556"/>
    <w:rsid w:val="008F0ABA"/>
    <w:rsid w:val="008F0DE5"/>
    <w:rsid w:val="008F0F22"/>
    <w:rsid w:val="008F120A"/>
    <w:rsid w:val="008F13D5"/>
    <w:rsid w:val="008F1DBF"/>
    <w:rsid w:val="008F1E3D"/>
    <w:rsid w:val="008F1F44"/>
    <w:rsid w:val="008F1FF4"/>
    <w:rsid w:val="008F21B6"/>
    <w:rsid w:val="008F25BF"/>
    <w:rsid w:val="008F27E0"/>
    <w:rsid w:val="008F2EC8"/>
    <w:rsid w:val="008F3106"/>
    <w:rsid w:val="008F38CE"/>
    <w:rsid w:val="008F3D90"/>
    <w:rsid w:val="008F4088"/>
    <w:rsid w:val="008F434F"/>
    <w:rsid w:val="008F43F8"/>
    <w:rsid w:val="008F445A"/>
    <w:rsid w:val="008F4865"/>
    <w:rsid w:val="008F48EB"/>
    <w:rsid w:val="008F4F0B"/>
    <w:rsid w:val="008F5671"/>
    <w:rsid w:val="008F5BA8"/>
    <w:rsid w:val="008F6252"/>
    <w:rsid w:val="008F6881"/>
    <w:rsid w:val="008F6A78"/>
    <w:rsid w:val="008F6D68"/>
    <w:rsid w:val="008F6E34"/>
    <w:rsid w:val="008F705B"/>
    <w:rsid w:val="008F7763"/>
    <w:rsid w:val="008F7870"/>
    <w:rsid w:val="008F78B8"/>
    <w:rsid w:val="008F797D"/>
    <w:rsid w:val="008F79E5"/>
    <w:rsid w:val="008F7AEB"/>
    <w:rsid w:val="00900A73"/>
    <w:rsid w:val="00901384"/>
    <w:rsid w:val="0090157C"/>
    <w:rsid w:val="00901A08"/>
    <w:rsid w:val="00901F6B"/>
    <w:rsid w:val="009029DE"/>
    <w:rsid w:val="00902AD2"/>
    <w:rsid w:val="00902CE8"/>
    <w:rsid w:val="00902D46"/>
    <w:rsid w:val="00902E45"/>
    <w:rsid w:val="009038B8"/>
    <w:rsid w:val="00903B0A"/>
    <w:rsid w:val="00903B77"/>
    <w:rsid w:val="00904306"/>
    <w:rsid w:val="009046C4"/>
    <w:rsid w:val="0090471C"/>
    <w:rsid w:val="00904E15"/>
    <w:rsid w:val="0090531D"/>
    <w:rsid w:val="009058AC"/>
    <w:rsid w:val="0090618A"/>
    <w:rsid w:val="0090624B"/>
    <w:rsid w:val="009062A5"/>
    <w:rsid w:val="009069CE"/>
    <w:rsid w:val="00906ADD"/>
    <w:rsid w:val="00906F36"/>
    <w:rsid w:val="00907032"/>
    <w:rsid w:val="009071B2"/>
    <w:rsid w:val="00907699"/>
    <w:rsid w:val="00907BFA"/>
    <w:rsid w:val="00907C6B"/>
    <w:rsid w:val="00907F12"/>
    <w:rsid w:val="00910131"/>
    <w:rsid w:val="0091016E"/>
    <w:rsid w:val="00910265"/>
    <w:rsid w:val="009102FB"/>
    <w:rsid w:val="009103FD"/>
    <w:rsid w:val="009106CE"/>
    <w:rsid w:val="00910B94"/>
    <w:rsid w:val="00910D4C"/>
    <w:rsid w:val="00910E9E"/>
    <w:rsid w:val="00910EC5"/>
    <w:rsid w:val="00910FA7"/>
    <w:rsid w:val="009111DA"/>
    <w:rsid w:val="00911272"/>
    <w:rsid w:val="00911339"/>
    <w:rsid w:val="0091140B"/>
    <w:rsid w:val="0091174E"/>
    <w:rsid w:val="00911A7B"/>
    <w:rsid w:val="00911BA6"/>
    <w:rsid w:val="00911C76"/>
    <w:rsid w:val="00911E7D"/>
    <w:rsid w:val="00911FF8"/>
    <w:rsid w:val="009130A0"/>
    <w:rsid w:val="009135D6"/>
    <w:rsid w:val="00913C83"/>
    <w:rsid w:val="00913D31"/>
    <w:rsid w:val="009141AB"/>
    <w:rsid w:val="0091422B"/>
    <w:rsid w:val="00914438"/>
    <w:rsid w:val="009148E5"/>
    <w:rsid w:val="00914C77"/>
    <w:rsid w:val="009150A1"/>
    <w:rsid w:val="00915236"/>
    <w:rsid w:val="009153D4"/>
    <w:rsid w:val="00915550"/>
    <w:rsid w:val="009155EA"/>
    <w:rsid w:val="00915AB9"/>
    <w:rsid w:val="00915C1F"/>
    <w:rsid w:val="00916200"/>
    <w:rsid w:val="00916681"/>
    <w:rsid w:val="009166DD"/>
    <w:rsid w:val="00916EE5"/>
    <w:rsid w:val="0091712A"/>
    <w:rsid w:val="00917215"/>
    <w:rsid w:val="00917352"/>
    <w:rsid w:val="009174F2"/>
    <w:rsid w:val="009179AA"/>
    <w:rsid w:val="00917B11"/>
    <w:rsid w:val="00917BD9"/>
    <w:rsid w:val="00917DF3"/>
    <w:rsid w:val="00917F94"/>
    <w:rsid w:val="00920A0A"/>
    <w:rsid w:val="00921306"/>
    <w:rsid w:val="0092181C"/>
    <w:rsid w:val="00921ACB"/>
    <w:rsid w:val="00921DD6"/>
    <w:rsid w:val="009222CD"/>
    <w:rsid w:val="009223E9"/>
    <w:rsid w:val="00922588"/>
    <w:rsid w:val="009225B3"/>
    <w:rsid w:val="00922BA0"/>
    <w:rsid w:val="00922E6E"/>
    <w:rsid w:val="009231D3"/>
    <w:rsid w:val="0092369B"/>
    <w:rsid w:val="0092387D"/>
    <w:rsid w:val="009239C7"/>
    <w:rsid w:val="009239D5"/>
    <w:rsid w:val="00923E97"/>
    <w:rsid w:val="009241A9"/>
    <w:rsid w:val="00924317"/>
    <w:rsid w:val="009244F9"/>
    <w:rsid w:val="009246F5"/>
    <w:rsid w:val="00924877"/>
    <w:rsid w:val="00924B69"/>
    <w:rsid w:val="009251D5"/>
    <w:rsid w:val="009254F6"/>
    <w:rsid w:val="00925805"/>
    <w:rsid w:val="00925924"/>
    <w:rsid w:val="00925CD9"/>
    <w:rsid w:val="00925D78"/>
    <w:rsid w:val="00925E9D"/>
    <w:rsid w:val="009261B2"/>
    <w:rsid w:val="00926489"/>
    <w:rsid w:val="0092671A"/>
    <w:rsid w:val="009269F4"/>
    <w:rsid w:val="00926C42"/>
    <w:rsid w:val="00926D09"/>
    <w:rsid w:val="00926DD1"/>
    <w:rsid w:val="00927543"/>
    <w:rsid w:val="0092769F"/>
    <w:rsid w:val="0092771C"/>
    <w:rsid w:val="0092781E"/>
    <w:rsid w:val="00927B9D"/>
    <w:rsid w:val="00927D0F"/>
    <w:rsid w:val="00927D56"/>
    <w:rsid w:val="0093006C"/>
    <w:rsid w:val="009301BB"/>
    <w:rsid w:val="00930363"/>
    <w:rsid w:val="009308EF"/>
    <w:rsid w:val="0093096A"/>
    <w:rsid w:val="00930F3A"/>
    <w:rsid w:val="00931410"/>
    <w:rsid w:val="00931496"/>
    <w:rsid w:val="0093158A"/>
    <w:rsid w:val="00931609"/>
    <w:rsid w:val="00931B07"/>
    <w:rsid w:val="00932368"/>
    <w:rsid w:val="009324B1"/>
    <w:rsid w:val="009325A6"/>
    <w:rsid w:val="009329CC"/>
    <w:rsid w:val="00932B36"/>
    <w:rsid w:val="00932CA2"/>
    <w:rsid w:val="00932D90"/>
    <w:rsid w:val="00932E0C"/>
    <w:rsid w:val="009338B4"/>
    <w:rsid w:val="00933A8D"/>
    <w:rsid w:val="00933C46"/>
    <w:rsid w:val="00933D1F"/>
    <w:rsid w:val="0093454F"/>
    <w:rsid w:val="009347F3"/>
    <w:rsid w:val="00934988"/>
    <w:rsid w:val="009349C2"/>
    <w:rsid w:val="0093501F"/>
    <w:rsid w:val="00935065"/>
    <w:rsid w:val="00935441"/>
    <w:rsid w:val="00935AFB"/>
    <w:rsid w:val="00935FD7"/>
    <w:rsid w:val="00936129"/>
    <w:rsid w:val="00936447"/>
    <w:rsid w:val="00936631"/>
    <w:rsid w:val="009368EF"/>
    <w:rsid w:val="00936B31"/>
    <w:rsid w:val="00937089"/>
    <w:rsid w:val="009370D5"/>
    <w:rsid w:val="00937518"/>
    <w:rsid w:val="009411F3"/>
    <w:rsid w:val="00941471"/>
    <w:rsid w:val="00941585"/>
    <w:rsid w:val="0094163C"/>
    <w:rsid w:val="00941663"/>
    <w:rsid w:val="009417E7"/>
    <w:rsid w:val="009419DE"/>
    <w:rsid w:val="00941E65"/>
    <w:rsid w:val="009420CF"/>
    <w:rsid w:val="00942242"/>
    <w:rsid w:val="009425D8"/>
    <w:rsid w:val="009428C4"/>
    <w:rsid w:val="00942B22"/>
    <w:rsid w:val="00942D33"/>
    <w:rsid w:val="00944007"/>
    <w:rsid w:val="0094495B"/>
    <w:rsid w:val="00944F8A"/>
    <w:rsid w:val="009450E9"/>
    <w:rsid w:val="009451DD"/>
    <w:rsid w:val="0094520C"/>
    <w:rsid w:val="009452AE"/>
    <w:rsid w:val="009454AC"/>
    <w:rsid w:val="0094555E"/>
    <w:rsid w:val="009458A0"/>
    <w:rsid w:val="00945ACD"/>
    <w:rsid w:val="00945E11"/>
    <w:rsid w:val="009467BF"/>
    <w:rsid w:val="00946E11"/>
    <w:rsid w:val="00946ED1"/>
    <w:rsid w:val="0094704D"/>
    <w:rsid w:val="009472A7"/>
    <w:rsid w:val="009473CB"/>
    <w:rsid w:val="009476BE"/>
    <w:rsid w:val="00947F49"/>
    <w:rsid w:val="00947FCF"/>
    <w:rsid w:val="00950286"/>
    <w:rsid w:val="0095033E"/>
    <w:rsid w:val="0095035B"/>
    <w:rsid w:val="0095039E"/>
    <w:rsid w:val="00950CA4"/>
    <w:rsid w:val="00950D48"/>
    <w:rsid w:val="00951025"/>
    <w:rsid w:val="009510A2"/>
    <w:rsid w:val="009511F3"/>
    <w:rsid w:val="0095164E"/>
    <w:rsid w:val="00951BAA"/>
    <w:rsid w:val="00951C8D"/>
    <w:rsid w:val="00951EFB"/>
    <w:rsid w:val="00951F9D"/>
    <w:rsid w:val="009523F9"/>
    <w:rsid w:val="0095246F"/>
    <w:rsid w:val="009524D8"/>
    <w:rsid w:val="00952779"/>
    <w:rsid w:val="00952A45"/>
    <w:rsid w:val="00952A75"/>
    <w:rsid w:val="00953257"/>
    <w:rsid w:val="0095355E"/>
    <w:rsid w:val="00953585"/>
    <w:rsid w:val="009537ED"/>
    <w:rsid w:val="00953CEE"/>
    <w:rsid w:val="00954126"/>
    <w:rsid w:val="009542B1"/>
    <w:rsid w:val="009542F1"/>
    <w:rsid w:val="00954623"/>
    <w:rsid w:val="0095474C"/>
    <w:rsid w:val="00954A0F"/>
    <w:rsid w:val="00954ED5"/>
    <w:rsid w:val="009554CD"/>
    <w:rsid w:val="0095554D"/>
    <w:rsid w:val="00955629"/>
    <w:rsid w:val="0095566E"/>
    <w:rsid w:val="00955BD2"/>
    <w:rsid w:val="0095634B"/>
    <w:rsid w:val="0095638B"/>
    <w:rsid w:val="009563FF"/>
    <w:rsid w:val="009567E8"/>
    <w:rsid w:val="0095687A"/>
    <w:rsid w:val="009569AC"/>
    <w:rsid w:val="00956CAD"/>
    <w:rsid w:val="00957135"/>
    <w:rsid w:val="0095753F"/>
    <w:rsid w:val="0095768E"/>
    <w:rsid w:val="00957781"/>
    <w:rsid w:val="009577CC"/>
    <w:rsid w:val="00957AEA"/>
    <w:rsid w:val="00957B57"/>
    <w:rsid w:val="00957D92"/>
    <w:rsid w:val="00957DA9"/>
    <w:rsid w:val="009602EC"/>
    <w:rsid w:val="00960588"/>
    <w:rsid w:val="009608DD"/>
    <w:rsid w:val="00960A55"/>
    <w:rsid w:val="00960B9C"/>
    <w:rsid w:val="00960CDD"/>
    <w:rsid w:val="00961171"/>
    <w:rsid w:val="00961340"/>
    <w:rsid w:val="00961450"/>
    <w:rsid w:val="00961531"/>
    <w:rsid w:val="00961612"/>
    <w:rsid w:val="00961A68"/>
    <w:rsid w:val="00961ABE"/>
    <w:rsid w:val="00961CEB"/>
    <w:rsid w:val="00961DCB"/>
    <w:rsid w:val="00961DCE"/>
    <w:rsid w:val="00961ECA"/>
    <w:rsid w:val="00962374"/>
    <w:rsid w:val="009626AC"/>
    <w:rsid w:val="00962CB9"/>
    <w:rsid w:val="00963266"/>
    <w:rsid w:val="00963EA9"/>
    <w:rsid w:val="00964312"/>
    <w:rsid w:val="00964519"/>
    <w:rsid w:val="0096473F"/>
    <w:rsid w:val="00965344"/>
    <w:rsid w:val="0096585F"/>
    <w:rsid w:val="00965B16"/>
    <w:rsid w:val="00965B8A"/>
    <w:rsid w:val="00965ECC"/>
    <w:rsid w:val="0096626C"/>
    <w:rsid w:val="00966295"/>
    <w:rsid w:val="0096671A"/>
    <w:rsid w:val="00966770"/>
    <w:rsid w:val="0096680B"/>
    <w:rsid w:val="0096699E"/>
    <w:rsid w:val="00966BF8"/>
    <w:rsid w:val="00966CD4"/>
    <w:rsid w:val="00966D49"/>
    <w:rsid w:val="00966EEA"/>
    <w:rsid w:val="009670AA"/>
    <w:rsid w:val="0096724F"/>
    <w:rsid w:val="009672DD"/>
    <w:rsid w:val="009676D2"/>
    <w:rsid w:val="00967F09"/>
    <w:rsid w:val="00970082"/>
    <w:rsid w:val="0097036E"/>
    <w:rsid w:val="00970689"/>
    <w:rsid w:val="0097071F"/>
    <w:rsid w:val="0097091C"/>
    <w:rsid w:val="00970BAC"/>
    <w:rsid w:val="00970C82"/>
    <w:rsid w:val="00970CBC"/>
    <w:rsid w:val="009717AC"/>
    <w:rsid w:val="00971921"/>
    <w:rsid w:val="00971B90"/>
    <w:rsid w:val="00971DC4"/>
    <w:rsid w:val="00972104"/>
    <w:rsid w:val="009725A9"/>
    <w:rsid w:val="00972653"/>
    <w:rsid w:val="009726AF"/>
    <w:rsid w:val="00972907"/>
    <w:rsid w:val="00972BF4"/>
    <w:rsid w:val="00972C26"/>
    <w:rsid w:val="00972E4D"/>
    <w:rsid w:val="00973013"/>
    <w:rsid w:val="00973287"/>
    <w:rsid w:val="0097333E"/>
    <w:rsid w:val="009733B4"/>
    <w:rsid w:val="0097385B"/>
    <w:rsid w:val="00973E0D"/>
    <w:rsid w:val="00973E35"/>
    <w:rsid w:val="0097424D"/>
    <w:rsid w:val="00974500"/>
    <w:rsid w:val="00974514"/>
    <w:rsid w:val="00974664"/>
    <w:rsid w:val="009746F5"/>
    <w:rsid w:val="009748FB"/>
    <w:rsid w:val="00974D2E"/>
    <w:rsid w:val="00974ECA"/>
    <w:rsid w:val="009751C1"/>
    <w:rsid w:val="009754F9"/>
    <w:rsid w:val="00976035"/>
    <w:rsid w:val="009761A1"/>
    <w:rsid w:val="009762E7"/>
    <w:rsid w:val="00976708"/>
    <w:rsid w:val="009767A5"/>
    <w:rsid w:val="0097685F"/>
    <w:rsid w:val="00976A8A"/>
    <w:rsid w:val="00976FC0"/>
    <w:rsid w:val="0097719A"/>
    <w:rsid w:val="009772DD"/>
    <w:rsid w:val="0097764F"/>
    <w:rsid w:val="00977CC6"/>
    <w:rsid w:val="00977F9A"/>
    <w:rsid w:val="009802A1"/>
    <w:rsid w:val="009802FB"/>
    <w:rsid w:val="009803AC"/>
    <w:rsid w:val="009809A9"/>
    <w:rsid w:val="009811BE"/>
    <w:rsid w:val="009811F1"/>
    <w:rsid w:val="00981356"/>
    <w:rsid w:val="0098152B"/>
    <w:rsid w:val="00981FDA"/>
    <w:rsid w:val="00981FF6"/>
    <w:rsid w:val="00982017"/>
    <w:rsid w:val="0098227D"/>
    <w:rsid w:val="0098262F"/>
    <w:rsid w:val="00982BC8"/>
    <w:rsid w:val="00983027"/>
    <w:rsid w:val="00983123"/>
    <w:rsid w:val="0098336C"/>
    <w:rsid w:val="009834FB"/>
    <w:rsid w:val="009835FF"/>
    <w:rsid w:val="00983757"/>
    <w:rsid w:val="00983E57"/>
    <w:rsid w:val="00984091"/>
    <w:rsid w:val="009843D9"/>
    <w:rsid w:val="00984478"/>
    <w:rsid w:val="00984481"/>
    <w:rsid w:val="009846FF"/>
    <w:rsid w:val="00985000"/>
    <w:rsid w:val="0098574D"/>
    <w:rsid w:val="00985967"/>
    <w:rsid w:val="00985D0B"/>
    <w:rsid w:val="00985DE2"/>
    <w:rsid w:val="00985F6E"/>
    <w:rsid w:val="009862D2"/>
    <w:rsid w:val="009865CF"/>
    <w:rsid w:val="0098675D"/>
    <w:rsid w:val="00987419"/>
    <w:rsid w:val="009874F3"/>
    <w:rsid w:val="00987550"/>
    <w:rsid w:val="009875A8"/>
    <w:rsid w:val="009878AE"/>
    <w:rsid w:val="00987AD7"/>
    <w:rsid w:val="00987BA4"/>
    <w:rsid w:val="00987FB1"/>
    <w:rsid w:val="00990174"/>
    <w:rsid w:val="0099056C"/>
    <w:rsid w:val="0099087F"/>
    <w:rsid w:val="00990E02"/>
    <w:rsid w:val="00991044"/>
    <w:rsid w:val="0099124D"/>
    <w:rsid w:val="0099159B"/>
    <w:rsid w:val="00991B73"/>
    <w:rsid w:val="00991BBC"/>
    <w:rsid w:val="00991CD7"/>
    <w:rsid w:val="00991D60"/>
    <w:rsid w:val="009926E0"/>
    <w:rsid w:val="00992CF3"/>
    <w:rsid w:val="0099303B"/>
    <w:rsid w:val="0099308C"/>
    <w:rsid w:val="009932E4"/>
    <w:rsid w:val="00993F02"/>
    <w:rsid w:val="009942A4"/>
    <w:rsid w:val="0099451E"/>
    <w:rsid w:val="00994555"/>
    <w:rsid w:val="00994849"/>
    <w:rsid w:val="00995032"/>
    <w:rsid w:val="0099534E"/>
    <w:rsid w:val="0099544C"/>
    <w:rsid w:val="00995777"/>
    <w:rsid w:val="00995BE8"/>
    <w:rsid w:val="00996201"/>
    <w:rsid w:val="009963C8"/>
    <w:rsid w:val="00996AC7"/>
    <w:rsid w:val="00996B1A"/>
    <w:rsid w:val="00996C2A"/>
    <w:rsid w:val="00997319"/>
    <w:rsid w:val="0099747F"/>
    <w:rsid w:val="00997664"/>
    <w:rsid w:val="00997702"/>
    <w:rsid w:val="009979E7"/>
    <w:rsid w:val="00997A56"/>
    <w:rsid w:val="00997AA5"/>
    <w:rsid w:val="009A03B7"/>
    <w:rsid w:val="009A0431"/>
    <w:rsid w:val="009A053B"/>
    <w:rsid w:val="009A0580"/>
    <w:rsid w:val="009A07FF"/>
    <w:rsid w:val="009A0C69"/>
    <w:rsid w:val="009A0C72"/>
    <w:rsid w:val="009A15EE"/>
    <w:rsid w:val="009A1648"/>
    <w:rsid w:val="009A18F6"/>
    <w:rsid w:val="009A1BE3"/>
    <w:rsid w:val="009A1C10"/>
    <w:rsid w:val="009A247B"/>
    <w:rsid w:val="009A25AD"/>
    <w:rsid w:val="009A2645"/>
    <w:rsid w:val="009A28AA"/>
    <w:rsid w:val="009A2C43"/>
    <w:rsid w:val="009A2D39"/>
    <w:rsid w:val="009A2D9F"/>
    <w:rsid w:val="009A2DCC"/>
    <w:rsid w:val="009A30E3"/>
    <w:rsid w:val="009A31E4"/>
    <w:rsid w:val="009A3809"/>
    <w:rsid w:val="009A383B"/>
    <w:rsid w:val="009A3B38"/>
    <w:rsid w:val="009A3B67"/>
    <w:rsid w:val="009A3F86"/>
    <w:rsid w:val="009A4157"/>
    <w:rsid w:val="009A4161"/>
    <w:rsid w:val="009A4630"/>
    <w:rsid w:val="009A4C2F"/>
    <w:rsid w:val="009A4DCA"/>
    <w:rsid w:val="009A50EC"/>
    <w:rsid w:val="009A53A4"/>
    <w:rsid w:val="009A5562"/>
    <w:rsid w:val="009A556E"/>
    <w:rsid w:val="009A5787"/>
    <w:rsid w:val="009A5866"/>
    <w:rsid w:val="009A5ABC"/>
    <w:rsid w:val="009A5F8B"/>
    <w:rsid w:val="009A60D3"/>
    <w:rsid w:val="009A6259"/>
    <w:rsid w:val="009A64F5"/>
    <w:rsid w:val="009A67D1"/>
    <w:rsid w:val="009A6C16"/>
    <w:rsid w:val="009A781A"/>
    <w:rsid w:val="009A78F0"/>
    <w:rsid w:val="009A7B38"/>
    <w:rsid w:val="009A7B79"/>
    <w:rsid w:val="009A7E69"/>
    <w:rsid w:val="009A7F10"/>
    <w:rsid w:val="009A7F9B"/>
    <w:rsid w:val="009B036D"/>
    <w:rsid w:val="009B05A5"/>
    <w:rsid w:val="009B05A6"/>
    <w:rsid w:val="009B089D"/>
    <w:rsid w:val="009B098B"/>
    <w:rsid w:val="009B0C81"/>
    <w:rsid w:val="009B0F60"/>
    <w:rsid w:val="009B1394"/>
    <w:rsid w:val="009B141B"/>
    <w:rsid w:val="009B1435"/>
    <w:rsid w:val="009B1C37"/>
    <w:rsid w:val="009B24C9"/>
    <w:rsid w:val="009B27BF"/>
    <w:rsid w:val="009B2873"/>
    <w:rsid w:val="009B2AC4"/>
    <w:rsid w:val="009B2ADA"/>
    <w:rsid w:val="009B2E6E"/>
    <w:rsid w:val="009B3079"/>
    <w:rsid w:val="009B32E6"/>
    <w:rsid w:val="009B3320"/>
    <w:rsid w:val="009B33FE"/>
    <w:rsid w:val="009B3641"/>
    <w:rsid w:val="009B36F2"/>
    <w:rsid w:val="009B3E26"/>
    <w:rsid w:val="009B412E"/>
    <w:rsid w:val="009B4687"/>
    <w:rsid w:val="009B4BB3"/>
    <w:rsid w:val="009B4E1F"/>
    <w:rsid w:val="009B4F32"/>
    <w:rsid w:val="009B5258"/>
    <w:rsid w:val="009B6756"/>
    <w:rsid w:val="009B69A9"/>
    <w:rsid w:val="009B6EA0"/>
    <w:rsid w:val="009B706D"/>
    <w:rsid w:val="009B70B8"/>
    <w:rsid w:val="009B7695"/>
    <w:rsid w:val="009B78AF"/>
    <w:rsid w:val="009B79E5"/>
    <w:rsid w:val="009B7A1A"/>
    <w:rsid w:val="009C0679"/>
    <w:rsid w:val="009C0733"/>
    <w:rsid w:val="009C0B04"/>
    <w:rsid w:val="009C0C0F"/>
    <w:rsid w:val="009C1135"/>
    <w:rsid w:val="009C1216"/>
    <w:rsid w:val="009C1218"/>
    <w:rsid w:val="009C1271"/>
    <w:rsid w:val="009C177D"/>
    <w:rsid w:val="009C1A9C"/>
    <w:rsid w:val="009C1BC4"/>
    <w:rsid w:val="009C1E0D"/>
    <w:rsid w:val="009C2024"/>
    <w:rsid w:val="009C20B7"/>
    <w:rsid w:val="009C22DE"/>
    <w:rsid w:val="009C2375"/>
    <w:rsid w:val="009C250B"/>
    <w:rsid w:val="009C2735"/>
    <w:rsid w:val="009C2893"/>
    <w:rsid w:val="009C2AD3"/>
    <w:rsid w:val="009C2CCA"/>
    <w:rsid w:val="009C2D17"/>
    <w:rsid w:val="009C2F2A"/>
    <w:rsid w:val="009C32B1"/>
    <w:rsid w:val="009C3706"/>
    <w:rsid w:val="009C3A3A"/>
    <w:rsid w:val="009C3C22"/>
    <w:rsid w:val="009C3E73"/>
    <w:rsid w:val="009C426B"/>
    <w:rsid w:val="009C4519"/>
    <w:rsid w:val="009C475E"/>
    <w:rsid w:val="009C47E8"/>
    <w:rsid w:val="009C49A0"/>
    <w:rsid w:val="009C49C8"/>
    <w:rsid w:val="009C50FF"/>
    <w:rsid w:val="009C529F"/>
    <w:rsid w:val="009C57B2"/>
    <w:rsid w:val="009C57FE"/>
    <w:rsid w:val="009C5CBF"/>
    <w:rsid w:val="009C5CD8"/>
    <w:rsid w:val="009C63CE"/>
    <w:rsid w:val="009C65C0"/>
    <w:rsid w:val="009C6726"/>
    <w:rsid w:val="009C696B"/>
    <w:rsid w:val="009C6BB2"/>
    <w:rsid w:val="009C6CEA"/>
    <w:rsid w:val="009C6D24"/>
    <w:rsid w:val="009C6D83"/>
    <w:rsid w:val="009C6FAE"/>
    <w:rsid w:val="009C71A0"/>
    <w:rsid w:val="009C7494"/>
    <w:rsid w:val="009C7B0D"/>
    <w:rsid w:val="009C7B85"/>
    <w:rsid w:val="009D0157"/>
    <w:rsid w:val="009D0254"/>
    <w:rsid w:val="009D0412"/>
    <w:rsid w:val="009D1585"/>
    <w:rsid w:val="009D175C"/>
    <w:rsid w:val="009D1992"/>
    <w:rsid w:val="009D1A64"/>
    <w:rsid w:val="009D25EE"/>
    <w:rsid w:val="009D2798"/>
    <w:rsid w:val="009D2A75"/>
    <w:rsid w:val="009D3306"/>
    <w:rsid w:val="009D3556"/>
    <w:rsid w:val="009D3559"/>
    <w:rsid w:val="009D3D70"/>
    <w:rsid w:val="009D3FE6"/>
    <w:rsid w:val="009D4136"/>
    <w:rsid w:val="009D436A"/>
    <w:rsid w:val="009D4820"/>
    <w:rsid w:val="009D48B3"/>
    <w:rsid w:val="009D4BB4"/>
    <w:rsid w:val="009D4DD1"/>
    <w:rsid w:val="009D4FA1"/>
    <w:rsid w:val="009D51DC"/>
    <w:rsid w:val="009D5593"/>
    <w:rsid w:val="009D57C4"/>
    <w:rsid w:val="009D5B91"/>
    <w:rsid w:val="009D5C40"/>
    <w:rsid w:val="009D5C5E"/>
    <w:rsid w:val="009D5C6E"/>
    <w:rsid w:val="009D5E59"/>
    <w:rsid w:val="009D6282"/>
    <w:rsid w:val="009D63F7"/>
    <w:rsid w:val="009D65B5"/>
    <w:rsid w:val="009D6A35"/>
    <w:rsid w:val="009D6AE5"/>
    <w:rsid w:val="009D6B7F"/>
    <w:rsid w:val="009D6E22"/>
    <w:rsid w:val="009D73B1"/>
    <w:rsid w:val="009D792E"/>
    <w:rsid w:val="009E0062"/>
    <w:rsid w:val="009E0494"/>
    <w:rsid w:val="009E09AC"/>
    <w:rsid w:val="009E0DFE"/>
    <w:rsid w:val="009E0FB7"/>
    <w:rsid w:val="009E10C5"/>
    <w:rsid w:val="009E139B"/>
    <w:rsid w:val="009E13C0"/>
    <w:rsid w:val="009E1532"/>
    <w:rsid w:val="009E1575"/>
    <w:rsid w:val="009E1780"/>
    <w:rsid w:val="009E1A38"/>
    <w:rsid w:val="009E1CAF"/>
    <w:rsid w:val="009E2868"/>
    <w:rsid w:val="009E28B8"/>
    <w:rsid w:val="009E2E1B"/>
    <w:rsid w:val="009E2EAB"/>
    <w:rsid w:val="009E31F6"/>
    <w:rsid w:val="009E3288"/>
    <w:rsid w:val="009E32A9"/>
    <w:rsid w:val="009E40FF"/>
    <w:rsid w:val="009E4488"/>
    <w:rsid w:val="009E451F"/>
    <w:rsid w:val="009E453E"/>
    <w:rsid w:val="009E49ED"/>
    <w:rsid w:val="009E4C07"/>
    <w:rsid w:val="009E528A"/>
    <w:rsid w:val="009E52A1"/>
    <w:rsid w:val="009E5918"/>
    <w:rsid w:val="009E5B9E"/>
    <w:rsid w:val="009E5C1E"/>
    <w:rsid w:val="009E5C35"/>
    <w:rsid w:val="009E5D03"/>
    <w:rsid w:val="009E5E2B"/>
    <w:rsid w:val="009E5E2D"/>
    <w:rsid w:val="009E62B7"/>
    <w:rsid w:val="009E6456"/>
    <w:rsid w:val="009E65E8"/>
    <w:rsid w:val="009E67B3"/>
    <w:rsid w:val="009E6A7D"/>
    <w:rsid w:val="009E6E89"/>
    <w:rsid w:val="009E7550"/>
    <w:rsid w:val="009E770A"/>
    <w:rsid w:val="009E777F"/>
    <w:rsid w:val="009E77F5"/>
    <w:rsid w:val="009E795F"/>
    <w:rsid w:val="009E7D71"/>
    <w:rsid w:val="009F023F"/>
    <w:rsid w:val="009F0CD9"/>
    <w:rsid w:val="009F1055"/>
    <w:rsid w:val="009F13E1"/>
    <w:rsid w:val="009F173E"/>
    <w:rsid w:val="009F18BB"/>
    <w:rsid w:val="009F1B63"/>
    <w:rsid w:val="009F2728"/>
    <w:rsid w:val="009F277B"/>
    <w:rsid w:val="009F2823"/>
    <w:rsid w:val="009F28DF"/>
    <w:rsid w:val="009F2AE6"/>
    <w:rsid w:val="009F2C3B"/>
    <w:rsid w:val="009F2DCA"/>
    <w:rsid w:val="009F2F3E"/>
    <w:rsid w:val="009F3397"/>
    <w:rsid w:val="009F3610"/>
    <w:rsid w:val="009F36CE"/>
    <w:rsid w:val="009F4204"/>
    <w:rsid w:val="009F43C8"/>
    <w:rsid w:val="009F4B34"/>
    <w:rsid w:val="009F4C4A"/>
    <w:rsid w:val="009F4D4C"/>
    <w:rsid w:val="009F6120"/>
    <w:rsid w:val="009F61E6"/>
    <w:rsid w:val="009F6B25"/>
    <w:rsid w:val="009F6DCE"/>
    <w:rsid w:val="009F6F37"/>
    <w:rsid w:val="009F70F3"/>
    <w:rsid w:val="009F72E2"/>
    <w:rsid w:val="009F7A8C"/>
    <w:rsid w:val="009F7B1A"/>
    <w:rsid w:val="009F7E95"/>
    <w:rsid w:val="009F7FC9"/>
    <w:rsid w:val="009F7FE2"/>
    <w:rsid w:val="00A00189"/>
    <w:rsid w:val="00A002E1"/>
    <w:rsid w:val="00A00480"/>
    <w:rsid w:val="00A0064D"/>
    <w:rsid w:val="00A00BFD"/>
    <w:rsid w:val="00A00D76"/>
    <w:rsid w:val="00A0102A"/>
    <w:rsid w:val="00A01165"/>
    <w:rsid w:val="00A01184"/>
    <w:rsid w:val="00A011F5"/>
    <w:rsid w:val="00A01226"/>
    <w:rsid w:val="00A01428"/>
    <w:rsid w:val="00A01449"/>
    <w:rsid w:val="00A0170F"/>
    <w:rsid w:val="00A01A7A"/>
    <w:rsid w:val="00A01D64"/>
    <w:rsid w:val="00A01DFA"/>
    <w:rsid w:val="00A024AD"/>
    <w:rsid w:val="00A025DB"/>
    <w:rsid w:val="00A029B2"/>
    <w:rsid w:val="00A02FC8"/>
    <w:rsid w:val="00A03664"/>
    <w:rsid w:val="00A037C2"/>
    <w:rsid w:val="00A037FD"/>
    <w:rsid w:val="00A03D43"/>
    <w:rsid w:val="00A04380"/>
    <w:rsid w:val="00A043A6"/>
    <w:rsid w:val="00A04786"/>
    <w:rsid w:val="00A0482E"/>
    <w:rsid w:val="00A048B1"/>
    <w:rsid w:val="00A04F4C"/>
    <w:rsid w:val="00A05472"/>
    <w:rsid w:val="00A05566"/>
    <w:rsid w:val="00A05C32"/>
    <w:rsid w:val="00A05CCE"/>
    <w:rsid w:val="00A0653F"/>
    <w:rsid w:val="00A06A75"/>
    <w:rsid w:val="00A06C46"/>
    <w:rsid w:val="00A074CC"/>
    <w:rsid w:val="00A0793B"/>
    <w:rsid w:val="00A07A28"/>
    <w:rsid w:val="00A07AA9"/>
    <w:rsid w:val="00A07D59"/>
    <w:rsid w:val="00A07DD1"/>
    <w:rsid w:val="00A07F31"/>
    <w:rsid w:val="00A10200"/>
    <w:rsid w:val="00A10B9B"/>
    <w:rsid w:val="00A10DE2"/>
    <w:rsid w:val="00A10EA6"/>
    <w:rsid w:val="00A10F57"/>
    <w:rsid w:val="00A11066"/>
    <w:rsid w:val="00A11A61"/>
    <w:rsid w:val="00A11CD0"/>
    <w:rsid w:val="00A11F90"/>
    <w:rsid w:val="00A11FF9"/>
    <w:rsid w:val="00A12025"/>
    <w:rsid w:val="00A1227C"/>
    <w:rsid w:val="00A123E7"/>
    <w:rsid w:val="00A1274E"/>
    <w:rsid w:val="00A12766"/>
    <w:rsid w:val="00A128F9"/>
    <w:rsid w:val="00A12E79"/>
    <w:rsid w:val="00A13118"/>
    <w:rsid w:val="00A13136"/>
    <w:rsid w:val="00A13387"/>
    <w:rsid w:val="00A13435"/>
    <w:rsid w:val="00A13948"/>
    <w:rsid w:val="00A13E19"/>
    <w:rsid w:val="00A13EDB"/>
    <w:rsid w:val="00A1489F"/>
    <w:rsid w:val="00A14AA5"/>
    <w:rsid w:val="00A14E85"/>
    <w:rsid w:val="00A151E6"/>
    <w:rsid w:val="00A153BA"/>
    <w:rsid w:val="00A154F5"/>
    <w:rsid w:val="00A1555B"/>
    <w:rsid w:val="00A155C5"/>
    <w:rsid w:val="00A15706"/>
    <w:rsid w:val="00A157E1"/>
    <w:rsid w:val="00A15903"/>
    <w:rsid w:val="00A15A4B"/>
    <w:rsid w:val="00A15B1D"/>
    <w:rsid w:val="00A16214"/>
    <w:rsid w:val="00A169BD"/>
    <w:rsid w:val="00A16AD8"/>
    <w:rsid w:val="00A17573"/>
    <w:rsid w:val="00A17F72"/>
    <w:rsid w:val="00A2021E"/>
    <w:rsid w:val="00A206E5"/>
    <w:rsid w:val="00A2100E"/>
    <w:rsid w:val="00A21460"/>
    <w:rsid w:val="00A21B21"/>
    <w:rsid w:val="00A21BE6"/>
    <w:rsid w:val="00A21C95"/>
    <w:rsid w:val="00A21CC7"/>
    <w:rsid w:val="00A21CF3"/>
    <w:rsid w:val="00A21FCE"/>
    <w:rsid w:val="00A22127"/>
    <w:rsid w:val="00A228BB"/>
    <w:rsid w:val="00A22D61"/>
    <w:rsid w:val="00A22E64"/>
    <w:rsid w:val="00A22E6F"/>
    <w:rsid w:val="00A22F19"/>
    <w:rsid w:val="00A22F7A"/>
    <w:rsid w:val="00A2340E"/>
    <w:rsid w:val="00A2350D"/>
    <w:rsid w:val="00A237D8"/>
    <w:rsid w:val="00A23B5B"/>
    <w:rsid w:val="00A23EA7"/>
    <w:rsid w:val="00A245D9"/>
    <w:rsid w:val="00A2475D"/>
    <w:rsid w:val="00A24813"/>
    <w:rsid w:val="00A24B51"/>
    <w:rsid w:val="00A24C33"/>
    <w:rsid w:val="00A25040"/>
    <w:rsid w:val="00A2529E"/>
    <w:rsid w:val="00A253CB"/>
    <w:rsid w:val="00A256A8"/>
    <w:rsid w:val="00A25700"/>
    <w:rsid w:val="00A25B91"/>
    <w:rsid w:val="00A2605E"/>
    <w:rsid w:val="00A26369"/>
    <w:rsid w:val="00A26781"/>
    <w:rsid w:val="00A268DF"/>
    <w:rsid w:val="00A26D76"/>
    <w:rsid w:val="00A26F96"/>
    <w:rsid w:val="00A27231"/>
    <w:rsid w:val="00A27AEC"/>
    <w:rsid w:val="00A27E10"/>
    <w:rsid w:val="00A307B5"/>
    <w:rsid w:val="00A30E5E"/>
    <w:rsid w:val="00A31039"/>
    <w:rsid w:val="00A31658"/>
    <w:rsid w:val="00A31924"/>
    <w:rsid w:val="00A31982"/>
    <w:rsid w:val="00A31B8A"/>
    <w:rsid w:val="00A320DB"/>
    <w:rsid w:val="00A3230C"/>
    <w:rsid w:val="00A32656"/>
    <w:rsid w:val="00A328EA"/>
    <w:rsid w:val="00A33087"/>
    <w:rsid w:val="00A33252"/>
    <w:rsid w:val="00A3353A"/>
    <w:rsid w:val="00A33A80"/>
    <w:rsid w:val="00A33A84"/>
    <w:rsid w:val="00A33EE1"/>
    <w:rsid w:val="00A33F46"/>
    <w:rsid w:val="00A34231"/>
    <w:rsid w:val="00A344F1"/>
    <w:rsid w:val="00A34B37"/>
    <w:rsid w:val="00A34C3D"/>
    <w:rsid w:val="00A34ED5"/>
    <w:rsid w:val="00A35157"/>
    <w:rsid w:val="00A35184"/>
    <w:rsid w:val="00A358F1"/>
    <w:rsid w:val="00A3596B"/>
    <w:rsid w:val="00A35B12"/>
    <w:rsid w:val="00A35C65"/>
    <w:rsid w:val="00A35CB2"/>
    <w:rsid w:val="00A35D16"/>
    <w:rsid w:val="00A35D2B"/>
    <w:rsid w:val="00A36187"/>
    <w:rsid w:val="00A36327"/>
    <w:rsid w:val="00A36414"/>
    <w:rsid w:val="00A36481"/>
    <w:rsid w:val="00A36C5B"/>
    <w:rsid w:val="00A36DD8"/>
    <w:rsid w:val="00A371C2"/>
    <w:rsid w:val="00A375FE"/>
    <w:rsid w:val="00A37BCD"/>
    <w:rsid w:val="00A40134"/>
    <w:rsid w:val="00A403CD"/>
    <w:rsid w:val="00A40BC6"/>
    <w:rsid w:val="00A40EBF"/>
    <w:rsid w:val="00A414C5"/>
    <w:rsid w:val="00A41689"/>
    <w:rsid w:val="00A416B0"/>
    <w:rsid w:val="00A416E4"/>
    <w:rsid w:val="00A418B3"/>
    <w:rsid w:val="00A4253B"/>
    <w:rsid w:val="00A42592"/>
    <w:rsid w:val="00A4278B"/>
    <w:rsid w:val="00A42908"/>
    <w:rsid w:val="00A42ECF"/>
    <w:rsid w:val="00A42F14"/>
    <w:rsid w:val="00A4310F"/>
    <w:rsid w:val="00A432EF"/>
    <w:rsid w:val="00A434BD"/>
    <w:rsid w:val="00A4368B"/>
    <w:rsid w:val="00A4396C"/>
    <w:rsid w:val="00A43C59"/>
    <w:rsid w:val="00A4430C"/>
    <w:rsid w:val="00A4430D"/>
    <w:rsid w:val="00A44485"/>
    <w:rsid w:val="00A4454E"/>
    <w:rsid w:val="00A4471D"/>
    <w:rsid w:val="00A447CD"/>
    <w:rsid w:val="00A44B73"/>
    <w:rsid w:val="00A44E39"/>
    <w:rsid w:val="00A44F83"/>
    <w:rsid w:val="00A4501D"/>
    <w:rsid w:val="00A4508E"/>
    <w:rsid w:val="00A4566A"/>
    <w:rsid w:val="00A45929"/>
    <w:rsid w:val="00A45F5D"/>
    <w:rsid w:val="00A46347"/>
    <w:rsid w:val="00A466BD"/>
    <w:rsid w:val="00A466BE"/>
    <w:rsid w:val="00A46810"/>
    <w:rsid w:val="00A46E49"/>
    <w:rsid w:val="00A471EF"/>
    <w:rsid w:val="00A474D0"/>
    <w:rsid w:val="00A47A74"/>
    <w:rsid w:val="00A47C1C"/>
    <w:rsid w:val="00A47D04"/>
    <w:rsid w:val="00A47DB2"/>
    <w:rsid w:val="00A50085"/>
    <w:rsid w:val="00A5016A"/>
    <w:rsid w:val="00A50338"/>
    <w:rsid w:val="00A506BA"/>
    <w:rsid w:val="00A50A04"/>
    <w:rsid w:val="00A50ECD"/>
    <w:rsid w:val="00A51247"/>
    <w:rsid w:val="00A51291"/>
    <w:rsid w:val="00A51665"/>
    <w:rsid w:val="00A518AC"/>
    <w:rsid w:val="00A518F3"/>
    <w:rsid w:val="00A51B4D"/>
    <w:rsid w:val="00A51C78"/>
    <w:rsid w:val="00A51D6C"/>
    <w:rsid w:val="00A52173"/>
    <w:rsid w:val="00A52431"/>
    <w:rsid w:val="00A5260D"/>
    <w:rsid w:val="00A526FF"/>
    <w:rsid w:val="00A52729"/>
    <w:rsid w:val="00A52913"/>
    <w:rsid w:val="00A52E6D"/>
    <w:rsid w:val="00A5303D"/>
    <w:rsid w:val="00A535D7"/>
    <w:rsid w:val="00A53675"/>
    <w:rsid w:val="00A53707"/>
    <w:rsid w:val="00A53E2C"/>
    <w:rsid w:val="00A53E4B"/>
    <w:rsid w:val="00A53E6C"/>
    <w:rsid w:val="00A54362"/>
    <w:rsid w:val="00A544DD"/>
    <w:rsid w:val="00A54A25"/>
    <w:rsid w:val="00A54D57"/>
    <w:rsid w:val="00A553A3"/>
    <w:rsid w:val="00A55922"/>
    <w:rsid w:val="00A559EC"/>
    <w:rsid w:val="00A55BED"/>
    <w:rsid w:val="00A561C4"/>
    <w:rsid w:val="00A56320"/>
    <w:rsid w:val="00A564D7"/>
    <w:rsid w:val="00A568AC"/>
    <w:rsid w:val="00A568F3"/>
    <w:rsid w:val="00A569F1"/>
    <w:rsid w:val="00A56A50"/>
    <w:rsid w:val="00A56B6A"/>
    <w:rsid w:val="00A56C83"/>
    <w:rsid w:val="00A57452"/>
    <w:rsid w:val="00A576A3"/>
    <w:rsid w:val="00A578DC"/>
    <w:rsid w:val="00A57D7B"/>
    <w:rsid w:val="00A57DB4"/>
    <w:rsid w:val="00A57E18"/>
    <w:rsid w:val="00A57ED6"/>
    <w:rsid w:val="00A6096F"/>
    <w:rsid w:val="00A60B3E"/>
    <w:rsid w:val="00A60C44"/>
    <w:rsid w:val="00A60C98"/>
    <w:rsid w:val="00A611FF"/>
    <w:rsid w:val="00A615CE"/>
    <w:rsid w:val="00A61811"/>
    <w:rsid w:val="00A61895"/>
    <w:rsid w:val="00A61C9B"/>
    <w:rsid w:val="00A61E0A"/>
    <w:rsid w:val="00A62378"/>
    <w:rsid w:val="00A625CD"/>
    <w:rsid w:val="00A63485"/>
    <w:rsid w:val="00A63888"/>
    <w:rsid w:val="00A63D19"/>
    <w:rsid w:val="00A63ECE"/>
    <w:rsid w:val="00A64076"/>
    <w:rsid w:val="00A640E2"/>
    <w:rsid w:val="00A640F2"/>
    <w:rsid w:val="00A642C7"/>
    <w:rsid w:val="00A64394"/>
    <w:rsid w:val="00A6472B"/>
    <w:rsid w:val="00A64868"/>
    <w:rsid w:val="00A64D5D"/>
    <w:rsid w:val="00A64D65"/>
    <w:rsid w:val="00A6587F"/>
    <w:rsid w:val="00A65A0B"/>
    <w:rsid w:val="00A65E9F"/>
    <w:rsid w:val="00A6614E"/>
    <w:rsid w:val="00A66199"/>
    <w:rsid w:val="00A662B2"/>
    <w:rsid w:val="00A663ED"/>
    <w:rsid w:val="00A66699"/>
    <w:rsid w:val="00A66AD2"/>
    <w:rsid w:val="00A66E6A"/>
    <w:rsid w:val="00A670D6"/>
    <w:rsid w:val="00A6725B"/>
    <w:rsid w:val="00A674C4"/>
    <w:rsid w:val="00A67931"/>
    <w:rsid w:val="00A67C1B"/>
    <w:rsid w:val="00A67C67"/>
    <w:rsid w:val="00A67E25"/>
    <w:rsid w:val="00A67FB7"/>
    <w:rsid w:val="00A70169"/>
    <w:rsid w:val="00A701DB"/>
    <w:rsid w:val="00A70338"/>
    <w:rsid w:val="00A704B2"/>
    <w:rsid w:val="00A70605"/>
    <w:rsid w:val="00A70F23"/>
    <w:rsid w:val="00A70FEE"/>
    <w:rsid w:val="00A71330"/>
    <w:rsid w:val="00A71534"/>
    <w:rsid w:val="00A71609"/>
    <w:rsid w:val="00A71984"/>
    <w:rsid w:val="00A71E20"/>
    <w:rsid w:val="00A71FC7"/>
    <w:rsid w:val="00A721A5"/>
    <w:rsid w:val="00A721D8"/>
    <w:rsid w:val="00A7297D"/>
    <w:rsid w:val="00A73134"/>
    <w:rsid w:val="00A73532"/>
    <w:rsid w:val="00A73544"/>
    <w:rsid w:val="00A7365A"/>
    <w:rsid w:val="00A7375E"/>
    <w:rsid w:val="00A7384E"/>
    <w:rsid w:val="00A7390D"/>
    <w:rsid w:val="00A73A79"/>
    <w:rsid w:val="00A73B86"/>
    <w:rsid w:val="00A73EEF"/>
    <w:rsid w:val="00A73F07"/>
    <w:rsid w:val="00A7416B"/>
    <w:rsid w:val="00A745A6"/>
    <w:rsid w:val="00A74AEB"/>
    <w:rsid w:val="00A75353"/>
    <w:rsid w:val="00A75745"/>
    <w:rsid w:val="00A76001"/>
    <w:rsid w:val="00A76532"/>
    <w:rsid w:val="00A76734"/>
    <w:rsid w:val="00A76779"/>
    <w:rsid w:val="00A7714B"/>
    <w:rsid w:val="00A7722E"/>
    <w:rsid w:val="00A773EF"/>
    <w:rsid w:val="00A775D9"/>
    <w:rsid w:val="00A777B2"/>
    <w:rsid w:val="00A77F47"/>
    <w:rsid w:val="00A8017B"/>
    <w:rsid w:val="00A8066A"/>
    <w:rsid w:val="00A80727"/>
    <w:rsid w:val="00A807E7"/>
    <w:rsid w:val="00A80ACA"/>
    <w:rsid w:val="00A80F3D"/>
    <w:rsid w:val="00A80FFF"/>
    <w:rsid w:val="00A8111D"/>
    <w:rsid w:val="00A81671"/>
    <w:rsid w:val="00A8199B"/>
    <w:rsid w:val="00A81B98"/>
    <w:rsid w:val="00A81EB7"/>
    <w:rsid w:val="00A81EBB"/>
    <w:rsid w:val="00A82304"/>
    <w:rsid w:val="00A8232B"/>
    <w:rsid w:val="00A823D8"/>
    <w:rsid w:val="00A825D4"/>
    <w:rsid w:val="00A828F6"/>
    <w:rsid w:val="00A82975"/>
    <w:rsid w:val="00A82B73"/>
    <w:rsid w:val="00A82BAE"/>
    <w:rsid w:val="00A82E02"/>
    <w:rsid w:val="00A82F0E"/>
    <w:rsid w:val="00A83011"/>
    <w:rsid w:val="00A832C8"/>
    <w:rsid w:val="00A83B92"/>
    <w:rsid w:val="00A83CC0"/>
    <w:rsid w:val="00A8450C"/>
    <w:rsid w:val="00A845A9"/>
    <w:rsid w:val="00A84BE1"/>
    <w:rsid w:val="00A84E8A"/>
    <w:rsid w:val="00A84FFC"/>
    <w:rsid w:val="00A851A4"/>
    <w:rsid w:val="00A851D3"/>
    <w:rsid w:val="00A85743"/>
    <w:rsid w:val="00A8596E"/>
    <w:rsid w:val="00A85D03"/>
    <w:rsid w:val="00A862F7"/>
    <w:rsid w:val="00A86675"/>
    <w:rsid w:val="00A868C5"/>
    <w:rsid w:val="00A86929"/>
    <w:rsid w:val="00A86A42"/>
    <w:rsid w:val="00A86DAA"/>
    <w:rsid w:val="00A86E8B"/>
    <w:rsid w:val="00A87164"/>
    <w:rsid w:val="00A871A9"/>
    <w:rsid w:val="00A87775"/>
    <w:rsid w:val="00A87B1B"/>
    <w:rsid w:val="00A87C70"/>
    <w:rsid w:val="00A87CB5"/>
    <w:rsid w:val="00A900C7"/>
    <w:rsid w:val="00A90283"/>
    <w:rsid w:val="00A90373"/>
    <w:rsid w:val="00A90B94"/>
    <w:rsid w:val="00A90E03"/>
    <w:rsid w:val="00A91347"/>
    <w:rsid w:val="00A914A1"/>
    <w:rsid w:val="00A917D1"/>
    <w:rsid w:val="00A91A1A"/>
    <w:rsid w:val="00A91A40"/>
    <w:rsid w:val="00A91B33"/>
    <w:rsid w:val="00A91D39"/>
    <w:rsid w:val="00A91EAC"/>
    <w:rsid w:val="00A92158"/>
    <w:rsid w:val="00A927A1"/>
    <w:rsid w:val="00A927C1"/>
    <w:rsid w:val="00A928A1"/>
    <w:rsid w:val="00A928CC"/>
    <w:rsid w:val="00A92BB6"/>
    <w:rsid w:val="00A92D13"/>
    <w:rsid w:val="00A93072"/>
    <w:rsid w:val="00A93261"/>
    <w:rsid w:val="00A9331D"/>
    <w:rsid w:val="00A93614"/>
    <w:rsid w:val="00A93825"/>
    <w:rsid w:val="00A93860"/>
    <w:rsid w:val="00A938BD"/>
    <w:rsid w:val="00A93953"/>
    <w:rsid w:val="00A939B9"/>
    <w:rsid w:val="00A93D96"/>
    <w:rsid w:val="00A93DA1"/>
    <w:rsid w:val="00A93E9A"/>
    <w:rsid w:val="00A9445B"/>
    <w:rsid w:val="00A944E0"/>
    <w:rsid w:val="00A94530"/>
    <w:rsid w:val="00A9462E"/>
    <w:rsid w:val="00A9483F"/>
    <w:rsid w:val="00A94B37"/>
    <w:rsid w:val="00A94BC9"/>
    <w:rsid w:val="00A94F0E"/>
    <w:rsid w:val="00A95458"/>
    <w:rsid w:val="00A956E9"/>
    <w:rsid w:val="00A957EF"/>
    <w:rsid w:val="00A95819"/>
    <w:rsid w:val="00A959D8"/>
    <w:rsid w:val="00A96527"/>
    <w:rsid w:val="00A96C70"/>
    <w:rsid w:val="00A96D85"/>
    <w:rsid w:val="00A96DB7"/>
    <w:rsid w:val="00A975BB"/>
    <w:rsid w:val="00A97B8A"/>
    <w:rsid w:val="00AA0234"/>
    <w:rsid w:val="00AA049C"/>
    <w:rsid w:val="00AA0BC3"/>
    <w:rsid w:val="00AA0EFE"/>
    <w:rsid w:val="00AA113D"/>
    <w:rsid w:val="00AA115F"/>
    <w:rsid w:val="00AA123C"/>
    <w:rsid w:val="00AA146E"/>
    <w:rsid w:val="00AA1665"/>
    <w:rsid w:val="00AA1AE7"/>
    <w:rsid w:val="00AA1B25"/>
    <w:rsid w:val="00AA1D71"/>
    <w:rsid w:val="00AA25A2"/>
    <w:rsid w:val="00AA25E2"/>
    <w:rsid w:val="00AA2F67"/>
    <w:rsid w:val="00AA3215"/>
    <w:rsid w:val="00AA33C2"/>
    <w:rsid w:val="00AA39D1"/>
    <w:rsid w:val="00AA3D20"/>
    <w:rsid w:val="00AA3F0C"/>
    <w:rsid w:val="00AA4267"/>
    <w:rsid w:val="00AA4485"/>
    <w:rsid w:val="00AA4D7E"/>
    <w:rsid w:val="00AA4E68"/>
    <w:rsid w:val="00AA4EA9"/>
    <w:rsid w:val="00AA6348"/>
    <w:rsid w:val="00AA659A"/>
    <w:rsid w:val="00AA66D9"/>
    <w:rsid w:val="00AA6BD5"/>
    <w:rsid w:val="00AA6BD8"/>
    <w:rsid w:val="00AA6C7D"/>
    <w:rsid w:val="00AA6D36"/>
    <w:rsid w:val="00AA7247"/>
    <w:rsid w:val="00AA7535"/>
    <w:rsid w:val="00AA75BC"/>
    <w:rsid w:val="00AA77A5"/>
    <w:rsid w:val="00AA7D06"/>
    <w:rsid w:val="00AA7EB0"/>
    <w:rsid w:val="00AA7FD6"/>
    <w:rsid w:val="00AB0425"/>
    <w:rsid w:val="00AB042A"/>
    <w:rsid w:val="00AB05A7"/>
    <w:rsid w:val="00AB088B"/>
    <w:rsid w:val="00AB0C02"/>
    <w:rsid w:val="00AB0CCD"/>
    <w:rsid w:val="00AB11AD"/>
    <w:rsid w:val="00AB14D1"/>
    <w:rsid w:val="00AB1989"/>
    <w:rsid w:val="00AB19EF"/>
    <w:rsid w:val="00AB1C93"/>
    <w:rsid w:val="00AB1F55"/>
    <w:rsid w:val="00AB21FD"/>
    <w:rsid w:val="00AB22E9"/>
    <w:rsid w:val="00AB236C"/>
    <w:rsid w:val="00AB2495"/>
    <w:rsid w:val="00AB2901"/>
    <w:rsid w:val="00AB2990"/>
    <w:rsid w:val="00AB29CF"/>
    <w:rsid w:val="00AB2A68"/>
    <w:rsid w:val="00AB2B35"/>
    <w:rsid w:val="00AB2D34"/>
    <w:rsid w:val="00AB2D97"/>
    <w:rsid w:val="00AB2E55"/>
    <w:rsid w:val="00AB2EA8"/>
    <w:rsid w:val="00AB3186"/>
    <w:rsid w:val="00AB3430"/>
    <w:rsid w:val="00AB37B9"/>
    <w:rsid w:val="00AB3C45"/>
    <w:rsid w:val="00AB3F28"/>
    <w:rsid w:val="00AB4AD1"/>
    <w:rsid w:val="00AB5333"/>
    <w:rsid w:val="00AB55AD"/>
    <w:rsid w:val="00AB58D4"/>
    <w:rsid w:val="00AB5992"/>
    <w:rsid w:val="00AB5D10"/>
    <w:rsid w:val="00AB5E07"/>
    <w:rsid w:val="00AB6035"/>
    <w:rsid w:val="00AB61AF"/>
    <w:rsid w:val="00AB62E6"/>
    <w:rsid w:val="00AB6B09"/>
    <w:rsid w:val="00AB6F88"/>
    <w:rsid w:val="00AB7092"/>
    <w:rsid w:val="00AB70D3"/>
    <w:rsid w:val="00AB75CD"/>
    <w:rsid w:val="00AB79D9"/>
    <w:rsid w:val="00AB7B4D"/>
    <w:rsid w:val="00AB7B7A"/>
    <w:rsid w:val="00AB7CFA"/>
    <w:rsid w:val="00AB7F00"/>
    <w:rsid w:val="00AC01D8"/>
    <w:rsid w:val="00AC02D3"/>
    <w:rsid w:val="00AC04F3"/>
    <w:rsid w:val="00AC094A"/>
    <w:rsid w:val="00AC1584"/>
    <w:rsid w:val="00AC15FC"/>
    <w:rsid w:val="00AC1A85"/>
    <w:rsid w:val="00AC1F97"/>
    <w:rsid w:val="00AC21B9"/>
    <w:rsid w:val="00AC2D19"/>
    <w:rsid w:val="00AC31CB"/>
    <w:rsid w:val="00AC3B5D"/>
    <w:rsid w:val="00AC3B5E"/>
    <w:rsid w:val="00AC3B91"/>
    <w:rsid w:val="00AC417C"/>
    <w:rsid w:val="00AC41F7"/>
    <w:rsid w:val="00AC467E"/>
    <w:rsid w:val="00AC4700"/>
    <w:rsid w:val="00AC48AC"/>
    <w:rsid w:val="00AC4FA7"/>
    <w:rsid w:val="00AC5600"/>
    <w:rsid w:val="00AC56C1"/>
    <w:rsid w:val="00AC5A3A"/>
    <w:rsid w:val="00AC5B42"/>
    <w:rsid w:val="00AC5B48"/>
    <w:rsid w:val="00AC5B53"/>
    <w:rsid w:val="00AC5D84"/>
    <w:rsid w:val="00AC5E85"/>
    <w:rsid w:val="00AC60B4"/>
    <w:rsid w:val="00AC627B"/>
    <w:rsid w:val="00AC62B0"/>
    <w:rsid w:val="00AC631A"/>
    <w:rsid w:val="00AC6666"/>
    <w:rsid w:val="00AC66CF"/>
    <w:rsid w:val="00AC6719"/>
    <w:rsid w:val="00AC6B34"/>
    <w:rsid w:val="00AC75A9"/>
    <w:rsid w:val="00AC781B"/>
    <w:rsid w:val="00AC7CAE"/>
    <w:rsid w:val="00AC7EC8"/>
    <w:rsid w:val="00AD01C1"/>
    <w:rsid w:val="00AD04A3"/>
    <w:rsid w:val="00AD0792"/>
    <w:rsid w:val="00AD0D2D"/>
    <w:rsid w:val="00AD0DB7"/>
    <w:rsid w:val="00AD1450"/>
    <w:rsid w:val="00AD15E8"/>
    <w:rsid w:val="00AD189E"/>
    <w:rsid w:val="00AD1976"/>
    <w:rsid w:val="00AD1A7B"/>
    <w:rsid w:val="00AD1B83"/>
    <w:rsid w:val="00AD1FD9"/>
    <w:rsid w:val="00AD2212"/>
    <w:rsid w:val="00AD24F4"/>
    <w:rsid w:val="00AD2664"/>
    <w:rsid w:val="00AD2681"/>
    <w:rsid w:val="00AD28D3"/>
    <w:rsid w:val="00AD28FD"/>
    <w:rsid w:val="00AD295F"/>
    <w:rsid w:val="00AD2B77"/>
    <w:rsid w:val="00AD2FD9"/>
    <w:rsid w:val="00AD34DE"/>
    <w:rsid w:val="00AD3554"/>
    <w:rsid w:val="00AD356D"/>
    <w:rsid w:val="00AD366B"/>
    <w:rsid w:val="00AD3918"/>
    <w:rsid w:val="00AD394A"/>
    <w:rsid w:val="00AD3AF7"/>
    <w:rsid w:val="00AD482B"/>
    <w:rsid w:val="00AD48B5"/>
    <w:rsid w:val="00AD4C2E"/>
    <w:rsid w:val="00AD50F5"/>
    <w:rsid w:val="00AD57DD"/>
    <w:rsid w:val="00AD5AE1"/>
    <w:rsid w:val="00AD5D91"/>
    <w:rsid w:val="00AD5DEC"/>
    <w:rsid w:val="00AD61AF"/>
    <w:rsid w:val="00AD61FA"/>
    <w:rsid w:val="00AD642E"/>
    <w:rsid w:val="00AD6502"/>
    <w:rsid w:val="00AD69FB"/>
    <w:rsid w:val="00AD6C84"/>
    <w:rsid w:val="00AD6DDF"/>
    <w:rsid w:val="00AD6F0B"/>
    <w:rsid w:val="00AD7174"/>
    <w:rsid w:val="00AD71B0"/>
    <w:rsid w:val="00AD752C"/>
    <w:rsid w:val="00AD7535"/>
    <w:rsid w:val="00AD75BE"/>
    <w:rsid w:val="00AD77B0"/>
    <w:rsid w:val="00AD7A2C"/>
    <w:rsid w:val="00AD7A6B"/>
    <w:rsid w:val="00AD7B6C"/>
    <w:rsid w:val="00AD7BC6"/>
    <w:rsid w:val="00AE00CD"/>
    <w:rsid w:val="00AE0262"/>
    <w:rsid w:val="00AE0695"/>
    <w:rsid w:val="00AE0F8D"/>
    <w:rsid w:val="00AE12E2"/>
    <w:rsid w:val="00AE1593"/>
    <w:rsid w:val="00AE1847"/>
    <w:rsid w:val="00AE1959"/>
    <w:rsid w:val="00AE1AC3"/>
    <w:rsid w:val="00AE1C08"/>
    <w:rsid w:val="00AE1CFD"/>
    <w:rsid w:val="00AE1D2A"/>
    <w:rsid w:val="00AE22A6"/>
    <w:rsid w:val="00AE2615"/>
    <w:rsid w:val="00AE2664"/>
    <w:rsid w:val="00AE27EA"/>
    <w:rsid w:val="00AE28E3"/>
    <w:rsid w:val="00AE2ABF"/>
    <w:rsid w:val="00AE2BD0"/>
    <w:rsid w:val="00AE2F7C"/>
    <w:rsid w:val="00AE3138"/>
    <w:rsid w:val="00AE31C8"/>
    <w:rsid w:val="00AE34A6"/>
    <w:rsid w:val="00AE37FB"/>
    <w:rsid w:val="00AE3DCF"/>
    <w:rsid w:val="00AE3E7E"/>
    <w:rsid w:val="00AE3F2C"/>
    <w:rsid w:val="00AE3F30"/>
    <w:rsid w:val="00AE3F7F"/>
    <w:rsid w:val="00AE4BE8"/>
    <w:rsid w:val="00AE508E"/>
    <w:rsid w:val="00AE54F2"/>
    <w:rsid w:val="00AE56DC"/>
    <w:rsid w:val="00AE5C3A"/>
    <w:rsid w:val="00AE602B"/>
    <w:rsid w:val="00AE6034"/>
    <w:rsid w:val="00AE6391"/>
    <w:rsid w:val="00AE63F4"/>
    <w:rsid w:val="00AE68DD"/>
    <w:rsid w:val="00AE693B"/>
    <w:rsid w:val="00AE6A8F"/>
    <w:rsid w:val="00AE6D75"/>
    <w:rsid w:val="00AE7467"/>
    <w:rsid w:val="00AE7877"/>
    <w:rsid w:val="00AE7E53"/>
    <w:rsid w:val="00AF0889"/>
    <w:rsid w:val="00AF0951"/>
    <w:rsid w:val="00AF0B99"/>
    <w:rsid w:val="00AF1251"/>
    <w:rsid w:val="00AF1315"/>
    <w:rsid w:val="00AF1374"/>
    <w:rsid w:val="00AF16BB"/>
    <w:rsid w:val="00AF19BF"/>
    <w:rsid w:val="00AF1A8F"/>
    <w:rsid w:val="00AF1B05"/>
    <w:rsid w:val="00AF22A9"/>
    <w:rsid w:val="00AF2CB0"/>
    <w:rsid w:val="00AF2DC3"/>
    <w:rsid w:val="00AF3236"/>
    <w:rsid w:val="00AF3548"/>
    <w:rsid w:val="00AF3564"/>
    <w:rsid w:val="00AF373C"/>
    <w:rsid w:val="00AF377E"/>
    <w:rsid w:val="00AF3890"/>
    <w:rsid w:val="00AF3DFF"/>
    <w:rsid w:val="00AF3FC1"/>
    <w:rsid w:val="00AF4064"/>
    <w:rsid w:val="00AF4288"/>
    <w:rsid w:val="00AF43FD"/>
    <w:rsid w:val="00AF4505"/>
    <w:rsid w:val="00AF4518"/>
    <w:rsid w:val="00AF4675"/>
    <w:rsid w:val="00AF49E4"/>
    <w:rsid w:val="00AF4E04"/>
    <w:rsid w:val="00AF588B"/>
    <w:rsid w:val="00AF5C11"/>
    <w:rsid w:val="00AF63CB"/>
    <w:rsid w:val="00AF6C5B"/>
    <w:rsid w:val="00AF6F0C"/>
    <w:rsid w:val="00AF76BD"/>
    <w:rsid w:val="00AF789B"/>
    <w:rsid w:val="00AF7BA1"/>
    <w:rsid w:val="00AF7F44"/>
    <w:rsid w:val="00B00568"/>
    <w:rsid w:val="00B00583"/>
    <w:rsid w:val="00B007DF"/>
    <w:rsid w:val="00B0099E"/>
    <w:rsid w:val="00B00DCB"/>
    <w:rsid w:val="00B00F2D"/>
    <w:rsid w:val="00B011E9"/>
    <w:rsid w:val="00B01571"/>
    <w:rsid w:val="00B01B16"/>
    <w:rsid w:val="00B01F40"/>
    <w:rsid w:val="00B02094"/>
    <w:rsid w:val="00B023DE"/>
    <w:rsid w:val="00B0253D"/>
    <w:rsid w:val="00B028B9"/>
    <w:rsid w:val="00B02A1B"/>
    <w:rsid w:val="00B02B80"/>
    <w:rsid w:val="00B02B86"/>
    <w:rsid w:val="00B02DBD"/>
    <w:rsid w:val="00B02F16"/>
    <w:rsid w:val="00B02FED"/>
    <w:rsid w:val="00B030DE"/>
    <w:rsid w:val="00B033E2"/>
    <w:rsid w:val="00B033E5"/>
    <w:rsid w:val="00B03875"/>
    <w:rsid w:val="00B03A63"/>
    <w:rsid w:val="00B03EC3"/>
    <w:rsid w:val="00B0409C"/>
    <w:rsid w:val="00B04324"/>
    <w:rsid w:val="00B0432B"/>
    <w:rsid w:val="00B046AA"/>
    <w:rsid w:val="00B054C0"/>
    <w:rsid w:val="00B05565"/>
    <w:rsid w:val="00B05577"/>
    <w:rsid w:val="00B05A50"/>
    <w:rsid w:val="00B05BC7"/>
    <w:rsid w:val="00B0615D"/>
    <w:rsid w:val="00B064BF"/>
    <w:rsid w:val="00B069A0"/>
    <w:rsid w:val="00B06C45"/>
    <w:rsid w:val="00B06C60"/>
    <w:rsid w:val="00B073C4"/>
    <w:rsid w:val="00B074BA"/>
    <w:rsid w:val="00B0774D"/>
    <w:rsid w:val="00B078BA"/>
    <w:rsid w:val="00B07DA0"/>
    <w:rsid w:val="00B1047C"/>
    <w:rsid w:val="00B106DE"/>
    <w:rsid w:val="00B107BB"/>
    <w:rsid w:val="00B10826"/>
    <w:rsid w:val="00B1099E"/>
    <w:rsid w:val="00B10A26"/>
    <w:rsid w:val="00B11234"/>
    <w:rsid w:val="00B1133F"/>
    <w:rsid w:val="00B1138B"/>
    <w:rsid w:val="00B11907"/>
    <w:rsid w:val="00B11BD7"/>
    <w:rsid w:val="00B1200E"/>
    <w:rsid w:val="00B1224B"/>
    <w:rsid w:val="00B129A4"/>
    <w:rsid w:val="00B12BE2"/>
    <w:rsid w:val="00B12D0C"/>
    <w:rsid w:val="00B12DBE"/>
    <w:rsid w:val="00B133A2"/>
    <w:rsid w:val="00B13ED7"/>
    <w:rsid w:val="00B140B4"/>
    <w:rsid w:val="00B14262"/>
    <w:rsid w:val="00B14BFE"/>
    <w:rsid w:val="00B14D93"/>
    <w:rsid w:val="00B14F5E"/>
    <w:rsid w:val="00B15952"/>
    <w:rsid w:val="00B15A7C"/>
    <w:rsid w:val="00B163EA"/>
    <w:rsid w:val="00B16575"/>
    <w:rsid w:val="00B16DA0"/>
    <w:rsid w:val="00B170F6"/>
    <w:rsid w:val="00B17380"/>
    <w:rsid w:val="00B174F8"/>
    <w:rsid w:val="00B1779A"/>
    <w:rsid w:val="00B17B19"/>
    <w:rsid w:val="00B20165"/>
    <w:rsid w:val="00B2019F"/>
    <w:rsid w:val="00B201A4"/>
    <w:rsid w:val="00B201D1"/>
    <w:rsid w:val="00B20302"/>
    <w:rsid w:val="00B205AA"/>
    <w:rsid w:val="00B209AA"/>
    <w:rsid w:val="00B20C66"/>
    <w:rsid w:val="00B20DBC"/>
    <w:rsid w:val="00B21233"/>
    <w:rsid w:val="00B213A6"/>
    <w:rsid w:val="00B2154A"/>
    <w:rsid w:val="00B2158C"/>
    <w:rsid w:val="00B2163D"/>
    <w:rsid w:val="00B21940"/>
    <w:rsid w:val="00B21D97"/>
    <w:rsid w:val="00B22286"/>
    <w:rsid w:val="00B223C5"/>
    <w:rsid w:val="00B22D66"/>
    <w:rsid w:val="00B23150"/>
    <w:rsid w:val="00B23413"/>
    <w:rsid w:val="00B235B0"/>
    <w:rsid w:val="00B238E5"/>
    <w:rsid w:val="00B24A17"/>
    <w:rsid w:val="00B24A71"/>
    <w:rsid w:val="00B24DF6"/>
    <w:rsid w:val="00B251D9"/>
    <w:rsid w:val="00B2541A"/>
    <w:rsid w:val="00B25543"/>
    <w:rsid w:val="00B2563F"/>
    <w:rsid w:val="00B259A7"/>
    <w:rsid w:val="00B26292"/>
    <w:rsid w:val="00B2657F"/>
    <w:rsid w:val="00B26638"/>
    <w:rsid w:val="00B26836"/>
    <w:rsid w:val="00B270B6"/>
    <w:rsid w:val="00B27A61"/>
    <w:rsid w:val="00B27C6D"/>
    <w:rsid w:val="00B27CF9"/>
    <w:rsid w:val="00B3055C"/>
    <w:rsid w:val="00B30741"/>
    <w:rsid w:val="00B308B6"/>
    <w:rsid w:val="00B308ED"/>
    <w:rsid w:val="00B30E1D"/>
    <w:rsid w:val="00B312C9"/>
    <w:rsid w:val="00B314AF"/>
    <w:rsid w:val="00B319EE"/>
    <w:rsid w:val="00B31C07"/>
    <w:rsid w:val="00B3257D"/>
    <w:rsid w:val="00B32817"/>
    <w:rsid w:val="00B328E4"/>
    <w:rsid w:val="00B32987"/>
    <w:rsid w:val="00B329E1"/>
    <w:rsid w:val="00B32ED0"/>
    <w:rsid w:val="00B33214"/>
    <w:rsid w:val="00B333D0"/>
    <w:rsid w:val="00B33418"/>
    <w:rsid w:val="00B33576"/>
    <w:rsid w:val="00B335CF"/>
    <w:rsid w:val="00B33DCC"/>
    <w:rsid w:val="00B34ED6"/>
    <w:rsid w:val="00B34FE2"/>
    <w:rsid w:val="00B35166"/>
    <w:rsid w:val="00B35352"/>
    <w:rsid w:val="00B357D3"/>
    <w:rsid w:val="00B357D8"/>
    <w:rsid w:val="00B35BA3"/>
    <w:rsid w:val="00B35C5E"/>
    <w:rsid w:val="00B35CED"/>
    <w:rsid w:val="00B35E84"/>
    <w:rsid w:val="00B35EB8"/>
    <w:rsid w:val="00B360F4"/>
    <w:rsid w:val="00B36233"/>
    <w:rsid w:val="00B36A00"/>
    <w:rsid w:val="00B36A97"/>
    <w:rsid w:val="00B36DAD"/>
    <w:rsid w:val="00B371A5"/>
    <w:rsid w:val="00B371C6"/>
    <w:rsid w:val="00B37233"/>
    <w:rsid w:val="00B372B3"/>
    <w:rsid w:val="00B373EF"/>
    <w:rsid w:val="00B37714"/>
    <w:rsid w:val="00B3792B"/>
    <w:rsid w:val="00B37B6F"/>
    <w:rsid w:val="00B37BFC"/>
    <w:rsid w:val="00B37D3B"/>
    <w:rsid w:val="00B37F4F"/>
    <w:rsid w:val="00B40358"/>
    <w:rsid w:val="00B4096D"/>
    <w:rsid w:val="00B40B8F"/>
    <w:rsid w:val="00B4129A"/>
    <w:rsid w:val="00B41614"/>
    <w:rsid w:val="00B41616"/>
    <w:rsid w:val="00B41BBB"/>
    <w:rsid w:val="00B4235D"/>
    <w:rsid w:val="00B42416"/>
    <w:rsid w:val="00B42486"/>
    <w:rsid w:val="00B42851"/>
    <w:rsid w:val="00B42A5F"/>
    <w:rsid w:val="00B42E88"/>
    <w:rsid w:val="00B42F80"/>
    <w:rsid w:val="00B43042"/>
    <w:rsid w:val="00B431C8"/>
    <w:rsid w:val="00B43353"/>
    <w:rsid w:val="00B43381"/>
    <w:rsid w:val="00B435CB"/>
    <w:rsid w:val="00B43634"/>
    <w:rsid w:val="00B43C34"/>
    <w:rsid w:val="00B43D33"/>
    <w:rsid w:val="00B44542"/>
    <w:rsid w:val="00B4458C"/>
    <w:rsid w:val="00B450E5"/>
    <w:rsid w:val="00B456ED"/>
    <w:rsid w:val="00B4585A"/>
    <w:rsid w:val="00B4620B"/>
    <w:rsid w:val="00B465EC"/>
    <w:rsid w:val="00B46604"/>
    <w:rsid w:val="00B46871"/>
    <w:rsid w:val="00B468B3"/>
    <w:rsid w:val="00B46ACA"/>
    <w:rsid w:val="00B46BBB"/>
    <w:rsid w:val="00B46D49"/>
    <w:rsid w:val="00B46EFA"/>
    <w:rsid w:val="00B47233"/>
    <w:rsid w:val="00B47334"/>
    <w:rsid w:val="00B479FD"/>
    <w:rsid w:val="00B47C5A"/>
    <w:rsid w:val="00B47DAB"/>
    <w:rsid w:val="00B47EC7"/>
    <w:rsid w:val="00B47EFF"/>
    <w:rsid w:val="00B505C8"/>
    <w:rsid w:val="00B5088D"/>
    <w:rsid w:val="00B509D3"/>
    <w:rsid w:val="00B50A44"/>
    <w:rsid w:val="00B50B5B"/>
    <w:rsid w:val="00B50DB8"/>
    <w:rsid w:val="00B50ED5"/>
    <w:rsid w:val="00B50FED"/>
    <w:rsid w:val="00B51125"/>
    <w:rsid w:val="00B514C8"/>
    <w:rsid w:val="00B517D3"/>
    <w:rsid w:val="00B5180B"/>
    <w:rsid w:val="00B5186F"/>
    <w:rsid w:val="00B518FC"/>
    <w:rsid w:val="00B520F8"/>
    <w:rsid w:val="00B527EA"/>
    <w:rsid w:val="00B52CB3"/>
    <w:rsid w:val="00B52D6F"/>
    <w:rsid w:val="00B52FB0"/>
    <w:rsid w:val="00B5331B"/>
    <w:rsid w:val="00B535EC"/>
    <w:rsid w:val="00B53654"/>
    <w:rsid w:val="00B537DD"/>
    <w:rsid w:val="00B53828"/>
    <w:rsid w:val="00B5385A"/>
    <w:rsid w:val="00B53905"/>
    <w:rsid w:val="00B53A60"/>
    <w:rsid w:val="00B53AEB"/>
    <w:rsid w:val="00B5406F"/>
    <w:rsid w:val="00B540A6"/>
    <w:rsid w:val="00B54230"/>
    <w:rsid w:val="00B54691"/>
    <w:rsid w:val="00B546DB"/>
    <w:rsid w:val="00B54B5B"/>
    <w:rsid w:val="00B54C65"/>
    <w:rsid w:val="00B54ED3"/>
    <w:rsid w:val="00B551AE"/>
    <w:rsid w:val="00B5562E"/>
    <w:rsid w:val="00B556B0"/>
    <w:rsid w:val="00B556E3"/>
    <w:rsid w:val="00B55862"/>
    <w:rsid w:val="00B55C39"/>
    <w:rsid w:val="00B55D65"/>
    <w:rsid w:val="00B55DD2"/>
    <w:rsid w:val="00B55FCC"/>
    <w:rsid w:val="00B5629C"/>
    <w:rsid w:val="00B56305"/>
    <w:rsid w:val="00B564BF"/>
    <w:rsid w:val="00B566E5"/>
    <w:rsid w:val="00B56878"/>
    <w:rsid w:val="00B569FC"/>
    <w:rsid w:val="00B56D3D"/>
    <w:rsid w:val="00B57000"/>
    <w:rsid w:val="00B57370"/>
    <w:rsid w:val="00B57522"/>
    <w:rsid w:val="00B576D2"/>
    <w:rsid w:val="00B5773D"/>
    <w:rsid w:val="00B60544"/>
    <w:rsid w:val="00B606EC"/>
    <w:rsid w:val="00B60939"/>
    <w:rsid w:val="00B60997"/>
    <w:rsid w:val="00B60AB3"/>
    <w:rsid w:val="00B60AFD"/>
    <w:rsid w:val="00B60B8E"/>
    <w:rsid w:val="00B6135E"/>
    <w:rsid w:val="00B61406"/>
    <w:rsid w:val="00B615A3"/>
    <w:rsid w:val="00B61AAA"/>
    <w:rsid w:val="00B61D2A"/>
    <w:rsid w:val="00B61DB1"/>
    <w:rsid w:val="00B6204B"/>
    <w:rsid w:val="00B623A1"/>
    <w:rsid w:val="00B62715"/>
    <w:rsid w:val="00B62A22"/>
    <w:rsid w:val="00B62CA7"/>
    <w:rsid w:val="00B62CEC"/>
    <w:rsid w:val="00B6301F"/>
    <w:rsid w:val="00B6310C"/>
    <w:rsid w:val="00B63307"/>
    <w:rsid w:val="00B63379"/>
    <w:rsid w:val="00B63443"/>
    <w:rsid w:val="00B63D9A"/>
    <w:rsid w:val="00B644BB"/>
    <w:rsid w:val="00B6458B"/>
    <w:rsid w:val="00B6480D"/>
    <w:rsid w:val="00B64E1C"/>
    <w:rsid w:val="00B650A1"/>
    <w:rsid w:val="00B6513C"/>
    <w:rsid w:val="00B6540B"/>
    <w:rsid w:val="00B6560C"/>
    <w:rsid w:val="00B65611"/>
    <w:rsid w:val="00B65B21"/>
    <w:rsid w:val="00B65CCA"/>
    <w:rsid w:val="00B65D89"/>
    <w:rsid w:val="00B65E70"/>
    <w:rsid w:val="00B660BE"/>
    <w:rsid w:val="00B6648A"/>
    <w:rsid w:val="00B6660A"/>
    <w:rsid w:val="00B666EE"/>
    <w:rsid w:val="00B66B91"/>
    <w:rsid w:val="00B6755D"/>
    <w:rsid w:val="00B67579"/>
    <w:rsid w:val="00B677CB"/>
    <w:rsid w:val="00B67942"/>
    <w:rsid w:val="00B6797F"/>
    <w:rsid w:val="00B67B78"/>
    <w:rsid w:val="00B67CAA"/>
    <w:rsid w:val="00B701D5"/>
    <w:rsid w:val="00B7031F"/>
    <w:rsid w:val="00B70739"/>
    <w:rsid w:val="00B70942"/>
    <w:rsid w:val="00B70DF6"/>
    <w:rsid w:val="00B70E8E"/>
    <w:rsid w:val="00B71528"/>
    <w:rsid w:val="00B71877"/>
    <w:rsid w:val="00B7195D"/>
    <w:rsid w:val="00B71C43"/>
    <w:rsid w:val="00B71CCC"/>
    <w:rsid w:val="00B72169"/>
    <w:rsid w:val="00B726E0"/>
    <w:rsid w:val="00B7276F"/>
    <w:rsid w:val="00B72BB1"/>
    <w:rsid w:val="00B7326C"/>
    <w:rsid w:val="00B73419"/>
    <w:rsid w:val="00B73BF7"/>
    <w:rsid w:val="00B75245"/>
    <w:rsid w:val="00B75457"/>
    <w:rsid w:val="00B75762"/>
    <w:rsid w:val="00B75832"/>
    <w:rsid w:val="00B75A44"/>
    <w:rsid w:val="00B75D25"/>
    <w:rsid w:val="00B76092"/>
    <w:rsid w:val="00B7627A"/>
    <w:rsid w:val="00B763AE"/>
    <w:rsid w:val="00B7642D"/>
    <w:rsid w:val="00B7684E"/>
    <w:rsid w:val="00B76C92"/>
    <w:rsid w:val="00B76CF8"/>
    <w:rsid w:val="00B76EA3"/>
    <w:rsid w:val="00B76F94"/>
    <w:rsid w:val="00B772B4"/>
    <w:rsid w:val="00B77563"/>
    <w:rsid w:val="00B779AD"/>
    <w:rsid w:val="00B77D7C"/>
    <w:rsid w:val="00B77DE2"/>
    <w:rsid w:val="00B77E55"/>
    <w:rsid w:val="00B801D1"/>
    <w:rsid w:val="00B80343"/>
    <w:rsid w:val="00B80576"/>
    <w:rsid w:val="00B808E7"/>
    <w:rsid w:val="00B809E7"/>
    <w:rsid w:val="00B80BD9"/>
    <w:rsid w:val="00B80C2C"/>
    <w:rsid w:val="00B80D52"/>
    <w:rsid w:val="00B80EFD"/>
    <w:rsid w:val="00B818A4"/>
    <w:rsid w:val="00B81C7D"/>
    <w:rsid w:val="00B81D58"/>
    <w:rsid w:val="00B81F4D"/>
    <w:rsid w:val="00B823A5"/>
    <w:rsid w:val="00B825FC"/>
    <w:rsid w:val="00B82C2C"/>
    <w:rsid w:val="00B82D7A"/>
    <w:rsid w:val="00B82FD0"/>
    <w:rsid w:val="00B8320C"/>
    <w:rsid w:val="00B83739"/>
    <w:rsid w:val="00B8393E"/>
    <w:rsid w:val="00B83E65"/>
    <w:rsid w:val="00B84117"/>
    <w:rsid w:val="00B84346"/>
    <w:rsid w:val="00B846D3"/>
    <w:rsid w:val="00B84874"/>
    <w:rsid w:val="00B848A7"/>
    <w:rsid w:val="00B84E6E"/>
    <w:rsid w:val="00B85421"/>
    <w:rsid w:val="00B8574F"/>
    <w:rsid w:val="00B858F0"/>
    <w:rsid w:val="00B85AA2"/>
    <w:rsid w:val="00B85D55"/>
    <w:rsid w:val="00B85F5C"/>
    <w:rsid w:val="00B862E4"/>
    <w:rsid w:val="00B8636E"/>
    <w:rsid w:val="00B8649C"/>
    <w:rsid w:val="00B86516"/>
    <w:rsid w:val="00B8656A"/>
    <w:rsid w:val="00B8678B"/>
    <w:rsid w:val="00B8691E"/>
    <w:rsid w:val="00B8695D"/>
    <w:rsid w:val="00B86C35"/>
    <w:rsid w:val="00B86D28"/>
    <w:rsid w:val="00B87413"/>
    <w:rsid w:val="00B874B4"/>
    <w:rsid w:val="00B87609"/>
    <w:rsid w:val="00B87696"/>
    <w:rsid w:val="00B87A6F"/>
    <w:rsid w:val="00B87C9E"/>
    <w:rsid w:val="00B87DF6"/>
    <w:rsid w:val="00B87E51"/>
    <w:rsid w:val="00B87F0A"/>
    <w:rsid w:val="00B87F5F"/>
    <w:rsid w:val="00B903B3"/>
    <w:rsid w:val="00B90446"/>
    <w:rsid w:val="00B9071D"/>
    <w:rsid w:val="00B90A2F"/>
    <w:rsid w:val="00B90B2A"/>
    <w:rsid w:val="00B91105"/>
    <w:rsid w:val="00B915E3"/>
    <w:rsid w:val="00B91659"/>
    <w:rsid w:val="00B91852"/>
    <w:rsid w:val="00B91912"/>
    <w:rsid w:val="00B91CD6"/>
    <w:rsid w:val="00B91F96"/>
    <w:rsid w:val="00B92039"/>
    <w:rsid w:val="00B92256"/>
    <w:rsid w:val="00B9225B"/>
    <w:rsid w:val="00B922BB"/>
    <w:rsid w:val="00B92864"/>
    <w:rsid w:val="00B92CA9"/>
    <w:rsid w:val="00B92D0B"/>
    <w:rsid w:val="00B92D60"/>
    <w:rsid w:val="00B93585"/>
    <w:rsid w:val="00B936C4"/>
    <w:rsid w:val="00B937E8"/>
    <w:rsid w:val="00B939CC"/>
    <w:rsid w:val="00B93F22"/>
    <w:rsid w:val="00B9434C"/>
    <w:rsid w:val="00B943B3"/>
    <w:rsid w:val="00B943EC"/>
    <w:rsid w:val="00B9471D"/>
    <w:rsid w:val="00B94945"/>
    <w:rsid w:val="00B94ABA"/>
    <w:rsid w:val="00B94CE6"/>
    <w:rsid w:val="00B94D45"/>
    <w:rsid w:val="00B94DD6"/>
    <w:rsid w:val="00B951DD"/>
    <w:rsid w:val="00B95595"/>
    <w:rsid w:val="00B95738"/>
    <w:rsid w:val="00B9590F"/>
    <w:rsid w:val="00B9608F"/>
    <w:rsid w:val="00B96125"/>
    <w:rsid w:val="00B9620B"/>
    <w:rsid w:val="00B96DBD"/>
    <w:rsid w:val="00B96ED2"/>
    <w:rsid w:val="00B971B3"/>
    <w:rsid w:val="00B974F0"/>
    <w:rsid w:val="00BA0102"/>
    <w:rsid w:val="00BA0411"/>
    <w:rsid w:val="00BA0779"/>
    <w:rsid w:val="00BA0D47"/>
    <w:rsid w:val="00BA0FAA"/>
    <w:rsid w:val="00BA17B3"/>
    <w:rsid w:val="00BA1805"/>
    <w:rsid w:val="00BA1966"/>
    <w:rsid w:val="00BA1C3E"/>
    <w:rsid w:val="00BA207F"/>
    <w:rsid w:val="00BA24F9"/>
    <w:rsid w:val="00BA260B"/>
    <w:rsid w:val="00BA2BC9"/>
    <w:rsid w:val="00BA2E15"/>
    <w:rsid w:val="00BA322D"/>
    <w:rsid w:val="00BA34FC"/>
    <w:rsid w:val="00BA35BC"/>
    <w:rsid w:val="00BA36EA"/>
    <w:rsid w:val="00BA3C5D"/>
    <w:rsid w:val="00BA3D5A"/>
    <w:rsid w:val="00BA3E40"/>
    <w:rsid w:val="00BA3F3D"/>
    <w:rsid w:val="00BA415A"/>
    <w:rsid w:val="00BA4378"/>
    <w:rsid w:val="00BA487C"/>
    <w:rsid w:val="00BA499F"/>
    <w:rsid w:val="00BA51C6"/>
    <w:rsid w:val="00BA5334"/>
    <w:rsid w:val="00BA5753"/>
    <w:rsid w:val="00BA57AF"/>
    <w:rsid w:val="00BA58A1"/>
    <w:rsid w:val="00BA5A6A"/>
    <w:rsid w:val="00BA63FA"/>
    <w:rsid w:val="00BA65DD"/>
    <w:rsid w:val="00BA7221"/>
    <w:rsid w:val="00BA75AC"/>
    <w:rsid w:val="00BA77B0"/>
    <w:rsid w:val="00BA792C"/>
    <w:rsid w:val="00BA7C6B"/>
    <w:rsid w:val="00BB00B3"/>
    <w:rsid w:val="00BB0178"/>
    <w:rsid w:val="00BB0308"/>
    <w:rsid w:val="00BB0320"/>
    <w:rsid w:val="00BB0966"/>
    <w:rsid w:val="00BB0BDD"/>
    <w:rsid w:val="00BB0D13"/>
    <w:rsid w:val="00BB0D9B"/>
    <w:rsid w:val="00BB1002"/>
    <w:rsid w:val="00BB176C"/>
    <w:rsid w:val="00BB18FB"/>
    <w:rsid w:val="00BB1C92"/>
    <w:rsid w:val="00BB1F93"/>
    <w:rsid w:val="00BB2262"/>
    <w:rsid w:val="00BB299F"/>
    <w:rsid w:val="00BB2A73"/>
    <w:rsid w:val="00BB2A88"/>
    <w:rsid w:val="00BB330F"/>
    <w:rsid w:val="00BB332D"/>
    <w:rsid w:val="00BB382E"/>
    <w:rsid w:val="00BB3A45"/>
    <w:rsid w:val="00BB3DC1"/>
    <w:rsid w:val="00BB47E9"/>
    <w:rsid w:val="00BB4944"/>
    <w:rsid w:val="00BB4ACC"/>
    <w:rsid w:val="00BB4EBE"/>
    <w:rsid w:val="00BB5015"/>
    <w:rsid w:val="00BB57B5"/>
    <w:rsid w:val="00BB5AC0"/>
    <w:rsid w:val="00BB5BC7"/>
    <w:rsid w:val="00BB5D47"/>
    <w:rsid w:val="00BB61AE"/>
    <w:rsid w:val="00BB63AC"/>
    <w:rsid w:val="00BB66B5"/>
    <w:rsid w:val="00BB673A"/>
    <w:rsid w:val="00BB699D"/>
    <w:rsid w:val="00BB6D2F"/>
    <w:rsid w:val="00BB6E35"/>
    <w:rsid w:val="00BB6E76"/>
    <w:rsid w:val="00BB6FD1"/>
    <w:rsid w:val="00BB703E"/>
    <w:rsid w:val="00BB7215"/>
    <w:rsid w:val="00BB732D"/>
    <w:rsid w:val="00BB7405"/>
    <w:rsid w:val="00BB76BF"/>
    <w:rsid w:val="00BB76C6"/>
    <w:rsid w:val="00BB798D"/>
    <w:rsid w:val="00BB7D57"/>
    <w:rsid w:val="00BC0394"/>
    <w:rsid w:val="00BC061F"/>
    <w:rsid w:val="00BC0647"/>
    <w:rsid w:val="00BC0725"/>
    <w:rsid w:val="00BC0A52"/>
    <w:rsid w:val="00BC0C0D"/>
    <w:rsid w:val="00BC0CA1"/>
    <w:rsid w:val="00BC0F97"/>
    <w:rsid w:val="00BC1180"/>
    <w:rsid w:val="00BC1224"/>
    <w:rsid w:val="00BC1619"/>
    <w:rsid w:val="00BC1D6A"/>
    <w:rsid w:val="00BC206F"/>
    <w:rsid w:val="00BC20A9"/>
    <w:rsid w:val="00BC2311"/>
    <w:rsid w:val="00BC23A3"/>
    <w:rsid w:val="00BC27FD"/>
    <w:rsid w:val="00BC2D94"/>
    <w:rsid w:val="00BC32A3"/>
    <w:rsid w:val="00BC34E1"/>
    <w:rsid w:val="00BC3631"/>
    <w:rsid w:val="00BC37C2"/>
    <w:rsid w:val="00BC38B0"/>
    <w:rsid w:val="00BC39A8"/>
    <w:rsid w:val="00BC3CE7"/>
    <w:rsid w:val="00BC3D04"/>
    <w:rsid w:val="00BC3F8B"/>
    <w:rsid w:val="00BC406B"/>
    <w:rsid w:val="00BC4472"/>
    <w:rsid w:val="00BC45DC"/>
    <w:rsid w:val="00BC4A06"/>
    <w:rsid w:val="00BC4B68"/>
    <w:rsid w:val="00BC4D6F"/>
    <w:rsid w:val="00BC5090"/>
    <w:rsid w:val="00BC50DF"/>
    <w:rsid w:val="00BC5227"/>
    <w:rsid w:val="00BC52F0"/>
    <w:rsid w:val="00BC54A5"/>
    <w:rsid w:val="00BC58B3"/>
    <w:rsid w:val="00BC591F"/>
    <w:rsid w:val="00BC59F5"/>
    <w:rsid w:val="00BC5EE8"/>
    <w:rsid w:val="00BC6ACC"/>
    <w:rsid w:val="00BC6E76"/>
    <w:rsid w:val="00BC70E9"/>
    <w:rsid w:val="00BC730F"/>
    <w:rsid w:val="00BC77E7"/>
    <w:rsid w:val="00BC7AB9"/>
    <w:rsid w:val="00BC7D6D"/>
    <w:rsid w:val="00BC7F85"/>
    <w:rsid w:val="00BD0120"/>
    <w:rsid w:val="00BD019B"/>
    <w:rsid w:val="00BD0202"/>
    <w:rsid w:val="00BD02CB"/>
    <w:rsid w:val="00BD0317"/>
    <w:rsid w:val="00BD0CEA"/>
    <w:rsid w:val="00BD0FE7"/>
    <w:rsid w:val="00BD111C"/>
    <w:rsid w:val="00BD1318"/>
    <w:rsid w:val="00BD1794"/>
    <w:rsid w:val="00BD1A98"/>
    <w:rsid w:val="00BD2108"/>
    <w:rsid w:val="00BD2158"/>
    <w:rsid w:val="00BD28D8"/>
    <w:rsid w:val="00BD2A7F"/>
    <w:rsid w:val="00BD2AF2"/>
    <w:rsid w:val="00BD2B64"/>
    <w:rsid w:val="00BD2BD7"/>
    <w:rsid w:val="00BD2C3C"/>
    <w:rsid w:val="00BD2D10"/>
    <w:rsid w:val="00BD31B2"/>
    <w:rsid w:val="00BD3687"/>
    <w:rsid w:val="00BD36AB"/>
    <w:rsid w:val="00BD373A"/>
    <w:rsid w:val="00BD3D76"/>
    <w:rsid w:val="00BD3DF6"/>
    <w:rsid w:val="00BD41B0"/>
    <w:rsid w:val="00BD4432"/>
    <w:rsid w:val="00BD45C5"/>
    <w:rsid w:val="00BD46DB"/>
    <w:rsid w:val="00BD4E95"/>
    <w:rsid w:val="00BD4FBA"/>
    <w:rsid w:val="00BD551E"/>
    <w:rsid w:val="00BD594F"/>
    <w:rsid w:val="00BD5F94"/>
    <w:rsid w:val="00BD6379"/>
    <w:rsid w:val="00BD6650"/>
    <w:rsid w:val="00BD68A3"/>
    <w:rsid w:val="00BD6938"/>
    <w:rsid w:val="00BD6A07"/>
    <w:rsid w:val="00BD6C27"/>
    <w:rsid w:val="00BD6CF3"/>
    <w:rsid w:val="00BD70F6"/>
    <w:rsid w:val="00BD724E"/>
    <w:rsid w:val="00BD7A5E"/>
    <w:rsid w:val="00BD7F72"/>
    <w:rsid w:val="00BE0369"/>
    <w:rsid w:val="00BE06FE"/>
    <w:rsid w:val="00BE077B"/>
    <w:rsid w:val="00BE0B44"/>
    <w:rsid w:val="00BE0B54"/>
    <w:rsid w:val="00BE0CD6"/>
    <w:rsid w:val="00BE0D33"/>
    <w:rsid w:val="00BE0E89"/>
    <w:rsid w:val="00BE0ECA"/>
    <w:rsid w:val="00BE0FAC"/>
    <w:rsid w:val="00BE1279"/>
    <w:rsid w:val="00BE1456"/>
    <w:rsid w:val="00BE156E"/>
    <w:rsid w:val="00BE1970"/>
    <w:rsid w:val="00BE1A70"/>
    <w:rsid w:val="00BE1EBC"/>
    <w:rsid w:val="00BE1F5E"/>
    <w:rsid w:val="00BE2180"/>
    <w:rsid w:val="00BE21F2"/>
    <w:rsid w:val="00BE2884"/>
    <w:rsid w:val="00BE29F0"/>
    <w:rsid w:val="00BE2C95"/>
    <w:rsid w:val="00BE33DA"/>
    <w:rsid w:val="00BE3A7F"/>
    <w:rsid w:val="00BE4275"/>
    <w:rsid w:val="00BE42F3"/>
    <w:rsid w:val="00BE4306"/>
    <w:rsid w:val="00BE4EF5"/>
    <w:rsid w:val="00BE4F9C"/>
    <w:rsid w:val="00BE5BC3"/>
    <w:rsid w:val="00BE602D"/>
    <w:rsid w:val="00BE67C7"/>
    <w:rsid w:val="00BE68D3"/>
    <w:rsid w:val="00BE6932"/>
    <w:rsid w:val="00BE6A99"/>
    <w:rsid w:val="00BE70FC"/>
    <w:rsid w:val="00BE7122"/>
    <w:rsid w:val="00BE79F3"/>
    <w:rsid w:val="00BE7C70"/>
    <w:rsid w:val="00BE7E3A"/>
    <w:rsid w:val="00BE7EED"/>
    <w:rsid w:val="00BF0029"/>
    <w:rsid w:val="00BF012F"/>
    <w:rsid w:val="00BF068F"/>
    <w:rsid w:val="00BF06AE"/>
    <w:rsid w:val="00BF06D3"/>
    <w:rsid w:val="00BF0930"/>
    <w:rsid w:val="00BF0B9B"/>
    <w:rsid w:val="00BF0E02"/>
    <w:rsid w:val="00BF0F95"/>
    <w:rsid w:val="00BF140B"/>
    <w:rsid w:val="00BF1658"/>
    <w:rsid w:val="00BF16AD"/>
    <w:rsid w:val="00BF2275"/>
    <w:rsid w:val="00BF2433"/>
    <w:rsid w:val="00BF264F"/>
    <w:rsid w:val="00BF2934"/>
    <w:rsid w:val="00BF2D61"/>
    <w:rsid w:val="00BF2DB4"/>
    <w:rsid w:val="00BF2E6E"/>
    <w:rsid w:val="00BF2F81"/>
    <w:rsid w:val="00BF333D"/>
    <w:rsid w:val="00BF3A49"/>
    <w:rsid w:val="00BF3DFC"/>
    <w:rsid w:val="00BF4194"/>
    <w:rsid w:val="00BF4529"/>
    <w:rsid w:val="00BF4A86"/>
    <w:rsid w:val="00BF5430"/>
    <w:rsid w:val="00BF54C2"/>
    <w:rsid w:val="00BF55AD"/>
    <w:rsid w:val="00BF5B44"/>
    <w:rsid w:val="00BF5B7B"/>
    <w:rsid w:val="00BF5E13"/>
    <w:rsid w:val="00BF61C9"/>
    <w:rsid w:val="00BF64E8"/>
    <w:rsid w:val="00BF6864"/>
    <w:rsid w:val="00BF6871"/>
    <w:rsid w:val="00BF688D"/>
    <w:rsid w:val="00BF6B9D"/>
    <w:rsid w:val="00BF6C94"/>
    <w:rsid w:val="00BF6CF8"/>
    <w:rsid w:val="00BF6CFC"/>
    <w:rsid w:val="00BF6F30"/>
    <w:rsid w:val="00BF6FDF"/>
    <w:rsid w:val="00BF7168"/>
    <w:rsid w:val="00BF746F"/>
    <w:rsid w:val="00BF74FC"/>
    <w:rsid w:val="00BF7C7E"/>
    <w:rsid w:val="00BF7D02"/>
    <w:rsid w:val="00C00285"/>
    <w:rsid w:val="00C00424"/>
    <w:rsid w:val="00C007B0"/>
    <w:rsid w:val="00C00806"/>
    <w:rsid w:val="00C00B19"/>
    <w:rsid w:val="00C00BB0"/>
    <w:rsid w:val="00C00FA5"/>
    <w:rsid w:val="00C01030"/>
    <w:rsid w:val="00C014CE"/>
    <w:rsid w:val="00C019A7"/>
    <w:rsid w:val="00C01BB3"/>
    <w:rsid w:val="00C01DBE"/>
    <w:rsid w:val="00C0231C"/>
    <w:rsid w:val="00C02728"/>
    <w:rsid w:val="00C02A92"/>
    <w:rsid w:val="00C02C51"/>
    <w:rsid w:val="00C02CA5"/>
    <w:rsid w:val="00C03266"/>
    <w:rsid w:val="00C03A7B"/>
    <w:rsid w:val="00C03D66"/>
    <w:rsid w:val="00C04089"/>
    <w:rsid w:val="00C04319"/>
    <w:rsid w:val="00C04353"/>
    <w:rsid w:val="00C0540B"/>
    <w:rsid w:val="00C057E0"/>
    <w:rsid w:val="00C058C3"/>
    <w:rsid w:val="00C05A6A"/>
    <w:rsid w:val="00C05DF4"/>
    <w:rsid w:val="00C05E46"/>
    <w:rsid w:val="00C05F17"/>
    <w:rsid w:val="00C06077"/>
    <w:rsid w:val="00C0609C"/>
    <w:rsid w:val="00C063BF"/>
    <w:rsid w:val="00C06A4A"/>
    <w:rsid w:val="00C0799F"/>
    <w:rsid w:val="00C079BA"/>
    <w:rsid w:val="00C07A14"/>
    <w:rsid w:val="00C07A17"/>
    <w:rsid w:val="00C07A33"/>
    <w:rsid w:val="00C07ACF"/>
    <w:rsid w:val="00C07BFD"/>
    <w:rsid w:val="00C07FAD"/>
    <w:rsid w:val="00C1004E"/>
    <w:rsid w:val="00C10685"/>
    <w:rsid w:val="00C10E06"/>
    <w:rsid w:val="00C10E61"/>
    <w:rsid w:val="00C112E2"/>
    <w:rsid w:val="00C11421"/>
    <w:rsid w:val="00C1179F"/>
    <w:rsid w:val="00C118A3"/>
    <w:rsid w:val="00C118D8"/>
    <w:rsid w:val="00C1197D"/>
    <w:rsid w:val="00C11CBB"/>
    <w:rsid w:val="00C120A4"/>
    <w:rsid w:val="00C127B9"/>
    <w:rsid w:val="00C128FA"/>
    <w:rsid w:val="00C12950"/>
    <w:rsid w:val="00C12C14"/>
    <w:rsid w:val="00C12D31"/>
    <w:rsid w:val="00C13092"/>
    <w:rsid w:val="00C138AB"/>
    <w:rsid w:val="00C139AE"/>
    <w:rsid w:val="00C13F82"/>
    <w:rsid w:val="00C15570"/>
    <w:rsid w:val="00C1599A"/>
    <w:rsid w:val="00C15A0D"/>
    <w:rsid w:val="00C15B09"/>
    <w:rsid w:val="00C15C0E"/>
    <w:rsid w:val="00C15EC0"/>
    <w:rsid w:val="00C15F04"/>
    <w:rsid w:val="00C161B0"/>
    <w:rsid w:val="00C166BF"/>
    <w:rsid w:val="00C16A7E"/>
    <w:rsid w:val="00C16D20"/>
    <w:rsid w:val="00C16E96"/>
    <w:rsid w:val="00C16F9D"/>
    <w:rsid w:val="00C17044"/>
    <w:rsid w:val="00C17236"/>
    <w:rsid w:val="00C1739A"/>
    <w:rsid w:val="00C1785D"/>
    <w:rsid w:val="00C179B3"/>
    <w:rsid w:val="00C17A42"/>
    <w:rsid w:val="00C17B67"/>
    <w:rsid w:val="00C17D97"/>
    <w:rsid w:val="00C17E3F"/>
    <w:rsid w:val="00C2007A"/>
    <w:rsid w:val="00C200AA"/>
    <w:rsid w:val="00C200BA"/>
    <w:rsid w:val="00C20334"/>
    <w:rsid w:val="00C203D2"/>
    <w:rsid w:val="00C20507"/>
    <w:rsid w:val="00C2061F"/>
    <w:rsid w:val="00C20712"/>
    <w:rsid w:val="00C207C2"/>
    <w:rsid w:val="00C20AC1"/>
    <w:rsid w:val="00C2109C"/>
    <w:rsid w:val="00C210C2"/>
    <w:rsid w:val="00C21380"/>
    <w:rsid w:val="00C21411"/>
    <w:rsid w:val="00C21834"/>
    <w:rsid w:val="00C21DED"/>
    <w:rsid w:val="00C2233E"/>
    <w:rsid w:val="00C22781"/>
    <w:rsid w:val="00C228A7"/>
    <w:rsid w:val="00C22A4C"/>
    <w:rsid w:val="00C22B5C"/>
    <w:rsid w:val="00C22C93"/>
    <w:rsid w:val="00C22CC8"/>
    <w:rsid w:val="00C22D53"/>
    <w:rsid w:val="00C237ED"/>
    <w:rsid w:val="00C23AC3"/>
    <w:rsid w:val="00C240BF"/>
    <w:rsid w:val="00C242EA"/>
    <w:rsid w:val="00C24342"/>
    <w:rsid w:val="00C24632"/>
    <w:rsid w:val="00C24A50"/>
    <w:rsid w:val="00C24AFE"/>
    <w:rsid w:val="00C2511B"/>
    <w:rsid w:val="00C2518A"/>
    <w:rsid w:val="00C25418"/>
    <w:rsid w:val="00C255A9"/>
    <w:rsid w:val="00C259C2"/>
    <w:rsid w:val="00C25D9C"/>
    <w:rsid w:val="00C25EFE"/>
    <w:rsid w:val="00C26016"/>
    <w:rsid w:val="00C27262"/>
    <w:rsid w:val="00C2778B"/>
    <w:rsid w:val="00C27B25"/>
    <w:rsid w:val="00C27DCA"/>
    <w:rsid w:val="00C27EFD"/>
    <w:rsid w:val="00C303CB"/>
    <w:rsid w:val="00C303D5"/>
    <w:rsid w:val="00C30416"/>
    <w:rsid w:val="00C305E9"/>
    <w:rsid w:val="00C30693"/>
    <w:rsid w:val="00C30938"/>
    <w:rsid w:val="00C30B57"/>
    <w:rsid w:val="00C30C7D"/>
    <w:rsid w:val="00C30CAC"/>
    <w:rsid w:val="00C30DAA"/>
    <w:rsid w:val="00C30DC5"/>
    <w:rsid w:val="00C30E21"/>
    <w:rsid w:val="00C314E2"/>
    <w:rsid w:val="00C31649"/>
    <w:rsid w:val="00C3191F"/>
    <w:rsid w:val="00C31C10"/>
    <w:rsid w:val="00C31F7B"/>
    <w:rsid w:val="00C3284B"/>
    <w:rsid w:val="00C32E72"/>
    <w:rsid w:val="00C3304B"/>
    <w:rsid w:val="00C3331C"/>
    <w:rsid w:val="00C33B40"/>
    <w:rsid w:val="00C33BAC"/>
    <w:rsid w:val="00C33E14"/>
    <w:rsid w:val="00C34136"/>
    <w:rsid w:val="00C3434C"/>
    <w:rsid w:val="00C346BC"/>
    <w:rsid w:val="00C346E9"/>
    <w:rsid w:val="00C347F4"/>
    <w:rsid w:val="00C34D86"/>
    <w:rsid w:val="00C34E73"/>
    <w:rsid w:val="00C34EC7"/>
    <w:rsid w:val="00C35099"/>
    <w:rsid w:val="00C35171"/>
    <w:rsid w:val="00C35CD3"/>
    <w:rsid w:val="00C35D32"/>
    <w:rsid w:val="00C35D3C"/>
    <w:rsid w:val="00C366F3"/>
    <w:rsid w:val="00C3670B"/>
    <w:rsid w:val="00C36AEF"/>
    <w:rsid w:val="00C36DB0"/>
    <w:rsid w:val="00C36EAD"/>
    <w:rsid w:val="00C36F9B"/>
    <w:rsid w:val="00C37106"/>
    <w:rsid w:val="00C3749B"/>
    <w:rsid w:val="00C3769F"/>
    <w:rsid w:val="00C37F5C"/>
    <w:rsid w:val="00C37FD4"/>
    <w:rsid w:val="00C40385"/>
    <w:rsid w:val="00C404A2"/>
    <w:rsid w:val="00C405F7"/>
    <w:rsid w:val="00C40A78"/>
    <w:rsid w:val="00C41029"/>
    <w:rsid w:val="00C41361"/>
    <w:rsid w:val="00C41768"/>
    <w:rsid w:val="00C41A28"/>
    <w:rsid w:val="00C41BB0"/>
    <w:rsid w:val="00C41C3B"/>
    <w:rsid w:val="00C41C69"/>
    <w:rsid w:val="00C41D37"/>
    <w:rsid w:val="00C41D71"/>
    <w:rsid w:val="00C41E64"/>
    <w:rsid w:val="00C41FF7"/>
    <w:rsid w:val="00C4220E"/>
    <w:rsid w:val="00C42423"/>
    <w:rsid w:val="00C42805"/>
    <w:rsid w:val="00C42C91"/>
    <w:rsid w:val="00C43637"/>
    <w:rsid w:val="00C43770"/>
    <w:rsid w:val="00C43A79"/>
    <w:rsid w:val="00C43D5D"/>
    <w:rsid w:val="00C44024"/>
    <w:rsid w:val="00C4415B"/>
    <w:rsid w:val="00C44443"/>
    <w:rsid w:val="00C44704"/>
    <w:rsid w:val="00C44846"/>
    <w:rsid w:val="00C44C4F"/>
    <w:rsid w:val="00C44C77"/>
    <w:rsid w:val="00C44EA2"/>
    <w:rsid w:val="00C45459"/>
    <w:rsid w:val="00C45CA2"/>
    <w:rsid w:val="00C45D9F"/>
    <w:rsid w:val="00C45FDD"/>
    <w:rsid w:val="00C4671C"/>
    <w:rsid w:val="00C46A08"/>
    <w:rsid w:val="00C46FD4"/>
    <w:rsid w:val="00C47040"/>
    <w:rsid w:val="00C47255"/>
    <w:rsid w:val="00C475AA"/>
    <w:rsid w:val="00C47829"/>
    <w:rsid w:val="00C47C89"/>
    <w:rsid w:val="00C47D8D"/>
    <w:rsid w:val="00C47E12"/>
    <w:rsid w:val="00C47EF4"/>
    <w:rsid w:val="00C47F25"/>
    <w:rsid w:val="00C5015F"/>
    <w:rsid w:val="00C50605"/>
    <w:rsid w:val="00C50991"/>
    <w:rsid w:val="00C513E4"/>
    <w:rsid w:val="00C519A8"/>
    <w:rsid w:val="00C51CAF"/>
    <w:rsid w:val="00C52673"/>
    <w:rsid w:val="00C527C7"/>
    <w:rsid w:val="00C5374E"/>
    <w:rsid w:val="00C539ED"/>
    <w:rsid w:val="00C53B01"/>
    <w:rsid w:val="00C53BFD"/>
    <w:rsid w:val="00C53C98"/>
    <w:rsid w:val="00C53DEB"/>
    <w:rsid w:val="00C54156"/>
    <w:rsid w:val="00C54701"/>
    <w:rsid w:val="00C5495E"/>
    <w:rsid w:val="00C54D64"/>
    <w:rsid w:val="00C54DFA"/>
    <w:rsid w:val="00C55492"/>
    <w:rsid w:val="00C55AA8"/>
    <w:rsid w:val="00C55D49"/>
    <w:rsid w:val="00C55EF5"/>
    <w:rsid w:val="00C5614A"/>
    <w:rsid w:val="00C562D7"/>
    <w:rsid w:val="00C5676B"/>
    <w:rsid w:val="00C56A7E"/>
    <w:rsid w:val="00C56FCF"/>
    <w:rsid w:val="00C572F6"/>
    <w:rsid w:val="00C57498"/>
    <w:rsid w:val="00C57561"/>
    <w:rsid w:val="00C5788B"/>
    <w:rsid w:val="00C57A1E"/>
    <w:rsid w:val="00C57B06"/>
    <w:rsid w:val="00C57B6C"/>
    <w:rsid w:val="00C57CD6"/>
    <w:rsid w:val="00C57FA0"/>
    <w:rsid w:val="00C60005"/>
    <w:rsid w:val="00C60249"/>
    <w:rsid w:val="00C60307"/>
    <w:rsid w:val="00C60C78"/>
    <w:rsid w:val="00C60F22"/>
    <w:rsid w:val="00C6159E"/>
    <w:rsid w:val="00C61993"/>
    <w:rsid w:val="00C61A59"/>
    <w:rsid w:val="00C61C00"/>
    <w:rsid w:val="00C620CB"/>
    <w:rsid w:val="00C623A9"/>
    <w:rsid w:val="00C624C5"/>
    <w:rsid w:val="00C62741"/>
    <w:rsid w:val="00C628A6"/>
    <w:rsid w:val="00C62B2C"/>
    <w:rsid w:val="00C62BF3"/>
    <w:rsid w:val="00C62D49"/>
    <w:rsid w:val="00C62FA4"/>
    <w:rsid w:val="00C63830"/>
    <w:rsid w:val="00C63903"/>
    <w:rsid w:val="00C63925"/>
    <w:rsid w:val="00C63B7F"/>
    <w:rsid w:val="00C63C05"/>
    <w:rsid w:val="00C63D90"/>
    <w:rsid w:val="00C63E35"/>
    <w:rsid w:val="00C63FD5"/>
    <w:rsid w:val="00C6419D"/>
    <w:rsid w:val="00C64239"/>
    <w:rsid w:val="00C64344"/>
    <w:rsid w:val="00C6459A"/>
    <w:rsid w:val="00C645D0"/>
    <w:rsid w:val="00C64C0B"/>
    <w:rsid w:val="00C64D48"/>
    <w:rsid w:val="00C65051"/>
    <w:rsid w:val="00C65108"/>
    <w:rsid w:val="00C6536D"/>
    <w:rsid w:val="00C65576"/>
    <w:rsid w:val="00C6590C"/>
    <w:rsid w:val="00C65A41"/>
    <w:rsid w:val="00C65BEC"/>
    <w:rsid w:val="00C65ED6"/>
    <w:rsid w:val="00C66041"/>
    <w:rsid w:val="00C66165"/>
    <w:rsid w:val="00C66603"/>
    <w:rsid w:val="00C6661C"/>
    <w:rsid w:val="00C6697C"/>
    <w:rsid w:val="00C66EE8"/>
    <w:rsid w:val="00C6715B"/>
    <w:rsid w:val="00C6762E"/>
    <w:rsid w:val="00C67C27"/>
    <w:rsid w:val="00C67E08"/>
    <w:rsid w:val="00C67E5C"/>
    <w:rsid w:val="00C700AF"/>
    <w:rsid w:val="00C700FC"/>
    <w:rsid w:val="00C701A3"/>
    <w:rsid w:val="00C70352"/>
    <w:rsid w:val="00C70457"/>
    <w:rsid w:val="00C70500"/>
    <w:rsid w:val="00C7060A"/>
    <w:rsid w:val="00C70848"/>
    <w:rsid w:val="00C708EB"/>
    <w:rsid w:val="00C70984"/>
    <w:rsid w:val="00C709E3"/>
    <w:rsid w:val="00C7112C"/>
    <w:rsid w:val="00C71337"/>
    <w:rsid w:val="00C714F1"/>
    <w:rsid w:val="00C71515"/>
    <w:rsid w:val="00C7151A"/>
    <w:rsid w:val="00C717E3"/>
    <w:rsid w:val="00C71A67"/>
    <w:rsid w:val="00C71F60"/>
    <w:rsid w:val="00C72047"/>
    <w:rsid w:val="00C7221D"/>
    <w:rsid w:val="00C72241"/>
    <w:rsid w:val="00C7261D"/>
    <w:rsid w:val="00C726F9"/>
    <w:rsid w:val="00C7280F"/>
    <w:rsid w:val="00C72EF3"/>
    <w:rsid w:val="00C73029"/>
    <w:rsid w:val="00C73248"/>
    <w:rsid w:val="00C73401"/>
    <w:rsid w:val="00C73737"/>
    <w:rsid w:val="00C73946"/>
    <w:rsid w:val="00C73CDC"/>
    <w:rsid w:val="00C73F36"/>
    <w:rsid w:val="00C74245"/>
    <w:rsid w:val="00C74300"/>
    <w:rsid w:val="00C746C4"/>
    <w:rsid w:val="00C748DD"/>
    <w:rsid w:val="00C749E8"/>
    <w:rsid w:val="00C749F9"/>
    <w:rsid w:val="00C74D73"/>
    <w:rsid w:val="00C74EF5"/>
    <w:rsid w:val="00C750C8"/>
    <w:rsid w:val="00C75151"/>
    <w:rsid w:val="00C75178"/>
    <w:rsid w:val="00C7551B"/>
    <w:rsid w:val="00C7560F"/>
    <w:rsid w:val="00C758B6"/>
    <w:rsid w:val="00C7593F"/>
    <w:rsid w:val="00C7595F"/>
    <w:rsid w:val="00C75AC0"/>
    <w:rsid w:val="00C7615C"/>
    <w:rsid w:val="00C7628E"/>
    <w:rsid w:val="00C762F3"/>
    <w:rsid w:val="00C764F4"/>
    <w:rsid w:val="00C76754"/>
    <w:rsid w:val="00C767E6"/>
    <w:rsid w:val="00C76F51"/>
    <w:rsid w:val="00C77007"/>
    <w:rsid w:val="00C772AD"/>
    <w:rsid w:val="00C77391"/>
    <w:rsid w:val="00C774A6"/>
    <w:rsid w:val="00C77549"/>
    <w:rsid w:val="00C77602"/>
    <w:rsid w:val="00C776A9"/>
    <w:rsid w:val="00C77C5C"/>
    <w:rsid w:val="00C77EF6"/>
    <w:rsid w:val="00C77FA0"/>
    <w:rsid w:val="00C77FCD"/>
    <w:rsid w:val="00C800CF"/>
    <w:rsid w:val="00C8044F"/>
    <w:rsid w:val="00C80A0E"/>
    <w:rsid w:val="00C80AC3"/>
    <w:rsid w:val="00C80F77"/>
    <w:rsid w:val="00C815AB"/>
    <w:rsid w:val="00C817CC"/>
    <w:rsid w:val="00C81930"/>
    <w:rsid w:val="00C81BCC"/>
    <w:rsid w:val="00C82091"/>
    <w:rsid w:val="00C8213F"/>
    <w:rsid w:val="00C821E3"/>
    <w:rsid w:val="00C8254B"/>
    <w:rsid w:val="00C8264B"/>
    <w:rsid w:val="00C82809"/>
    <w:rsid w:val="00C82B60"/>
    <w:rsid w:val="00C82D5A"/>
    <w:rsid w:val="00C82FAC"/>
    <w:rsid w:val="00C8303F"/>
    <w:rsid w:val="00C83927"/>
    <w:rsid w:val="00C83F4B"/>
    <w:rsid w:val="00C84601"/>
    <w:rsid w:val="00C8469C"/>
    <w:rsid w:val="00C84B71"/>
    <w:rsid w:val="00C8500D"/>
    <w:rsid w:val="00C850AF"/>
    <w:rsid w:val="00C85154"/>
    <w:rsid w:val="00C85261"/>
    <w:rsid w:val="00C85328"/>
    <w:rsid w:val="00C8576D"/>
    <w:rsid w:val="00C85A70"/>
    <w:rsid w:val="00C85DB7"/>
    <w:rsid w:val="00C85E7C"/>
    <w:rsid w:val="00C85F1C"/>
    <w:rsid w:val="00C86024"/>
    <w:rsid w:val="00C86502"/>
    <w:rsid w:val="00C86CDC"/>
    <w:rsid w:val="00C86DAF"/>
    <w:rsid w:val="00C86E18"/>
    <w:rsid w:val="00C874E5"/>
    <w:rsid w:val="00C8756D"/>
    <w:rsid w:val="00C876C8"/>
    <w:rsid w:val="00C8797A"/>
    <w:rsid w:val="00C87A59"/>
    <w:rsid w:val="00C87BA7"/>
    <w:rsid w:val="00C87E1B"/>
    <w:rsid w:val="00C900B8"/>
    <w:rsid w:val="00C90197"/>
    <w:rsid w:val="00C904EF"/>
    <w:rsid w:val="00C9084D"/>
    <w:rsid w:val="00C908C4"/>
    <w:rsid w:val="00C90C71"/>
    <w:rsid w:val="00C9148C"/>
    <w:rsid w:val="00C91819"/>
    <w:rsid w:val="00C91C34"/>
    <w:rsid w:val="00C91FD1"/>
    <w:rsid w:val="00C9200F"/>
    <w:rsid w:val="00C92924"/>
    <w:rsid w:val="00C92951"/>
    <w:rsid w:val="00C92B6B"/>
    <w:rsid w:val="00C931CF"/>
    <w:rsid w:val="00C938CF"/>
    <w:rsid w:val="00C94053"/>
    <w:rsid w:val="00C94068"/>
    <w:rsid w:val="00C9415A"/>
    <w:rsid w:val="00C94742"/>
    <w:rsid w:val="00C9491C"/>
    <w:rsid w:val="00C94A67"/>
    <w:rsid w:val="00C94CD5"/>
    <w:rsid w:val="00C95072"/>
    <w:rsid w:val="00C95874"/>
    <w:rsid w:val="00C95A5F"/>
    <w:rsid w:val="00C95CA7"/>
    <w:rsid w:val="00C9624D"/>
    <w:rsid w:val="00C9672C"/>
    <w:rsid w:val="00C969DA"/>
    <w:rsid w:val="00C96BAF"/>
    <w:rsid w:val="00C96DB5"/>
    <w:rsid w:val="00C971D9"/>
    <w:rsid w:val="00C97239"/>
    <w:rsid w:val="00C97257"/>
    <w:rsid w:val="00C972B7"/>
    <w:rsid w:val="00C9745C"/>
    <w:rsid w:val="00C975CD"/>
    <w:rsid w:val="00C977A6"/>
    <w:rsid w:val="00C97B01"/>
    <w:rsid w:val="00C97E7C"/>
    <w:rsid w:val="00CA0047"/>
    <w:rsid w:val="00CA02D0"/>
    <w:rsid w:val="00CA06D9"/>
    <w:rsid w:val="00CA0ACC"/>
    <w:rsid w:val="00CA0C0B"/>
    <w:rsid w:val="00CA0D5F"/>
    <w:rsid w:val="00CA0EED"/>
    <w:rsid w:val="00CA12D6"/>
    <w:rsid w:val="00CA161C"/>
    <w:rsid w:val="00CA1B05"/>
    <w:rsid w:val="00CA1E00"/>
    <w:rsid w:val="00CA21FB"/>
    <w:rsid w:val="00CA2356"/>
    <w:rsid w:val="00CA23A6"/>
    <w:rsid w:val="00CA24FC"/>
    <w:rsid w:val="00CA270E"/>
    <w:rsid w:val="00CA294A"/>
    <w:rsid w:val="00CA2C77"/>
    <w:rsid w:val="00CA3407"/>
    <w:rsid w:val="00CA37C6"/>
    <w:rsid w:val="00CA3892"/>
    <w:rsid w:val="00CA3D2F"/>
    <w:rsid w:val="00CA3E7B"/>
    <w:rsid w:val="00CA4164"/>
    <w:rsid w:val="00CA444F"/>
    <w:rsid w:val="00CA4930"/>
    <w:rsid w:val="00CA4A73"/>
    <w:rsid w:val="00CA5245"/>
    <w:rsid w:val="00CA53E3"/>
    <w:rsid w:val="00CA5513"/>
    <w:rsid w:val="00CA56A8"/>
    <w:rsid w:val="00CA58B3"/>
    <w:rsid w:val="00CA59D5"/>
    <w:rsid w:val="00CA5E03"/>
    <w:rsid w:val="00CA6039"/>
    <w:rsid w:val="00CA610D"/>
    <w:rsid w:val="00CA63E2"/>
    <w:rsid w:val="00CA6C41"/>
    <w:rsid w:val="00CA6ED0"/>
    <w:rsid w:val="00CA6F91"/>
    <w:rsid w:val="00CA71F4"/>
    <w:rsid w:val="00CA7922"/>
    <w:rsid w:val="00CA7B09"/>
    <w:rsid w:val="00CA7E20"/>
    <w:rsid w:val="00CA7F7F"/>
    <w:rsid w:val="00CB01BF"/>
    <w:rsid w:val="00CB04B1"/>
    <w:rsid w:val="00CB058B"/>
    <w:rsid w:val="00CB074E"/>
    <w:rsid w:val="00CB074F"/>
    <w:rsid w:val="00CB0964"/>
    <w:rsid w:val="00CB0B02"/>
    <w:rsid w:val="00CB0D69"/>
    <w:rsid w:val="00CB0D79"/>
    <w:rsid w:val="00CB0E14"/>
    <w:rsid w:val="00CB0F5D"/>
    <w:rsid w:val="00CB0F83"/>
    <w:rsid w:val="00CB1034"/>
    <w:rsid w:val="00CB1112"/>
    <w:rsid w:val="00CB1205"/>
    <w:rsid w:val="00CB1227"/>
    <w:rsid w:val="00CB12A5"/>
    <w:rsid w:val="00CB1720"/>
    <w:rsid w:val="00CB18A7"/>
    <w:rsid w:val="00CB1B9B"/>
    <w:rsid w:val="00CB1CAC"/>
    <w:rsid w:val="00CB1F0E"/>
    <w:rsid w:val="00CB2937"/>
    <w:rsid w:val="00CB2DE1"/>
    <w:rsid w:val="00CB2F2A"/>
    <w:rsid w:val="00CB2F97"/>
    <w:rsid w:val="00CB31BA"/>
    <w:rsid w:val="00CB356D"/>
    <w:rsid w:val="00CB35D1"/>
    <w:rsid w:val="00CB3611"/>
    <w:rsid w:val="00CB371B"/>
    <w:rsid w:val="00CB37B0"/>
    <w:rsid w:val="00CB3C84"/>
    <w:rsid w:val="00CB412B"/>
    <w:rsid w:val="00CB41FE"/>
    <w:rsid w:val="00CB439F"/>
    <w:rsid w:val="00CB43C9"/>
    <w:rsid w:val="00CB453F"/>
    <w:rsid w:val="00CB4C90"/>
    <w:rsid w:val="00CB4E30"/>
    <w:rsid w:val="00CB5380"/>
    <w:rsid w:val="00CB561C"/>
    <w:rsid w:val="00CB5923"/>
    <w:rsid w:val="00CB5B1A"/>
    <w:rsid w:val="00CB5C35"/>
    <w:rsid w:val="00CB5DB5"/>
    <w:rsid w:val="00CB61DD"/>
    <w:rsid w:val="00CB6235"/>
    <w:rsid w:val="00CB6A76"/>
    <w:rsid w:val="00CB6B22"/>
    <w:rsid w:val="00CB6F8D"/>
    <w:rsid w:val="00CB7054"/>
    <w:rsid w:val="00CB7840"/>
    <w:rsid w:val="00CB7BCF"/>
    <w:rsid w:val="00CB7CF0"/>
    <w:rsid w:val="00CB7EB6"/>
    <w:rsid w:val="00CB7F5F"/>
    <w:rsid w:val="00CC0039"/>
    <w:rsid w:val="00CC02AB"/>
    <w:rsid w:val="00CC035A"/>
    <w:rsid w:val="00CC0610"/>
    <w:rsid w:val="00CC14C0"/>
    <w:rsid w:val="00CC15F4"/>
    <w:rsid w:val="00CC1770"/>
    <w:rsid w:val="00CC18D9"/>
    <w:rsid w:val="00CC1B39"/>
    <w:rsid w:val="00CC1BFA"/>
    <w:rsid w:val="00CC1D66"/>
    <w:rsid w:val="00CC263C"/>
    <w:rsid w:val="00CC268C"/>
    <w:rsid w:val="00CC273D"/>
    <w:rsid w:val="00CC2808"/>
    <w:rsid w:val="00CC2E9F"/>
    <w:rsid w:val="00CC3486"/>
    <w:rsid w:val="00CC35AA"/>
    <w:rsid w:val="00CC35EA"/>
    <w:rsid w:val="00CC3670"/>
    <w:rsid w:val="00CC3848"/>
    <w:rsid w:val="00CC3CFD"/>
    <w:rsid w:val="00CC4556"/>
    <w:rsid w:val="00CC482E"/>
    <w:rsid w:val="00CC4AF4"/>
    <w:rsid w:val="00CC4B2C"/>
    <w:rsid w:val="00CC4C2A"/>
    <w:rsid w:val="00CC4E0B"/>
    <w:rsid w:val="00CC569F"/>
    <w:rsid w:val="00CC5784"/>
    <w:rsid w:val="00CC5E82"/>
    <w:rsid w:val="00CC60A0"/>
    <w:rsid w:val="00CC64D7"/>
    <w:rsid w:val="00CC6581"/>
    <w:rsid w:val="00CC66B1"/>
    <w:rsid w:val="00CC6C0A"/>
    <w:rsid w:val="00CC6D5E"/>
    <w:rsid w:val="00CC705D"/>
    <w:rsid w:val="00CC714C"/>
    <w:rsid w:val="00CC74AA"/>
    <w:rsid w:val="00CC75D3"/>
    <w:rsid w:val="00CC77D3"/>
    <w:rsid w:val="00CC7879"/>
    <w:rsid w:val="00CC796B"/>
    <w:rsid w:val="00CC79AD"/>
    <w:rsid w:val="00CC7C23"/>
    <w:rsid w:val="00CC7D1D"/>
    <w:rsid w:val="00CC7EC9"/>
    <w:rsid w:val="00CD0200"/>
    <w:rsid w:val="00CD0558"/>
    <w:rsid w:val="00CD06C7"/>
    <w:rsid w:val="00CD099E"/>
    <w:rsid w:val="00CD0C64"/>
    <w:rsid w:val="00CD102C"/>
    <w:rsid w:val="00CD102D"/>
    <w:rsid w:val="00CD11F7"/>
    <w:rsid w:val="00CD129E"/>
    <w:rsid w:val="00CD15D1"/>
    <w:rsid w:val="00CD170E"/>
    <w:rsid w:val="00CD1D8B"/>
    <w:rsid w:val="00CD1E05"/>
    <w:rsid w:val="00CD2100"/>
    <w:rsid w:val="00CD2185"/>
    <w:rsid w:val="00CD234A"/>
    <w:rsid w:val="00CD2723"/>
    <w:rsid w:val="00CD2809"/>
    <w:rsid w:val="00CD2B4F"/>
    <w:rsid w:val="00CD2C5F"/>
    <w:rsid w:val="00CD3B5B"/>
    <w:rsid w:val="00CD3C55"/>
    <w:rsid w:val="00CD3F77"/>
    <w:rsid w:val="00CD44BC"/>
    <w:rsid w:val="00CD4BE9"/>
    <w:rsid w:val="00CD53A6"/>
    <w:rsid w:val="00CD580E"/>
    <w:rsid w:val="00CD589C"/>
    <w:rsid w:val="00CD5A6D"/>
    <w:rsid w:val="00CD5B18"/>
    <w:rsid w:val="00CD639B"/>
    <w:rsid w:val="00CD662E"/>
    <w:rsid w:val="00CD6ADC"/>
    <w:rsid w:val="00CD7193"/>
    <w:rsid w:val="00CD73BD"/>
    <w:rsid w:val="00CD7678"/>
    <w:rsid w:val="00CD76B4"/>
    <w:rsid w:val="00CD76B7"/>
    <w:rsid w:val="00CE049A"/>
    <w:rsid w:val="00CE0807"/>
    <w:rsid w:val="00CE0B4B"/>
    <w:rsid w:val="00CE0CD7"/>
    <w:rsid w:val="00CE0D87"/>
    <w:rsid w:val="00CE10BA"/>
    <w:rsid w:val="00CE15A9"/>
    <w:rsid w:val="00CE165E"/>
    <w:rsid w:val="00CE1A11"/>
    <w:rsid w:val="00CE1B44"/>
    <w:rsid w:val="00CE1C6C"/>
    <w:rsid w:val="00CE1CA7"/>
    <w:rsid w:val="00CE1E26"/>
    <w:rsid w:val="00CE1F54"/>
    <w:rsid w:val="00CE1FB4"/>
    <w:rsid w:val="00CE21DD"/>
    <w:rsid w:val="00CE24A8"/>
    <w:rsid w:val="00CE2756"/>
    <w:rsid w:val="00CE2950"/>
    <w:rsid w:val="00CE2E54"/>
    <w:rsid w:val="00CE2FED"/>
    <w:rsid w:val="00CE3143"/>
    <w:rsid w:val="00CE38C8"/>
    <w:rsid w:val="00CE39A4"/>
    <w:rsid w:val="00CE39C8"/>
    <w:rsid w:val="00CE3E89"/>
    <w:rsid w:val="00CE4294"/>
    <w:rsid w:val="00CE442C"/>
    <w:rsid w:val="00CE455A"/>
    <w:rsid w:val="00CE488A"/>
    <w:rsid w:val="00CE4AB7"/>
    <w:rsid w:val="00CE4AF1"/>
    <w:rsid w:val="00CE4F4E"/>
    <w:rsid w:val="00CE50F4"/>
    <w:rsid w:val="00CE524F"/>
    <w:rsid w:val="00CE58CC"/>
    <w:rsid w:val="00CE59F7"/>
    <w:rsid w:val="00CE5CC9"/>
    <w:rsid w:val="00CE5F56"/>
    <w:rsid w:val="00CE5F90"/>
    <w:rsid w:val="00CE6274"/>
    <w:rsid w:val="00CE640A"/>
    <w:rsid w:val="00CE650E"/>
    <w:rsid w:val="00CE6549"/>
    <w:rsid w:val="00CE67B9"/>
    <w:rsid w:val="00CE6A50"/>
    <w:rsid w:val="00CE70B6"/>
    <w:rsid w:val="00CE7126"/>
    <w:rsid w:val="00CE71AE"/>
    <w:rsid w:val="00CE77B6"/>
    <w:rsid w:val="00CE7D5F"/>
    <w:rsid w:val="00CF00D5"/>
    <w:rsid w:val="00CF01DC"/>
    <w:rsid w:val="00CF0236"/>
    <w:rsid w:val="00CF06F2"/>
    <w:rsid w:val="00CF0951"/>
    <w:rsid w:val="00CF0D81"/>
    <w:rsid w:val="00CF1382"/>
    <w:rsid w:val="00CF1B0B"/>
    <w:rsid w:val="00CF1C86"/>
    <w:rsid w:val="00CF1CF6"/>
    <w:rsid w:val="00CF1E75"/>
    <w:rsid w:val="00CF2203"/>
    <w:rsid w:val="00CF2603"/>
    <w:rsid w:val="00CF2964"/>
    <w:rsid w:val="00CF2B8D"/>
    <w:rsid w:val="00CF2CAF"/>
    <w:rsid w:val="00CF2E61"/>
    <w:rsid w:val="00CF3021"/>
    <w:rsid w:val="00CF30F1"/>
    <w:rsid w:val="00CF395E"/>
    <w:rsid w:val="00CF3A1B"/>
    <w:rsid w:val="00CF3FE7"/>
    <w:rsid w:val="00CF403B"/>
    <w:rsid w:val="00CF456B"/>
    <w:rsid w:val="00CF45DA"/>
    <w:rsid w:val="00CF4D79"/>
    <w:rsid w:val="00CF4FBF"/>
    <w:rsid w:val="00CF532F"/>
    <w:rsid w:val="00CF5554"/>
    <w:rsid w:val="00CF5583"/>
    <w:rsid w:val="00CF59AA"/>
    <w:rsid w:val="00CF5A22"/>
    <w:rsid w:val="00CF5B29"/>
    <w:rsid w:val="00CF5B6E"/>
    <w:rsid w:val="00CF5DC4"/>
    <w:rsid w:val="00CF609A"/>
    <w:rsid w:val="00CF6421"/>
    <w:rsid w:val="00CF6923"/>
    <w:rsid w:val="00CF6C3B"/>
    <w:rsid w:val="00CF6F1C"/>
    <w:rsid w:val="00CF70A9"/>
    <w:rsid w:val="00CF7464"/>
    <w:rsid w:val="00CF7505"/>
    <w:rsid w:val="00CF7509"/>
    <w:rsid w:val="00CF7CE3"/>
    <w:rsid w:val="00CF7D00"/>
    <w:rsid w:val="00CF7F1B"/>
    <w:rsid w:val="00D00324"/>
    <w:rsid w:val="00D004AA"/>
    <w:rsid w:val="00D005D4"/>
    <w:rsid w:val="00D00678"/>
    <w:rsid w:val="00D00F72"/>
    <w:rsid w:val="00D01147"/>
    <w:rsid w:val="00D0122E"/>
    <w:rsid w:val="00D017FD"/>
    <w:rsid w:val="00D01D8A"/>
    <w:rsid w:val="00D02001"/>
    <w:rsid w:val="00D0203C"/>
    <w:rsid w:val="00D020D0"/>
    <w:rsid w:val="00D0262E"/>
    <w:rsid w:val="00D0263E"/>
    <w:rsid w:val="00D026F6"/>
    <w:rsid w:val="00D02B8F"/>
    <w:rsid w:val="00D02C16"/>
    <w:rsid w:val="00D03307"/>
    <w:rsid w:val="00D033E2"/>
    <w:rsid w:val="00D03615"/>
    <w:rsid w:val="00D03679"/>
    <w:rsid w:val="00D03C43"/>
    <w:rsid w:val="00D03C44"/>
    <w:rsid w:val="00D03C95"/>
    <w:rsid w:val="00D04196"/>
    <w:rsid w:val="00D046A0"/>
    <w:rsid w:val="00D04B15"/>
    <w:rsid w:val="00D04D80"/>
    <w:rsid w:val="00D04E47"/>
    <w:rsid w:val="00D052F9"/>
    <w:rsid w:val="00D0545F"/>
    <w:rsid w:val="00D059C2"/>
    <w:rsid w:val="00D05C04"/>
    <w:rsid w:val="00D05E3D"/>
    <w:rsid w:val="00D05EF9"/>
    <w:rsid w:val="00D05FFB"/>
    <w:rsid w:val="00D0611D"/>
    <w:rsid w:val="00D06139"/>
    <w:rsid w:val="00D06239"/>
    <w:rsid w:val="00D063CF"/>
    <w:rsid w:val="00D064B0"/>
    <w:rsid w:val="00D06BBF"/>
    <w:rsid w:val="00D0733C"/>
    <w:rsid w:val="00D07593"/>
    <w:rsid w:val="00D07630"/>
    <w:rsid w:val="00D076DA"/>
    <w:rsid w:val="00D07890"/>
    <w:rsid w:val="00D07BF1"/>
    <w:rsid w:val="00D07CA3"/>
    <w:rsid w:val="00D10385"/>
    <w:rsid w:val="00D1048E"/>
    <w:rsid w:val="00D10623"/>
    <w:rsid w:val="00D1067C"/>
    <w:rsid w:val="00D10A4C"/>
    <w:rsid w:val="00D10EF1"/>
    <w:rsid w:val="00D110BD"/>
    <w:rsid w:val="00D112C2"/>
    <w:rsid w:val="00D11371"/>
    <w:rsid w:val="00D1243E"/>
    <w:rsid w:val="00D1287F"/>
    <w:rsid w:val="00D12EC8"/>
    <w:rsid w:val="00D13115"/>
    <w:rsid w:val="00D13675"/>
    <w:rsid w:val="00D1387B"/>
    <w:rsid w:val="00D1388A"/>
    <w:rsid w:val="00D13985"/>
    <w:rsid w:val="00D139B9"/>
    <w:rsid w:val="00D13E93"/>
    <w:rsid w:val="00D13F76"/>
    <w:rsid w:val="00D141E1"/>
    <w:rsid w:val="00D145D1"/>
    <w:rsid w:val="00D148BF"/>
    <w:rsid w:val="00D14C2E"/>
    <w:rsid w:val="00D14C4B"/>
    <w:rsid w:val="00D14ED9"/>
    <w:rsid w:val="00D15314"/>
    <w:rsid w:val="00D15339"/>
    <w:rsid w:val="00D15480"/>
    <w:rsid w:val="00D15683"/>
    <w:rsid w:val="00D15B48"/>
    <w:rsid w:val="00D15C74"/>
    <w:rsid w:val="00D15E71"/>
    <w:rsid w:val="00D161F1"/>
    <w:rsid w:val="00D161F7"/>
    <w:rsid w:val="00D162A0"/>
    <w:rsid w:val="00D16492"/>
    <w:rsid w:val="00D16691"/>
    <w:rsid w:val="00D16768"/>
    <w:rsid w:val="00D16A3D"/>
    <w:rsid w:val="00D17138"/>
    <w:rsid w:val="00D173AA"/>
    <w:rsid w:val="00D17510"/>
    <w:rsid w:val="00D178C2"/>
    <w:rsid w:val="00D17C45"/>
    <w:rsid w:val="00D17CF1"/>
    <w:rsid w:val="00D17D6C"/>
    <w:rsid w:val="00D17E99"/>
    <w:rsid w:val="00D17FC6"/>
    <w:rsid w:val="00D20034"/>
    <w:rsid w:val="00D20100"/>
    <w:rsid w:val="00D20221"/>
    <w:rsid w:val="00D2035F"/>
    <w:rsid w:val="00D20658"/>
    <w:rsid w:val="00D206E1"/>
    <w:rsid w:val="00D2078C"/>
    <w:rsid w:val="00D209B7"/>
    <w:rsid w:val="00D20A3B"/>
    <w:rsid w:val="00D20B0C"/>
    <w:rsid w:val="00D21402"/>
    <w:rsid w:val="00D2155B"/>
    <w:rsid w:val="00D215B6"/>
    <w:rsid w:val="00D216AA"/>
    <w:rsid w:val="00D21781"/>
    <w:rsid w:val="00D218F7"/>
    <w:rsid w:val="00D21AF8"/>
    <w:rsid w:val="00D21B89"/>
    <w:rsid w:val="00D21EDF"/>
    <w:rsid w:val="00D21EFF"/>
    <w:rsid w:val="00D226C9"/>
    <w:rsid w:val="00D22A08"/>
    <w:rsid w:val="00D22B76"/>
    <w:rsid w:val="00D22DE0"/>
    <w:rsid w:val="00D23036"/>
    <w:rsid w:val="00D23229"/>
    <w:rsid w:val="00D23550"/>
    <w:rsid w:val="00D237E1"/>
    <w:rsid w:val="00D23ACE"/>
    <w:rsid w:val="00D23CAD"/>
    <w:rsid w:val="00D23D11"/>
    <w:rsid w:val="00D244B6"/>
    <w:rsid w:val="00D24AA6"/>
    <w:rsid w:val="00D24AFA"/>
    <w:rsid w:val="00D24EA5"/>
    <w:rsid w:val="00D2556A"/>
    <w:rsid w:val="00D25A4F"/>
    <w:rsid w:val="00D25E83"/>
    <w:rsid w:val="00D265C1"/>
    <w:rsid w:val="00D2665D"/>
    <w:rsid w:val="00D26970"/>
    <w:rsid w:val="00D26FFC"/>
    <w:rsid w:val="00D27456"/>
    <w:rsid w:val="00D2754D"/>
    <w:rsid w:val="00D276E3"/>
    <w:rsid w:val="00D27B27"/>
    <w:rsid w:val="00D30499"/>
    <w:rsid w:val="00D30D5B"/>
    <w:rsid w:val="00D3108A"/>
    <w:rsid w:val="00D31454"/>
    <w:rsid w:val="00D3200D"/>
    <w:rsid w:val="00D3218B"/>
    <w:rsid w:val="00D325F3"/>
    <w:rsid w:val="00D328F0"/>
    <w:rsid w:val="00D3290A"/>
    <w:rsid w:val="00D3296C"/>
    <w:rsid w:val="00D32AE4"/>
    <w:rsid w:val="00D32D92"/>
    <w:rsid w:val="00D33180"/>
    <w:rsid w:val="00D3336C"/>
    <w:rsid w:val="00D3399B"/>
    <w:rsid w:val="00D33BE9"/>
    <w:rsid w:val="00D33F93"/>
    <w:rsid w:val="00D34848"/>
    <w:rsid w:val="00D349E0"/>
    <w:rsid w:val="00D34A09"/>
    <w:rsid w:val="00D34ABE"/>
    <w:rsid w:val="00D34EC7"/>
    <w:rsid w:val="00D35214"/>
    <w:rsid w:val="00D35391"/>
    <w:rsid w:val="00D35687"/>
    <w:rsid w:val="00D357FF"/>
    <w:rsid w:val="00D3597D"/>
    <w:rsid w:val="00D35E76"/>
    <w:rsid w:val="00D35F3B"/>
    <w:rsid w:val="00D3624F"/>
    <w:rsid w:val="00D369E6"/>
    <w:rsid w:val="00D36B4B"/>
    <w:rsid w:val="00D36F8B"/>
    <w:rsid w:val="00D36FFD"/>
    <w:rsid w:val="00D37161"/>
    <w:rsid w:val="00D375A0"/>
    <w:rsid w:val="00D376CB"/>
    <w:rsid w:val="00D37700"/>
    <w:rsid w:val="00D37A61"/>
    <w:rsid w:val="00D37BC9"/>
    <w:rsid w:val="00D400D9"/>
    <w:rsid w:val="00D406CD"/>
    <w:rsid w:val="00D40ADC"/>
    <w:rsid w:val="00D40E11"/>
    <w:rsid w:val="00D4109F"/>
    <w:rsid w:val="00D411FE"/>
    <w:rsid w:val="00D4129C"/>
    <w:rsid w:val="00D4143C"/>
    <w:rsid w:val="00D41514"/>
    <w:rsid w:val="00D4157C"/>
    <w:rsid w:val="00D417C2"/>
    <w:rsid w:val="00D420A9"/>
    <w:rsid w:val="00D424C7"/>
    <w:rsid w:val="00D42774"/>
    <w:rsid w:val="00D42BF2"/>
    <w:rsid w:val="00D42C16"/>
    <w:rsid w:val="00D42C64"/>
    <w:rsid w:val="00D42D00"/>
    <w:rsid w:val="00D43346"/>
    <w:rsid w:val="00D434DD"/>
    <w:rsid w:val="00D435D8"/>
    <w:rsid w:val="00D435DB"/>
    <w:rsid w:val="00D437BC"/>
    <w:rsid w:val="00D438EB"/>
    <w:rsid w:val="00D43B2A"/>
    <w:rsid w:val="00D43CF1"/>
    <w:rsid w:val="00D43CF9"/>
    <w:rsid w:val="00D43D83"/>
    <w:rsid w:val="00D43FF3"/>
    <w:rsid w:val="00D44071"/>
    <w:rsid w:val="00D4419B"/>
    <w:rsid w:val="00D44345"/>
    <w:rsid w:val="00D448A4"/>
    <w:rsid w:val="00D44A63"/>
    <w:rsid w:val="00D44AD2"/>
    <w:rsid w:val="00D44EFF"/>
    <w:rsid w:val="00D44F26"/>
    <w:rsid w:val="00D45101"/>
    <w:rsid w:val="00D454C5"/>
    <w:rsid w:val="00D45797"/>
    <w:rsid w:val="00D4589B"/>
    <w:rsid w:val="00D45A85"/>
    <w:rsid w:val="00D45B7D"/>
    <w:rsid w:val="00D45F9E"/>
    <w:rsid w:val="00D45FB2"/>
    <w:rsid w:val="00D4625C"/>
    <w:rsid w:val="00D46457"/>
    <w:rsid w:val="00D4689A"/>
    <w:rsid w:val="00D46C06"/>
    <w:rsid w:val="00D46DA6"/>
    <w:rsid w:val="00D4706B"/>
    <w:rsid w:val="00D470A3"/>
    <w:rsid w:val="00D4729A"/>
    <w:rsid w:val="00D47575"/>
    <w:rsid w:val="00D47612"/>
    <w:rsid w:val="00D47649"/>
    <w:rsid w:val="00D47813"/>
    <w:rsid w:val="00D47859"/>
    <w:rsid w:val="00D47916"/>
    <w:rsid w:val="00D47C6C"/>
    <w:rsid w:val="00D47DA7"/>
    <w:rsid w:val="00D47EDB"/>
    <w:rsid w:val="00D50995"/>
    <w:rsid w:val="00D50A81"/>
    <w:rsid w:val="00D50B31"/>
    <w:rsid w:val="00D50FED"/>
    <w:rsid w:val="00D51271"/>
    <w:rsid w:val="00D518A6"/>
    <w:rsid w:val="00D518CC"/>
    <w:rsid w:val="00D518DE"/>
    <w:rsid w:val="00D519FB"/>
    <w:rsid w:val="00D51B0E"/>
    <w:rsid w:val="00D522EE"/>
    <w:rsid w:val="00D5243B"/>
    <w:rsid w:val="00D5270A"/>
    <w:rsid w:val="00D52A71"/>
    <w:rsid w:val="00D52B41"/>
    <w:rsid w:val="00D52D38"/>
    <w:rsid w:val="00D52ECA"/>
    <w:rsid w:val="00D53089"/>
    <w:rsid w:val="00D53150"/>
    <w:rsid w:val="00D53188"/>
    <w:rsid w:val="00D533EC"/>
    <w:rsid w:val="00D536E3"/>
    <w:rsid w:val="00D53F4E"/>
    <w:rsid w:val="00D5421A"/>
    <w:rsid w:val="00D546CE"/>
    <w:rsid w:val="00D547C8"/>
    <w:rsid w:val="00D54971"/>
    <w:rsid w:val="00D54BDB"/>
    <w:rsid w:val="00D54D7D"/>
    <w:rsid w:val="00D54E03"/>
    <w:rsid w:val="00D551AF"/>
    <w:rsid w:val="00D552DA"/>
    <w:rsid w:val="00D5543B"/>
    <w:rsid w:val="00D556D3"/>
    <w:rsid w:val="00D5592F"/>
    <w:rsid w:val="00D55AE5"/>
    <w:rsid w:val="00D55B7F"/>
    <w:rsid w:val="00D55E4E"/>
    <w:rsid w:val="00D55EF9"/>
    <w:rsid w:val="00D55F8C"/>
    <w:rsid w:val="00D5633B"/>
    <w:rsid w:val="00D565CF"/>
    <w:rsid w:val="00D5661C"/>
    <w:rsid w:val="00D56628"/>
    <w:rsid w:val="00D5684B"/>
    <w:rsid w:val="00D56A95"/>
    <w:rsid w:val="00D57461"/>
    <w:rsid w:val="00D57879"/>
    <w:rsid w:val="00D5793F"/>
    <w:rsid w:val="00D579E9"/>
    <w:rsid w:val="00D57F10"/>
    <w:rsid w:val="00D6041D"/>
    <w:rsid w:val="00D6076E"/>
    <w:rsid w:val="00D60912"/>
    <w:rsid w:val="00D60B9B"/>
    <w:rsid w:val="00D610AD"/>
    <w:rsid w:val="00D61400"/>
    <w:rsid w:val="00D616E1"/>
    <w:rsid w:val="00D61A2E"/>
    <w:rsid w:val="00D62220"/>
    <w:rsid w:val="00D62291"/>
    <w:rsid w:val="00D622E2"/>
    <w:rsid w:val="00D62320"/>
    <w:rsid w:val="00D6266A"/>
    <w:rsid w:val="00D626EC"/>
    <w:rsid w:val="00D628EF"/>
    <w:rsid w:val="00D62C69"/>
    <w:rsid w:val="00D62E2B"/>
    <w:rsid w:val="00D630A6"/>
    <w:rsid w:val="00D630CE"/>
    <w:rsid w:val="00D63129"/>
    <w:rsid w:val="00D63510"/>
    <w:rsid w:val="00D635C6"/>
    <w:rsid w:val="00D63CED"/>
    <w:rsid w:val="00D640FB"/>
    <w:rsid w:val="00D64CB3"/>
    <w:rsid w:val="00D64D65"/>
    <w:rsid w:val="00D656AF"/>
    <w:rsid w:val="00D65AC2"/>
    <w:rsid w:val="00D65CAC"/>
    <w:rsid w:val="00D66364"/>
    <w:rsid w:val="00D663A1"/>
    <w:rsid w:val="00D6665D"/>
    <w:rsid w:val="00D66923"/>
    <w:rsid w:val="00D66C21"/>
    <w:rsid w:val="00D6742F"/>
    <w:rsid w:val="00D678D8"/>
    <w:rsid w:val="00D67B73"/>
    <w:rsid w:val="00D67DFB"/>
    <w:rsid w:val="00D67EEB"/>
    <w:rsid w:val="00D7033A"/>
    <w:rsid w:val="00D703BC"/>
    <w:rsid w:val="00D70753"/>
    <w:rsid w:val="00D70942"/>
    <w:rsid w:val="00D70E88"/>
    <w:rsid w:val="00D70F16"/>
    <w:rsid w:val="00D712E8"/>
    <w:rsid w:val="00D7241B"/>
    <w:rsid w:val="00D72617"/>
    <w:rsid w:val="00D726A3"/>
    <w:rsid w:val="00D72948"/>
    <w:rsid w:val="00D72F57"/>
    <w:rsid w:val="00D733CC"/>
    <w:rsid w:val="00D73560"/>
    <w:rsid w:val="00D7382F"/>
    <w:rsid w:val="00D73A50"/>
    <w:rsid w:val="00D73D19"/>
    <w:rsid w:val="00D73E4F"/>
    <w:rsid w:val="00D742D1"/>
    <w:rsid w:val="00D7437B"/>
    <w:rsid w:val="00D744C6"/>
    <w:rsid w:val="00D74763"/>
    <w:rsid w:val="00D74AEC"/>
    <w:rsid w:val="00D751C3"/>
    <w:rsid w:val="00D7526D"/>
    <w:rsid w:val="00D75284"/>
    <w:rsid w:val="00D754CB"/>
    <w:rsid w:val="00D75969"/>
    <w:rsid w:val="00D75B80"/>
    <w:rsid w:val="00D76A14"/>
    <w:rsid w:val="00D76A44"/>
    <w:rsid w:val="00D76B53"/>
    <w:rsid w:val="00D76F57"/>
    <w:rsid w:val="00D7743B"/>
    <w:rsid w:val="00D774F2"/>
    <w:rsid w:val="00D77E97"/>
    <w:rsid w:val="00D801B5"/>
    <w:rsid w:val="00D80410"/>
    <w:rsid w:val="00D80655"/>
    <w:rsid w:val="00D80D5F"/>
    <w:rsid w:val="00D815EF"/>
    <w:rsid w:val="00D81808"/>
    <w:rsid w:val="00D81949"/>
    <w:rsid w:val="00D819EF"/>
    <w:rsid w:val="00D81CDE"/>
    <w:rsid w:val="00D81F26"/>
    <w:rsid w:val="00D820BD"/>
    <w:rsid w:val="00D82215"/>
    <w:rsid w:val="00D82249"/>
    <w:rsid w:val="00D822E2"/>
    <w:rsid w:val="00D8239F"/>
    <w:rsid w:val="00D82702"/>
    <w:rsid w:val="00D82A7F"/>
    <w:rsid w:val="00D82F2F"/>
    <w:rsid w:val="00D83954"/>
    <w:rsid w:val="00D839B8"/>
    <w:rsid w:val="00D83AF7"/>
    <w:rsid w:val="00D8427D"/>
    <w:rsid w:val="00D843F2"/>
    <w:rsid w:val="00D84691"/>
    <w:rsid w:val="00D8487D"/>
    <w:rsid w:val="00D84B2A"/>
    <w:rsid w:val="00D84B3D"/>
    <w:rsid w:val="00D84FBE"/>
    <w:rsid w:val="00D85248"/>
    <w:rsid w:val="00D85979"/>
    <w:rsid w:val="00D85A04"/>
    <w:rsid w:val="00D85C72"/>
    <w:rsid w:val="00D85F60"/>
    <w:rsid w:val="00D860BB"/>
    <w:rsid w:val="00D86231"/>
    <w:rsid w:val="00D86799"/>
    <w:rsid w:val="00D86967"/>
    <w:rsid w:val="00D86A0A"/>
    <w:rsid w:val="00D86A28"/>
    <w:rsid w:val="00D86A71"/>
    <w:rsid w:val="00D86D0E"/>
    <w:rsid w:val="00D86F48"/>
    <w:rsid w:val="00D8734A"/>
    <w:rsid w:val="00D8761F"/>
    <w:rsid w:val="00D87644"/>
    <w:rsid w:val="00D876B0"/>
    <w:rsid w:val="00D876EE"/>
    <w:rsid w:val="00D8770A"/>
    <w:rsid w:val="00D87872"/>
    <w:rsid w:val="00D8793F"/>
    <w:rsid w:val="00D87BA5"/>
    <w:rsid w:val="00D907A2"/>
    <w:rsid w:val="00D9080A"/>
    <w:rsid w:val="00D909B1"/>
    <w:rsid w:val="00D90AE2"/>
    <w:rsid w:val="00D90B12"/>
    <w:rsid w:val="00D90B30"/>
    <w:rsid w:val="00D90DA3"/>
    <w:rsid w:val="00D91011"/>
    <w:rsid w:val="00D91174"/>
    <w:rsid w:val="00D912A3"/>
    <w:rsid w:val="00D912AB"/>
    <w:rsid w:val="00D91733"/>
    <w:rsid w:val="00D91742"/>
    <w:rsid w:val="00D91923"/>
    <w:rsid w:val="00D91E69"/>
    <w:rsid w:val="00D91FFE"/>
    <w:rsid w:val="00D92010"/>
    <w:rsid w:val="00D92262"/>
    <w:rsid w:val="00D9234E"/>
    <w:rsid w:val="00D92AEF"/>
    <w:rsid w:val="00D92D9D"/>
    <w:rsid w:val="00D92DF8"/>
    <w:rsid w:val="00D92E10"/>
    <w:rsid w:val="00D92ED2"/>
    <w:rsid w:val="00D93753"/>
    <w:rsid w:val="00D93B0C"/>
    <w:rsid w:val="00D93EEF"/>
    <w:rsid w:val="00D940EC"/>
    <w:rsid w:val="00D9411B"/>
    <w:rsid w:val="00D9417E"/>
    <w:rsid w:val="00D94991"/>
    <w:rsid w:val="00D94E75"/>
    <w:rsid w:val="00D94EF6"/>
    <w:rsid w:val="00D953CE"/>
    <w:rsid w:val="00D954E4"/>
    <w:rsid w:val="00D95D3F"/>
    <w:rsid w:val="00D9624D"/>
    <w:rsid w:val="00D96526"/>
    <w:rsid w:val="00D96908"/>
    <w:rsid w:val="00D96C44"/>
    <w:rsid w:val="00D9702E"/>
    <w:rsid w:val="00D97094"/>
    <w:rsid w:val="00D9711F"/>
    <w:rsid w:val="00D976A9"/>
    <w:rsid w:val="00D976DD"/>
    <w:rsid w:val="00D97AAA"/>
    <w:rsid w:val="00D97D3C"/>
    <w:rsid w:val="00DA08DA"/>
    <w:rsid w:val="00DA090E"/>
    <w:rsid w:val="00DA0C6D"/>
    <w:rsid w:val="00DA0C74"/>
    <w:rsid w:val="00DA0D6F"/>
    <w:rsid w:val="00DA0DFC"/>
    <w:rsid w:val="00DA0F22"/>
    <w:rsid w:val="00DA105A"/>
    <w:rsid w:val="00DA1351"/>
    <w:rsid w:val="00DA138F"/>
    <w:rsid w:val="00DA18EC"/>
    <w:rsid w:val="00DA1A93"/>
    <w:rsid w:val="00DA21B5"/>
    <w:rsid w:val="00DA27F2"/>
    <w:rsid w:val="00DA2F7A"/>
    <w:rsid w:val="00DA3167"/>
    <w:rsid w:val="00DA3388"/>
    <w:rsid w:val="00DA34CE"/>
    <w:rsid w:val="00DA3684"/>
    <w:rsid w:val="00DA39D8"/>
    <w:rsid w:val="00DA3A40"/>
    <w:rsid w:val="00DA3EBB"/>
    <w:rsid w:val="00DA3F3C"/>
    <w:rsid w:val="00DA3F99"/>
    <w:rsid w:val="00DA41D8"/>
    <w:rsid w:val="00DA43D0"/>
    <w:rsid w:val="00DA457D"/>
    <w:rsid w:val="00DA488E"/>
    <w:rsid w:val="00DA498A"/>
    <w:rsid w:val="00DA4DC3"/>
    <w:rsid w:val="00DA4F1F"/>
    <w:rsid w:val="00DA4F6E"/>
    <w:rsid w:val="00DA50F1"/>
    <w:rsid w:val="00DA54D0"/>
    <w:rsid w:val="00DA55D4"/>
    <w:rsid w:val="00DA5904"/>
    <w:rsid w:val="00DA5A1D"/>
    <w:rsid w:val="00DA5D4A"/>
    <w:rsid w:val="00DA5F26"/>
    <w:rsid w:val="00DA60FC"/>
    <w:rsid w:val="00DA630A"/>
    <w:rsid w:val="00DA6A26"/>
    <w:rsid w:val="00DA6A50"/>
    <w:rsid w:val="00DA6C53"/>
    <w:rsid w:val="00DA706C"/>
    <w:rsid w:val="00DA7482"/>
    <w:rsid w:val="00DA7748"/>
    <w:rsid w:val="00DA77A5"/>
    <w:rsid w:val="00DA7E55"/>
    <w:rsid w:val="00DA7ED3"/>
    <w:rsid w:val="00DB0584"/>
    <w:rsid w:val="00DB05C2"/>
    <w:rsid w:val="00DB085C"/>
    <w:rsid w:val="00DB0D02"/>
    <w:rsid w:val="00DB0D07"/>
    <w:rsid w:val="00DB0D23"/>
    <w:rsid w:val="00DB0E36"/>
    <w:rsid w:val="00DB1516"/>
    <w:rsid w:val="00DB1944"/>
    <w:rsid w:val="00DB234F"/>
    <w:rsid w:val="00DB2723"/>
    <w:rsid w:val="00DB2AC8"/>
    <w:rsid w:val="00DB3281"/>
    <w:rsid w:val="00DB34D9"/>
    <w:rsid w:val="00DB3761"/>
    <w:rsid w:val="00DB381F"/>
    <w:rsid w:val="00DB39DA"/>
    <w:rsid w:val="00DB3BA3"/>
    <w:rsid w:val="00DB3DBF"/>
    <w:rsid w:val="00DB437D"/>
    <w:rsid w:val="00DB459A"/>
    <w:rsid w:val="00DB46A6"/>
    <w:rsid w:val="00DB46A9"/>
    <w:rsid w:val="00DB484F"/>
    <w:rsid w:val="00DB4AB7"/>
    <w:rsid w:val="00DB4C97"/>
    <w:rsid w:val="00DB4DCC"/>
    <w:rsid w:val="00DB4DD5"/>
    <w:rsid w:val="00DB50BF"/>
    <w:rsid w:val="00DB5974"/>
    <w:rsid w:val="00DB59E0"/>
    <w:rsid w:val="00DB61A6"/>
    <w:rsid w:val="00DB621F"/>
    <w:rsid w:val="00DB6488"/>
    <w:rsid w:val="00DB68DC"/>
    <w:rsid w:val="00DB6F4C"/>
    <w:rsid w:val="00DB6F6C"/>
    <w:rsid w:val="00DB7263"/>
    <w:rsid w:val="00DB7518"/>
    <w:rsid w:val="00DB7DF1"/>
    <w:rsid w:val="00DC0236"/>
    <w:rsid w:val="00DC04F6"/>
    <w:rsid w:val="00DC0690"/>
    <w:rsid w:val="00DC0880"/>
    <w:rsid w:val="00DC08F8"/>
    <w:rsid w:val="00DC0C32"/>
    <w:rsid w:val="00DC0D2E"/>
    <w:rsid w:val="00DC12B5"/>
    <w:rsid w:val="00DC1937"/>
    <w:rsid w:val="00DC193A"/>
    <w:rsid w:val="00DC1D65"/>
    <w:rsid w:val="00DC1DA7"/>
    <w:rsid w:val="00DC24F2"/>
    <w:rsid w:val="00DC2B27"/>
    <w:rsid w:val="00DC360F"/>
    <w:rsid w:val="00DC3934"/>
    <w:rsid w:val="00DC3AFD"/>
    <w:rsid w:val="00DC3C57"/>
    <w:rsid w:val="00DC3E3C"/>
    <w:rsid w:val="00DC4192"/>
    <w:rsid w:val="00DC425A"/>
    <w:rsid w:val="00DC47F6"/>
    <w:rsid w:val="00DC4E74"/>
    <w:rsid w:val="00DC5231"/>
    <w:rsid w:val="00DC5501"/>
    <w:rsid w:val="00DC565E"/>
    <w:rsid w:val="00DC5CC2"/>
    <w:rsid w:val="00DC5DE4"/>
    <w:rsid w:val="00DC627C"/>
    <w:rsid w:val="00DC6346"/>
    <w:rsid w:val="00DC6531"/>
    <w:rsid w:val="00DC6AF3"/>
    <w:rsid w:val="00DC712A"/>
    <w:rsid w:val="00DC7154"/>
    <w:rsid w:val="00DC733E"/>
    <w:rsid w:val="00DC770E"/>
    <w:rsid w:val="00DC79CA"/>
    <w:rsid w:val="00DC7CE1"/>
    <w:rsid w:val="00DC7E8A"/>
    <w:rsid w:val="00DD06C6"/>
    <w:rsid w:val="00DD079F"/>
    <w:rsid w:val="00DD0D5B"/>
    <w:rsid w:val="00DD0F78"/>
    <w:rsid w:val="00DD145D"/>
    <w:rsid w:val="00DD1513"/>
    <w:rsid w:val="00DD15B3"/>
    <w:rsid w:val="00DD1CA3"/>
    <w:rsid w:val="00DD1F56"/>
    <w:rsid w:val="00DD26AF"/>
    <w:rsid w:val="00DD273C"/>
    <w:rsid w:val="00DD2986"/>
    <w:rsid w:val="00DD29D8"/>
    <w:rsid w:val="00DD3564"/>
    <w:rsid w:val="00DD3747"/>
    <w:rsid w:val="00DD384B"/>
    <w:rsid w:val="00DD3F28"/>
    <w:rsid w:val="00DD420A"/>
    <w:rsid w:val="00DD4446"/>
    <w:rsid w:val="00DD4537"/>
    <w:rsid w:val="00DD4861"/>
    <w:rsid w:val="00DD4934"/>
    <w:rsid w:val="00DD4D7A"/>
    <w:rsid w:val="00DD4E15"/>
    <w:rsid w:val="00DD5061"/>
    <w:rsid w:val="00DD520D"/>
    <w:rsid w:val="00DD56FB"/>
    <w:rsid w:val="00DD5BB6"/>
    <w:rsid w:val="00DD5C49"/>
    <w:rsid w:val="00DD62D3"/>
    <w:rsid w:val="00DD63B4"/>
    <w:rsid w:val="00DD6417"/>
    <w:rsid w:val="00DD68DD"/>
    <w:rsid w:val="00DD6CF2"/>
    <w:rsid w:val="00DD718B"/>
    <w:rsid w:val="00DD742D"/>
    <w:rsid w:val="00DD7735"/>
    <w:rsid w:val="00DD774B"/>
    <w:rsid w:val="00DD7805"/>
    <w:rsid w:val="00DD78AE"/>
    <w:rsid w:val="00DD7AA9"/>
    <w:rsid w:val="00DE019C"/>
    <w:rsid w:val="00DE0554"/>
    <w:rsid w:val="00DE0659"/>
    <w:rsid w:val="00DE07F9"/>
    <w:rsid w:val="00DE0A1F"/>
    <w:rsid w:val="00DE10B2"/>
    <w:rsid w:val="00DE117B"/>
    <w:rsid w:val="00DE1313"/>
    <w:rsid w:val="00DE16FB"/>
    <w:rsid w:val="00DE1A9B"/>
    <w:rsid w:val="00DE1AC1"/>
    <w:rsid w:val="00DE21B6"/>
    <w:rsid w:val="00DE2304"/>
    <w:rsid w:val="00DE25B3"/>
    <w:rsid w:val="00DE269C"/>
    <w:rsid w:val="00DE279C"/>
    <w:rsid w:val="00DE27D5"/>
    <w:rsid w:val="00DE2880"/>
    <w:rsid w:val="00DE2937"/>
    <w:rsid w:val="00DE2D60"/>
    <w:rsid w:val="00DE2E45"/>
    <w:rsid w:val="00DE3138"/>
    <w:rsid w:val="00DE3175"/>
    <w:rsid w:val="00DE352A"/>
    <w:rsid w:val="00DE37F8"/>
    <w:rsid w:val="00DE3A69"/>
    <w:rsid w:val="00DE3BD9"/>
    <w:rsid w:val="00DE3F4D"/>
    <w:rsid w:val="00DE4273"/>
    <w:rsid w:val="00DE448C"/>
    <w:rsid w:val="00DE49DD"/>
    <w:rsid w:val="00DE4C5D"/>
    <w:rsid w:val="00DE4DAF"/>
    <w:rsid w:val="00DE4EEE"/>
    <w:rsid w:val="00DE4F38"/>
    <w:rsid w:val="00DE4FCB"/>
    <w:rsid w:val="00DE4FF0"/>
    <w:rsid w:val="00DE50D9"/>
    <w:rsid w:val="00DE555F"/>
    <w:rsid w:val="00DE59A5"/>
    <w:rsid w:val="00DE5A5B"/>
    <w:rsid w:val="00DE5D07"/>
    <w:rsid w:val="00DE630B"/>
    <w:rsid w:val="00DE6D4C"/>
    <w:rsid w:val="00DE70FC"/>
    <w:rsid w:val="00DE72A7"/>
    <w:rsid w:val="00DE7832"/>
    <w:rsid w:val="00DE7883"/>
    <w:rsid w:val="00DE7B24"/>
    <w:rsid w:val="00DE7EB7"/>
    <w:rsid w:val="00DF0007"/>
    <w:rsid w:val="00DF0016"/>
    <w:rsid w:val="00DF0D2D"/>
    <w:rsid w:val="00DF0D64"/>
    <w:rsid w:val="00DF0E77"/>
    <w:rsid w:val="00DF0EEE"/>
    <w:rsid w:val="00DF0F3A"/>
    <w:rsid w:val="00DF18FC"/>
    <w:rsid w:val="00DF1BF5"/>
    <w:rsid w:val="00DF1CFD"/>
    <w:rsid w:val="00DF1F1F"/>
    <w:rsid w:val="00DF21A4"/>
    <w:rsid w:val="00DF233E"/>
    <w:rsid w:val="00DF2599"/>
    <w:rsid w:val="00DF261C"/>
    <w:rsid w:val="00DF28FD"/>
    <w:rsid w:val="00DF2F99"/>
    <w:rsid w:val="00DF3587"/>
    <w:rsid w:val="00DF3AFF"/>
    <w:rsid w:val="00DF3E1B"/>
    <w:rsid w:val="00DF3E6D"/>
    <w:rsid w:val="00DF45F3"/>
    <w:rsid w:val="00DF48C1"/>
    <w:rsid w:val="00DF4965"/>
    <w:rsid w:val="00DF52DD"/>
    <w:rsid w:val="00DF5497"/>
    <w:rsid w:val="00DF58B5"/>
    <w:rsid w:val="00DF5D2B"/>
    <w:rsid w:val="00DF616B"/>
    <w:rsid w:val="00DF6341"/>
    <w:rsid w:val="00DF75E2"/>
    <w:rsid w:val="00DF762F"/>
    <w:rsid w:val="00DF77D5"/>
    <w:rsid w:val="00DF78B9"/>
    <w:rsid w:val="00DF7FDB"/>
    <w:rsid w:val="00E00698"/>
    <w:rsid w:val="00E00763"/>
    <w:rsid w:val="00E00B52"/>
    <w:rsid w:val="00E00BCF"/>
    <w:rsid w:val="00E00C9E"/>
    <w:rsid w:val="00E00E8E"/>
    <w:rsid w:val="00E01219"/>
    <w:rsid w:val="00E0136C"/>
    <w:rsid w:val="00E0152B"/>
    <w:rsid w:val="00E01591"/>
    <w:rsid w:val="00E01BDC"/>
    <w:rsid w:val="00E01DD9"/>
    <w:rsid w:val="00E02074"/>
    <w:rsid w:val="00E02247"/>
    <w:rsid w:val="00E02614"/>
    <w:rsid w:val="00E0263D"/>
    <w:rsid w:val="00E028EF"/>
    <w:rsid w:val="00E02A16"/>
    <w:rsid w:val="00E032A1"/>
    <w:rsid w:val="00E03A06"/>
    <w:rsid w:val="00E03A2C"/>
    <w:rsid w:val="00E03BD7"/>
    <w:rsid w:val="00E03C75"/>
    <w:rsid w:val="00E03D3B"/>
    <w:rsid w:val="00E0408B"/>
    <w:rsid w:val="00E04942"/>
    <w:rsid w:val="00E0495D"/>
    <w:rsid w:val="00E04A4D"/>
    <w:rsid w:val="00E04D66"/>
    <w:rsid w:val="00E05630"/>
    <w:rsid w:val="00E056A8"/>
    <w:rsid w:val="00E057CF"/>
    <w:rsid w:val="00E05E0A"/>
    <w:rsid w:val="00E06479"/>
    <w:rsid w:val="00E0654B"/>
    <w:rsid w:val="00E06DBB"/>
    <w:rsid w:val="00E06DDE"/>
    <w:rsid w:val="00E06EF0"/>
    <w:rsid w:val="00E072E2"/>
    <w:rsid w:val="00E07E2D"/>
    <w:rsid w:val="00E07E93"/>
    <w:rsid w:val="00E10149"/>
    <w:rsid w:val="00E101A2"/>
    <w:rsid w:val="00E102AF"/>
    <w:rsid w:val="00E104EC"/>
    <w:rsid w:val="00E10AC9"/>
    <w:rsid w:val="00E10D31"/>
    <w:rsid w:val="00E10F31"/>
    <w:rsid w:val="00E1109D"/>
    <w:rsid w:val="00E11340"/>
    <w:rsid w:val="00E11689"/>
    <w:rsid w:val="00E1177E"/>
    <w:rsid w:val="00E1184F"/>
    <w:rsid w:val="00E118A8"/>
    <w:rsid w:val="00E11C34"/>
    <w:rsid w:val="00E11CE0"/>
    <w:rsid w:val="00E11D1C"/>
    <w:rsid w:val="00E11DC3"/>
    <w:rsid w:val="00E11E51"/>
    <w:rsid w:val="00E12155"/>
    <w:rsid w:val="00E122A1"/>
    <w:rsid w:val="00E1258C"/>
    <w:rsid w:val="00E12751"/>
    <w:rsid w:val="00E12AD5"/>
    <w:rsid w:val="00E12FF4"/>
    <w:rsid w:val="00E1315A"/>
    <w:rsid w:val="00E131C1"/>
    <w:rsid w:val="00E13397"/>
    <w:rsid w:val="00E142FD"/>
    <w:rsid w:val="00E143E3"/>
    <w:rsid w:val="00E14C94"/>
    <w:rsid w:val="00E14D6A"/>
    <w:rsid w:val="00E15164"/>
    <w:rsid w:val="00E156F3"/>
    <w:rsid w:val="00E158E8"/>
    <w:rsid w:val="00E1599B"/>
    <w:rsid w:val="00E15A2E"/>
    <w:rsid w:val="00E15A66"/>
    <w:rsid w:val="00E160D6"/>
    <w:rsid w:val="00E16140"/>
    <w:rsid w:val="00E16271"/>
    <w:rsid w:val="00E16372"/>
    <w:rsid w:val="00E167CB"/>
    <w:rsid w:val="00E16AD8"/>
    <w:rsid w:val="00E17283"/>
    <w:rsid w:val="00E1746D"/>
    <w:rsid w:val="00E174BF"/>
    <w:rsid w:val="00E17846"/>
    <w:rsid w:val="00E17B0C"/>
    <w:rsid w:val="00E17FE2"/>
    <w:rsid w:val="00E17FFA"/>
    <w:rsid w:val="00E2062C"/>
    <w:rsid w:val="00E208BC"/>
    <w:rsid w:val="00E20A17"/>
    <w:rsid w:val="00E20B62"/>
    <w:rsid w:val="00E20C65"/>
    <w:rsid w:val="00E20E4D"/>
    <w:rsid w:val="00E20ED6"/>
    <w:rsid w:val="00E21358"/>
    <w:rsid w:val="00E21B10"/>
    <w:rsid w:val="00E21F75"/>
    <w:rsid w:val="00E21F9A"/>
    <w:rsid w:val="00E223F3"/>
    <w:rsid w:val="00E2249B"/>
    <w:rsid w:val="00E22A0D"/>
    <w:rsid w:val="00E22C67"/>
    <w:rsid w:val="00E2342C"/>
    <w:rsid w:val="00E2360D"/>
    <w:rsid w:val="00E23892"/>
    <w:rsid w:val="00E23A53"/>
    <w:rsid w:val="00E240A4"/>
    <w:rsid w:val="00E2418F"/>
    <w:rsid w:val="00E244F6"/>
    <w:rsid w:val="00E24511"/>
    <w:rsid w:val="00E24865"/>
    <w:rsid w:val="00E24C9A"/>
    <w:rsid w:val="00E24E56"/>
    <w:rsid w:val="00E25404"/>
    <w:rsid w:val="00E258DB"/>
    <w:rsid w:val="00E25AE0"/>
    <w:rsid w:val="00E25AFB"/>
    <w:rsid w:val="00E25B2E"/>
    <w:rsid w:val="00E25DAB"/>
    <w:rsid w:val="00E25DB7"/>
    <w:rsid w:val="00E25E5B"/>
    <w:rsid w:val="00E26044"/>
    <w:rsid w:val="00E264DC"/>
    <w:rsid w:val="00E2658F"/>
    <w:rsid w:val="00E265BB"/>
    <w:rsid w:val="00E267CA"/>
    <w:rsid w:val="00E26B67"/>
    <w:rsid w:val="00E26DB6"/>
    <w:rsid w:val="00E2771E"/>
    <w:rsid w:val="00E2794C"/>
    <w:rsid w:val="00E27A96"/>
    <w:rsid w:val="00E27E4C"/>
    <w:rsid w:val="00E27EA8"/>
    <w:rsid w:val="00E27F55"/>
    <w:rsid w:val="00E30264"/>
    <w:rsid w:val="00E302D5"/>
    <w:rsid w:val="00E305DB"/>
    <w:rsid w:val="00E30724"/>
    <w:rsid w:val="00E30B81"/>
    <w:rsid w:val="00E30BD8"/>
    <w:rsid w:val="00E30D25"/>
    <w:rsid w:val="00E30E5B"/>
    <w:rsid w:val="00E311EF"/>
    <w:rsid w:val="00E3177A"/>
    <w:rsid w:val="00E31B8D"/>
    <w:rsid w:val="00E31CAE"/>
    <w:rsid w:val="00E31CDE"/>
    <w:rsid w:val="00E31D74"/>
    <w:rsid w:val="00E31D92"/>
    <w:rsid w:val="00E31E2F"/>
    <w:rsid w:val="00E32180"/>
    <w:rsid w:val="00E32615"/>
    <w:rsid w:val="00E331A9"/>
    <w:rsid w:val="00E334D9"/>
    <w:rsid w:val="00E336F0"/>
    <w:rsid w:val="00E33A5D"/>
    <w:rsid w:val="00E33AF8"/>
    <w:rsid w:val="00E33B1C"/>
    <w:rsid w:val="00E34267"/>
    <w:rsid w:val="00E3489F"/>
    <w:rsid w:val="00E34948"/>
    <w:rsid w:val="00E34A86"/>
    <w:rsid w:val="00E34F9A"/>
    <w:rsid w:val="00E355B3"/>
    <w:rsid w:val="00E356C5"/>
    <w:rsid w:val="00E359B9"/>
    <w:rsid w:val="00E36176"/>
    <w:rsid w:val="00E3694E"/>
    <w:rsid w:val="00E36BBE"/>
    <w:rsid w:val="00E371F9"/>
    <w:rsid w:val="00E3735F"/>
    <w:rsid w:val="00E373D4"/>
    <w:rsid w:val="00E37569"/>
    <w:rsid w:val="00E401B2"/>
    <w:rsid w:val="00E40516"/>
    <w:rsid w:val="00E40911"/>
    <w:rsid w:val="00E40C54"/>
    <w:rsid w:val="00E40F50"/>
    <w:rsid w:val="00E41351"/>
    <w:rsid w:val="00E4151D"/>
    <w:rsid w:val="00E4154D"/>
    <w:rsid w:val="00E41E30"/>
    <w:rsid w:val="00E41E7D"/>
    <w:rsid w:val="00E4258D"/>
    <w:rsid w:val="00E428DD"/>
    <w:rsid w:val="00E42925"/>
    <w:rsid w:val="00E42B99"/>
    <w:rsid w:val="00E42D19"/>
    <w:rsid w:val="00E42ED8"/>
    <w:rsid w:val="00E42F73"/>
    <w:rsid w:val="00E430C7"/>
    <w:rsid w:val="00E43201"/>
    <w:rsid w:val="00E43300"/>
    <w:rsid w:val="00E4360E"/>
    <w:rsid w:val="00E43616"/>
    <w:rsid w:val="00E438CD"/>
    <w:rsid w:val="00E43D70"/>
    <w:rsid w:val="00E44A34"/>
    <w:rsid w:val="00E44DDD"/>
    <w:rsid w:val="00E45185"/>
    <w:rsid w:val="00E45545"/>
    <w:rsid w:val="00E4589B"/>
    <w:rsid w:val="00E45C61"/>
    <w:rsid w:val="00E46689"/>
    <w:rsid w:val="00E466F3"/>
    <w:rsid w:val="00E469DB"/>
    <w:rsid w:val="00E46D4C"/>
    <w:rsid w:val="00E46D89"/>
    <w:rsid w:val="00E46EB9"/>
    <w:rsid w:val="00E4700C"/>
    <w:rsid w:val="00E472D5"/>
    <w:rsid w:val="00E473E6"/>
    <w:rsid w:val="00E475C8"/>
    <w:rsid w:val="00E47B2C"/>
    <w:rsid w:val="00E47F7D"/>
    <w:rsid w:val="00E50146"/>
    <w:rsid w:val="00E50398"/>
    <w:rsid w:val="00E506C1"/>
    <w:rsid w:val="00E50731"/>
    <w:rsid w:val="00E50846"/>
    <w:rsid w:val="00E50E18"/>
    <w:rsid w:val="00E50E1E"/>
    <w:rsid w:val="00E51066"/>
    <w:rsid w:val="00E51253"/>
    <w:rsid w:val="00E51560"/>
    <w:rsid w:val="00E516F8"/>
    <w:rsid w:val="00E51821"/>
    <w:rsid w:val="00E519C1"/>
    <w:rsid w:val="00E51D47"/>
    <w:rsid w:val="00E51F3D"/>
    <w:rsid w:val="00E52055"/>
    <w:rsid w:val="00E52963"/>
    <w:rsid w:val="00E52B7B"/>
    <w:rsid w:val="00E533ED"/>
    <w:rsid w:val="00E539D7"/>
    <w:rsid w:val="00E53B70"/>
    <w:rsid w:val="00E53DE2"/>
    <w:rsid w:val="00E53E19"/>
    <w:rsid w:val="00E53FBC"/>
    <w:rsid w:val="00E53FC8"/>
    <w:rsid w:val="00E53FDE"/>
    <w:rsid w:val="00E53FF4"/>
    <w:rsid w:val="00E5422E"/>
    <w:rsid w:val="00E54347"/>
    <w:rsid w:val="00E54A21"/>
    <w:rsid w:val="00E54C04"/>
    <w:rsid w:val="00E55424"/>
    <w:rsid w:val="00E558DD"/>
    <w:rsid w:val="00E55915"/>
    <w:rsid w:val="00E55BB5"/>
    <w:rsid w:val="00E56237"/>
    <w:rsid w:val="00E5651F"/>
    <w:rsid w:val="00E5664A"/>
    <w:rsid w:val="00E56950"/>
    <w:rsid w:val="00E56A82"/>
    <w:rsid w:val="00E5704A"/>
    <w:rsid w:val="00E57332"/>
    <w:rsid w:val="00E57399"/>
    <w:rsid w:val="00E576F9"/>
    <w:rsid w:val="00E60116"/>
    <w:rsid w:val="00E60488"/>
    <w:rsid w:val="00E60806"/>
    <w:rsid w:val="00E60B51"/>
    <w:rsid w:val="00E60C4E"/>
    <w:rsid w:val="00E60D58"/>
    <w:rsid w:val="00E60E39"/>
    <w:rsid w:val="00E611DF"/>
    <w:rsid w:val="00E612D1"/>
    <w:rsid w:val="00E616C6"/>
    <w:rsid w:val="00E61BAC"/>
    <w:rsid w:val="00E621E7"/>
    <w:rsid w:val="00E622CF"/>
    <w:rsid w:val="00E62497"/>
    <w:rsid w:val="00E62CA4"/>
    <w:rsid w:val="00E62E8A"/>
    <w:rsid w:val="00E63AC0"/>
    <w:rsid w:val="00E63B25"/>
    <w:rsid w:val="00E63CAE"/>
    <w:rsid w:val="00E64492"/>
    <w:rsid w:val="00E6468C"/>
    <w:rsid w:val="00E648FA"/>
    <w:rsid w:val="00E64CC0"/>
    <w:rsid w:val="00E64E0F"/>
    <w:rsid w:val="00E64EE3"/>
    <w:rsid w:val="00E64F6F"/>
    <w:rsid w:val="00E65370"/>
    <w:rsid w:val="00E65432"/>
    <w:rsid w:val="00E654B4"/>
    <w:rsid w:val="00E65564"/>
    <w:rsid w:val="00E65980"/>
    <w:rsid w:val="00E65BE6"/>
    <w:rsid w:val="00E65D97"/>
    <w:rsid w:val="00E65E79"/>
    <w:rsid w:val="00E65FCE"/>
    <w:rsid w:val="00E660ED"/>
    <w:rsid w:val="00E66B47"/>
    <w:rsid w:val="00E66BA2"/>
    <w:rsid w:val="00E67416"/>
    <w:rsid w:val="00E67460"/>
    <w:rsid w:val="00E6784F"/>
    <w:rsid w:val="00E6786A"/>
    <w:rsid w:val="00E679E7"/>
    <w:rsid w:val="00E67A85"/>
    <w:rsid w:val="00E67B63"/>
    <w:rsid w:val="00E67C52"/>
    <w:rsid w:val="00E70268"/>
    <w:rsid w:val="00E7088E"/>
    <w:rsid w:val="00E70DAB"/>
    <w:rsid w:val="00E71610"/>
    <w:rsid w:val="00E718B6"/>
    <w:rsid w:val="00E71A2E"/>
    <w:rsid w:val="00E71AF2"/>
    <w:rsid w:val="00E71C5E"/>
    <w:rsid w:val="00E71F71"/>
    <w:rsid w:val="00E71F7F"/>
    <w:rsid w:val="00E723BA"/>
    <w:rsid w:val="00E723E6"/>
    <w:rsid w:val="00E72793"/>
    <w:rsid w:val="00E7297B"/>
    <w:rsid w:val="00E72C33"/>
    <w:rsid w:val="00E72C86"/>
    <w:rsid w:val="00E72EC5"/>
    <w:rsid w:val="00E731C3"/>
    <w:rsid w:val="00E732B4"/>
    <w:rsid w:val="00E73430"/>
    <w:rsid w:val="00E7346B"/>
    <w:rsid w:val="00E73581"/>
    <w:rsid w:val="00E7366B"/>
    <w:rsid w:val="00E73714"/>
    <w:rsid w:val="00E737D1"/>
    <w:rsid w:val="00E73B77"/>
    <w:rsid w:val="00E73C15"/>
    <w:rsid w:val="00E7402C"/>
    <w:rsid w:val="00E7433D"/>
    <w:rsid w:val="00E74558"/>
    <w:rsid w:val="00E7489E"/>
    <w:rsid w:val="00E74B40"/>
    <w:rsid w:val="00E74F14"/>
    <w:rsid w:val="00E74F94"/>
    <w:rsid w:val="00E750B0"/>
    <w:rsid w:val="00E759E4"/>
    <w:rsid w:val="00E765DE"/>
    <w:rsid w:val="00E76F4F"/>
    <w:rsid w:val="00E770BC"/>
    <w:rsid w:val="00E773C3"/>
    <w:rsid w:val="00E778CF"/>
    <w:rsid w:val="00E80244"/>
    <w:rsid w:val="00E805E7"/>
    <w:rsid w:val="00E814A6"/>
    <w:rsid w:val="00E815A0"/>
    <w:rsid w:val="00E81D6F"/>
    <w:rsid w:val="00E81DBB"/>
    <w:rsid w:val="00E828D8"/>
    <w:rsid w:val="00E82954"/>
    <w:rsid w:val="00E82F09"/>
    <w:rsid w:val="00E831D0"/>
    <w:rsid w:val="00E8339C"/>
    <w:rsid w:val="00E833F7"/>
    <w:rsid w:val="00E83BDF"/>
    <w:rsid w:val="00E83F0D"/>
    <w:rsid w:val="00E8427E"/>
    <w:rsid w:val="00E844AF"/>
    <w:rsid w:val="00E84AC4"/>
    <w:rsid w:val="00E84E61"/>
    <w:rsid w:val="00E85060"/>
    <w:rsid w:val="00E855AC"/>
    <w:rsid w:val="00E8575B"/>
    <w:rsid w:val="00E857E1"/>
    <w:rsid w:val="00E85CB3"/>
    <w:rsid w:val="00E86032"/>
    <w:rsid w:val="00E860C0"/>
    <w:rsid w:val="00E86C25"/>
    <w:rsid w:val="00E86C51"/>
    <w:rsid w:val="00E86D83"/>
    <w:rsid w:val="00E86FCC"/>
    <w:rsid w:val="00E87595"/>
    <w:rsid w:val="00E879B2"/>
    <w:rsid w:val="00E87A1D"/>
    <w:rsid w:val="00E87FED"/>
    <w:rsid w:val="00E90040"/>
    <w:rsid w:val="00E90753"/>
    <w:rsid w:val="00E9078D"/>
    <w:rsid w:val="00E90889"/>
    <w:rsid w:val="00E9094A"/>
    <w:rsid w:val="00E90B20"/>
    <w:rsid w:val="00E91138"/>
    <w:rsid w:val="00E9155C"/>
    <w:rsid w:val="00E9189E"/>
    <w:rsid w:val="00E91A67"/>
    <w:rsid w:val="00E91A9C"/>
    <w:rsid w:val="00E91D35"/>
    <w:rsid w:val="00E91D6F"/>
    <w:rsid w:val="00E91F67"/>
    <w:rsid w:val="00E91F75"/>
    <w:rsid w:val="00E926A5"/>
    <w:rsid w:val="00E9281A"/>
    <w:rsid w:val="00E92B4A"/>
    <w:rsid w:val="00E92C50"/>
    <w:rsid w:val="00E92DC8"/>
    <w:rsid w:val="00E930AC"/>
    <w:rsid w:val="00E932FB"/>
    <w:rsid w:val="00E9353D"/>
    <w:rsid w:val="00E9355F"/>
    <w:rsid w:val="00E93E8D"/>
    <w:rsid w:val="00E94565"/>
    <w:rsid w:val="00E94BEC"/>
    <w:rsid w:val="00E94D6E"/>
    <w:rsid w:val="00E95081"/>
    <w:rsid w:val="00E95475"/>
    <w:rsid w:val="00E954A2"/>
    <w:rsid w:val="00E95AB1"/>
    <w:rsid w:val="00E95D30"/>
    <w:rsid w:val="00E9604A"/>
    <w:rsid w:val="00E962CC"/>
    <w:rsid w:val="00E96F43"/>
    <w:rsid w:val="00E97161"/>
    <w:rsid w:val="00E97403"/>
    <w:rsid w:val="00E97F1D"/>
    <w:rsid w:val="00EA01D9"/>
    <w:rsid w:val="00EA0341"/>
    <w:rsid w:val="00EA06BD"/>
    <w:rsid w:val="00EA0718"/>
    <w:rsid w:val="00EA0C95"/>
    <w:rsid w:val="00EA0DBA"/>
    <w:rsid w:val="00EA0E04"/>
    <w:rsid w:val="00EA0FF3"/>
    <w:rsid w:val="00EA10D7"/>
    <w:rsid w:val="00EA1388"/>
    <w:rsid w:val="00EA146E"/>
    <w:rsid w:val="00EA17C3"/>
    <w:rsid w:val="00EA1A81"/>
    <w:rsid w:val="00EA1BF4"/>
    <w:rsid w:val="00EA1F7F"/>
    <w:rsid w:val="00EA1FD3"/>
    <w:rsid w:val="00EA237E"/>
    <w:rsid w:val="00EA2387"/>
    <w:rsid w:val="00EA2455"/>
    <w:rsid w:val="00EA2510"/>
    <w:rsid w:val="00EA25FA"/>
    <w:rsid w:val="00EA27EF"/>
    <w:rsid w:val="00EA290D"/>
    <w:rsid w:val="00EA2CAA"/>
    <w:rsid w:val="00EA2D3E"/>
    <w:rsid w:val="00EA2D83"/>
    <w:rsid w:val="00EA31B3"/>
    <w:rsid w:val="00EA3221"/>
    <w:rsid w:val="00EA35F2"/>
    <w:rsid w:val="00EA3641"/>
    <w:rsid w:val="00EA3864"/>
    <w:rsid w:val="00EA3CAF"/>
    <w:rsid w:val="00EA40F0"/>
    <w:rsid w:val="00EA410F"/>
    <w:rsid w:val="00EA4632"/>
    <w:rsid w:val="00EA46D0"/>
    <w:rsid w:val="00EA4F4E"/>
    <w:rsid w:val="00EA50B5"/>
    <w:rsid w:val="00EA51E4"/>
    <w:rsid w:val="00EA5399"/>
    <w:rsid w:val="00EA5461"/>
    <w:rsid w:val="00EA5661"/>
    <w:rsid w:val="00EA56DA"/>
    <w:rsid w:val="00EA583E"/>
    <w:rsid w:val="00EA58C5"/>
    <w:rsid w:val="00EA5E0C"/>
    <w:rsid w:val="00EA61E2"/>
    <w:rsid w:val="00EA61E7"/>
    <w:rsid w:val="00EA63AE"/>
    <w:rsid w:val="00EA641D"/>
    <w:rsid w:val="00EA6633"/>
    <w:rsid w:val="00EA670F"/>
    <w:rsid w:val="00EA6857"/>
    <w:rsid w:val="00EA6AF9"/>
    <w:rsid w:val="00EA6F56"/>
    <w:rsid w:val="00EA753C"/>
    <w:rsid w:val="00EA75A5"/>
    <w:rsid w:val="00EA798E"/>
    <w:rsid w:val="00EA7F1C"/>
    <w:rsid w:val="00EB01CC"/>
    <w:rsid w:val="00EB06A2"/>
    <w:rsid w:val="00EB0A1B"/>
    <w:rsid w:val="00EB0B98"/>
    <w:rsid w:val="00EB15B6"/>
    <w:rsid w:val="00EB173F"/>
    <w:rsid w:val="00EB1766"/>
    <w:rsid w:val="00EB1CA6"/>
    <w:rsid w:val="00EB20AE"/>
    <w:rsid w:val="00EB2257"/>
    <w:rsid w:val="00EB25B3"/>
    <w:rsid w:val="00EB2BAF"/>
    <w:rsid w:val="00EB30F9"/>
    <w:rsid w:val="00EB315E"/>
    <w:rsid w:val="00EB3603"/>
    <w:rsid w:val="00EB3834"/>
    <w:rsid w:val="00EB3B89"/>
    <w:rsid w:val="00EB3D06"/>
    <w:rsid w:val="00EB41CA"/>
    <w:rsid w:val="00EB423C"/>
    <w:rsid w:val="00EB453E"/>
    <w:rsid w:val="00EB4916"/>
    <w:rsid w:val="00EB4940"/>
    <w:rsid w:val="00EB4E15"/>
    <w:rsid w:val="00EB4F79"/>
    <w:rsid w:val="00EB50CB"/>
    <w:rsid w:val="00EB515D"/>
    <w:rsid w:val="00EB58ED"/>
    <w:rsid w:val="00EB5968"/>
    <w:rsid w:val="00EB59DC"/>
    <w:rsid w:val="00EB5A75"/>
    <w:rsid w:val="00EB5C52"/>
    <w:rsid w:val="00EB5DE9"/>
    <w:rsid w:val="00EB5DEE"/>
    <w:rsid w:val="00EB646E"/>
    <w:rsid w:val="00EB6485"/>
    <w:rsid w:val="00EB655C"/>
    <w:rsid w:val="00EB68FF"/>
    <w:rsid w:val="00EB7157"/>
    <w:rsid w:val="00EB7266"/>
    <w:rsid w:val="00EC0069"/>
    <w:rsid w:val="00EC00C9"/>
    <w:rsid w:val="00EC0125"/>
    <w:rsid w:val="00EC0258"/>
    <w:rsid w:val="00EC0787"/>
    <w:rsid w:val="00EC0B9C"/>
    <w:rsid w:val="00EC0BCE"/>
    <w:rsid w:val="00EC0C4D"/>
    <w:rsid w:val="00EC0DD9"/>
    <w:rsid w:val="00EC0E07"/>
    <w:rsid w:val="00EC1583"/>
    <w:rsid w:val="00EC17F0"/>
    <w:rsid w:val="00EC188C"/>
    <w:rsid w:val="00EC1A21"/>
    <w:rsid w:val="00EC1B0F"/>
    <w:rsid w:val="00EC1CFD"/>
    <w:rsid w:val="00EC1D5A"/>
    <w:rsid w:val="00EC25AF"/>
    <w:rsid w:val="00EC2649"/>
    <w:rsid w:val="00EC2FC2"/>
    <w:rsid w:val="00EC31ED"/>
    <w:rsid w:val="00EC32A3"/>
    <w:rsid w:val="00EC3331"/>
    <w:rsid w:val="00EC3998"/>
    <w:rsid w:val="00EC3E1C"/>
    <w:rsid w:val="00EC430D"/>
    <w:rsid w:val="00EC4440"/>
    <w:rsid w:val="00EC44B5"/>
    <w:rsid w:val="00EC4678"/>
    <w:rsid w:val="00EC4C43"/>
    <w:rsid w:val="00EC4C78"/>
    <w:rsid w:val="00EC4D57"/>
    <w:rsid w:val="00EC4D7B"/>
    <w:rsid w:val="00EC536A"/>
    <w:rsid w:val="00EC56B7"/>
    <w:rsid w:val="00EC5836"/>
    <w:rsid w:val="00EC5AF9"/>
    <w:rsid w:val="00EC5C70"/>
    <w:rsid w:val="00EC5CE9"/>
    <w:rsid w:val="00EC6425"/>
    <w:rsid w:val="00EC6509"/>
    <w:rsid w:val="00EC688C"/>
    <w:rsid w:val="00EC6ED6"/>
    <w:rsid w:val="00EC6F8C"/>
    <w:rsid w:val="00EC7AF8"/>
    <w:rsid w:val="00ED0174"/>
    <w:rsid w:val="00ED038E"/>
    <w:rsid w:val="00ED0489"/>
    <w:rsid w:val="00ED09DD"/>
    <w:rsid w:val="00ED0B39"/>
    <w:rsid w:val="00ED0CBB"/>
    <w:rsid w:val="00ED12E3"/>
    <w:rsid w:val="00ED1345"/>
    <w:rsid w:val="00ED172B"/>
    <w:rsid w:val="00ED1B29"/>
    <w:rsid w:val="00ED1B86"/>
    <w:rsid w:val="00ED21EA"/>
    <w:rsid w:val="00ED281C"/>
    <w:rsid w:val="00ED2850"/>
    <w:rsid w:val="00ED36FD"/>
    <w:rsid w:val="00ED380C"/>
    <w:rsid w:val="00ED3CB4"/>
    <w:rsid w:val="00ED3D32"/>
    <w:rsid w:val="00ED404C"/>
    <w:rsid w:val="00ED41EE"/>
    <w:rsid w:val="00ED4B04"/>
    <w:rsid w:val="00ED4CB7"/>
    <w:rsid w:val="00ED4EC1"/>
    <w:rsid w:val="00ED5047"/>
    <w:rsid w:val="00ED54B9"/>
    <w:rsid w:val="00ED57EA"/>
    <w:rsid w:val="00ED596B"/>
    <w:rsid w:val="00ED5996"/>
    <w:rsid w:val="00ED59D3"/>
    <w:rsid w:val="00ED5BD4"/>
    <w:rsid w:val="00ED60F6"/>
    <w:rsid w:val="00ED6548"/>
    <w:rsid w:val="00ED66F9"/>
    <w:rsid w:val="00ED6879"/>
    <w:rsid w:val="00ED7063"/>
    <w:rsid w:val="00ED74F2"/>
    <w:rsid w:val="00ED7580"/>
    <w:rsid w:val="00ED75CB"/>
    <w:rsid w:val="00ED7670"/>
    <w:rsid w:val="00ED786E"/>
    <w:rsid w:val="00ED7A03"/>
    <w:rsid w:val="00EE07D3"/>
    <w:rsid w:val="00EE0849"/>
    <w:rsid w:val="00EE08DE"/>
    <w:rsid w:val="00EE0A3D"/>
    <w:rsid w:val="00EE0E26"/>
    <w:rsid w:val="00EE1996"/>
    <w:rsid w:val="00EE1A32"/>
    <w:rsid w:val="00EE1C01"/>
    <w:rsid w:val="00EE1C08"/>
    <w:rsid w:val="00EE1CEE"/>
    <w:rsid w:val="00EE22AF"/>
    <w:rsid w:val="00EE234A"/>
    <w:rsid w:val="00EE32C0"/>
    <w:rsid w:val="00EE32CC"/>
    <w:rsid w:val="00EE349B"/>
    <w:rsid w:val="00EE378A"/>
    <w:rsid w:val="00EE39A1"/>
    <w:rsid w:val="00EE39F4"/>
    <w:rsid w:val="00EE3CFE"/>
    <w:rsid w:val="00EE3EE8"/>
    <w:rsid w:val="00EE40B2"/>
    <w:rsid w:val="00EE428F"/>
    <w:rsid w:val="00EE445A"/>
    <w:rsid w:val="00EE4611"/>
    <w:rsid w:val="00EE466D"/>
    <w:rsid w:val="00EE4712"/>
    <w:rsid w:val="00EE4A14"/>
    <w:rsid w:val="00EE4C41"/>
    <w:rsid w:val="00EE5672"/>
    <w:rsid w:val="00EE59B4"/>
    <w:rsid w:val="00EE59E4"/>
    <w:rsid w:val="00EE5B3C"/>
    <w:rsid w:val="00EE5BEB"/>
    <w:rsid w:val="00EE5FBB"/>
    <w:rsid w:val="00EE6426"/>
    <w:rsid w:val="00EE6530"/>
    <w:rsid w:val="00EE6A85"/>
    <w:rsid w:val="00EE7201"/>
    <w:rsid w:val="00EE7550"/>
    <w:rsid w:val="00EE7990"/>
    <w:rsid w:val="00EE7C37"/>
    <w:rsid w:val="00EF00A4"/>
    <w:rsid w:val="00EF00B2"/>
    <w:rsid w:val="00EF0171"/>
    <w:rsid w:val="00EF020E"/>
    <w:rsid w:val="00EF02F3"/>
    <w:rsid w:val="00EF068D"/>
    <w:rsid w:val="00EF0E0C"/>
    <w:rsid w:val="00EF1023"/>
    <w:rsid w:val="00EF14C9"/>
    <w:rsid w:val="00EF1596"/>
    <w:rsid w:val="00EF1637"/>
    <w:rsid w:val="00EF1A2A"/>
    <w:rsid w:val="00EF1B25"/>
    <w:rsid w:val="00EF1DA0"/>
    <w:rsid w:val="00EF1F4D"/>
    <w:rsid w:val="00EF2065"/>
    <w:rsid w:val="00EF2304"/>
    <w:rsid w:val="00EF232D"/>
    <w:rsid w:val="00EF24E2"/>
    <w:rsid w:val="00EF26E2"/>
    <w:rsid w:val="00EF2B04"/>
    <w:rsid w:val="00EF32DB"/>
    <w:rsid w:val="00EF340F"/>
    <w:rsid w:val="00EF3640"/>
    <w:rsid w:val="00EF3838"/>
    <w:rsid w:val="00EF3BBD"/>
    <w:rsid w:val="00EF3E84"/>
    <w:rsid w:val="00EF3E9C"/>
    <w:rsid w:val="00EF401D"/>
    <w:rsid w:val="00EF4497"/>
    <w:rsid w:val="00EF450E"/>
    <w:rsid w:val="00EF4747"/>
    <w:rsid w:val="00EF491C"/>
    <w:rsid w:val="00EF4BEA"/>
    <w:rsid w:val="00EF4BF8"/>
    <w:rsid w:val="00EF4C7A"/>
    <w:rsid w:val="00EF4CDA"/>
    <w:rsid w:val="00EF4DC5"/>
    <w:rsid w:val="00EF5525"/>
    <w:rsid w:val="00EF5A78"/>
    <w:rsid w:val="00EF5BEE"/>
    <w:rsid w:val="00EF5D7F"/>
    <w:rsid w:val="00EF5E94"/>
    <w:rsid w:val="00EF60FA"/>
    <w:rsid w:val="00EF62C6"/>
    <w:rsid w:val="00EF63AB"/>
    <w:rsid w:val="00EF6802"/>
    <w:rsid w:val="00EF6827"/>
    <w:rsid w:val="00EF695E"/>
    <w:rsid w:val="00EF6CCF"/>
    <w:rsid w:val="00EF6D42"/>
    <w:rsid w:val="00EF737B"/>
    <w:rsid w:val="00EF7909"/>
    <w:rsid w:val="00EF7F34"/>
    <w:rsid w:val="00F001A2"/>
    <w:rsid w:val="00F002BD"/>
    <w:rsid w:val="00F0097C"/>
    <w:rsid w:val="00F00E4E"/>
    <w:rsid w:val="00F00E58"/>
    <w:rsid w:val="00F0115B"/>
    <w:rsid w:val="00F0155D"/>
    <w:rsid w:val="00F01D91"/>
    <w:rsid w:val="00F02003"/>
    <w:rsid w:val="00F02253"/>
    <w:rsid w:val="00F02331"/>
    <w:rsid w:val="00F02505"/>
    <w:rsid w:val="00F02765"/>
    <w:rsid w:val="00F02D14"/>
    <w:rsid w:val="00F03120"/>
    <w:rsid w:val="00F039AD"/>
    <w:rsid w:val="00F03A95"/>
    <w:rsid w:val="00F03C2E"/>
    <w:rsid w:val="00F03D98"/>
    <w:rsid w:val="00F04A66"/>
    <w:rsid w:val="00F04B4B"/>
    <w:rsid w:val="00F04FCD"/>
    <w:rsid w:val="00F0516C"/>
    <w:rsid w:val="00F05C36"/>
    <w:rsid w:val="00F05F7E"/>
    <w:rsid w:val="00F062D6"/>
    <w:rsid w:val="00F06304"/>
    <w:rsid w:val="00F06406"/>
    <w:rsid w:val="00F066B8"/>
    <w:rsid w:val="00F067A2"/>
    <w:rsid w:val="00F06930"/>
    <w:rsid w:val="00F06959"/>
    <w:rsid w:val="00F06B5B"/>
    <w:rsid w:val="00F07440"/>
    <w:rsid w:val="00F0799E"/>
    <w:rsid w:val="00F07A3E"/>
    <w:rsid w:val="00F07B1F"/>
    <w:rsid w:val="00F07B9E"/>
    <w:rsid w:val="00F07E91"/>
    <w:rsid w:val="00F10078"/>
    <w:rsid w:val="00F10162"/>
    <w:rsid w:val="00F1026B"/>
    <w:rsid w:val="00F102E8"/>
    <w:rsid w:val="00F10344"/>
    <w:rsid w:val="00F107A3"/>
    <w:rsid w:val="00F10A0C"/>
    <w:rsid w:val="00F1116F"/>
    <w:rsid w:val="00F11371"/>
    <w:rsid w:val="00F11C2D"/>
    <w:rsid w:val="00F11D52"/>
    <w:rsid w:val="00F11DCA"/>
    <w:rsid w:val="00F11EAC"/>
    <w:rsid w:val="00F1228E"/>
    <w:rsid w:val="00F122D1"/>
    <w:rsid w:val="00F124B9"/>
    <w:rsid w:val="00F1263A"/>
    <w:rsid w:val="00F1290C"/>
    <w:rsid w:val="00F12B28"/>
    <w:rsid w:val="00F12ED9"/>
    <w:rsid w:val="00F13069"/>
    <w:rsid w:val="00F13539"/>
    <w:rsid w:val="00F139C5"/>
    <w:rsid w:val="00F13A9D"/>
    <w:rsid w:val="00F13F36"/>
    <w:rsid w:val="00F14041"/>
    <w:rsid w:val="00F140D7"/>
    <w:rsid w:val="00F14150"/>
    <w:rsid w:val="00F1416E"/>
    <w:rsid w:val="00F14170"/>
    <w:rsid w:val="00F1425F"/>
    <w:rsid w:val="00F1588D"/>
    <w:rsid w:val="00F15B05"/>
    <w:rsid w:val="00F15B77"/>
    <w:rsid w:val="00F15C8D"/>
    <w:rsid w:val="00F15C93"/>
    <w:rsid w:val="00F16275"/>
    <w:rsid w:val="00F162E6"/>
    <w:rsid w:val="00F16E2F"/>
    <w:rsid w:val="00F1702F"/>
    <w:rsid w:val="00F17830"/>
    <w:rsid w:val="00F17CCD"/>
    <w:rsid w:val="00F17CF1"/>
    <w:rsid w:val="00F17D34"/>
    <w:rsid w:val="00F17ED2"/>
    <w:rsid w:val="00F17F26"/>
    <w:rsid w:val="00F20099"/>
    <w:rsid w:val="00F20367"/>
    <w:rsid w:val="00F20583"/>
    <w:rsid w:val="00F207E0"/>
    <w:rsid w:val="00F20975"/>
    <w:rsid w:val="00F20DAE"/>
    <w:rsid w:val="00F21236"/>
    <w:rsid w:val="00F213C7"/>
    <w:rsid w:val="00F2163A"/>
    <w:rsid w:val="00F21714"/>
    <w:rsid w:val="00F218C9"/>
    <w:rsid w:val="00F2191D"/>
    <w:rsid w:val="00F21B2B"/>
    <w:rsid w:val="00F21C56"/>
    <w:rsid w:val="00F21E83"/>
    <w:rsid w:val="00F2244A"/>
    <w:rsid w:val="00F224A3"/>
    <w:rsid w:val="00F22557"/>
    <w:rsid w:val="00F22C88"/>
    <w:rsid w:val="00F22CC1"/>
    <w:rsid w:val="00F231E1"/>
    <w:rsid w:val="00F2363A"/>
    <w:rsid w:val="00F239DF"/>
    <w:rsid w:val="00F23A78"/>
    <w:rsid w:val="00F23F51"/>
    <w:rsid w:val="00F242CB"/>
    <w:rsid w:val="00F24637"/>
    <w:rsid w:val="00F24837"/>
    <w:rsid w:val="00F24EC1"/>
    <w:rsid w:val="00F24FDF"/>
    <w:rsid w:val="00F25065"/>
    <w:rsid w:val="00F252EA"/>
    <w:rsid w:val="00F255D5"/>
    <w:rsid w:val="00F25649"/>
    <w:rsid w:val="00F2575F"/>
    <w:rsid w:val="00F2590E"/>
    <w:rsid w:val="00F25D2B"/>
    <w:rsid w:val="00F25EA4"/>
    <w:rsid w:val="00F26047"/>
    <w:rsid w:val="00F26055"/>
    <w:rsid w:val="00F26273"/>
    <w:rsid w:val="00F263B4"/>
    <w:rsid w:val="00F2670A"/>
    <w:rsid w:val="00F267E8"/>
    <w:rsid w:val="00F27565"/>
    <w:rsid w:val="00F275A5"/>
    <w:rsid w:val="00F276B0"/>
    <w:rsid w:val="00F279CC"/>
    <w:rsid w:val="00F3020D"/>
    <w:rsid w:val="00F3036B"/>
    <w:rsid w:val="00F30811"/>
    <w:rsid w:val="00F309AC"/>
    <w:rsid w:val="00F30AF0"/>
    <w:rsid w:val="00F30D63"/>
    <w:rsid w:val="00F30E14"/>
    <w:rsid w:val="00F30F6E"/>
    <w:rsid w:val="00F3101F"/>
    <w:rsid w:val="00F310AB"/>
    <w:rsid w:val="00F310D4"/>
    <w:rsid w:val="00F3117E"/>
    <w:rsid w:val="00F3175D"/>
    <w:rsid w:val="00F3180E"/>
    <w:rsid w:val="00F31D5A"/>
    <w:rsid w:val="00F31DC5"/>
    <w:rsid w:val="00F3271D"/>
    <w:rsid w:val="00F3272D"/>
    <w:rsid w:val="00F329E3"/>
    <w:rsid w:val="00F3329D"/>
    <w:rsid w:val="00F33491"/>
    <w:rsid w:val="00F33674"/>
    <w:rsid w:val="00F3389B"/>
    <w:rsid w:val="00F33975"/>
    <w:rsid w:val="00F33B62"/>
    <w:rsid w:val="00F33DE9"/>
    <w:rsid w:val="00F3408D"/>
    <w:rsid w:val="00F342D2"/>
    <w:rsid w:val="00F346FA"/>
    <w:rsid w:val="00F3481C"/>
    <w:rsid w:val="00F34922"/>
    <w:rsid w:val="00F34BE2"/>
    <w:rsid w:val="00F34C1D"/>
    <w:rsid w:val="00F34E54"/>
    <w:rsid w:val="00F34EA2"/>
    <w:rsid w:val="00F34F4F"/>
    <w:rsid w:val="00F35077"/>
    <w:rsid w:val="00F35334"/>
    <w:rsid w:val="00F35701"/>
    <w:rsid w:val="00F359FA"/>
    <w:rsid w:val="00F35BF3"/>
    <w:rsid w:val="00F35E5A"/>
    <w:rsid w:val="00F35E6D"/>
    <w:rsid w:val="00F3619A"/>
    <w:rsid w:val="00F36336"/>
    <w:rsid w:val="00F36367"/>
    <w:rsid w:val="00F36672"/>
    <w:rsid w:val="00F37743"/>
    <w:rsid w:val="00F37A28"/>
    <w:rsid w:val="00F37A46"/>
    <w:rsid w:val="00F37B45"/>
    <w:rsid w:val="00F37BC7"/>
    <w:rsid w:val="00F37BFA"/>
    <w:rsid w:val="00F40101"/>
    <w:rsid w:val="00F4096D"/>
    <w:rsid w:val="00F40AAA"/>
    <w:rsid w:val="00F40AFA"/>
    <w:rsid w:val="00F40B86"/>
    <w:rsid w:val="00F40BA7"/>
    <w:rsid w:val="00F40D69"/>
    <w:rsid w:val="00F40F9D"/>
    <w:rsid w:val="00F41150"/>
    <w:rsid w:val="00F41352"/>
    <w:rsid w:val="00F41467"/>
    <w:rsid w:val="00F41ACD"/>
    <w:rsid w:val="00F41D18"/>
    <w:rsid w:val="00F42186"/>
    <w:rsid w:val="00F4222C"/>
    <w:rsid w:val="00F42391"/>
    <w:rsid w:val="00F42D74"/>
    <w:rsid w:val="00F42E49"/>
    <w:rsid w:val="00F43037"/>
    <w:rsid w:val="00F430B5"/>
    <w:rsid w:val="00F43B73"/>
    <w:rsid w:val="00F43D65"/>
    <w:rsid w:val="00F447AC"/>
    <w:rsid w:val="00F44A5E"/>
    <w:rsid w:val="00F44A75"/>
    <w:rsid w:val="00F44B2A"/>
    <w:rsid w:val="00F452A9"/>
    <w:rsid w:val="00F45629"/>
    <w:rsid w:val="00F45A85"/>
    <w:rsid w:val="00F45BD8"/>
    <w:rsid w:val="00F461CD"/>
    <w:rsid w:val="00F46471"/>
    <w:rsid w:val="00F465E7"/>
    <w:rsid w:val="00F46A42"/>
    <w:rsid w:val="00F46CB6"/>
    <w:rsid w:val="00F4732D"/>
    <w:rsid w:val="00F474F7"/>
    <w:rsid w:val="00F4754F"/>
    <w:rsid w:val="00F4756D"/>
    <w:rsid w:val="00F47A8E"/>
    <w:rsid w:val="00F47AE8"/>
    <w:rsid w:val="00F47DE8"/>
    <w:rsid w:val="00F50311"/>
    <w:rsid w:val="00F50324"/>
    <w:rsid w:val="00F5037B"/>
    <w:rsid w:val="00F503E3"/>
    <w:rsid w:val="00F50E1A"/>
    <w:rsid w:val="00F50ECD"/>
    <w:rsid w:val="00F50FC2"/>
    <w:rsid w:val="00F510F7"/>
    <w:rsid w:val="00F51380"/>
    <w:rsid w:val="00F5156E"/>
    <w:rsid w:val="00F519A8"/>
    <w:rsid w:val="00F51D36"/>
    <w:rsid w:val="00F527C3"/>
    <w:rsid w:val="00F52DB8"/>
    <w:rsid w:val="00F53262"/>
    <w:rsid w:val="00F533DB"/>
    <w:rsid w:val="00F535F6"/>
    <w:rsid w:val="00F53FF0"/>
    <w:rsid w:val="00F542C1"/>
    <w:rsid w:val="00F5459C"/>
    <w:rsid w:val="00F54C92"/>
    <w:rsid w:val="00F54D1B"/>
    <w:rsid w:val="00F54D4F"/>
    <w:rsid w:val="00F54E66"/>
    <w:rsid w:val="00F54EF4"/>
    <w:rsid w:val="00F550E3"/>
    <w:rsid w:val="00F555A6"/>
    <w:rsid w:val="00F557CD"/>
    <w:rsid w:val="00F55AAC"/>
    <w:rsid w:val="00F55E73"/>
    <w:rsid w:val="00F55EDA"/>
    <w:rsid w:val="00F5607C"/>
    <w:rsid w:val="00F5672B"/>
    <w:rsid w:val="00F56A49"/>
    <w:rsid w:val="00F56C80"/>
    <w:rsid w:val="00F56D05"/>
    <w:rsid w:val="00F56DF8"/>
    <w:rsid w:val="00F56FE7"/>
    <w:rsid w:val="00F5735B"/>
    <w:rsid w:val="00F574B9"/>
    <w:rsid w:val="00F5759A"/>
    <w:rsid w:val="00F576D9"/>
    <w:rsid w:val="00F57A79"/>
    <w:rsid w:val="00F60092"/>
    <w:rsid w:val="00F60345"/>
    <w:rsid w:val="00F60595"/>
    <w:rsid w:val="00F605FE"/>
    <w:rsid w:val="00F60C3D"/>
    <w:rsid w:val="00F60F46"/>
    <w:rsid w:val="00F614A1"/>
    <w:rsid w:val="00F6165A"/>
    <w:rsid w:val="00F61B3A"/>
    <w:rsid w:val="00F61BEC"/>
    <w:rsid w:val="00F61C18"/>
    <w:rsid w:val="00F61D1F"/>
    <w:rsid w:val="00F61E47"/>
    <w:rsid w:val="00F6252C"/>
    <w:rsid w:val="00F62F13"/>
    <w:rsid w:val="00F63A6F"/>
    <w:rsid w:val="00F63B8F"/>
    <w:rsid w:val="00F63CD5"/>
    <w:rsid w:val="00F641D2"/>
    <w:rsid w:val="00F644FA"/>
    <w:rsid w:val="00F64795"/>
    <w:rsid w:val="00F64A51"/>
    <w:rsid w:val="00F64B83"/>
    <w:rsid w:val="00F64C15"/>
    <w:rsid w:val="00F64D4F"/>
    <w:rsid w:val="00F64E31"/>
    <w:rsid w:val="00F64E3B"/>
    <w:rsid w:val="00F64F69"/>
    <w:rsid w:val="00F64FBE"/>
    <w:rsid w:val="00F6525C"/>
    <w:rsid w:val="00F65564"/>
    <w:rsid w:val="00F65753"/>
    <w:rsid w:val="00F65780"/>
    <w:rsid w:val="00F6585D"/>
    <w:rsid w:val="00F658E0"/>
    <w:rsid w:val="00F65A7A"/>
    <w:rsid w:val="00F65DAB"/>
    <w:rsid w:val="00F65F4B"/>
    <w:rsid w:val="00F6610A"/>
    <w:rsid w:val="00F663CD"/>
    <w:rsid w:val="00F66999"/>
    <w:rsid w:val="00F66F26"/>
    <w:rsid w:val="00F67110"/>
    <w:rsid w:val="00F6732C"/>
    <w:rsid w:val="00F67535"/>
    <w:rsid w:val="00F67910"/>
    <w:rsid w:val="00F67A69"/>
    <w:rsid w:val="00F67C4A"/>
    <w:rsid w:val="00F67C64"/>
    <w:rsid w:val="00F701B6"/>
    <w:rsid w:val="00F701DE"/>
    <w:rsid w:val="00F7092D"/>
    <w:rsid w:val="00F70BFF"/>
    <w:rsid w:val="00F70C9D"/>
    <w:rsid w:val="00F710A7"/>
    <w:rsid w:val="00F715BB"/>
    <w:rsid w:val="00F71FFD"/>
    <w:rsid w:val="00F72EE9"/>
    <w:rsid w:val="00F733CB"/>
    <w:rsid w:val="00F7397E"/>
    <w:rsid w:val="00F73AA2"/>
    <w:rsid w:val="00F73DA0"/>
    <w:rsid w:val="00F73E08"/>
    <w:rsid w:val="00F74276"/>
    <w:rsid w:val="00F7442C"/>
    <w:rsid w:val="00F7456E"/>
    <w:rsid w:val="00F74703"/>
    <w:rsid w:val="00F74877"/>
    <w:rsid w:val="00F74C39"/>
    <w:rsid w:val="00F74CD9"/>
    <w:rsid w:val="00F7511A"/>
    <w:rsid w:val="00F75708"/>
    <w:rsid w:val="00F759D8"/>
    <w:rsid w:val="00F75A19"/>
    <w:rsid w:val="00F75BDD"/>
    <w:rsid w:val="00F75BEF"/>
    <w:rsid w:val="00F75D28"/>
    <w:rsid w:val="00F75D3A"/>
    <w:rsid w:val="00F76102"/>
    <w:rsid w:val="00F76530"/>
    <w:rsid w:val="00F7692E"/>
    <w:rsid w:val="00F7697B"/>
    <w:rsid w:val="00F76EDA"/>
    <w:rsid w:val="00F805A6"/>
    <w:rsid w:val="00F80A7B"/>
    <w:rsid w:val="00F80B4A"/>
    <w:rsid w:val="00F80D24"/>
    <w:rsid w:val="00F80E5D"/>
    <w:rsid w:val="00F817E8"/>
    <w:rsid w:val="00F81962"/>
    <w:rsid w:val="00F81B88"/>
    <w:rsid w:val="00F81D2B"/>
    <w:rsid w:val="00F81D86"/>
    <w:rsid w:val="00F81D99"/>
    <w:rsid w:val="00F81E78"/>
    <w:rsid w:val="00F8226D"/>
    <w:rsid w:val="00F82318"/>
    <w:rsid w:val="00F8242D"/>
    <w:rsid w:val="00F82562"/>
    <w:rsid w:val="00F82629"/>
    <w:rsid w:val="00F827EB"/>
    <w:rsid w:val="00F82A8F"/>
    <w:rsid w:val="00F82CDE"/>
    <w:rsid w:val="00F82DCB"/>
    <w:rsid w:val="00F83047"/>
    <w:rsid w:val="00F8305A"/>
    <w:rsid w:val="00F83916"/>
    <w:rsid w:val="00F83C63"/>
    <w:rsid w:val="00F83FFA"/>
    <w:rsid w:val="00F8480E"/>
    <w:rsid w:val="00F84D22"/>
    <w:rsid w:val="00F8503E"/>
    <w:rsid w:val="00F851CE"/>
    <w:rsid w:val="00F85500"/>
    <w:rsid w:val="00F85810"/>
    <w:rsid w:val="00F858F9"/>
    <w:rsid w:val="00F860AB"/>
    <w:rsid w:val="00F861AF"/>
    <w:rsid w:val="00F8621C"/>
    <w:rsid w:val="00F8692B"/>
    <w:rsid w:val="00F86941"/>
    <w:rsid w:val="00F86CF8"/>
    <w:rsid w:val="00F86F0C"/>
    <w:rsid w:val="00F872A8"/>
    <w:rsid w:val="00F8731A"/>
    <w:rsid w:val="00F873C4"/>
    <w:rsid w:val="00F87767"/>
    <w:rsid w:val="00F87834"/>
    <w:rsid w:val="00F87B36"/>
    <w:rsid w:val="00F87B9C"/>
    <w:rsid w:val="00F87D59"/>
    <w:rsid w:val="00F901E4"/>
    <w:rsid w:val="00F9087C"/>
    <w:rsid w:val="00F90C60"/>
    <w:rsid w:val="00F90DCA"/>
    <w:rsid w:val="00F9111F"/>
    <w:rsid w:val="00F91219"/>
    <w:rsid w:val="00F913AF"/>
    <w:rsid w:val="00F9165D"/>
    <w:rsid w:val="00F91674"/>
    <w:rsid w:val="00F916D5"/>
    <w:rsid w:val="00F91BA9"/>
    <w:rsid w:val="00F921B3"/>
    <w:rsid w:val="00F92444"/>
    <w:rsid w:val="00F92526"/>
    <w:rsid w:val="00F92A7F"/>
    <w:rsid w:val="00F92B14"/>
    <w:rsid w:val="00F933D3"/>
    <w:rsid w:val="00F93659"/>
    <w:rsid w:val="00F93740"/>
    <w:rsid w:val="00F9393E"/>
    <w:rsid w:val="00F93CB2"/>
    <w:rsid w:val="00F93E27"/>
    <w:rsid w:val="00F9411C"/>
    <w:rsid w:val="00F942BD"/>
    <w:rsid w:val="00F9430B"/>
    <w:rsid w:val="00F94963"/>
    <w:rsid w:val="00F94AC9"/>
    <w:rsid w:val="00F94E4D"/>
    <w:rsid w:val="00F94FFC"/>
    <w:rsid w:val="00F950CE"/>
    <w:rsid w:val="00F9527C"/>
    <w:rsid w:val="00F952AB"/>
    <w:rsid w:val="00F95640"/>
    <w:rsid w:val="00F95B00"/>
    <w:rsid w:val="00F95DF2"/>
    <w:rsid w:val="00F9645D"/>
    <w:rsid w:val="00F96BC8"/>
    <w:rsid w:val="00F96FD0"/>
    <w:rsid w:val="00F96FEA"/>
    <w:rsid w:val="00F97056"/>
    <w:rsid w:val="00F971A8"/>
    <w:rsid w:val="00F9769B"/>
    <w:rsid w:val="00F97912"/>
    <w:rsid w:val="00F979DE"/>
    <w:rsid w:val="00F97A78"/>
    <w:rsid w:val="00FA0043"/>
    <w:rsid w:val="00FA072A"/>
    <w:rsid w:val="00FA0A84"/>
    <w:rsid w:val="00FA0B20"/>
    <w:rsid w:val="00FA190C"/>
    <w:rsid w:val="00FA1FAD"/>
    <w:rsid w:val="00FA1FBD"/>
    <w:rsid w:val="00FA23CB"/>
    <w:rsid w:val="00FA2408"/>
    <w:rsid w:val="00FA24E7"/>
    <w:rsid w:val="00FA2A8C"/>
    <w:rsid w:val="00FA2B73"/>
    <w:rsid w:val="00FA2D00"/>
    <w:rsid w:val="00FA2D6C"/>
    <w:rsid w:val="00FA2DDA"/>
    <w:rsid w:val="00FA2F25"/>
    <w:rsid w:val="00FA35D2"/>
    <w:rsid w:val="00FA3959"/>
    <w:rsid w:val="00FA3FFA"/>
    <w:rsid w:val="00FA448D"/>
    <w:rsid w:val="00FA46C1"/>
    <w:rsid w:val="00FA48A8"/>
    <w:rsid w:val="00FA4A78"/>
    <w:rsid w:val="00FA55F6"/>
    <w:rsid w:val="00FA5BCA"/>
    <w:rsid w:val="00FA5D84"/>
    <w:rsid w:val="00FA5E96"/>
    <w:rsid w:val="00FA5EE6"/>
    <w:rsid w:val="00FA6025"/>
    <w:rsid w:val="00FA6468"/>
    <w:rsid w:val="00FA66C6"/>
    <w:rsid w:val="00FA694F"/>
    <w:rsid w:val="00FA6D31"/>
    <w:rsid w:val="00FA7352"/>
    <w:rsid w:val="00FA7433"/>
    <w:rsid w:val="00FA7635"/>
    <w:rsid w:val="00FA778B"/>
    <w:rsid w:val="00FA7956"/>
    <w:rsid w:val="00FA7A83"/>
    <w:rsid w:val="00FA7C7E"/>
    <w:rsid w:val="00FB0559"/>
    <w:rsid w:val="00FB0824"/>
    <w:rsid w:val="00FB091A"/>
    <w:rsid w:val="00FB0B08"/>
    <w:rsid w:val="00FB0C15"/>
    <w:rsid w:val="00FB0E11"/>
    <w:rsid w:val="00FB0EB1"/>
    <w:rsid w:val="00FB1139"/>
    <w:rsid w:val="00FB1E02"/>
    <w:rsid w:val="00FB202E"/>
    <w:rsid w:val="00FB2138"/>
    <w:rsid w:val="00FB247A"/>
    <w:rsid w:val="00FB276F"/>
    <w:rsid w:val="00FB28E9"/>
    <w:rsid w:val="00FB2993"/>
    <w:rsid w:val="00FB2BF7"/>
    <w:rsid w:val="00FB2F40"/>
    <w:rsid w:val="00FB2FCB"/>
    <w:rsid w:val="00FB32D5"/>
    <w:rsid w:val="00FB37EE"/>
    <w:rsid w:val="00FB3A86"/>
    <w:rsid w:val="00FB3AD8"/>
    <w:rsid w:val="00FB4111"/>
    <w:rsid w:val="00FB489A"/>
    <w:rsid w:val="00FB4AD1"/>
    <w:rsid w:val="00FB4C9C"/>
    <w:rsid w:val="00FB4FE7"/>
    <w:rsid w:val="00FB5111"/>
    <w:rsid w:val="00FB552D"/>
    <w:rsid w:val="00FB559F"/>
    <w:rsid w:val="00FB59D1"/>
    <w:rsid w:val="00FB5B6A"/>
    <w:rsid w:val="00FB5D8D"/>
    <w:rsid w:val="00FB621C"/>
    <w:rsid w:val="00FB670B"/>
    <w:rsid w:val="00FB67FC"/>
    <w:rsid w:val="00FB6B32"/>
    <w:rsid w:val="00FB6BFE"/>
    <w:rsid w:val="00FB6D7F"/>
    <w:rsid w:val="00FB6E77"/>
    <w:rsid w:val="00FB7135"/>
    <w:rsid w:val="00FB7274"/>
    <w:rsid w:val="00FB7963"/>
    <w:rsid w:val="00FB7C55"/>
    <w:rsid w:val="00FB7D0D"/>
    <w:rsid w:val="00FB7E7D"/>
    <w:rsid w:val="00FC02C4"/>
    <w:rsid w:val="00FC03A0"/>
    <w:rsid w:val="00FC0562"/>
    <w:rsid w:val="00FC0B00"/>
    <w:rsid w:val="00FC1074"/>
    <w:rsid w:val="00FC1884"/>
    <w:rsid w:val="00FC19B7"/>
    <w:rsid w:val="00FC19CA"/>
    <w:rsid w:val="00FC1D2A"/>
    <w:rsid w:val="00FC1E25"/>
    <w:rsid w:val="00FC1F42"/>
    <w:rsid w:val="00FC21CB"/>
    <w:rsid w:val="00FC23D4"/>
    <w:rsid w:val="00FC2474"/>
    <w:rsid w:val="00FC26B6"/>
    <w:rsid w:val="00FC27D3"/>
    <w:rsid w:val="00FC2988"/>
    <w:rsid w:val="00FC2DE8"/>
    <w:rsid w:val="00FC2E47"/>
    <w:rsid w:val="00FC3022"/>
    <w:rsid w:val="00FC31A8"/>
    <w:rsid w:val="00FC371D"/>
    <w:rsid w:val="00FC3A7E"/>
    <w:rsid w:val="00FC3E0E"/>
    <w:rsid w:val="00FC3FAF"/>
    <w:rsid w:val="00FC4150"/>
    <w:rsid w:val="00FC42F8"/>
    <w:rsid w:val="00FC44D9"/>
    <w:rsid w:val="00FC457F"/>
    <w:rsid w:val="00FC46E0"/>
    <w:rsid w:val="00FC4992"/>
    <w:rsid w:val="00FC4DF2"/>
    <w:rsid w:val="00FC53C2"/>
    <w:rsid w:val="00FC5515"/>
    <w:rsid w:val="00FC5640"/>
    <w:rsid w:val="00FC591F"/>
    <w:rsid w:val="00FC5E1C"/>
    <w:rsid w:val="00FC5F0B"/>
    <w:rsid w:val="00FC5F13"/>
    <w:rsid w:val="00FC60F6"/>
    <w:rsid w:val="00FC63BD"/>
    <w:rsid w:val="00FC66E3"/>
    <w:rsid w:val="00FC6A83"/>
    <w:rsid w:val="00FC707D"/>
    <w:rsid w:val="00FC70B5"/>
    <w:rsid w:val="00FC714C"/>
    <w:rsid w:val="00FC7176"/>
    <w:rsid w:val="00FC797A"/>
    <w:rsid w:val="00FC7A62"/>
    <w:rsid w:val="00FC7B7A"/>
    <w:rsid w:val="00FC7C30"/>
    <w:rsid w:val="00FD02C1"/>
    <w:rsid w:val="00FD06F5"/>
    <w:rsid w:val="00FD084F"/>
    <w:rsid w:val="00FD093E"/>
    <w:rsid w:val="00FD0993"/>
    <w:rsid w:val="00FD0B3E"/>
    <w:rsid w:val="00FD0C3A"/>
    <w:rsid w:val="00FD14EB"/>
    <w:rsid w:val="00FD1846"/>
    <w:rsid w:val="00FD1D35"/>
    <w:rsid w:val="00FD2100"/>
    <w:rsid w:val="00FD22A8"/>
    <w:rsid w:val="00FD24BC"/>
    <w:rsid w:val="00FD2DEB"/>
    <w:rsid w:val="00FD32F0"/>
    <w:rsid w:val="00FD3465"/>
    <w:rsid w:val="00FD37CB"/>
    <w:rsid w:val="00FD39F9"/>
    <w:rsid w:val="00FD3C17"/>
    <w:rsid w:val="00FD3F78"/>
    <w:rsid w:val="00FD3F87"/>
    <w:rsid w:val="00FD4135"/>
    <w:rsid w:val="00FD436C"/>
    <w:rsid w:val="00FD446D"/>
    <w:rsid w:val="00FD455A"/>
    <w:rsid w:val="00FD4657"/>
    <w:rsid w:val="00FD4BAC"/>
    <w:rsid w:val="00FD4BBD"/>
    <w:rsid w:val="00FD4C32"/>
    <w:rsid w:val="00FD4E72"/>
    <w:rsid w:val="00FD4F06"/>
    <w:rsid w:val="00FD4F2C"/>
    <w:rsid w:val="00FD56B7"/>
    <w:rsid w:val="00FD5C30"/>
    <w:rsid w:val="00FD5DD5"/>
    <w:rsid w:val="00FD5F4C"/>
    <w:rsid w:val="00FD6251"/>
    <w:rsid w:val="00FD6394"/>
    <w:rsid w:val="00FD6427"/>
    <w:rsid w:val="00FD6D5A"/>
    <w:rsid w:val="00FD7832"/>
    <w:rsid w:val="00FD787C"/>
    <w:rsid w:val="00FD7C2B"/>
    <w:rsid w:val="00FD7C71"/>
    <w:rsid w:val="00FD7EF2"/>
    <w:rsid w:val="00FE004E"/>
    <w:rsid w:val="00FE0834"/>
    <w:rsid w:val="00FE0CEA"/>
    <w:rsid w:val="00FE0E53"/>
    <w:rsid w:val="00FE0E6C"/>
    <w:rsid w:val="00FE143F"/>
    <w:rsid w:val="00FE1605"/>
    <w:rsid w:val="00FE1CDC"/>
    <w:rsid w:val="00FE1E79"/>
    <w:rsid w:val="00FE222C"/>
    <w:rsid w:val="00FE2286"/>
    <w:rsid w:val="00FE2C7B"/>
    <w:rsid w:val="00FE2DF8"/>
    <w:rsid w:val="00FE2E4F"/>
    <w:rsid w:val="00FE3616"/>
    <w:rsid w:val="00FE3D59"/>
    <w:rsid w:val="00FE3EC9"/>
    <w:rsid w:val="00FE41DC"/>
    <w:rsid w:val="00FE424C"/>
    <w:rsid w:val="00FE460E"/>
    <w:rsid w:val="00FE4660"/>
    <w:rsid w:val="00FE46EA"/>
    <w:rsid w:val="00FE4CE9"/>
    <w:rsid w:val="00FE4EEF"/>
    <w:rsid w:val="00FE5642"/>
    <w:rsid w:val="00FE5BCC"/>
    <w:rsid w:val="00FE5BFE"/>
    <w:rsid w:val="00FE5DB5"/>
    <w:rsid w:val="00FE60F0"/>
    <w:rsid w:val="00FE6828"/>
    <w:rsid w:val="00FE699F"/>
    <w:rsid w:val="00FE6ECC"/>
    <w:rsid w:val="00FE6FE4"/>
    <w:rsid w:val="00FE70C3"/>
    <w:rsid w:val="00FE7473"/>
    <w:rsid w:val="00FE756C"/>
    <w:rsid w:val="00FE7A3C"/>
    <w:rsid w:val="00FE7AD4"/>
    <w:rsid w:val="00FF0355"/>
    <w:rsid w:val="00FF0C2B"/>
    <w:rsid w:val="00FF10AF"/>
    <w:rsid w:val="00FF10C1"/>
    <w:rsid w:val="00FF140E"/>
    <w:rsid w:val="00FF14B2"/>
    <w:rsid w:val="00FF1A8B"/>
    <w:rsid w:val="00FF1B16"/>
    <w:rsid w:val="00FF1B47"/>
    <w:rsid w:val="00FF1ECE"/>
    <w:rsid w:val="00FF1FDF"/>
    <w:rsid w:val="00FF214D"/>
    <w:rsid w:val="00FF222E"/>
    <w:rsid w:val="00FF2AD9"/>
    <w:rsid w:val="00FF2F51"/>
    <w:rsid w:val="00FF3011"/>
    <w:rsid w:val="00FF359F"/>
    <w:rsid w:val="00FF3601"/>
    <w:rsid w:val="00FF3690"/>
    <w:rsid w:val="00FF36C1"/>
    <w:rsid w:val="00FF37BC"/>
    <w:rsid w:val="00FF3DCF"/>
    <w:rsid w:val="00FF4195"/>
    <w:rsid w:val="00FF492C"/>
    <w:rsid w:val="00FF4947"/>
    <w:rsid w:val="00FF4A21"/>
    <w:rsid w:val="00FF4F35"/>
    <w:rsid w:val="00FF518A"/>
    <w:rsid w:val="00FF5279"/>
    <w:rsid w:val="00FF55E6"/>
    <w:rsid w:val="00FF5A85"/>
    <w:rsid w:val="00FF5AA3"/>
    <w:rsid w:val="00FF5AD8"/>
    <w:rsid w:val="00FF63AF"/>
    <w:rsid w:val="00FF66D2"/>
    <w:rsid w:val="00FF673D"/>
    <w:rsid w:val="00FF68EA"/>
    <w:rsid w:val="00FF6A02"/>
    <w:rsid w:val="00FF6CE3"/>
    <w:rsid w:val="00FF7084"/>
    <w:rsid w:val="00FF71BC"/>
    <w:rsid w:val="00FF7219"/>
    <w:rsid w:val="00FF74D3"/>
    <w:rsid w:val="00FF74ED"/>
    <w:rsid w:val="00FF764C"/>
    <w:rsid w:val="00FF7A02"/>
    <w:rsid w:val="00FF7C65"/>
    <w:rsid w:val="00FF7D47"/>
    <w:rsid w:val="00FF7F81"/>
    <w:rsid w:val="255BFFAA"/>
    <w:rsid w:val="3D77B0F2"/>
    <w:rsid w:val="5B1A48E0"/>
    <w:rsid w:val="671D06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8E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E40516"/>
    <w:pPr>
      <w:keepNext/>
      <w:spacing w:before="240" w:after="60"/>
      <w:outlineLvl w:val="3"/>
    </w:pPr>
    <w:rPr>
      <w:b/>
      <w:bCs/>
      <w:szCs w:val="28"/>
    </w:rPr>
  </w:style>
  <w:style w:type="paragraph" w:styleId="Heading5">
    <w:name w:val="heading 5"/>
    <w:basedOn w:val="Normal"/>
    <w:next w:val="Normal"/>
    <w:rsid w:val="004F10AA"/>
    <w:pPr>
      <w:spacing w:before="240" w:after="60"/>
      <w:outlineLvl w:val="4"/>
    </w:pPr>
    <w:rPr>
      <w:b/>
      <w:bCs/>
      <w:iCs/>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MtA Caption,~Caption,Char,Figure caption,Figure caption1 Char Char,IB Caption,Medical Caption,Medical Caption Char,Caption Char1 Char Char,Caption Char Char Char Char,Caption Char1 Char,Caption Char Char Char Char Char,..."/>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MtA Caption Char,~Caption Char,Char Char,Figure caption Char,Figure caption1 Char Char Char,IB Caption Char,Medical Caption Char1,Medical Caption Char Char,Caption Char1 Char Char Char,Caption Char1 Char Char1"/>
    <w:link w:val="Caption"/>
    <w:uiPriority w:val="35"/>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Bullet List,FooterText,Colorful List Accent 1,Colorful List - Accent 11,numbered,Styl moj"/>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Char,Bullet List Char,FooterTex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har7,Comment Text Char Char Char Char Char Char1 Ch,Comment Text Char Char1,Comment Text Char Char1 Char Char,Comment Text Char1 Char Char Char Char1 Char,Comment Text Char2,Comment Text Char2 Char Char, Char7,Car17 Car Car,Car17 Car,Car17"/>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har7 Char,Comment Text Char Char Char Char Char Char1 Ch Char,Comment Text Char Char1 Char,Comment Text Char Char1 Char Char Char,Comment Text Char1 Char Char Char Char1 Char Char,Comment Text Char2 Char, Char7 Char,Car17 Car Car Char"/>
    <w:basedOn w:val="DefaultParagraphFont"/>
    <w:link w:val="CommentText"/>
    <w:uiPriority w:val="99"/>
    <w:qForma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autoRedefine/>
    <w:qFormat/>
    <w:rsid w:val="00E76F4F"/>
    <w:pPr>
      <w:keepNext/>
      <w:keepLines/>
      <w:ind w:right="17"/>
    </w:pPr>
    <w:rPr>
      <w:rFonts w:ascii="Arial Narrow" w:eastAsiaTheme="majorEastAsia" w:hAnsi="Arial Narrow" w:cstheme="majorBidi"/>
      <w:bCs/>
      <w:iCs/>
      <w:szCs w:val="18"/>
      <w:lang w:eastAsia="en-U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89782B"/>
    <w:pPr>
      <w:keepNext/>
      <w:keepLines/>
      <w:ind w:right="-52"/>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C708EB"/>
    <w:pPr>
      <w:numPr>
        <w:ilvl w:val="1"/>
        <w:numId w:val="7"/>
      </w:numPr>
      <w:spacing w:before="6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C708EB"/>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E76F4F"/>
    <w:rPr>
      <w:rFonts w:ascii="Arial Narrow" w:eastAsiaTheme="majorEastAsia" w:hAnsi="Arial Narrow" w:cstheme="majorBidi"/>
      <w:bCs/>
      <w:iCs/>
      <w:szCs w:val="18"/>
      <w:lang w:eastAsia="en-U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styleId="FootnoteText">
    <w:name w:val="footnote text"/>
    <w:aliases w:val="Footnote Text Char Char,Footnote Text Char2,Footnote Text Char Char1"/>
    <w:basedOn w:val="Normal"/>
    <w:link w:val="FootnoteTextChar"/>
    <w:unhideWhenUsed/>
    <w:rsid w:val="00290EFD"/>
    <w:pPr>
      <w:jc w:val="left"/>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Footnote Text Char2 Char,Footnote Text Char Char1 Char"/>
    <w:basedOn w:val="DefaultParagraphFont"/>
    <w:link w:val="FootnoteText"/>
    <w:rsid w:val="00290EFD"/>
    <w:rPr>
      <w:rFonts w:asciiTheme="minorHAnsi" w:eastAsiaTheme="minorHAnsi" w:hAnsiTheme="minorHAnsi" w:cstheme="minorBidi"/>
      <w:lang w:eastAsia="en-US"/>
    </w:rPr>
  </w:style>
  <w:style w:type="character" w:styleId="FootnoteReference">
    <w:name w:val="footnote reference"/>
    <w:basedOn w:val="DefaultParagraphFont"/>
    <w:unhideWhenUsed/>
    <w:rsid w:val="00290EFD"/>
    <w:rPr>
      <w:vertAlign w:val="superscript"/>
    </w:rPr>
  </w:style>
  <w:style w:type="paragraph" w:customStyle="1" w:styleId="ListBulletlvl3">
    <w:name w:val="List Bullet lvl 3"/>
    <w:basedOn w:val="ListBullet"/>
    <w:qFormat/>
    <w:rsid w:val="00C749E8"/>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C749E8"/>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C749E8"/>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C749E8"/>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C749E8"/>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C749E8"/>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C749E8"/>
    <w:pPr>
      <w:numPr>
        <w:numId w:val="0"/>
      </w:numPr>
      <w:spacing w:after="120" w:line="276" w:lineRule="auto"/>
      <w:ind w:left="6480" w:hanging="360"/>
      <w:contextualSpacing w:val="0"/>
      <w:jc w:val="left"/>
    </w:pPr>
    <w:rPr>
      <w:rFonts w:eastAsiaTheme="minorHAnsi" w:cstheme="minorBidi"/>
      <w:szCs w:val="22"/>
      <w:lang w:eastAsia="en-US"/>
    </w:rPr>
  </w:style>
  <w:style w:type="character" w:customStyle="1" w:styleId="highwire-cite-authors">
    <w:name w:val="highwire-cite-authors"/>
    <w:basedOn w:val="DefaultParagraphFont"/>
    <w:rsid w:val="00130FC5"/>
  </w:style>
  <w:style w:type="character" w:styleId="Emphasis">
    <w:name w:val="Emphasis"/>
    <w:basedOn w:val="DefaultParagraphFont"/>
    <w:uiPriority w:val="20"/>
    <w:qFormat/>
    <w:rsid w:val="00831A65"/>
    <w:rPr>
      <w:i/>
      <w:iCs/>
    </w:rPr>
  </w:style>
  <w:style w:type="character" w:customStyle="1" w:styleId="TableHeadingChar">
    <w:name w:val="TableHeading Char"/>
    <w:link w:val="TableHeading"/>
    <w:rsid w:val="00A471EF"/>
    <w:rPr>
      <w:rFonts w:ascii="Arial Narrow" w:hAnsi="Arial Narrow" w:cs="Arial Narrow"/>
      <w:b/>
      <w:bCs/>
      <w:snapToGrid w:val="0"/>
      <w:szCs w:val="24"/>
    </w:rPr>
  </w:style>
  <w:style w:type="character" w:styleId="UnresolvedMention">
    <w:name w:val="Unresolved Mention"/>
    <w:basedOn w:val="DefaultParagraphFont"/>
    <w:uiPriority w:val="99"/>
    <w:semiHidden/>
    <w:unhideWhenUsed/>
    <w:rsid w:val="00803173"/>
    <w:rPr>
      <w:color w:val="605E5C"/>
      <w:shd w:val="clear" w:color="auto" w:fill="E1DFDD"/>
    </w:rPr>
  </w:style>
  <w:style w:type="paragraph" w:customStyle="1" w:styleId="Table">
    <w:name w:val="Table"/>
    <w:basedOn w:val="Normal"/>
    <w:link w:val="TableChar"/>
    <w:qFormat/>
    <w:rsid w:val="00E359B9"/>
    <w:pPr>
      <w:widowControl w:val="0"/>
      <w:jc w:val="left"/>
    </w:pPr>
    <w:rPr>
      <w:rFonts w:eastAsiaTheme="majorEastAsia" w:cstheme="majorBidi"/>
      <w:sz w:val="20"/>
      <w:szCs w:val="22"/>
      <w:lang w:eastAsia="en-US" w:bidi="en-US"/>
    </w:rPr>
  </w:style>
  <w:style w:type="character" w:customStyle="1" w:styleId="TableChar">
    <w:name w:val="Table Char"/>
    <w:basedOn w:val="DefaultParagraphFont"/>
    <w:link w:val="Table"/>
    <w:locked/>
    <w:rsid w:val="00E359B9"/>
    <w:rPr>
      <w:rFonts w:ascii="Calibri" w:eastAsiaTheme="majorEastAsia" w:hAnsi="Calibri" w:cstheme="majorBidi"/>
      <w:szCs w:val="22"/>
      <w:lang w:eastAsia="en-US" w:bidi="en-US"/>
    </w:rPr>
  </w:style>
  <w:style w:type="table" w:customStyle="1" w:styleId="TableGrid1">
    <w:name w:val="Table Grid1"/>
    <w:basedOn w:val="TableNormal"/>
    <w:next w:val="TableGrid"/>
    <w:uiPriority w:val="59"/>
    <w:rsid w:val="00E359B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entre">
    <w:name w:val="Table Centre"/>
    <w:basedOn w:val="Table"/>
    <w:qFormat/>
    <w:rsid w:val="00E359B9"/>
    <w:pPr>
      <w:jc w:val="center"/>
    </w:pPr>
  </w:style>
  <w:style w:type="paragraph" w:customStyle="1" w:styleId="MainBodyText">
    <w:name w:val="Main Body Text"/>
    <w:basedOn w:val="Normal"/>
    <w:link w:val="MainBodyTextChar"/>
    <w:rsid w:val="00480570"/>
    <w:pPr>
      <w:spacing w:after="240" w:line="276" w:lineRule="auto"/>
    </w:pPr>
    <w:rPr>
      <w:rFonts w:ascii="Arial" w:hAnsi="Arial" w:cs="Times New Roman"/>
      <w:sz w:val="22"/>
      <w:szCs w:val="22"/>
    </w:rPr>
  </w:style>
  <w:style w:type="character" w:customStyle="1" w:styleId="MainBodyTextChar">
    <w:name w:val="Main Body Text Char"/>
    <w:link w:val="MainBodyText"/>
    <w:rsid w:val="00480570"/>
    <w:rPr>
      <w:rFonts w:ascii="Arial" w:hAnsi="Arial"/>
      <w:sz w:val="22"/>
      <w:szCs w:val="22"/>
    </w:rPr>
  </w:style>
  <w:style w:type="table" w:customStyle="1" w:styleId="PBACtable10">
    <w:name w:val="PBAC table10"/>
    <w:basedOn w:val="TableNormal"/>
    <w:next w:val="TableGrid"/>
    <w:rsid w:val="00DA21B5"/>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basedOn w:val="Caption"/>
    <w:next w:val="MainBodyText"/>
    <w:qFormat/>
    <w:rsid w:val="00621183"/>
    <w:pPr>
      <w:keepLines w:val="0"/>
      <w:tabs>
        <w:tab w:val="left" w:pos="1701"/>
      </w:tabs>
      <w:spacing w:before="180" w:after="120" w:line="276" w:lineRule="auto"/>
      <w:ind w:left="1701" w:hanging="1701"/>
      <w:jc w:val="left"/>
      <w:outlineLvl w:val="2"/>
    </w:pPr>
    <w:rPr>
      <w:rFonts w:ascii="Arial" w:hAnsi="Arial" w:cs="Times New Roman"/>
      <w:sz w:val="22"/>
      <w:szCs w:val="20"/>
    </w:rPr>
  </w:style>
  <w:style w:type="paragraph" w:customStyle="1" w:styleId="FigureCaption">
    <w:name w:val="FigureCaption"/>
    <w:basedOn w:val="Caption"/>
    <w:next w:val="MainBodyText"/>
    <w:qFormat/>
    <w:rsid w:val="007612CE"/>
    <w:pPr>
      <w:keepLines w:val="0"/>
      <w:tabs>
        <w:tab w:val="left" w:pos="1701"/>
      </w:tabs>
      <w:spacing w:before="180" w:after="120" w:line="276" w:lineRule="auto"/>
      <w:ind w:left="1701" w:hanging="1701"/>
      <w:jc w:val="left"/>
      <w:outlineLvl w:val="2"/>
    </w:pPr>
    <w:rPr>
      <w:rFonts w:ascii="Arial" w:hAnsi="Arial" w:cs="Times New Roman"/>
      <w:sz w:val="22"/>
      <w:szCs w:val="20"/>
    </w:rPr>
  </w:style>
  <w:style w:type="paragraph" w:customStyle="1" w:styleId="TextUnderTable">
    <w:name w:val="Text Under Table"/>
    <w:basedOn w:val="Normal"/>
    <w:link w:val="TextUnderTableChar"/>
    <w:qFormat/>
    <w:rsid w:val="007612CE"/>
    <w:pPr>
      <w:spacing w:before="120" w:after="120" w:line="276" w:lineRule="auto"/>
      <w:contextualSpacing/>
      <w:jc w:val="left"/>
    </w:pPr>
    <w:rPr>
      <w:rFonts w:ascii="Arial" w:hAnsi="Arial" w:cs="Times New Roman"/>
      <w:i/>
      <w:sz w:val="16"/>
      <w:szCs w:val="22"/>
    </w:rPr>
  </w:style>
  <w:style w:type="character" w:customStyle="1" w:styleId="TextUnderTableChar">
    <w:name w:val="Text Under Table Char"/>
    <w:link w:val="TextUnderTable"/>
    <w:rsid w:val="007612CE"/>
    <w:rPr>
      <w:rFonts w:ascii="Arial" w:hAnsi="Arial"/>
      <w:i/>
      <w:sz w:val="16"/>
      <w:szCs w:val="22"/>
    </w:rPr>
  </w:style>
  <w:style w:type="paragraph" w:customStyle="1" w:styleId="V50Instructions">
    <w:name w:val="V5.0 Instructions"/>
    <w:basedOn w:val="Normal"/>
    <w:link w:val="V50InstructionsChar"/>
    <w:qFormat/>
    <w:rsid w:val="00FE5BCC"/>
    <w:pPr>
      <w:spacing w:before="120" w:after="160"/>
      <w:jc w:val="left"/>
    </w:pPr>
    <w:rPr>
      <w:rFonts w:asciiTheme="minorHAnsi" w:eastAsiaTheme="minorHAnsi" w:hAnsiTheme="minorHAnsi" w:cstheme="minorBidi"/>
      <w:szCs w:val="22"/>
      <w:lang w:eastAsia="en-US"/>
    </w:rPr>
  </w:style>
  <w:style w:type="character" w:customStyle="1" w:styleId="V50InstructionsChar">
    <w:name w:val="V5.0 Instructions Char"/>
    <w:basedOn w:val="DefaultParagraphFont"/>
    <w:link w:val="V50Instructions"/>
    <w:rsid w:val="00FE5BCC"/>
    <w:rPr>
      <w:rFonts w:asciiTheme="minorHAnsi" w:eastAsiaTheme="minorHAnsi" w:hAnsiTheme="minorHAnsi" w:cstheme="minorBidi"/>
      <w:sz w:val="24"/>
      <w:szCs w:val="22"/>
      <w:lang w:eastAsia="en-US"/>
    </w:rPr>
  </w:style>
  <w:style w:type="paragraph" w:customStyle="1" w:styleId="NormalBeforeBullet">
    <w:name w:val="Normal Before Bullet"/>
    <w:basedOn w:val="Normal"/>
    <w:qFormat/>
    <w:rsid w:val="00D17FC6"/>
    <w:pPr>
      <w:keepNext/>
      <w:spacing w:after="120"/>
      <w:jc w:val="left"/>
    </w:pPr>
    <w:rPr>
      <w:rFonts w:asciiTheme="minorHAnsi" w:eastAsiaTheme="minorHAnsi" w:hAnsiTheme="minorHAnsi" w:cstheme="minorBidi"/>
      <w:sz w:val="22"/>
      <w:lang w:eastAsia="en-GB"/>
    </w:rPr>
  </w:style>
  <w:style w:type="character" w:customStyle="1" w:styleId="eop">
    <w:name w:val="eop"/>
    <w:basedOn w:val="DefaultParagraphFont"/>
    <w:rsid w:val="00701D7D"/>
  </w:style>
  <w:style w:type="paragraph" w:customStyle="1" w:styleId="TableHeading0">
    <w:name w:val="Table Heading"/>
    <w:basedOn w:val="Normal"/>
    <w:qFormat/>
    <w:rsid w:val="00973E0D"/>
    <w:pPr>
      <w:keepNext/>
      <w:spacing w:after="60"/>
      <w:jc w:val="left"/>
    </w:pPr>
    <w:rPr>
      <w:rFonts w:ascii="Arial Narrow" w:eastAsiaTheme="minorHAnsi" w:hAnsi="Arial Narrow" w:cstheme="minorBidi"/>
      <w:b/>
      <w:sz w:val="20"/>
      <w:szCs w:val="22"/>
      <w:lang w:eastAsia="en-US"/>
    </w:rPr>
  </w:style>
  <w:style w:type="character" w:styleId="Mention">
    <w:name w:val="Mention"/>
    <w:basedOn w:val="DefaultParagraphFont"/>
    <w:uiPriority w:val="99"/>
    <w:unhideWhenUsed/>
    <w:rsid w:val="00A47DB2"/>
    <w:rPr>
      <w:color w:val="2B579A"/>
      <w:shd w:val="clear" w:color="auto" w:fill="E1DFDD"/>
    </w:rPr>
  </w:style>
  <w:style w:type="paragraph" w:customStyle="1" w:styleId="3-SubsectionHeading">
    <w:name w:val="3-Subsection Heading"/>
    <w:basedOn w:val="Heading2"/>
    <w:next w:val="Normal"/>
    <w:link w:val="3-SubsectionHeadingChar"/>
    <w:qFormat/>
    <w:rsid w:val="003E42F0"/>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E42F0"/>
    <w:rPr>
      <w:rFonts w:asciiTheme="minorHAnsi" w:eastAsiaTheme="majorEastAsia" w:hAnsiTheme="minorHAnsi" w:cstheme="majorBidi"/>
      <w:b/>
      <w:i/>
      <w:snapToGrid/>
      <w:spacing w:val="5"/>
      <w:kern w:val="28"/>
      <w:sz w:val="28"/>
      <w:szCs w:val="36"/>
      <w:lang w:eastAsia="en-US"/>
    </w:rPr>
  </w:style>
  <w:style w:type="character" w:customStyle="1" w:styleId="ui-provider">
    <w:name w:val="ui-provider"/>
    <w:basedOn w:val="DefaultParagraphFont"/>
    <w:rsid w:val="0015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5662">
      <w:bodyDiv w:val="1"/>
      <w:marLeft w:val="0"/>
      <w:marRight w:val="0"/>
      <w:marTop w:val="0"/>
      <w:marBottom w:val="0"/>
      <w:divBdr>
        <w:top w:val="none" w:sz="0" w:space="0" w:color="auto"/>
        <w:left w:val="none" w:sz="0" w:space="0" w:color="auto"/>
        <w:bottom w:val="none" w:sz="0" w:space="0" w:color="auto"/>
        <w:right w:val="none" w:sz="0" w:space="0" w:color="auto"/>
      </w:divBdr>
    </w:div>
    <w:div w:id="92819570">
      <w:bodyDiv w:val="1"/>
      <w:marLeft w:val="0"/>
      <w:marRight w:val="0"/>
      <w:marTop w:val="0"/>
      <w:marBottom w:val="0"/>
      <w:divBdr>
        <w:top w:val="none" w:sz="0" w:space="0" w:color="auto"/>
        <w:left w:val="none" w:sz="0" w:space="0" w:color="auto"/>
        <w:bottom w:val="none" w:sz="0" w:space="0" w:color="auto"/>
        <w:right w:val="none" w:sz="0" w:space="0" w:color="auto"/>
      </w:divBdr>
    </w:div>
    <w:div w:id="9517424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7600584">
      <w:bodyDiv w:val="1"/>
      <w:marLeft w:val="0"/>
      <w:marRight w:val="0"/>
      <w:marTop w:val="0"/>
      <w:marBottom w:val="0"/>
      <w:divBdr>
        <w:top w:val="none" w:sz="0" w:space="0" w:color="auto"/>
        <w:left w:val="none" w:sz="0" w:space="0" w:color="auto"/>
        <w:bottom w:val="none" w:sz="0" w:space="0" w:color="auto"/>
        <w:right w:val="none" w:sz="0" w:space="0" w:color="auto"/>
      </w:divBdr>
      <w:divsChild>
        <w:div w:id="788623895">
          <w:marLeft w:val="0"/>
          <w:marRight w:val="0"/>
          <w:marTop w:val="0"/>
          <w:marBottom w:val="0"/>
          <w:divBdr>
            <w:top w:val="none" w:sz="0" w:space="0" w:color="auto"/>
            <w:left w:val="none" w:sz="0" w:space="0" w:color="auto"/>
            <w:bottom w:val="none" w:sz="0" w:space="0" w:color="auto"/>
            <w:right w:val="none" w:sz="0" w:space="0" w:color="auto"/>
          </w:divBdr>
        </w:div>
        <w:div w:id="1222641352">
          <w:marLeft w:val="0"/>
          <w:marRight w:val="0"/>
          <w:marTop w:val="0"/>
          <w:marBottom w:val="0"/>
          <w:divBdr>
            <w:top w:val="none" w:sz="0" w:space="0" w:color="auto"/>
            <w:left w:val="none" w:sz="0" w:space="0" w:color="auto"/>
            <w:bottom w:val="none" w:sz="0" w:space="0" w:color="auto"/>
            <w:right w:val="none" w:sz="0" w:space="0" w:color="auto"/>
          </w:divBdr>
        </w:div>
        <w:div w:id="1279724828">
          <w:marLeft w:val="0"/>
          <w:marRight w:val="0"/>
          <w:marTop w:val="0"/>
          <w:marBottom w:val="0"/>
          <w:divBdr>
            <w:top w:val="none" w:sz="0" w:space="0" w:color="auto"/>
            <w:left w:val="none" w:sz="0" w:space="0" w:color="auto"/>
            <w:bottom w:val="none" w:sz="0" w:space="0" w:color="auto"/>
            <w:right w:val="none" w:sz="0" w:space="0" w:color="auto"/>
          </w:divBdr>
        </w:div>
        <w:div w:id="2068648089">
          <w:marLeft w:val="0"/>
          <w:marRight w:val="0"/>
          <w:marTop w:val="0"/>
          <w:marBottom w:val="0"/>
          <w:divBdr>
            <w:top w:val="none" w:sz="0" w:space="0" w:color="auto"/>
            <w:left w:val="none" w:sz="0" w:space="0" w:color="auto"/>
            <w:bottom w:val="none" w:sz="0" w:space="0" w:color="auto"/>
            <w:right w:val="none" w:sz="0" w:space="0" w:color="auto"/>
          </w:divBdr>
        </w:div>
        <w:div w:id="2094550896">
          <w:marLeft w:val="0"/>
          <w:marRight w:val="0"/>
          <w:marTop w:val="0"/>
          <w:marBottom w:val="0"/>
          <w:divBdr>
            <w:top w:val="none" w:sz="0" w:space="0" w:color="auto"/>
            <w:left w:val="none" w:sz="0" w:space="0" w:color="auto"/>
            <w:bottom w:val="none" w:sz="0" w:space="0" w:color="auto"/>
            <w:right w:val="none" w:sz="0" w:space="0" w:color="auto"/>
          </w:divBdr>
        </w:div>
      </w:divsChild>
    </w:div>
    <w:div w:id="289937747">
      <w:bodyDiv w:val="1"/>
      <w:marLeft w:val="0"/>
      <w:marRight w:val="0"/>
      <w:marTop w:val="0"/>
      <w:marBottom w:val="0"/>
      <w:divBdr>
        <w:top w:val="none" w:sz="0" w:space="0" w:color="auto"/>
        <w:left w:val="none" w:sz="0" w:space="0" w:color="auto"/>
        <w:bottom w:val="none" w:sz="0" w:space="0" w:color="auto"/>
        <w:right w:val="none" w:sz="0" w:space="0" w:color="auto"/>
      </w:divBdr>
    </w:div>
    <w:div w:id="299579293">
      <w:bodyDiv w:val="1"/>
      <w:marLeft w:val="0"/>
      <w:marRight w:val="0"/>
      <w:marTop w:val="0"/>
      <w:marBottom w:val="0"/>
      <w:divBdr>
        <w:top w:val="none" w:sz="0" w:space="0" w:color="auto"/>
        <w:left w:val="none" w:sz="0" w:space="0" w:color="auto"/>
        <w:bottom w:val="none" w:sz="0" w:space="0" w:color="auto"/>
        <w:right w:val="none" w:sz="0" w:space="0" w:color="auto"/>
      </w:divBdr>
    </w:div>
    <w:div w:id="30797986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0689612">
      <w:bodyDiv w:val="1"/>
      <w:marLeft w:val="0"/>
      <w:marRight w:val="0"/>
      <w:marTop w:val="0"/>
      <w:marBottom w:val="0"/>
      <w:divBdr>
        <w:top w:val="none" w:sz="0" w:space="0" w:color="auto"/>
        <w:left w:val="none" w:sz="0" w:space="0" w:color="auto"/>
        <w:bottom w:val="none" w:sz="0" w:space="0" w:color="auto"/>
        <w:right w:val="none" w:sz="0" w:space="0" w:color="auto"/>
      </w:divBdr>
    </w:div>
    <w:div w:id="433785840">
      <w:bodyDiv w:val="1"/>
      <w:marLeft w:val="0"/>
      <w:marRight w:val="0"/>
      <w:marTop w:val="0"/>
      <w:marBottom w:val="0"/>
      <w:divBdr>
        <w:top w:val="none" w:sz="0" w:space="0" w:color="auto"/>
        <w:left w:val="none" w:sz="0" w:space="0" w:color="auto"/>
        <w:bottom w:val="none" w:sz="0" w:space="0" w:color="auto"/>
        <w:right w:val="none" w:sz="0" w:space="0" w:color="auto"/>
      </w:divBdr>
    </w:div>
    <w:div w:id="474026304">
      <w:bodyDiv w:val="1"/>
      <w:marLeft w:val="0"/>
      <w:marRight w:val="0"/>
      <w:marTop w:val="0"/>
      <w:marBottom w:val="0"/>
      <w:divBdr>
        <w:top w:val="none" w:sz="0" w:space="0" w:color="auto"/>
        <w:left w:val="none" w:sz="0" w:space="0" w:color="auto"/>
        <w:bottom w:val="none" w:sz="0" w:space="0" w:color="auto"/>
        <w:right w:val="none" w:sz="0" w:space="0" w:color="auto"/>
      </w:divBdr>
    </w:div>
    <w:div w:id="497306971">
      <w:bodyDiv w:val="1"/>
      <w:marLeft w:val="0"/>
      <w:marRight w:val="0"/>
      <w:marTop w:val="0"/>
      <w:marBottom w:val="0"/>
      <w:divBdr>
        <w:top w:val="none" w:sz="0" w:space="0" w:color="auto"/>
        <w:left w:val="none" w:sz="0" w:space="0" w:color="auto"/>
        <w:bottom w:val="none" w:sz="0" w:space="0" w:color="auto"/>
        <w:right w:val="none" w:sz="0" w:space="0" w:color="auto"/>
      </w:divBdr>
      <w:divsChild>
        <w:div w:id="195893535">
          <w:marLeft w:val="0"/>
          <w:marRight w:val="0"/>
          <w:marTop w:val="0"/>
          <w:marBottom w:val="0"/>
          <w:divBdr>
            <w:top w:val="none" w:sz="0" w:space="0" w:color="auto"/>
            <w:left w:val="none" w:sz="0" w:space="0" w:color="auto"/>
            <w:bottom w:val="none" w:sz="0" w:space="0" w:color="auto"/>
            <w:right w:val="none" w:sz="0" w:space="0" w:color="auto"/>
          </w:divBdr>
        </w:div>
        <w:div w:id="704255036">
          <w:marLeft w:val="0"/>
          <w:marRight w:val="0"/>
          <w:marTop w:val="0"/>
          <w:marBottom w:val="0"/>
          <w:divBdr>
            <w:top w:val="none" w:sz="0" w:space="0" w:color="auto"/>
            <w:left w:val="none" w:sz="0" w:space="0" w:color="auto"/>
            <w:bottom w:val="none" w:sz="0" w:space="0" w:color="auto"/>
            <w:right w:val="none" w:sz="0" w:space="0" w:color="auto"/>
          </w:divBdr>
        </w:div>
        <w:div w:id="1046105673">
          <w:marLeft w:val="0"/>
          <w:marRight w:val="0"/>
          <w:marTop w:val="0"/>
          <w:marBottom w:val="0"/>
          <w:divBdr>
            <w:top w:val="none" w:sz="0" w:space="0" w:color="auto"/>
            <w:left w:val="none" w:sz="0" w:space="0" w:color="auto"/>
            <w:bottom w:val="none" w:sz="0" w:space="0" w:color="auto"/>
            <w:right w:val="none" w:sz="0" w:space="0" w:color="auto"/>
          </w:divBdr>
        </w:div>
        <w:div w:id="1288314759">
          <w:marLeft w:val="0"/>
          <w:marRight w:val="0"/>
          <w:marTop w:val="0"/>
          <w:marBottom w:val="0"/>
          <w:divBdr>
            <w:top w:val="none" w:sz="0" w:space="0" w:color="auto"/>
            <w:left w:val="none" w:sz="0" w:space="0" w:color="auto"/>
            <w:bottom w:val="none" w:sz="0" w:space="0" w:color="auto"/>
            <w:right w:val="none" w:sz="0" w:space="0" w:color="auto"/>
          </w:divBdr>
        </w:div>
        <w:div w:id="1321233437">
          <w:marLeft w:val="0"/>
          <w:marRight w:val="0"/>
          <w:marTop w:val="0"/>
          <w:marBottom w:val="0"/>
          <w:divBdr>
            <w:top w:val="none" w:sz="0" w:space="0" w:color="auto"/>
            <w:left w:val="none" w:sz="0" w:space="0" w:color="auto"/>
            <w:bottom w:val="none" w:sz="0" w:space="0" w:color="auto"/>
            <w:right w:val="none" w:sz="0" w:space="0" w:color="auto"/>
          </w:divBdr>
        </w:div>
        <w:div w:id="1467771418">
          <w:marLeft w:val="0"/>
          <w:marRight w:val="0"/>
          <w:marTop w:val="0"/>
          <w:marBottom w:val="0"/>
          <w:divBdr>
            <w:top w:val="none" w:sz="0" w:space="0" w:color="auto"/>
            <w:left w:val="none" w:sz="0" w:space="0" w:color="auto"/>
            <w:bottom w:val="none" w:sz="0" w:space="0" w:color="auto"/>
            <w:right w:val="none" w:sz="0" w:space="0" w:color="auto"/>
          </w:divBdr>
        </w:div>
        <w:div w:id="1475442504">
          <w:marLeft w:val="0"/>
          <w:marRight w:val="0"/>
          <w:marTop w:val="0"/>
          <w:marBottom w:val="0"/>
          <w:divBdr>
            <w:top w:val="none" w:sz="0" w:space="0" w:color="auto"/>
            <w:left w:val="none" w:sz="0" w:space="0" w:color="auto"/>
            <w:bottom w:val="none" w:sz="0" w:space="0" w:color="auto"/>
            <w:right w:val="none" w:sz="0" w:space="0" w:color="auto"/>
          </w:divBdr>
        </w:div>
        <w:div w:id="1502894782">
          <w:marLeft w:val="0"/>
          <w:marRight w:val="0"/>
          <w:marTop w:val="0"/>
          <w:marBottom w:val="0"/>
          <w:divBdr>
            <w:top w:val="none" w:sz="0" w:space="0" w:color="auto"/>
            <w:left w:val="none" w:sz="0" w:space="0" w:color="auto"/>
            <w:bottom w:val="none" w:sz="0" w:space="0" w:color="auto"/>
            <w:right w:val="none" w:sz="0" w:space="0" w:color="auto"/>
          </w:divBdr>
        </w:div>
        <w:div w:id="1507086741">
          <w:marLeft w:val="0"/>
          <w:marRight w:val="0"/>
          <w:marTop w:val="0"/>
          <w:marBottom w:val="0"/>
          <w:divBdr>
            <w:top w:val="none" w:sz="0" w:space="0" w:color="auto"/>
            <w:left w:val="none" w:sz="0" w:space="0" w:color="auto"/>
            <w:bottom w:val="none" w:sz="0" w:space="0" w:color="auto"/>
            <w:right w:val="none" w:sz="0" w:space="0" w:color="auto"/>
          </w:divBdr>
        </w:div>
        <w:div w:id="1586038813">
          <w:marLeft w:val="0"/>
          <w:marRight w:val="0"/>
          <w:marTop w:val="0"/>
          <w:marBottom w:val="0"/>
          <w:divBdr>
            <w:top w:val="none" w:sz="0" w:space="0" w:color="auto"/>
            <w:left w:val="none" w:sz="0" w:space="0" w:color="auto"/>
            <w:bottom w:val="none" w:sz="0" w:space="0" w:color="auto"/>
            <w:right w:val="none" w:sz="0" w:space="0" w:color="auto"/>
          </w:divBdr>
        </w:div>
        <w:div w:id="1599287265">
          <w:marLeft w:val="0"/>
          <w:marRight w:val="0"/>
          <w:marTop w:val="0"/>
          <w:marBottom w:val="0"/>
          <w:divBdr>
            <w:top w:val="none" w:sz="0" w:space="0" w:color="auto"/>
            <w:left w:val="none" w:sz="0" w:space="0" w:color="auto"/>
            <w:bottom w:val="none" w:sz="0" w:space="0" w:color="auto"/>
            <w:right w:val="none" w:sz="0" w:space="0" w:color="auto"/>
          </w:divBdr>
        </w:div>
      </w:divsChild>
    </w:div>
    <w:div w:id="509223536">
      <w:bodyDiv w:val="1"/>
      <w:marLeft w:val="0"/>
      <w:marRight w:val="0"/>
      <w:marTop w:val="0"/>
      <w:marBottom w:val="0"/>
      <w:divBdr>
        <w:top w:val="none" w:sz="0" w:space="0" w:color="auto"/>
        <w:left w:val="none" w:sz="0" w:space="0" w:color="auto"/>
        <w:bottom w:val="none" w:sz="0" w:space="0" w:color="auto"/>
        <w:right w:val="none" w:sz="0" w:space="0" w:color="auto"/>
      </w:divBdr>
      <w:divsChild>
        <w:div w:id="1971276959">
          <w:marLeft w:val="1080"/>
          <w:marRight w:val="0"/>
          <w:marTop w:val="100"/>
          <w:marBottom w:val="0"/>
          <w:divBdr>
            <w:top w:val="none" w:sz="0" w:space="0" w:color="auto"/>
            <w:left w:val="none" w:sz="0" w:space="0" w:color="auto"/>
            <w:bottom w:val="none" w:sz="0" w:space="0" w:color="auto"/>
            <w:right w:val="none" w:sz="0" w:space="0" w:color="auto"/>
          </w:divBdr>
        </w:div>
      </w:divsChild>
    </w:div>
    <w:div w:id="517620634">
      <w:bodyDiv w:val="1"/>
      <w:marLeft w:val="0"/>
      <w:marRight w:val="0"/>
      <w:marTop w:val="0"/>
      <w:marBottom w:val="0"/>
      <w:divBdr>
        <w:top w:val="none" w:sz="0" w:space="0" w:color="auto"/>
        <w:left w:val="none" w:sz="0" w:space="0" w:color="auto"/>
        <w:bottom w:val="none" w:sz="0" w:space="0" w:color="auto"/>
        <w:right w:val="none" w:sz="0" w:space="0" w:color="auto"/>
      </w:divBdr>
      <w:divsChild>
        <w:div w:id="123157827">
          <w:marLeft w:val="0"/>
          <w:marRight w:val="0"/>
          <w:marTop w:val="0"/>
          <w:marBottom w:val="0"/>
          <w:divBdr>
            <w:top w:val="none" w:sz="0" w:space="0" w:color="auto"/>
            <w:left w:val="none" w:sz="0" w:space="0" w:color="auto"/>
            <w:bottom w:val="none" w:sz="0" w:space="0" w:color="auto"/>
            <w:right w:val="none" w:sz="0" w:space="0" w:color="auto"/>
          </w:divBdr>
        </w:div>
        <w:div w:id="483014408">
          <w:marLeft w:val="0"/>
          <w:marRight w:val="0"/>
          <w:marTop w:val="0"/>
          <w:marBottom w:val="0"/>
          <w:divBdr>
            <w:top w:val="none" w:sz="0" w:space="0" w:color="auto"/>
            <w:left w:val="none" w:sz="0" w:space="0" w:color="auto"/>
            <w:bottom w:val="none" w:sz="0" w:space="0" w:color="auto"/>
            <w:right w:val="none" w:sz="0" w:space="0" w:color="auto"/>
          </w:divBdr>
        </w:div>
        <w:div w:id="550456081">
          <w:marLeft w:val="0"/>
          <w:marRight w:val="0"/>
          <w:marTop w:val="0"/>
          <w:marBottom w:val="0"/>
          <w:divBdr>
            <w:top w:val="none" w:sz="0" w:space="0" w:color="auto"/>
            <w:left w:val="none" w:sz="0" w:space="0" w:color="auto"/>
            <w:bottom w:val="none" w:sz="0" w:space="0" w:color="auto"/>
            <w:right w:val="none" w:sz="0" w:space="0" w:color="auto"/>
          </w:divBdr>
        </w:div>
        <w:div w:id="1010645446">
          <w:marLeft w:val="0"/>
          <w:marRight w:val="0"/>
          <w:marTop w:val="0"/>
          <w:marBottom w:val="0"/>
          <w:divBdr>
            <w:top w:val="none" w:sz="0" w:space="0" w:color="auto"/>
            <w:left w:val="none" w:sz="0" w:space="0" w:color="auto"/>
            <w:bottom w:val="none" w:sz="0" w:space="0" w:color="auto"/>
            <w:right w:val="none" w:sz="0" w:space="0" w:color="auto"/>
          </w:divBdr>
        </w:div>
        <w:div w:id="1170028890">
          <w:marLeft w:val="0"/>
          <w:marRight w:val="0"/>
          <w:marTop w:val="0"/>
          <w:marBottom w:val="0"/>
          <w:divBdr>
            <w:top w:val="none" w:sz="0" w:space="0" w:color="auto"/>
            <w:left w:val="none" w:sz="0" w:space="0" w:color="auto"/>
            <w:bottom w:val="none" w:sz="0" w:space="0" w:color="auto"/>
            <w:right w:val="none" w:sz="0" w:space="0" w:color="auto"/>
          </w:divBdr>
        </w:div>
        <w:div w:id="1187282438">
          <w:marLeft w:val="0"/>
          <w:marRight w:val="0"/>
          <w:marTop w:val="0"/>
          <w:marBottom w:val="0"/>
          <w:divBdr>
            <w:top w:val="none" w:sz="0" w:space="0" w:color="auto"/>
            <w:left w:val="none" w:sz="0" w:space="0" w:color="auto"/>
            <w:bottom w:val="none" w:sz="0" w:space="0" w:color="auto"/>
            <w:right w:val="none" w:sz="0" w:space="0" w:color="auto"/>
          </w:divBdr>
        </w:div>
        <w:div w:id="1289049078">
          <w:marLeft w:val="0"/>
          <w:marRight w:val="0"/>
          <w:marTop w:val="0"/>
          <w:marBottom w:val="0"/>
          <w:divBdr>
            <w:top w:val="none" w:sz="0" w:space="0" w:color="auto"/>
            <w:left w:val="none" w:sz="0" w:space="0" w:color="auto"/>
            <w:bottom w:val="none" w:sz="0" w:space="0" w:color="auto"/>
            <w:right w:val="none" w:sz="0" w:space="0" w:color="auto"/>
          </w:divBdr>
        </w:div>
        <w:div w:id="1317033662">
          <w:marLeft w:val="0"/>
          <w:marRight w:val="0"/>
          <w:marTop w:val="0"/>
          <w:marBottom w:val="0"/>
          <w:divBdr>
            <w:top w:val="none" w:sz="0" w:space="0" w:color="auto"/>
            <w:left w:val="none" w:sz="0" w:space="0" w:color="auto"/>
            <w:bottom w:val="none" w:sz="0" w:space="0" w:color="auto"/>
            <w:right w:val="none" w:sz="0" w:space="0" w:color="auto"/>
          </w:divBdr>
        </w:div>
        <w:div w:id="1571769773">
          <w:marLeft w:val="0"/>
          <w:marRight w:val="0"/>
          <w:marTop w:val="0"/>
          <w:marBottom w:val="0"/>
          <w:divBdr>
            <w:top w:val="none" w:sz="0" w:space="0" w:color="auto"/>
            <w:left w:val="none" w:sz="0" w:space="0" w:color="auto"/>
            <w:bottom w:val="none" w:sz="0" w:space="0" w:color="auto"/>
            <w:right w:val="none" w:sz="0" w:space="0" w:color="auto"/>
          </w:divBdr>
        </w:div>
        <w:div w:id="1886408183">
          <w:marLeft w:val="0"/>
          <w:marRight w:val="0"/>
          <w:marTop w:val="0"/>
          <w:marBottom w:val="0"/>
          <w:divBdr>
            <w:top w:val="none" w:sz="0" w:space="0" w:color="auto"/>
            <w:left w:val="none" w:sz="0" w:space="0" w:color="auto"/>
            <w:bottom w:val="none" w:sz="0" w:space="0" w:color="auto"/>
            <w:right w:val="none" w:sz="0" w:space="0" w:color="auto"/>
          </w:divBdr>
        </w:div>
        <w:div w:id="1945455723">
          <w:marLeft w:val="0"/>
          <w:marRight w:val="0"/>
          <w:marTop w:val="0"/>
          <w:marBottom w:val="0"/>
          <w:divBdr>
            <w:top w:val="none" w:sz="0" w:space="0" w:color="auto"/>
            <w:left w:val="none" w:sz="0" w:space="0" w:color="auto"/>
            <w:bottom w:val="none" w:sz="0" w:space="0" w:color="auto"/>
            <w:right w:val="none" w:sz="0" w:space="0" w:color="auto"/>
          </w:divBdr>
        </w:div>
      </w:divsChild>
    </w:div>
    <w:div w:id="521673466">
      <w:bodyDiv w:val="1"/>
      <w:marLeft w:val="0"/>
      <w:marRight w:val="0"/>
      <w:marTop w:val="0"/>
      <w:marBottom w:val="0"/>
      <w:divBdr>
        <w:top w:val="none" w:sz="0" w:space="0" w:color="auto"/>
        <w:left w:val="none" w:sz="0" w:space="0" w:color="auto"/>
        <w:bottom w:val="none" w:sz="0" w:space="0" w:color="auto"/>
        <w:right w:val="none" w:sz="0" w:space="0" w:color="auto"/>
      </w:divBdr>
    </w:div>
    <w:div w:id="530218553">
      <w:bodyDiv w:val="1"/>
      <w:marLeft w:val="0"/>
      <w:marRight w:val="0"/>
      <w:marTop w:val="0"/>
      <w:marBottom w:val="0"/>
      <w:divBdr>
        <w:top w:val="none" w:sz="0" w:space="0" w:color="auto"/>
        <w:left w:val="none" w:sz="0" w:space="0" w:color="auto"/>
        <w:bottom w:val="none" w:sz="0" w:space="0" w:color="auto"/>
        <w:right w:val="none" w:sz="0" w:space="0" w:color="auto"/>
      </w:divBdr>
    </w:div>
    <w:div w:id="639846172">
      <w:bodyDiv w:val="1"/>
      <w:marLeft w:val="0"/>
      <w:marRight w:val="0"/>
      <w:marTop w:val="0"/>
      <w:marBottom w:val="0"/>
      <w:divBdr>
        <w:top w:val="none" w:sz="0" w:space="0" w:color="auto"/>
        <w:left w:val="none" w:sz="0" w:space="0" w:color="auto"/>
        <w:bottom w:val="none" w:sz="0" w:space="0" w:color="auto"/>
        <w:right w:val="none" w:sz="0" w:space="0" w:color="auto"/>
      </w:divBdr>
    </w:div>
    <w:div w:id="667556810">
      <w:bodyDiv w:val="1"/>
      <w:marLeft w:val="0"/>
      <w:marRight w:val="0"/>
      <w:marTop w:val="0"/>
      <w:marBottom w:val="0"/>
      <w:divBdr>
        <w:top w:val="none" w:sz="0" w:space="0" w:color="auto"/>
        <w:left w:val="none" w:sz="0" w:space="0" w:color="auto"/>
        <w:bottom w:val="none" w:sz="0" w:space="0" w:color="auto"/>
        <w:right w:val="none" w:sz="0" w:space="0" w:color="auto"/>
      </w:divBdr>
    </w:div>
    <w:div w:id="684676002">
      <w:bodyDiv w:val="1"/>
      <w:marLeft w:val="0"/>
      <w:marRight w:val="0"/>
      <w:marTop w:val="0"/>
      <w:marBottom w:val="0"/>
      <w:divBdr>
        <w:top w:val="none" w:sz="0" w:space="0" w:color="auto"/>
        <w:left w:val="none" w:sz="0" w:space="0" w:color="auto"/>
        <w:bottom w:val="none" w:sz="0" w:space="0" w:color="auto"/>
        <w:right w:val="none" w:sz="0" w:space="0" w:color="auto"/>
      </w:divBdr>
    </w:div>
    <w:div w:id="711466642">
      <w:bodyDiv w:val="1"/>
      <w:marLeft w:val="0"/>
      <w:marRight w:val="0"/>
      <w:marTop w:val="0"/>
      <w:marBottom w:val="0"/>
      <w:divBdr>
        <w:top w:val="none" w:sz="0" w:space="0" w:color="auto"/>
        <w:left w:val="none" w:sz="0" w:space="0" w:color="auto"/>
        <w:bottom w:val="none" w:sz="0" w:space="0" w:color="auto"/>
        <w:right w:val="none" w:sz="0" w:space="0" w:color="auto"/>
      </w:divBdr>
    </w:div>
    <w:div w:id="737556782">
      <w:bodyDiv w:val="1"/>
      <w:marLeft w:val="0"/>
      <w:marRight w:val="0"/>
      <w:marTop w:val="0"/>
      <w:marBottom w:val="0"/>
      <w:divBdr>
        <w:top w:val="none" w:sz="0" w:space="0" w:color="auto"/>
        <w:left w:val="none" w:sz="0" w:space="0" w:color="auto"/>
        <w:bottom w:val="none" w:sz="0" w:space="0" w:color="auto"/>
        <w:right w:val="none" w:sz="0" w:space="0" w:color="auto"/>
      </w:divBdr>
    </w:div>
    <w:div w:id="738550868">
      <w:bodyDiv w:val="1"/>
      <w:marLeft w:val="0"/>
      <w:marRight w:val="0"/>
      <w:marTop w:val="0"/>
      <w:marBottom w:val="0"/>
      <w:divBdr>
        <w:top w:val="none" w:sz="0" w:space="0" w:color="auto"/>
        <w:left w:val="none" w:sz="0" w:space="0" w:color="auto"/>
        <w:bottom w:val="none" w:sz="0" w:space="0" w:color="auto"/>
        <w:right w:val="none" w:sz="0" w:space="0" w:color="auto"/>
      </w:divBdr>
    </w:div>
    <w:div w:id="739209666">
      <w:bodyDiv w:val="1"/>
      <w:marLeft w:val="0"/>
      <w:marRight w:val="0"/>
      <w:marTop w:val="0"/>
      <w:marBottom w:val="0"/>
      <w:divBdr>
        <w:top w:val="none" w:sz="0" w:space="0" w:color="auto"/>
        <w:left w:val="none" w:sz="0" w:space="0" w:color="auto"/>
        <w:bottom w:val="none" w:sz="0" w:space="0" w:color="auto"/>
        <w:right w:val="none" w:sz="0" w:space="0" w:color="auto"/>
      </w:divBdr>
    </w:div>
    <w:div w:id="743646636">
      <w:bodyDiv w:val="1"/>
      <w:marLeft w:val="0"/>
      <w:marRight w:val="0"/>
      <w:marTop w:val="0"/>
      <w:marBottom w:val="0"/>
      <w:divBdr>
        <w:top w:val="none" w:sz="0" w:space="0" w:color="auto"/>
        <w:left w:val="none" w:sz="0" w:space="0" w:color="auto"/>
        <w:bottom w:val="none" w:sz="0" w:space="0" w:color="auto"/>
        <w:right w:val="none" w:sz="0" w:space="0" w:color="auto"/>
      </w:divBdr>
    </w:div>
    <w:div w:id="745106523">
      <w:bodyDiv w:val="1"/>
      <w:marLeft w:val="0"/>
      <w:marRight w:val="0"/>
      <w:marTop w:val="0"/>
      <w:marBottom w:val="0"/>
      <w:divBdr>
        <w:top w:val="none" w:sz="0" w:space="0" w:color="auto"/>
        <w:left w:val="none" w:sz="0" w:space="0" w:color="auto"/>
        <w:bottom w:val="none" w:sz="0" w:space="0" w:color="auto"/>
        <w:right w:val="none" w:sz="0" w:space="0" w:color="auto"/>
      </w:divBdr>
    </w:div>
    <w:div w:id="795367848">
      <w:bodyDiv w:val="1"/>
      <w:marLeft w:val="0"/>
      <w:marRight w:val="0"/>
      <w:marTop w:val="0"/>
      <w:marBottom w:val="0"/>
      <w:divBdr>
        <w:top w:val="none" w:sz="0" w:space="0" w:color="auto"/>
        <w:left w:val="none" w:sz="0" w:space="0" w:color="auto"/>
        <w:bottom w:val="none" w:sz="0" w:space="0" w:color="auto"/>
        <w:right w:val="none" w:sz="0" w:space="0" w:color="auto"/>
      </w:divBdr>
      <w:divsChild>
        <w:div w:id="686834116">
          <w:marLeft w:val="720"/>
          <w:marRight w:val="0"/>
          <w:marTop w:val="200"/>
          <w:marBottom w:val="0"/>
          <w:divBdr>
            <w:top w:val="none" w:sz="0" w:space="0" w:color="auto"/>
            <w:left w:val="none" w:sz="0" w:space="0" w:color="auto"/>
            <w:bottom w:val="none" w:sz="0" w:space="0" w:color="auto"/>
            <w:right w:val="none" w:sz="0" w:space="0" w:color="auto"/>
          </w:divBdr>
        </w:div>
        <w:div w:id="1153182504">
          <w:marLeft w:val="720"/>
          <w:marRight w:val="0"/>
          <w:marTop w:val="200"/>
          <w:marBottom w:val="0"/>
          <w:divBdr>
            <w:top w:val="none" w:sz="0" w:space="0" w:color="auto"/>
            <w:left w:val="none" w:sz="0" w:space="0" w:color="auto"/>
            <w:bottom w:val="none" w:sz="0" w:space="0" w:color="auto"/>
            <w:right w:val="none" w:sz="0" w:space="0" w:color="auto"/>
          </w:divBdr>
        </w:div>
        <w:div w:id="1446121153">
          <w:marLeft w:val="720"/>
          <w:marRight w:val="0"/>
          <w:marTop w:val="200"/>
          <w:marBottom w:val="0"/>
          <w:divBdr>
            <w:top w:val="none" w:sz="0" w:space="0" w:color="auto"/>
            <w:left w:val="none" w:sz="0" w:space="0" w:color="auto"/>
            <w:bottom w:val="none" w:sz="0" w:space="0" w:color="auto"/>
            <w:right w:val="none" w:sz="0" w:space="0" w:color="auto"/>
          </w:divBdr>
        </w:div>
      </w:divsChild>
    </w:div>
    <w:div w:id="817459875">
      <w:bodyDiv w:val="1"/>
      <w:marLeft w:val="0"/>
      <w:marRight w:val="0"/>
      <w:marTop w:val="0"/>
      <w:marBottom w:val="0"/>
      <w:divBdr>
        <w:top w:val="none" w:sz="0" w:space="0" w:color="auto"/>
        <w:left w:val="none" w:sz="0" w:space="0" w:color="auto"/>
        <w:bottom w:val="none" w:sz="0" w:space="0" w:color="auto"/>
        <w:right w:val="none" w:sz="0" w:space="0" w:color="auto"/>
      </w:divBdr>
      <w:divsChild>
        <w:div w:id="210388021">
          <w:marLeft w:val="0"/>
          <w:marRight w:val="0"/>
          <w:marTop w:val="0"/>
          <w:marBottom w:val="0"/>
          <w:divBdr>
            <w:top w:val="none" w:sz="0" w:space="0" w:color="auto"/>
            <w:left w:val="none" w:sz="0" w:space="0" w:color="auto"/>
            <w:bottom w:val="none" w:sz="0" w:space="0" w:color="auto"/>
            <w:right w:val="none" w:sz="0" w:space="0" w:color="auto"/>
          </w:divBdr>
        </w:div>
        <w:div w:id="384841153">
          <w:marLeft w:val="0"/>
          <w:marRight w:val="0"/>
          <w:marTop w:val="0"/>
          <w:marBottom w:val="0"/>
          <w:divBdr>
            <w:top w:val="none" w:sz="0" w:space="0" w:color="auto"/>
            <w:left w:val="none" w:sz="0" w:space="0" w:color="auto"/>
            <w:bottom w:val="none" w:sz="0" w:space="0" w:color="auto"/>
            <w:right w:val="none" w:sz="0" w:space="0" w:color="auto"/>
          </w:divBdr>
        </w:div>
        <w:div w:id="678967258">
          <w:marLeft w:val="0"/>
          <w:marRight w:val="0"/>
          <w:marTop w:val="0"/>
          <w:marBottom w:val="0"/>
          <w:divBdr>
            <w:top w:val="none" w:sz="0" w:space="0" w:color="auto"/>
            <w:left w:val="none" w:sz="0" w:space="0" w:color="auto"/>
            <w:bottom w:val="none" w:sz="0" w:space="0" w:color="auto"/>
            <w:right w:val="none" w:sz="0" w:space="0" w:color="auto"/>
          </w:divBdr>
        </w:div>
        <w:div w:id="1059671419">
          <w:marLeft w:val="0"/>
          <w:marRight w:val="0"/>
          <w:marTop w:val="0"/>
          <w:marBottom w:val="0"/>
          <w:divBdr>
            <w:top w:val="none" w:sz="0" w:space="0" w:color="auto"/>
            <w:left w:val="none" w:sz="0" w:space="0" w:color="auto"/>
            <w:bottom w:val="none" w:sz="0" w:space="0" w:color="auto"/>
            <w:right w:val="none" w:sz="0" w:space="0" w:color="auto"/>
          </w:divBdr>
        </w:div>
        <w:div w:id="1442648963">
          <w:marLeft w:val="0"/>
          <w:marRight w:val="0"/>
          <w:marTop w:val="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9485239">
      <w:bodyDiv w:val="1"/>
      <w:marLeft w:val="0"/>
      <w:marRight w:val="0"/>
      <w:marTop w:val="0"/>
      <w:marBottom w:val="0"/>
      <w:divBdr>
        <w:top w:val="none" w:sz="0" w:space="0" w:color="auto"/>
        <w:left w:val="none" w:sz="0" w:space="0" w:color="auto"/>
        <w:bottom w:val="none" w:sz="0" w:space="0" w:color="auto"/>
        <w:right w:val="none" w:sz="0" w:space="0" w:color="auto"/>
      </w:divBdr>
    </w:div>
    <w:div w:id="1029642257">
      <w:bodyDiv w:val="1"/>
      <w:marLeft w:val="0"/>
      <w:marRight w:val="0"/>
      <w:marTop w:val="0"/>
      <w:marBottom w:val="0"/>
      <w:divBdr>
        <w:top w:val="none" w:sz="0" w:space="0" w:color="auto"/>
        <w:left w:val="none" w:sz="0" w:space="0" w:color="auto"/>
        <w:bottom w:val="none" w:sz="0" w:space="0" w:color="auto"/>
        <w:right w:val="none" w:sz="0" w:space="0" w:color="auto"/>
      </w:divBdr>
    </w:div>
    <w:div w:id="1138112196">
      <w:bodyDiv w:val="1"/>
      <w:marLeft w:val="0"/>
      <w:marRight w:val="0"/>
      <w:marTop w:val="0"/>
      <w:marBottom w:val="0"/>
      <w:divBdr>
        <w:top w:val="none" w:sz="0" w:space="0" w:color="auto"/>
        <w:left w:val="none" w:sz="0" w:space="0" w:color="auto"/>
        <w:bottom w:val="none" w:sz="0" w:space="0" w:color="auto"/>
        <w:right w:val="none" w:sz="0" w:space="0" w:color="auto"/>
      </w:divBdr>
    </w:div>
    <w:div w:id="114616775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7565909">
      <w:bodyDiv w:val="1"/>
      <w:marLeft w:val="0"/>
      <w:marRight w:val="0"/>
      <w:marTop w:val="0"/>
      <w:marBottom w:val="0"/>
      <w:divBdr>
        <w:top w:val="none" w:sz="0" w:space="0" w:color="auto"/>
        <w:left w:val="none" w:sz="0" w:space="0" w:color="auto"/>
        <w:bottom w:val="none" w:sz="0" w:space="0" w:color="auto"/>
        <w:right w:val="none" w:sz="0" w:space="0" w:color="auto"/>
      </w:divBdr>
    </w:div>
    <w:div w:id="1278878438">
      <w:bodyDiv w:val="1"/>
      <w:marLeft w:val="0"/>
      <w:marRight w:val="0"/>
      <w:marTop w:val="0"/>
      <w:marBottom w:val="0"/>
      <w:divBdr>
        <w:top w:val="none" w:sz="0" w:space="0" w:color="auto"/>
        <w:left w:val="none" w:sz="0" w:space="0" w:color="auto"/>
        <w:bottom w:val="none" w:sz="0" w:space="0" w:color="auto"/>
        <w:right w:val="none" w:sz="0" w:space="0" w:color="auto"/>
      </w:divBdr>
    </w:div>
    <w:div w:id="1357079255">
      <w:bodyDiv w:val="1"/>
      <w:marLeft w:val="0"/>
      <w:marRight w:val="0"/>
      <w:marTop w:val="0"/>
      <w:marBottom w:val="0"/>
      <w:divBdr>
        <w:top w:val="none" w:sz="0" w:space="0" w:color="auto"/>
        <w:left w:val="none" w:sz="0" w:space="0" w:color="auto"/>
        <w:bottom w:val="none" w:sz="0" w:space="0" w:color="auto"/>
        <w:right w:val="none" w:sz="0" w:space="0" w:color="auto"/>
      </w:divBdr>
    </w:div>
    <w:div w:id="1387686047">
      <w:bodyDiv w:val="1"/>
      <w:marLeft w:val="0"/>
      <w:marRight w:val="0"/>
      <w:marTop w:val="0"/>
      <w:marBottom w:val="0"/>
      <w:divBdr>
        <w:top w:val="none" w:sz="0" w:space="0" w:color="auto"/>
        <w:left w:val="none" w:sz="0" w:space="0" w:color="auto"/>
        <w:bottom w:val="none" w:sz="0" w:space="0" w:color="auto"/>
        <w:right w:val="none" w:sz="0" w:space="0" w:color="auto"/>
      </w:divBdr>
    </w:div>
    <w:div w:id="1405033754">
      <w:bodyDiv w:val="1"/>
      <w:marLeft w:val="0"/>
      <w:marRight w:val="0"/>
      <w:marTop w:val="0"/>
      <w:marBottom w:val="0"/>
      <w:divBdr>
        <w:top w:val="none" w:sz="0" w:space="0" w:color="auto"/>
        <w:left w:val="none" w:sz="0" w:space="0" w:color="auto"/>
        <w:bottom w:val="none" w:sz="0" w:space="0" w:color="auto"/>
        <w:right w:val="none" w:sz="0" w:space="0" w:color="auto"/>
      </w:divBdr>
    </w:div>
    <w:div w:id="1492671563">
      <w:bodyDiv w:val="1"/>
      <w:marLeft w:val="0"/>
      <w:marRight w:val="0"/>
      <w:marTop w:val="0"/>
      <w:marBottom w:val="0"/>
      <w:divBdr>
        <w:top w:val="none" w:sz="0" w:space="0" w:color="auto"/>
        <w:left w:val="none" w:sz="0" w:space="0" w:color="auto"/>
        <w:bottom w:val="none" w:sz="0" w:space="0" w:color="auto"/>
        <w:right w:val="none" w:sz="0" w:space="0" w:color="auto"/>
      </w:divBdr>
    </w:div>
    <w:div w:id="1555920822">
      <w:bodyDiv w:val="1"/>
      <w:marLeft w:val="0"/>
      <w:marRight w:val="0"/>
      <w:marTop w:val="0"/>
      <w:marBottom w:val="0"/>
      <w:divBdr>
        <w:top w:val="none" w:sz="0" w:space="0" w:color="auto"/>
        <w:left w:val="none" w:sz="0" w:space="0" w:color="auto"/>
        <w:bottom w:val="none" w:sz="0" w:space="0" w:color="auto"/>
        <w:right w:val="none" w:sz="0" w:space="0" w:color="auto"/>
      </w:divBdr>
      <w:divsChild>
        <w:div w:id="848565902">
          <w:marLeft w:val="360"/>
          <w:marRight w:val="0"/>
          <w:marTop w:val="200"/>
          <w:marBottom w:val="0"/>
          <w:divBdr>
            <w:top w:val="none" w:sz="0" w:space="0" w:color="auto"/>
            <w:left w:val="none" w:sz="0" w:space="0" w:color="auto"/>
            <w:bottom w:val="none" w:sz="0" w:space="0" w:color="auto"/>
            <w:right w:val="none" w:sz="0" w:space="0" w:color="auto"/>
          </w:divBdr>
        </w:div>
      </w:divsChild>
    </w:div>
    <w:div w:id="1585412475">
      <w:bodyDiv w:val="1"/>
      <w:marLeft w:val="0"/>
      <w:marRight w:val="0"/>
      <w:marTop w:val="0"/>
      <w:marBottom w:val="0"/>
      <w:divBdr>
        <w:top w:val="none" w:sz="0" w:space="0" w:color="auto"/>
        <w:left w:val="none" w:sz="0" w:space="0" w:color="auto"/>
        <w:bottom w:val="none" w:sz="0" w:space="0" w:color="auto"/>
        <w:right w:val="none" w:sz="0" w:space="0" w:color="auto"/>
      </w:divBdr>
    </w:div>
    <w:div w:id="1680616282">
      <w:bodyDiv w:val="1"/>
      <w:marLeft w:val="0"/>
      <w:marRight w:val="0"/>
      <w:marTop w:val="0"/>
      <w:marBottom w:val="0"/>
      <w:divBdr>
        <w:top w:val="none" w:sz="0" w:space="0" w:color="auto"/>
        <w:left w:val="none" w:sz="0" w:space="0" w:color="auto"/>
        <w:bottom w:val="none" w:sz="0" w:space="0" w:color="auto"/>
        <w:right w:val="none" w:sz="0" w:space="0" w:color="auto"/>
      </w:divBdr>
    </w:div>
    <w:div w:id="1697729254">
      <w:bodyDiv w:val="1"/>
      <w:marLeft w:val="0"/>
      <w:marRight w:val="0"/>
      <w:marTop w:val="0"/>
      <w:marBottom w:val="0"/>
      <w:divBdr>
        <w:top w:val="none" w:sz="0" w:space="0" w:color="auto"/>
        <w:left w:val="none" w:sz="0" w:space="0" w:color="auto"/>
        <w:bottom w:val="none" w:sz="0" w:space="0" w:color="auto"/>
        <w:right w:val="none" w:sz="0" w:space="0" w:color="auto"/>
      </w:divBdr>
    </w:div>
    <w:div w:id="1698505153">
      <w:bodyDiv w:val="1"/>
      <w:marLeft w:val="0"/>
      <w:marRight w:val="0"/>
      <w:marTop w:val="0"/>
      <w:marBottom w:val="0"/>
      <w:divBdr>
        <w:top w:val="none" w:sz="0" w:space="0" w:color="auto"/>
        <w:left w:val="none" w:sz="0" w:space="0" w:color="auto"/>
        <w:bottom w:val="none" w:sz="0" w:space="0" w:color="auto"/>
        <w:right w:val="none" w:sz="0" w:space="0" w:color="auto"/>
      </w:divBdr>
    </w:div>
    <w:div w:id="1805393095">
      <w:bodyDiv w:val="1"/>
      <w:marLeft w:val="0"/>
      <w:marRight w:val="0"/>
      <w:marTop w:val="0"/>
      <w:marBottom w:val="0"/>
      <w:divBdr>
        <w:top w:val="none" w:sz="0" w:space="0" w:color="auto"/>
        <w:left w:val="none" w:sz="0" w:space="0" w:color="auto"/>
        <w:bottom w:val="none" w:sz="0" w:space="0" w:color="auto"/>
        <w:right w:val="none" w:sz="0" w:space="0" w:color="auto"/>
      </w:divBdr>
    </w:div>
    <w:div w:id="1809128501">
      <w:bodyDiv w:val="1"/>
      <w:marLeft w:val="0"/>
      <w:marRight w:val="0"/>
      <w:marTop w:val="0"/>
      <w:marBottom w:val="0"/>
      <w:divBdr>
        <w:top w:val="none" w:sz="0" w:space="0" w:color="auto"/>
        <w:left w:val="none" w:sz="0" w:space="0" w:color="auto"/>
        <w:bottom w:val="none" w:sz="0" w:space="0" w:color="auto"/>
        <w:right w:val="none" w:sz="0" w:space="0" w:color="auto"/>
      </w:divBdr>
    </w:div>
    <w:div w:id="1844782906">
      <w:bodyDiv w:val="1"/>
      <w:marLeft w:val="0"/>
      <w:marRight w:val="0"/>
      <w:marTop w:val="0"/>
      <w:marBottom w:val="0"/>
      <w:divBdr>
        <w:top w:val="none" w:sz="0" w:space="0" w:color="auto"/>
        <w:left w:val="none" w:sz="0" w:space="0" w:color="auto"/>
        <w:bottom w:val="none" w:sz="0" w:space="0" w:color="auto"/>
        <w:right w:val="none" w:sz="0" w:space="0" w:color="auto"/>
      </w:divBdr>
      <w:divsChild>
        <w:div w:id="668019027">
          <w:marLeft w:val="360"/>
          <w:marRight w:val="0"/>
          <w:marTop w:val="200"/>
          <w:marBottom w:val="0"/>
          <w:divBdr>
            <w:top w:val="none" w:sz="0" w:space="0" w:color="auto"/>
            <w:left w:val="none" w:sz="0" w:space="0" w:color="auto"/>
            <w:bottom w:val="none" w:sz="0" w:space="0" w:color="auto"/>
            <w:right w:val="none" w:sz="0" w:space="0" w:color="auto"/>
          </w:divBdr>
        </w:div>
      </w:divsChild>
    </w:div>
    <w:div w:id="1910966662">
      <w:bodyDiv w:val="1"/>
      <w:marLeft w:val="0"/>
      <w:marRight w:val="0"/>
      <w:marTop w:val="0"/>
      <w:marBottom w:val="0"/>
      <w:divBdr>
        <w:top w:val="none" w:sz="0" w:space="0" w:color="auto"/>
        <w:left w:val="none" w:sz="0" w:space="0" w:color="auto"/>
        <w:bottom w:val="none" w:sz="0" w:space="0" w:color="auto"/>
        <w:right w:val="none" w:sz="0" w:space="0" w:color="auto"/>
      </w:divBdr>
      <w:divsChild>
        <w:div w:id="588120881">
          <w:marLeft w:val="360"/>
          <w:marRight w:val="0"/>
          <w:marTop w:val="200"/>
          <w:marBottom w:val="0"/>
          <w:divBdr>
            <w:top w:val="none" w:sz="0" w:space="0" w:color="auto"/>
            <w:left w:val="none" w:sz="0" w:space="0" w:color="auto"/>
            <w:bottom w:val="none" w:sz="0" w:space="0" w:color="auto"/>
            <w:right w:val="none" w:sz="0" w:space="0" w:color="auto"/>
          </w:divBdr>
        </w:div>
      </w:divsChild>
    </w:div>
    <w:div w:id="1921675081">
      <w:bodyDiv w:val="1"/>
      <w:marLeft w:val="0"/>
      <w:marRight w:val="0"/>
      <w:marTop w:val="0"/>
      <w:marBottom w:val="0"/>
      <w:divBdr>
        <w:top w:val="none" w:sz="0" w:space="0" w:color="auto"/>
        <w:left w:val="none" w:sz="0" w:space="0" w:color="auto"/>
        <w:bottom w:val="none" w:sz="0" w:space="0" w:color="auto"/>
        <w:right w:val="none" w:sz="0" w:space="0" w:color="auto"/>
      </w:divBdr>
    </w:div>
    <w:div w:id="193681603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2343294">
      <w:bodyDiv w:val="1"/>
      <w:marLeft w:val="0"/>
      <w:marRight w:val="0"/>
      <w:marTop w:val="0"/>
      <w:marBottom w:val="0"/>
      <w:divBdr>
        <w:top w:val="none" w:sz="0" w:space="0" w:color="auto"/>
        <w:left w:val="none" w:sz="0" w:space="0" w:color="auto"/>
        <w:bottom w:val="none" w:sz="0" w:space="0" w:color="auto"/>
        <w:right w:val="none" w:sz="0" w:space="0" w:color="auto"/>
      </w:divBdr>
    </w:div>
    <w:div w:id="1988901932">
      <w:bodyDiv w:val="1"/>
      <w:marLeft w:val="0"/>
      <w:marRight w:val="0"/>
      <w:marTop w:val="0"/>
      <w:marBottom w:val="0"/>
      <w:divBdr>
        <w:top w:val="none" w:sz="0" w:space="0" w:color="auto"/>
        <w:left w:val="none" w:sz="0" w:space="0" w:color="auto"/>
        <w:bottom w:val="none" w:sz="0" w:space="0" w:color="auto"/>
        <w:right w:val="none" w:sz="0" w:space="0" w:color="auto"/>
      </w:divBdr>
    </w:div>
    <w:div w:id="2000882531">
      <w:bodyDiv w:val="1"/>
      <w:marLeft w:val="0"/>
      <w:marRight w:val="0"/>
      <w:marTop w:val="0"/>
      <w:marBottom w:val="0"/>
      <w:divBdr>
        <w:top w:val="none" w:sz="0" w:space="0" w:color="auto"/>
        <w:left w:val="none" w:sz="0" w:space="0" w:color="auto"/>
        <w:bottom w:val="none" w:sz="0" w:space="0" w:color="auto"/>
        <w:right w:val="none" w:sz="0" w:space="0" w:color="auto"/>
      </w:divBdr>
    </w:div>
    <w:div w:id="2015262827">
      <w:bodyDiv w:val="1"/>
      <w:marLeft w:val="0"/>
      <w:marRight w:val="0"/>
      <w:marTop w:val="0"/>
      <w:marBottom w:val="0"/>
      <w:divBdr>
        <w:top w:val="none" w:sz="0" w:space="0" w:color="auto"/>
        <w:left w:val="none" w:sz="0" w:space="0" w:color="auto"/>
        <w:bottom w:val="none" w:sz="0" w:space="0" w:color="auto"/>
        <w:right w:val="none" w:sz="0" w:space="0" w:color="auto"/>
      </w:divBdr>
    </w:div>
    <w:div w:id="2061398959">
      <w:bodyDiv w:val="1"/>
      <w:marLeft w:val="0"/>
      <w:marRight w:val="0"/>
      <w:marTop w:val="0"/>
      <w:marBottom w:val="0"/>
      <w:divBdr>
        <w:top w:val="none" w:sz="0" w:space="0" w:color="auto"/>
        <w:left w:val="none" w:sz="0" w:space="0" w:color="auto"/>
        <w:bottom w:val="none" w:sz="0" w:space="0" w:color="auto"/>
        <w:right w:val="none" w:sz="0" w:space="0" w:color="auto"/>
      </w:divBdr>
    </w:div>
    <w:div w:id="20869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93/cid/ciae0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people/aboriginal-and-torres-strait-islander-peoples/estimates-and-projections-aboriginal-and-torres-strait-islander-australians/latest-release" TargetMode="External"/><Relationship Id="rId1" Type="http://schemas.openxmlformats.org/officeDocument/2006/relationships/hyperlink" Target="https://www.abs.gov.au/statistics/people/population/population-projections-australia/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Ges00</b:Tag>
    <b:SourceType>JournalArticle</b:SourceType>
    <b:Guid>{EA6B7A26-1E4F-43A1-A05A-0D4E665B3EC5}</b:Guid>
    <b:Title>The cost-effectiveness of a hypothetical respiratory syncytial virus vaccine in the elderly. </b:Title>
    <b:JournalName>Vaccine</b:JournalName>
    <b:Year>2000</b:Year>
    <b:Pages>18(15), 1485-1494. </b:Pages>
    <b:URL>https://doi.org/10.1016/s0264-410x(99)00425-9 </b:URL>
    <b:Author>
      <b:Author>
        <b:NameList>
          <b:Person>
            <b:Last>Gessner</b:Last>
            <b:First>B.</b:First>
            <b:Middle>D.</b:Middle>
          </b:Person>
        </b:NameList>
      </b:Author>
    </b:Author>
    <b:RefOrder>88</b:RefOrder>
  </b:Source>
  <b:Source>
    <b:Tag>Mei13</b:Tag>
    <b:SourceType>JournalArticle</b:SourceType>
    <b:Guid>{A8E902E0-2B4E-45FE-B063-29C5BE7BD472}</b:Guid>
    <b:Title>Pouwels, K. B., Luytjes, W., Postma, M. J. &amp; Hak, E. RSV vaccine in development: assessing the potential cost-effectiveness in the Dutch elderly population.</b:Title>
    <b:JournalName>Vaccine</b:JournalName>
    <b:Year>2013</b:Year>
    <b:Pages>31(52), 6254-6260.</b:Pages>
    <b:Author>
      <b:Author>
        <b:NameList>
          <b:Person>
            <b:Last>Meijboom</b:Last>
            <b:First>M.</b:First>
            <b:Middle>J.</b:Middle>
          </b:Person>
        </b:NameList>
      </b:Author>
    </b:Author>
    <b:URL>https://doi.org/10.1016/j.vaccine.2013.10.02</b:URL>
    <b:RefOrder>89</b:RefOrder>
  </b:Source>
  <b:Source>
    <b:Tag>Hod20</b:Tag>
    <b:SourceType>JournalArticle</b:SourceType>
    <b:Guid>{59FC522D-2228-4183-B4CC-0A53C9BF6E7B}</b:Guid>
    <b:Author>
      <b:Author>
        <b:NameList>
          <b:Person>
            <b:Last>Hodgson</b:Last>
            <b:First>D.</b:First>
          </b:Person>
        </b:NameList>
      </b:Author>
    </b:Author>
    <b:Title>Pebody, R., Panovska-Griffiths, J., Baguelin, M. &amp; Atkins, K. E. Evaluating the next generation of RSV intervention strategies: a mathematical modelling study and cost-effectiveness analysis.</b:Title>
    <b:JournalName>BMC Med</b:JournalName>
    <b:Year>2020</b:Year>
    <b:Pages>18(1), 348.</b:Pages>
    <b:URL>https://doi.org/10.1186/s12916-020-01802-8 </b:URL>
    <b:RefOrder>90</b:RefOrder>
  </b:Source>
  <b:Source>
    <b:Tag>Her22</b:Tag>
    <b:SourceType>JournalArticle</b:SourceType>
    <b:Guid>{65EAFE8A-558B-4D23-A695-E940E4499192}</b:Guid>
    <b:Author>
      <b:Author>
        <b:NameList>
          <b:Person>
            <b:Last>Herring</b:Last>
            <b:First>W.</b:First>
            <b:Middle>L.</b:Middle>
          </b:Person>
          <b:Person>
            <b:Last>Zhang</b:Last>
            <b:First>Y.</b:First>
          </b:Person>
          <b:Person>
            <b:Last>Shinde</b:Last>
            <b:First>V.</b:First>
          </b:Person>
          <b:Person>
            <b:Last>Stoddard</b:Last>
            <b:First>J.</b:First>
          </b:Person>
          <b:Person>
            <b:Last>Talbird</b:Last>
            <b:First>S.</b:First>
            <b:Middle>E.</b:Middle>
          </b:Person>
          <b:Person>
            <b:Last>Rosen</b:Last>
            <b:First>B.</b:First>
          </b:Person>
        </b:NameList>
      </b:Author>
    </b:Author>
    <b:Title>Clinical and economic outcomes associated with respiratory syncytial virus vaccination in older adults in the United States.</b:Title>
    <b:JournalName>Vaccine</b:JournalName>
    <b:Year>2022</b:Year>
    <b:Pages>40(3), 483-493</b:Pages>
    <b:URL> https://doi.org/10.1016/j.vaccine.2021.12.002 </b:URL>
    <b:RefOrder>91</b:RefOrder>
  </b:Source>
  <b:Source>
    <b:Tag>Zee22</b:Tag>
    <b:SourceType>JournalArticle</b:SourceType>
    <b:Guid>{032D5EAE-0A8F-433A-8F6E-ACD80A35F54F}</b:Guid>
    <b:Author>
      <b:Author>
        <b:NameList>
          <b:Person>
            <b:Last>Zeevat</b:Last>
            <b:First>F.</b:First>
          </b:Person>
          <b:Person>
            <b:Last>Luttjeboer</b:Last>
            <b:First>J.</b:First>
          </b:Person>
          <b:Person>
            <b:Last>Paulissen</b:Last>
            <b:First>J.</b:First>
            <b:Middle>H. J.</b:Middle>
          </b:Person>
          <b:Person>
            <b:Last>van der Schans</b:Last>
            <b:First>J.</b:First>
          </b:Person>
          <b:Person>
            <b:Last>Beutels</b:Last>
            <b:First>P.</b:First>
          </b:Person>
          <b:Person>
            <b:Last>Boersma</b:Last>
            <b:First>C.</b:First>
          </b:Person>
          <b:Person>
            <b:Last>Postma</b:Last>
            <b:First>M.</b:First>
            <b:Middle>J.</b:Middle>
          </b:Person>
        </b:NameList>
      </b:Author>
    </b:Author>
    <b:Year>2022</b:Year>
    <b:Title>Exploratory Analysis of the Economically Justifiable Price of a Hypothetical RSV Vaccine for Older Adults in the Netherlands and the United Kingdom. </b:Title>
    <b:JournalName>J Infect Dis</b:JournalName>
    <b:Pages>226(Suppl 1), S102-s109</b:Pages>
    <b:URL>https://doi.org/10.1093/infdis/jiab118 </b:URL>
    <b:RefOrder>92</b:RefOrder>
  </b:Source>
  <b:Source>
    <b:Tag>DoH24</b:Tag>
    <b:SourceType>InternetSite</b:SourceType>
    <b:Guid>{A8BECBA4-8BEC-41DD-BEC5-3C94B9E02973}</b:Guid>
    <b:Author>
      <b:Author>
        <b:NameList>
          <b:Person>
            <b:Last>DoHAC</b:Last>
          </b:Person>
        </b:NameList>
      </b:Author>
    </b:Author>
    <b:Title>Australian Immunisation Handbook</b:Title>
    <b:InternetSiteTitle>Respiratory syncytial virus (RSV)</b:InternetSiteTitle>
    <b:Year>2024</b:Year>
    <b:Month>June</b:Month>
    <b:Day>27</b:Day>
    <b:URL>https://immunisationhandbook.health.gov.au/contents/vaccine-preventable-diseases/respiratory-syncytial-virus-rsv</b:URL>
    <b:RefOrder>3</b:RefOrder>
  </b:Source>
  <b:Source>
    <b:Tag>McL22</b:Tag>
    <b:SourceType>JournalArticle</b:SourceType>
    <b:Guid>{7811B402-B3D8-4224-B486-3B155DEDB708}</b:Guid>
    <b:Author>
      <b:Author>
        <b:NameList>
          <b:Person>
            <b:Last>McLaughlin</b:Last>
            <b:First>J.M.</b:First>
          </b:Person>
          <b:Person>
            <b:Last>Khan</b:Last>
            <b:First>F.</b:First>
          </b:Person>
          <b:Person>
            <b:Last>Begier</b:Last>
            <b:First>E.</b:First>
          </b:Person>
          <b:Person>
            <b:Last>Swerdlow</b:Last>
            <b:First>D.</b:First>
            <b:Middle>L.</b:Middle>
          </b:Person>
          <b:Person>
            <b:Last>Jodar</b:Last>
            <b:First>L.</b:First>
          </b:Person>
          <b:Person>
            <b:Last>&amp; Falsey</b:Last>
            <b:First>A.</b:First>
            <b:Middle>R.</b:Middle>
          </b:Person>
        </b:NameList>
      </b:Author>
    </b:Author>
    <b:Title>Rates of medically attended RSV among US adults: a systematic review and meta-analysis.</b:Title>
    <b:JournalName>Open Forum Infect Dis.</b:JournalName>
    <b:Year>2022</b:Year>
    <b:Pages>Jul;9(7):ofac300.</b:Pages>
    <b:RefOrder>61</b:RefOrder>
  </b:Source>
  <b:Source>
    <b:Tag>Wal23</b:Tag>
    <b:SourceType>JournalArticle</b:SourceType>
    <b:Guid>{A368BCE9-1825-4875-ADAF-64978A2F88B5}</b:Guid>
    <b:Title>Efficacy and safety of a bivalent RSV prefusion F vaccine in older adults</b:Title>
    <b:Year>2023</b:Year>
    <b:JournalName>N Engl J Med.</b:JournalName>
    <b:Pages>Apr;388(16):1465-77</b:Pages>
    <b:DOI>doi:http://dx.doi.org/10.1056/NEJMoa2213836.</b:DOI>
    <b:Author>
      <b:Author>
        <b:NameList>
          <b:Person>
            <b:Last>Walsh</b:Last>
            <b:First>E.E.</b:First>
          </b:Person>
          <b:Person>
            <b:Last>Perez</b:Last>
            <b:First>M.G.</b:First>
          </b:Person>
          <b:Person>
            <b:Last>Zareba</b:Last>
            <b:First>A.M.</b:First>
          </b:Person>
          <b:Person>
            <b:Last>Falsey</b:Last>
            <b:First>A.R.</b:First>
          </b:Person>
          <b:Person>
            <b:Last>Jiang</b:Last>
            <b:First>Q.</b:First>
          </b:Person>
          <b:Person>
            <b:Last>Patton</b:Last>
            <b:First>M.</b:First>
          </b:Person>
          <b:Person>
            <b:Last>Polack</b:Last>
            <b:First>F.P.</b:First>
          </b:Person>
          <b:Person>
            <b:Last>Llapur</b:Last>
            <b:First>C.</b:First>
          </b:Person>
          <b:Person>
            <b:Last>Doreski</b:Last>
            <b:First>P.A.</b:First>
          </b:Person>
          <b:Person>
            <b:Last>Ilangovan</b:Last>
            <b:First>K.</b:First>
          </b:Person>
          <b:Person>
            <b:Last>Rämet</b:Last>
            <b:First>M.</b:First>
          </b:Person>
          <b:Person>
            <b:Last>Fukushima</b:Last>
            <b:First>Y.</b:First>
          </b:Person>
          <b:Person>
            <b:Last>Hussen</b:Last>
            <b:First>N.</b:First>
          </b:Person>
          <b:Person>
            <b:Last>Bont</b:Last>
            <b:First>L.J.</b:First>
          </b:Person>
          <b:Person>
            <b:Last>Cardona</b:Last>
            <b:First>J.</b:First>
          </b:Person>
          <b:Person>
            <b:Last>DeHaan</b:Last>
            <b:First>E.</b:First>
          </b:Person>
          <b:Person>
            <b:Last>Castillo Villa</b:Last>
            <b:First>G.</b:First>
          </b:Person>
          <b:Person>
            <b:Last>Ingilizova</b:Last>
            <b:First>M.</b:First>
          </b:Person>
          <b:Person>
            <b:Last>Eiras</b:Last>
            <b:First>D.</b:First>
          </b:Person>
        </b:NameList>
      </b:Author>
    </b:Author>
    <b:RefOrder>1</b:RefOrder>
  </b:Source>
  <b:Source>
    <b:Tag>CDC22</b:Tag>
    <b:SourceType>DocumentFromInternetSite</b:SourceType>
    <b:Guid>{853E4DCC-F83D-4144-8F31-1172D23ABBF0}</b:Guid>
    <b:Author>
      <b:Author>
        <b:NameList>
          <b:Person>
            <b:Last>ASPE</b:Last>
          </b:Person>
        </b:NameList>
      </b:Author>
    </b:Author>
    <b:Title>Office of Health Policy: Issue Brief</b:Title>
    <b:InternetSiteTitle>Impact of the COVID-19 Pandemic on the Hospital</b:InternetSiteTitle>
    <b:Year>2022</b:Year>
    <b:URL>https://aspe.hhs.gov/sites/default/files/documents/9cc72124abd9ea25d58a22c7692dccb6/aspe-covid-workforce-report.pdf</b:URL>
    <b:RefOrder>96</b:RefOrder>
  </b:Source>
  <b:Source>
    <b:Tag>Mel23</b:Tag>
    <b:SourceType>DocumentFromInternetSite</b:SourceType>
    <b:Guid>{29F523D5-ED9B-4B03-9047-DF7018F064A1}</b:Guid>
    <b:Author>
      <b:Author>
        <b:NameList>
          <b:Person>
            <b:Last>Melgar</b:Last>
            <b:First>M.</b:First>
          </b:Person>
          <b:Person>
            <b:Last>Britton</b:Last>
            <b:First>A.</b:First>
          </b:Person>
          <b:Person>
            <b:Last>Roper</b:Last>
            <b:First>L.E.</b:First>
          </b:Person>
          <b:Person>
            <b:Last>Talbot</b:Last>
            <b:First>K.</b:First>
          </b:Person>
          <b:Person>
            <b:Last>Long</b:Last>
            <b:First>S.S.</b:First>
          </b:Person>
          <b:Person>
            <b:Last>Kotton</b:Last>
            <b:First>C.N.</b:First>
          </b:Person>
          <b:Person>
            <b:Last>Havers</b:Last>
            <b:First>F.P</b:First>
          </b:Person>
        </b:NameList>
      </b:Author>
    </b:Author>
    <b:Title>Use of Respiratory Syncytial Virus Vaccines in Older Adults: Recommendations of the Advisory Committee on Immunization Practices — United States, 2023.</b:Title>
    <b:InternetSiteTitle>MMWR Morb Mortal Wkly Rep 2023;72:793–801.</b:InternetSiteTitle>
    <b:Year>2023</b:Year>
    <b:DOI>http://dx.doi.org/10.15585/mmwr.mm7229a4</b:DOI>
    <b:RefOrder>97</b:RefOrder>
  </b:Source>
  <b:Source>
    <b:Tag>Hut23</b:Tag>
    <b:SourceType>DocumentFromInternetSite</b:SourceType>
    <b:Guid>{64CE6E4C-17BF-450E-88FC-B6BBAC96EF3E}</b:Guid>
    <b:Author>
      <b:Author>
        <b:NameList>
          <b:Person>
            <b:Last>Hutton</b:Last>
            <b:First>D.</b:First>
          </b:Person>
        </b:NameList>
      </b:Author>
    </b:Author>
    <b:Title>CDC ACIP Meetings</b:Title>
    <b:InternetSiteTitle>Economic Analysis of RSV </b:InternetSiteTitle>
    <b:Year>2023</b:Year>
    <b:Month>February</b:Month>
    <b:URL>https://www.cdc.gov/vaccines/acip/meetings/downloads/slides-2023-02/slides-02-23/RSV-Adults-02-Hutton-508.pdf</b:URL>
    <b:RefOrder>94</b:RefOrder>
  </b:Source>
  <b:Source>
    <b:Tag>Jia23</b:Tag>
    <b:SourceType>ConferenceProceedings</b:SourceType>
    <b:Guid>{E2B8BC2E-1E21-4AFD-BBB6-98BD7237D5FF}</b:Guid>
    <b:Year>2023</b:Year>
    <b:Author>
      <b:Author>
        <b:NameList>
          <b:Person>
            <b:Last>Jiang</b:Last>
            <b:First>Q.</b:First>
          </b:Person>
          <b:Person>
            <b:Last>SchmoeleThoma</b:Last>
            <b:First>B.</b:First>
          </b:Person>
          <b:Person>
            <b:Last>Gurtman</b:Last>
            <b:First>A.</b:First>
          </b:Person>
          <b:Person>
            <b:Last>Begier</b:Last>
            <b:First>E.</b:First>
          </b:Person>
          <b:Person>
            <b:Last>Walsh</b:Last>
            <b:First>E.</b:First>
          </b:Person>
          <b:Person>
            <b:Last>Falsey</b:Last>
            <b:First>A.</b:First>
          </b:Person>
          <b:Person>
            <b:Last>Swanson</b:Last>
            <b:First>K.</b:First>
          </b:Person>
        </b:NameList>
      </b:Author>
    </b:Author>
    <b:Title>RSVpreF Subunit Vaccine Antibody Response Modeled Through Two RSV Seasons in Older Adults [abstract].</b:Title>
    <b:JournalName>International RSV Symposium; Belfast, Northern Ireland, UK: Updated Sept/Oct 2022. Available from: https://isirv.org/site/images/conferences/RSV/RSV2022/RSV_2022_Abstracts_POST ERS%20Rev%20Dec22.pdf. Accessed on: 24 January 2023.</b:JournalName>
    <b:ConferenceName>International RSV Symposium</b:ConferenceName>
    <b:City>Belfast, Northern Ireland, UK</b:City>
    <b:URL>https://isirv.org/site/images/conferences/RSV/RSV2022/RSV_2022_Abstracts_POST ERS%20Rev%20Dec22.pdf. </b:URL>
    <b:RefOrder>98</b:RefOrder>
  </b:Source>
  <b:Source>
    <b:Tag>Mol24</b:Tag>
    <b:SourceType>JournalArticle</b:SourceType>
    <b:Guid>{302F7CD7-C77F-4E7F-AFA7-1470EC81B8EC}</b:Guid>
    <b:Title>Public Health Impact of the Adjuvanted RSVPreF3 Vaccine for Respiratory Syncytial Virus Prevention Among Older Adults in the United States</b:Title>
    <b:Year>2024</b:Year>
    <b:Author>
      <b:Author>
        <b:NameList>
          <b:Person>
            <b:Last>Molnar</b:Last>
            <b:First>D.</b:First>
          </b:Person>
          <b:Person>
            <b:Last>La</b:Last>
            <b:First>E.M.</b:First>
          </b:Person>
          <b:Person>
            <b:Last>Verelst</b:Last>
            <b:First>F.</b:First>
          </b:Person>
          <b:Person>
            <b:Last>Poston</b:Last>
            <b:First>S.</b:First>
          </b:Person>
          <b:Person>
            <b:Last>Graham</b:Last>
            <b:First>J.</b:First>
          </b:Person>
          <b:Person>
            <b:Last>Bellinghen</b:Last>
            <b:First>L.</b:First>
          </b:Person>
          <b:Person>
            <b:Last>Curran</b:Last>
            <b:First>D.</b:First>
          </b:Person>
        </b:NameList>
      </b:Author>
    </b:Author>
    <b:JournalName>Infect Dis Ther</b:JournalName>
    <b:URL>https:// doi. org/ 10. 1007/ s40121-​024-​00939-w.</b:URL>
    <b:RefOrder>99</b:RefOrder>
  </b:Source>
  <b:Source>
    <b:Tag>McC161</b:Tag>
    <b:SourceType>JournalArticle</b:SourceType>
    <b:Guid>{DC76BE22-ACED-424B-B100-54985FCF5D78}</b:Guid>
    <b:Title>Kaambwa, B., Currow, D. C. &amp; Ratcliffe, J. Health-related quality of life measured using the EQ-5D-5L: South Australian population norms. Health Qual Life Outcomes, 14(1), 133. https://doi.org/10.1186/s12955-016-0537-0</b:Title>
    <b:JournalName>Health Qual Life Outcomes,</b:JournalName>
    <b:Year>2016</b:Year>
    <b:Pages>14(1), 133.</b:Pages>
    <b:URL>https://doi.org/10.1186/s12955-016-0537-0 </b:URL>
    <b:Author>
      <b:Author>
        <b:NameList>
          <b:Person>
            <b:Last>McCaffrey</b:Last>
            <b:First>N.</b:First>
          </b:Person>
        </b:NameList>
      </b:Author>
    </b:Author>
    <b:RefOrder>100</b:RefOrder>
  </b:Source>
  <b:Source>
    <b:Tag>Ban19</b:Tag>
    <b:SourceType>JournalArticle</b:SourceType>
    <b:Guid>{756CE9D5-1B83-453A-A46D-20F6E556A77A}</b:Guid>
    <b:Author>
      <b:Author>
        <b:NameList>
          <b:Person>
            <b:Last>Banham</b:Last>
            <b:First>D.</b:First>
          </b:Person>
          <b:Person>
            <b:Last>Karnon</b:Last>
            <b:First>J.</b:First>
          </b:Person>
          <b:Person>
            <b:Last>Lynch</b:Last>
            <b:First>J.</b:First>
          </b:Person>
        </b:NameList>
      </b:Author>
    </b:Author>
    <b:Title>Health related quality of life (HRQoL) among Aboriginal South Australians: a perspective using survey-based health utility estimates. https://doi.org/10.1186/s12955-019-1107</b:Title>
    <b:JournalName>Health Qual Life Outcomes,</b:JournalName>
    <b:Year>2019</b:Year>
    <b:Pages>17(1), 39</b:Pages>
    <b:URL>https://doi.org/10.1186/s12955-019-1107-z</b:URL>
    <b:RefOrder>101</b:RefOrder>
  </b:Source>
  <b:Source>
    <b:Tag>Fal222</b:Tag>
    <b:SourceType>JournalArticle</b:SourceType>
    <b:Guid>{CE834408-B3A3-4137-95C2-9E2EE1F6F9BB}</b:Guid>
    <b:Author>
      <b:Author>
        <b:NameList>
          <b:Person>
            <b:Last>Falsey</b:Last>
            <b:First>A.R.</b:First>
          </b:Person>
          <b:Person>
            <b:Last>Walsh</b:Last>
            <b:First>E.</b:First>
            <b:Middle>E.</b:Middle>
          </b:Person>
          <b:Person>
            <b:Last>Osborne</b:Last>
            <b:First>R.</b:First>
            <b:Middle>H.</b:Middle>
          </b:Person>
          <b:Person>
            <b:Last>Vandendijck</b:Last>
            <b:First>Y.</b:First>
          </b:Person>
          <b:Person>
            <b:Last>Ren</b:Last>
            <b:First>X.</b:First>
          </b:Person>
          <b:Person>
            <b:Last>Witek</b:Last>
            <b:First>J.</b:First>
          </b:Person>
          <b:Person>
            <b:Last>Kang</b:Last>
            <b:First>D.</b:First>
          </b:Person>
          <b:Person>
            <b:Last>Chan</b:Last>
            <b:First>E.</b:First>
          </b:Person>
          <b:Person>
            <b:Last>Scott</b:Last>
            <b:First>J.</b:First>
          </b:Person>
          <b:Person>
            <b:Last>Ispas</b:Last>
            <b:First>G.</b:First>
          </b:Person>
        </b:NameList>
      </b:Author>
    </b:Author>
    <b:Year>2021</b:Year>
    <b:Title>Comparative assessment of reported symptoms of influenza, respiratory syncytial virus, and human metapneumovirus infection during hospitalization and post-discharge assessed by Respiratory Intensity and Impact Questionnaire.</b:Title>
    <b:JournalName>Influenza Other Respir Viruses</b:JournalName>
    <b:Pages>16(1), 79-89.</b:Pages>
    <b:URL> https://doi.org/10.1111/irv.12903 </b:URL>
    <b:RefOrder>102</b:RefOrder>
  </b:Source>
  <b:Source>
    <b:Tag>Mao22</b:Tag>
    <b:SourceType>JournalArticle</b:SourceType>
    <b:Guid>{325C8E1C-66D5-4746-A91D-1C33A209EE6C}</b:Guid>
    <b:Author>
      <b:Author>
        <b:NameList>
          <b:Person>
            <b:Last>Mao</b:Last>
            <b:First>Z.</b:First>
          </b:Person>
          <b:Person>
            <b:Last>Li</b:Last>
            <b:First>X.</b:First>
          </b:Person>
          <b:Person>
            <b:Last>Korsten</b:Last>
            <b:First>K.</b:First>
          </b:Person>
          <b:Person>
            <b:Last>Bont</b:Last>
            <b:First>L.</b:First>
          </b:Person>
          <b:Person>
            <b:Last>Butler</b:Last>
            <b:First>C.</b:First>
          </b:Person>
          <b:Person>
            <b:Last>Wildenbeest</b:Last>
            <b:First>J.</b:First>
          </b:Person>
          <b:Person>
            <b:Last>Coenen</b:Last>
            <b:First>S.</b:First>
          </b:Person>
          <b:Person>
            <b:Last>Hens</b:Last>
            <b:First>N.</b:First>
          </b:Person>
          <b:Person>
            <b:Last>Bilcke</b:Last>
            <b:First>J.</b:First>
          </b:Person>
          <b:Person>
            <b:Last>Beutels</b:Last>
            <b:First>P.</b:First>
          </b:Person>
          <b:Person>
            <b:Last>RESCEU_Investigators</b:Last>
          </b:Person>
        </b:NameList>
      </b:Author>
    </b:Author>
    <b:Title>Economic Burden and Health-Related Quality of Life of Respiratory Syncytial Virus and Influenza Infection in European Community-Dwelling Older Adults.</b:Title>
    <b:JournalName>Journal of Infectious Diseases.</b:JournalName>
    <b:Year>2022</b:Year>
    <b:Pages>226(Supplement_1):S87-S94.</b:Pages>
    <b:RefOrder>103</b:RefOrder>
  </b:Source>
  <b:Source>
    <b:Tag>ABS23</b:Tag>
    <b:SourceType>InternetSite</b:SourceType>
    <b:Guid>{819140BF-E24D-4C07-B310-D96DB65878C4}</b:Guid>
    <b:Title>National Health Survey methodology</b:Title>
    <b:Year>2023</b:Year>
    <b:Author>
      <b:Author>
        <b:NameList>
          <b:Person>
            <b:Last>ABS</b:Last>
          </b:Person>
        </b:NameList>
      </b:Author>
    </b:Author>
    <b:InternetSiteTitle>Australian Bureau of Statistics</b:InternetSiteTitle>
    <b:Month>12</b:Month>
    <b:Day>15</b:Day>
    <b:URL>https://www.abs.gov.au/methodologies/national-health-survey-methodology/2022</b:URL>
    <b:RefOrder>54</b:RefOrder>
  </b:Source>
  <b:Source>
    <b:Tag>NCI221</b:Tag>
    <b:SourceType>Report</b:SourceType>
    <b:Guid>{0D7CF3EA-D730-47FB-A591-37EA79D0083B}</b:Guid>
    <b:Author>
      <b:Author>
        <b:Corporate>NCIRS</b:Corporate>
      </b:Author>
    </b:Author>
    <b:Title>Annual Immunisation Coverage Report 2022</b:Title>
    <b:Year>2022</b:Year>
    <b:URL>https://ncirs.org.au/annual-immunisation-coverage-report-2022</b:URL>
    <b:RefOrder>105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5DE044F-2219-4DAC-A759-773F99C54252}">
  <ds:schemaRefs>
    <ds:schemaRef ds:uri="http://schemas.openxmlformats.org/officeDocument/2006/bibliography"/>
  </ds:schemaRefs>
</ds:datastoreItem>
</file>

<file path=customXml/itemProps2.xml><?xml version="1.0" encoding="utf-8"?>
<ds:datastoreItem xmlns:ds="http://schemas.openxmlformats.org/officeDocument/2006/customXml" ds:itemID="{1D6288BB-7C89-4BFF-9329-5234E312D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2DB49-27C5-4FAC-BDDB-332A3B21749B}">
  <ds:schemaRefs>
    <ds:schemaRef ds:uri="http://schemas.microsoft.com/sharepoint/v3/contenttype/forms"/>
  </ds:schemaRefs>
</ds:datastoreItem>
</file>

<file path=customXml/itemProps4.xml><?xml version="1.0" encoding="utf-8"?>
<ds:datastoreItem xmlns:ds="http://schemas.openxmlformats.org/officeDocument/2006/customXml" ds:itemID="{37CEC9DE-CF3D-4DC7-AD01-BE52D7D83F2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f856f8d-13b3-495a-9a4b-41f8182eda4c"/>
    <ds:schemaRef ds:uri="72f95629-adac-4ec1-8738-e1cec852b9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21876</Words>
  <Characters>124695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2025-03-04T00:23:00Z</dcterms:created>
  <dcterms:modified xsi:type="dcterms:W3CDTF">2025-03-07T03:11:00Z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