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28DED" w14:textId="1C6EBAA5" w:rsidR="007F5816" w:rsidRPr="007F5816" w:rsidRDefault="007F5816" w:rsidP="007F5816">
      <w:pPr>
        <w:keepNext/>
        <w:spacing w:before="120" w:after="160"/>
        <w:ind w:left="720" w:hanging="720"/>
        <w:jc w:val="left"/>
        <w:outlineLvl w:val="0"/>
        <w:rPr>
          <w:rFonts w:asciiTheme="minorHAnsi" w:eastAsiaTheme="majorEastAsia" w:hAnsiTheme="minorHAnsi" w:cstheme="majorBidi"/>
          <w:b/>
          <w:spacing w:val="5"/>
          <w:kern w:val="28"/>
          <w:sz w:val="36"/>
          <w:szCs w:val="36"/>
        </w:rPr>
      </w:pPr>
      <w:bookmarkStart w:id="0" w:name="_Toc107927616"/>
      <w:bookmarkStart w:id="1" w:name="_Toc380679747"/>
      <w:bookmarkStart w:id="2" w:name="_Toc380742604"/>
      <w:bookmarkStart w:id="3" w:name="_Toc380746171"/>
      <w:bookmarkStart w:id="4" w:name="_Toc380746294"/>
      <w:bookmarkStart w:id="5" w:name="_Toc380746578"/>
      <w:r w:rsidRPr="007F5816">
        <w:rPr>
          <w:rFonts w:asciiTheme="minorHAnsi" w:eastAsiaTheme="majorEastAsia" w:hAnsiTheme="minorHAnsi" w:cstheme="majorBidi"/>
          <w:b/>
          <w:spacing w:val="5"/>
          <w:kern w:val="28"/>
          <w:sz w:val="36"/>
          <w:szCs w:val="36"/>
        </w:rPr>
        <w:t>6.05</w:t>
      </w:r>
      <w:r w:rsidRPr="007F5816">
        <w:rPr>
          <w:rFonts w:asciiTheme="minorHAnsi" w:eastAsiaTheme="majorEastAsia" w:hAnsiTheme="minorHAnsi" w:cstheme="majorBidi"/>
          <w:b/>
          <w:spacing w:val="5"/>
          <w:kern w:val="28"/>
          <w:sz w:val="36"/>
          <w:szCs w:val="36"/>
        </w:rPr>
        <w:tab/>
        <w:t>VEDOLIZUMAB,</w:t>
      </w:r>
      <w:r w:rsidRPr="007F5816">
        <w:rPr>
          <w:rFonts w:asciiTheme="minorHAnsi" w:eastAsiaTheme="majorEastAsia" w:hAnsiTheme="minorHAnsi" w:cstheme="majorBidi"/>
          <w:b/>
          <w:spacing w:val="5"/>
          <w:kern w:val="28"/>
          <w:sz w:val="36"/>
          <w:szCs w:val="36"/>
        </w:rPr>
        <w:br/>
        <w:t>Powder for injection</w:t>
      </w:r>
      <w:r w:rsidR="0076715D">
        <w:rPr>
          <w:rFonts w:asciiTheme="minorHAnsi" w:eastAsiaTheme="majorEastAsia" w:hAnsiTheme="minorHAnsi" w:cstheme="majorBidi"/>
          <w:b/>
          <w:spacing w:val="5"/>
          <w:kern w:val="28"/>
          <w:sz w:val="36"/>
          <w:szCs w:val="36"/>
        </w:rPr>
        <w:t xml:space="preserve"> </w:t>
      </w:r>
      <w:r w:rsidRPr="007F5816">
        <w:rPr>
          <w:rFonts w:asciiTheme="minorHAnsi" w:eastAsiaTheme="majorEastAsia" w:hAnsiTheme="minorHAnsi" w:cstheme="majorBidi"/>
          <w:b/>
          <w:spacing w:val="5"/>
          <w:kern w:val="28"/>
          <w:sz w:val="36"/>
          <w:szCs w:val="36"/>
        </w:rPr>
        <w:t>300 mg,</w:t>
      </w:r>
      <w:r w:rsidRPr="007F5816">
        <w:rPr>
          <w:rFonts w:asciiTheme="minorHAnsi" w:eastAsiaTheme="majorEastAsia" w:hAnsiTheme="minorHAnsi" w:cstheme="majorBidi"/>
          <w:b/>
          <w:spacing w:val="5"/>
          <w:kern w:val="28"/>
          <w:sz w:val="36"/>
          <w:szCs w:val="36"/>
        </w:rPr>
        <w:br/>
        <w:t>Entyvio</w:t>
      </w:r>
      <w:r w:rsidRPr="007F5816">
        <w:rPr>
          <w:rFonts w:asciiTheme="minorHAnsi" w:eastAsiaTheme="majorEastAsia" w:hAnsiTheme="minorHAnsi" w:cstheme="majorBidi"/>
          <w:b/>
          <w:spacing w:val="5"/>
          <w:kern w:val="28"/>
          <w:sz w:val="36"/>
          <w:szCs w:val="36"/>
          <w:vertAlign w:val="superscript"/>
        </w:rPr>
        <w:t>®</w:t>
      </w:r>
      <w:r w:rsidRPr="007F5816">
        <w:rPr>
          <w:rFonts w:asciiTheme="minorHAnsi" w:eastAsiaTheme="majorEastAsia" w:hAnsiTheme="minorHAnsi" w:cstheme="majorBidi"/>
          <w:b/>
          <w:spacing w:val="5"/>
          <w:kern w:val="28"/>
          <w:sz w:val="36"/>
          <w:szCs w:val="36"/>
        </w:rPr>
        <w:t>,</w:t>
      </w:r>
      <w:r w:rsidRPr="007F5816">
        <w:rPr>
          <w:rFonts w:asciiTheme="minorHAnsi" w:eastAsiaTheme="majorEastAsia" w:hAnsiTheme="minorHAnsi" w:cstheme="majorBidi"/>
          <w:b/>
          <w:spacing w:val="5"/>
          <w:kern w:val="28"/>
          <w:sz w:val="36"/>
          <w:szCs w:val="36"/>
        </w:rPr>
        <w:br/>
        <w:t>Takeda Pharmaceuticals Australia Pty. Ltd.</w:t>
      </w:r>
      <w:bookmarkEnd w:id="0"/>
    </w:p>
    <w:p w14:paraId="68399274" w14:textId="77777777" w:rsidR="007F5816" w:rsidRPr="007F5816" w:rsidRDefault="007F5816" w:rsidP="005A62EC">
      <w:pPr>
        <w:pStyle w:val="2-SectionHeading"/>
      </w:pPr>
      <w:bookmarkStart w:id="6" w:name="_Toc107927618"/>
      <w:bookmarkStart w:id="7" w:name="_Toc167264510"/>
      <w:r w:rsidRPr="007F5816">
        <w:t>Purpose of submission</w:t>
      </w:r>
      <w:bookmarkEnd w:id="6"/>
      <w:bookmarkEnd w:id="7"/>
    </w:p>
    <w:p w14:paraId="03B46873" w14:textId="02BC1C47" w:rsidR="007F5816" w:rsidRPr="00A27065" w:rsidRDefault="007F5816" w:rsidP="007F5816">
      <w:pPr>
        <w:numPr>
          <w:ilvl w:val="1"/>
          <w:numId w:val="1"/>
        </w:numPr>
        <w:spacing w:after="120"/>
        <w:rPr>
          <w:rFonts w:asciiTheme="minorHAnsi" w:hAnsiTheme="minorHAnsi"/>
          <w:snapToGrid w:val="0"/>
        </w:rPr>
      </w:pPr>
      <w:r w:rsidRPr="00A27065">
        <w:rPr>
          <w:rFonts w:asciiTheme="minorHAnsi" w:hAnsiTheme="minorHAnsi"/>
          <w:snapToGrid w:val="0"/>
        </w:rPr>
        <w:t>The Category 2 submission requested</w:t>
      </w:r>
      <w:r w:rsidR="008F7063" w:rsidRPr="00A27065">
        <w:rPr>
          <w:rFonts w:asciiTheme="minorHAnsi" w:hAnsiTheme="minorHAnsi"/>
          <w:snapToGrid w:val="0"/>
        </w:rPr>
        <w:t xml:space="preserve"> a</w:t>
      </w:r>
      <w:r w:rsidRPr="00A27065">
        <w:rPr>
          <w:rFonts w:asciiTheme="minorHAnsi" w:hAnsiTheme="minorHAnsi"/>
          <w:snapToGrid w:val="0"/>
        </w:rPr>
        <w:t xml:space="preserve"> Section 100 (Highly Specialised Drugs Program) Authority Required (Written) listing for initial treatment and an Authority Required (Telephone/Online) listing for continuing treatment of chronic pouchitis.</w:t>
      </w:r>
    </w:p>
    <w:p w14:paraId="3B17C45E" w14:textId="7197CFAE" w:rsidR="007F5816" w:rsidRPr="00A27065" w:rsidRDefault="007F5816" w:rsidP="007F5816">
      <w:pPr>
        <w:numPr>
          <w:ilvl w:val="1"/>
          <w:numId w:val="1"/>
        </w:numPr>
        <w:spacing w:after="120"/>
        <w:rPr>
          <w:rFonts w:asciiTheme="minorHAnsi" w:hAnsiTheme="minorHAnsi"/>
          <w:snapToGrid w:val="0"/>
        </w:rPr>
      </w:pPr>
      <w:r w:rsidRPr="00A27065">
        <w:rPr>
          <w:rFonts w:asciiTheme="minorHAnsi" w:hAnsiTheme="minorHAnsi"/>
          <w:snapToGrid w:val="0"/>
        </w:rPr>
        <w:t xml:space="preserve">Listing was requested on the basis of a cost-effectiveness analysis versus </w:t>
      </w:r>
      <w:r w:rsidR="00531D9C">
        <w:rPr>
          <w:rFonts w:asciiTheme="minorHAnsi" w:hAnsiTheme="minorHAnsi"/>
          <w:snapToGrid w:val="0"/>
        </w:rPr>
        <w:t>standard of care (</w:t>
      </w:r>
      <w:r w:rsidRPr="00A27065">
        <w:rPr>
          <w:rFonts w:asciiTheme="minorHAnsi" w:hAnsiTheme="minorHAnsi"/>
          <w:snapToGrid w:val="0"/>
        </w:rPr>
        <w:t>SOC</w:t>
      </w:r>
      <w:r w:rsidR="00531D9C">
        <w:rPr>
          <w:rFonts w:asciiTheme="minorHAnsi" w:hAnsiTheme="minorHAnsi"/>
          <w:snapToGrid w:val="0"/>
        </w:rPr>
        <w:t>)</w:t>
      </w:r>
      <w:r w:rsidRPr="00A27065">
        <w:rPr>
          <w:rFonts w:asciiTheme="minorHAnsi" w:hAnsiTheme="minorHAnsi"/>
          <w:snapToGrid w:val="0"/>
        </w:rPr>
        <w:t xml:space="preserve">. </w:t>
      </w:r>
    </w:p>
    <w:p w14:paraId="19D513A8" w14:textId="20FAAA2B" w:rsidR="007F5816" w:rsidRPr="00A27065" w:rsidRDefault="007F5816" w:rsidP="007F5816">
      <w:pPr>
        <w:keepNext/>
        <w:jc w:val="left"/>
        <w:rPr>
          <w:rFonts w:ascii="Arial Narrow" w:eastAsiaTheme="majorEastAsia" w:hAnsi="Arial Narrow" w:cstheme="majorBidi"/>
          <w:b/>
          <w:bCs/>
          <w:sz w:val="20"/>
        </w:rPr>
      </w:pPr>
      <w:bookmarkStart w:id="8" w:name="_Ref164411152"/>
      <w:r w:rsidRPr="00A27065">
        <w:rPr>
          <w:rFonts w:ascii="Arial Narrow" w:eastAsiaTheme="majorEastAsia" w:hAnsi="Arial Narrow" w:cstheme="majorBidi"/>
          <w:b/>
          <w:bCs/>
          <w:sz w:val="20"/>
        </w:rPr>
        <w:t xml:space="preserve">Table </w:t>
      </w:r>
      <w:r w:rsidRPr="00A27065">
        <w:rPr>
          <w:rFonts w:ascii="Arial Narrow" w:eastAsiaTheme="majorEastAsia" w:hAnsi="Arial Narrow" w:cstheme="majorBidi"/>
          <w:b/>
          <w:bCs/>
          <w:sz w:val="20"/>
        </w:rPr>
        <w:fldChar w:fldCharType="begin" w:fldLock="1"/>
      </w:r>
      <w:r w:rsidRPr="00A27065">
        <w:rPr>
          <w:rFonts w:ascii="Arial Narrow" w:eastAsiaTheme="majorEastAsia" w:hAnsi="Arial Narrow" w:cstheme="majorBidi"/>
          <w:b/>
          <w:bCs/>
          <w:sz w:val="20"/>
        </w:rPr>
        <w:instrText xml:space="preserve"> SEQ Table \* ARABIC </w:instrText>
      </w:r>
      <w:r w:rsidRPr="00A27065">
        <w:rPr>
          <w:rFonts w:ascii="Arial Narrow" w:eastAsiaTheme="majorEastAsia" w:hAnsi="Arial Narrow" w:cstheme="majorBidi"/>
          <w:b/>
          <w:bCs/>
          <w:sz w:val="20"/>
        </w:rPr>
        <w:fldChar w:fldCharType="separate"/>
      </w:r>
      <w:r w:rsidR="00DC7CC4">
        <w:rPr>
          <w:rFonts w:ascii="Arial Narrow" w:eastAsiaTheme="majorEastAsia" w:hAnsi="Arial Narrow" w:cstheme="majorBidi"/>
          <w:b/>
          <w:bCs/>
          <w:noProof/>
          <w:sz w:val="20"/>
        </w:rPr>
        <w:t>1</w:t>
      </w:r>
      <w:r w:rsidRPr="00A27065">
        <w:rPr>
          <w:rFonts w:ascii="Arial Narrow" w:eastAsiaTheme="majorEastAsia" w:hAnsi="Arial Narrow" w:cstheme="majorBidi"/>
          <w:b/>
          <w:bCs/>
          <w:noProof/>
          <w:sz w:val="20"/>
        </w:rPr>
        <w:fldChar w:fldCharType="end"/>
      </w:r>
      <w:bookmarkEnd w:id="8"/>
      <w:r w:rsidRPr="00A27065">
        <w:rPr>
          <w:rFonts w:ascii="Arial Narrow" w:eastAsiaTheme="majorEastAsia" w:hAnsi="Arial Narrow" w:cstheme="majorBidi"/>
          <w:b/>
          <w:bCs/>
          <w:sz w:val="20"/>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95"/>
        <w:gridCol w:w="7322"/>
      </w:tblGrid>
      <w:tr w:rsidR="007F5816" w:rsidRPr="00A27065" w14:paraId="11FF4B57" w14:textId="77777777" w:rsidTr="00531D9C">
        <w:tc>
          <w:tcPr>
            <w:tcW w:w="940" w:type="pct"/>
            <w:tcBorders>
              <w:bottom w:val="single" w:sz="4" w:space="0" w:color="000000"/>
            </w:tcBorders>
            <w:shd w:val="clear" w:color="auto" w:fill="auto"/>
          </w:tcPr>
          <w:p w14:paraId="1E5FCEC7" w14:textId="77777777" w:rsidR="007F5816" w:rsidRPr="00A27065" w:rsidRDefault="007F5816" w:rsidP="007F5816">
            <w:pPr>
              <w:keepNext/>
              <w:keepLines/>
              <w:suppressLineNumbers/>
              <w:spacing w:after="20"/>
              <w:jc w:val="left"/>
              <w:textboxTightWrap w:val="allLines"/>
              <w:rPr>
                <w:rFonts w:ascii="Arial Narrow" w:hAnsi="Arial Narrow"/>
                <w:b/>
                <w:bCs/>
                <w:sz w:val="20"/>
                <w:lang w:eastAsia="en-GB"/>
              </w:rPr>
            </w:pPr>
            <w:r w:rsidRPr="00A27065">
              <w:rPr>
                <w:rFonts w:ascii="Arial Narrow" w:hAnsi="Arial Narrow"/>
                <w:b/>
                <w:bCs/>
                <w:sz w:val="20"/>
                <w:lang w:eastAsia="en-GB"/>
              </w:rPr>
              <w:t>Component</w:t>
            </w:r>
          </w:p>
        </w:tc>
        <w:tc>
          <w:tcPr>
            <w:tcW w:w="4060" w:type="pct"/>
            <w:shd w:val="clear" w:color="auto" w:fill="auto"/>
          </w:tcPr>
          <w:p w14:paraId="5C8C6B5A" w14:textId="77777777" w:rsidR="007F5816" w:rsidRPr="00A27065" w:rsidRDefault="007F5816" w:rsidP="007F5816">
            <w:pPr>
              <w:keepNext/>
              <w:keepLines/>
              <w:suppressLineNumbers/>
              <w:spacing w:after="20"/>
              <w:jc w:val="left"/>
              <w:textboxTightWrap w:val="allLines"/>
              <w:rPr>
                <w:rFonts w:ascii="Arial Narrow" w:hAnsi="Arial Narrow"/>
                <w:b/>
                <w:bCs/>
                <w:sz w:val="20"/>
                <w:lang w:eastAsia="en-GB"/>
              </w:rPr>
            </w:pPr>
            <w:r w:rsidRPr="00A27065">
              <w:rPr>
                <w:rFonts w:ascii="Arial Narrow" w:hAnsi="Arial Narrow"/>
                <w:b/>
                <w:bCs/>
                <w:sz w:val="20"/>
                <w:lang w:eastAsia="en-GB"/>
              </w:rPr>
              <w:t>Description</w:t>
            </w:r>
          </w:p>
        </w:tc>
      </w:tr>
      <w:tr w:rsidR="007F5816" w:rsidRPr="00A27065" w14:paraId="5DA67A48" w14:textId="77777777" w:rsidTr="00531D9C">
        <w:tc>
          <w:tcPr>
            <w:tcW w:w="940" w:type="pct"/>
            <w:tcBorders>
              <w:bottom w:val="nil"/>
            </w:tcBorders>
            <w:shd w:val="clear" w:color="auto" w:fill="auto"/>
          </w:tcPr>
          <w:p w14:paraId="09FA14D0"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Population</w:t>
            </w:r>
          </w:p>
        </w:tc>
        <w:tc>
          <w:tcPr>
            <w:tcW w:w="4060" w:type="pct"/>
            <w:shd w:val="clear" w:color="auto" w:fill="auto"/>
          </w:tcPr>
          <w:p w14:paraId="59FD189F" w14:textId="2FAC4D32"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 xml:space="preserve">Adult patients with moderate to severe chronic pouchitis, who have undergone proctocolectomy and ileal pouch anal anastomosis (IPAA) for ulcerative colitis (UC) </w:t>
            </w:r>
            <w:r w:rsidRPr="00225233">
              <w:rPr>
                <w:rFonts w:ascii="Arial Narrow" w:hAnsi="Arial Narrow"/>
                <w:sz w:val="20"/>
                <w:lang w:eastAsia="en-GB"/>
              </w:rPr>
              <w:t xml:space="preserve">and </w:t>
            </w:r>
            <w:r w:rsidR="00C30457" w:rsidRPr="00225233">
              <w:rPr>
                <w:rFonts w:ascii="Arial Narrow" w:hAnsi="Arial Narrow"/>
                <w:sz w:val="20"/>
                <w:lang w:eastAsia="en-GB"/>
              </w:rPr>
              <w:t>either</w:t>
            </w:r>
            <w:r w:rsidR="00FB203D" w:rsidRPr="00225233">
              <w:rPr>
                <w:rFonts w:ascii="Arial Narrow" w:hAnsi="Arial Narrow"/>
                <w:sz w:val="20"/>
                <w:lang w:eastAsia="en-GB"/>
              </w:rPr>
              <w:t>:</w:t>
            </w:r>
            <w:r w:rsidR="00C30457" w:rsidRPr="00225233">
              <w:rPr>
                <w:rFonts w:ascii="Arial Narrow" w:hAnsi="Arial Narrow"/>
                <w:sz w:val="20"/>
                <w:lang w:eastAsia="en-GB"/>
              </w:rPr>
              <w:t xml:space="preserve"> </w:t>
            </w:r>
            <w:r w:rsidRPr="00225233">
              <w:rPr>
                <w:rFonts w:ascii="Arial Narrow" w:hAnsi="Arial Narrow"/>
                <w:sz w:val="20"/>
                <w:lang w:eastAsia="en-GB"/>
              </w:rPr>
              <w:t>have had an inadequate response with or lost response to antibiotic therapy</w:t>
            </w:r>
            <w:r w:rsidR="00FB203D" w:rsidRPr="00225233">
              <w:rPr>
                <w:rFonts w:ascii="Arial Narrow" w:hAnsi="Arial Narrow"/>
                <w:sz w:val="20"/>
                <w:lang w:eastAsia="en-GB"/>
              </w:rPr>
              <w:t>;</w:t>
            </w:r>
            <w:r w:rsidR="00C30457" w:rsidRPr="00225233">
              <w:rPr>
                <w:rFonts w:ascii="Arial Narrow" w:hAnsi="Arial Narrow"/>
                <w:sz w:val="20"/>
                <w:lang w:eastAsia="en-GB"/>
              </w:rPr>
              <w:t xml:space="preserve"> or are antibiotic dependent for this condition (clarified in the Pre-Sub-Committee Response)</w:t>
            </w:r>
            <w:r w:rsidRPr="00225233">
              <w:rPr>
                <w:rFonts w:ascii="Arial Narrow" w:hAnsi="Arial Narrow"/>
                <w:sz w:val="20"/>
                <w:lang w:eastAsia="en-GB"/>
              </w:rPr>
              <w:t>.</w:t>
            </w:r>
          </w:p>
        </w:tc>
      </w:tr>
      <w:tr w:rsidR="007F5816" w:rsidRPr="00A27065" w14:paraId="2E01FF93" w14:textId="77777777" w:rsidTr="00531D9C">
        <w:tc>
          <w:tcPr>
            <w:tcW w:w="940" w:type="pct"/>
            <w:shd w:val="clear" w:color="auto" w:fill="auto"/>
          </w:tcPr>
          <w:p w14:paraId="56ADF2EC"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Intervention</w:t>
            </w:r>
          </w:p>
        </w:tc>
        <w:tc>
          <w:tcPr>
            <w:tcW w:w="4060" w:type="pct"/>
            <w:shd w:val="clear" w:color="auto" w:fill="auto"/>
          </w:tcPr>
          <w:p w14:paraId="6A4D2E9C"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 xml:space="preserve">Vedolizumab intravenous (IV) infusion plus standard of care </w:t>
            </w:r>
          </w:p>
        </w:tc>
      </w:tr>
      <w:tr w:rsidR="007F5816" w:rsidRPr="00A27065" w14:paraId="37013EEA" w14:textId="77777777" w:rsidTr="00531D9C">
        <w:tc>
          <w:tcPr>
            <w:tcW w:w="940" w:type="pct"/>
            <w:shd w:val="clear" w:color="auto" w:fill="auto"/>
          </w:tcPr>
          <w:p w14:paraId="1DB66945"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Clinical comparator</w:t>
            </w:r>
          </w:p>
        </w:tc>
        <w:tc>
          <w:tcPr>
            <w:tcW w:w="4060" w:type="pct"/>
            <w:shd w:val="clear" w:color="auto" w:fill="auto"/>
          </w:tcPr>
          <w:p w14:paraId="79F13EC0"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Placebo plus standard of care</w:t>
            </w:r>
          </w:p>
        </w:tc>
      </w:tr>
      <w:tr w:rsidR="007F5816" w:rsidRPr="00A27065" w14:paraId="72BD24EA" w14:textId="77777777" w:rsidTr="00531D9C">
        <w:tc>
          <w:tcPr>
            <w:tcW w:w="940" w:type="pct"/>
            <w:shd w:val="clear" w:color="auto" w:fill="auto"/>
          </w:tcPr>
          <w:p w14:paraId="45D777E4"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Outcomes</w:t>
            </w:r>
          </w:p>
        </w:tc>
        <w:tc>
          <w:tcPr>
            <w:tcW w:w="4060" w:type="pct"/>
            <w:shd w:val="clear" w:color="auto" w:fill="auto"/>
          </w:tcPr>
          <w:p w14:paraId="761F3A58"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Primary endpoint:</w:t>
            </w:r>
          </w:p>
          <w:p w14:paraId="270E3DFA" w14:textId="0DD35202"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Clinically relevant modified Pouchitis Disease Activity Index (</w:t>
            </w:r>
            <w:r w:rsidR="00FA116F" w:rsidRPr="00A27065">
              <w:rPr>
                <w:rFonts w:ascii="Arial Narrow" w:hAnsi="Arial Narrow"/>
                <w:sz w:val="20"/>
                <w:lang w:eastAsia="en-GB"/>
              </w:rPr>
              <w:t>mPDAI) remission</w:t>
            </w:r>
            <w:r w:rsidRPr="00A27065">
              <w:rPr>
                <w:rFonts w:ascii="Arial Narrow" w:hAnsi="Arial Narrow"/>
                <w:sz w:val="20"/>
                <w:lang w:eastAsia="en-GB"/>
              </w:rPr>
              <w:t xml:space="preserve"> </w:t>
            </w:r>
            <w:r w:rsidRPr="00A27065">
              <w:rPr>
                <w:rFonts w:ascii="Arial Narrow" w:hAnsi="Arial Narrow"/>
                <w:sz w:val="20"/>
                <w:vertAlign w:val="superscript"/>
                <w:lang w:eastAsia="en-GB"/>
              </w:rPr>
              <w:t>a</w:t>
            </w:r>
          </w:p>
          <w:p w14:paraId="686C6AF9"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 xml:space="preserve">Secondary endpoints </w:t>
            </w:r>
            <w:r w:rsidRPr="00A27065">
              <w:rPr>
                <w:rFonts w:ascii="Arial Narrow" w:hAnsi="Arial Narrow"/>
                <w:sz w:val="20"/>
                <w:vertAlign w:val="superscript"/>
                <w:lang w:eastAsia="en-GB"/>
              </w:rPr>
              <w:t>b</w:t>
            </w:r>
            <w:r w:rsidRPr="00A27065">
              <w:rPr>
                <w:rFonts w:ascii="Arial Narrow" w:hAnsi="Arial Narrow"/>
                <w:sz w:val="20"/>
                <w:lang w:eastAsia="en-GB"/>
              </w:rPr>
              <w:t>:</w:t>
            </w:r>
          </w:p>
          <w:p w14:paraId="2250B36B"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PDAI remission</w:t>
            </w:r>
          </w:p>
          <w:p w14:paraId="0CFFC500"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Time to Pouchitis Disease Activity Index) PDAI remission.</w:t>
            </w:r>
          </w:p>
          <w:p w14:paraId="4B353C29"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Partial mPDAI response</w:t>
            </w:r>
          </w:p>
          <w:p w14:paraId="5451BC59"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Change from baseline in mPDAI Total score</w:t>
            </w:r>
          </w:p>
          <w:p w14:paraId="5EB378CC"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Change from baseline in PDAI Total score</w:t>
            </w:r>
          </w:p>
          <w:p w14:paraId="262E1B7A"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Change from baseline in PDAI symptom subscore</w:t>
            </w:r>
          </w:p>
          <w:p w14:paraId="51E0EA57"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Change from baseline in PDAI endoscopic subscore</w:t>
            </w:r>
          </w:p>
          <w:p w14:paraId="3C8AEF56"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Change from baseline in PDAI histologic subscore</w:t>
            </w:r>
          </w:p>
          <w:p w14:paraId="390C8704"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Change from baseline in Inflammatory Bowel Disease Questionnaire (IBDQ)</w:t>
            </w:r>
          </w:p>
          <w:p w14:paraId="30A476F3"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Clinically meaningful improvement in IBDQ</w:t>
            </w:r>
          </w:p>
          <w:p w14:paraId="30742198"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IBDQ remission</w:t>
            </w:r>
          </w:p>
          <w:p w14:paraId="72398B79"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Change from baseline in Cleveland Global Quality of life (CGQL)</w:t>
            </w:r>
          </w:p>
          <w:p w14:paraId="24A89732" w14:textId="77777777" w:rsidR="007F5816" w:rsidRPr="00A27065" w:rsidRDefault="007F5816" w:rsidP="00B24069">
            <w:pPr>
              <w:keepNext/>
              <w:keepLines/>
              <w:numPr>
                <w:ilvl w:val="0"/>
                <w:numId w:val="7"/>
              </w:numPr>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Safety</w:t>
            </w:r>
          </w:p>
        </w:tc>
      </w:tr>
      <w:tr w:rsidR="007F5816" w:rsidRPr="00A27065" w14:paraId="0D85DC3F" w14:textId="77777777" w:rsidTr="00531D9C">
        <w:tc>
          <w:tcPr>
            <w:tcW w:w="940" w:type="pct"/>
            <w:tcBorders>
              <w:bottom w:val="single" w:sz="4" w:space="0" w:color="auto"/>
            </w:tcBorders>
            <w:shd w:val="clear" w:color="auto" w:fill="auto"/>
          </w:tcPr>
          <w:p w14:paraId="5D3E1759"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Clinical claim</w:t>
            </w:r>
          </w:p>
        </w:tc>
        <w:tc>
          <w:tcPr>
            <w:tcW w:w="4060" w:type="pct"/>
            <w:tcBorders>
              <w:bottom w:val="single" w:sz="4" w:space="0" w:color="auto"/>
            </w:tcBorders>
            <w:shd w:val="clear" w:color="auto" w:fill="auto"/>
          </w:tcPr>
          <w:p w14:paraId="3212925E"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Superior effectiveness vs placebo with inferior safety</w:t>
            </w:r>
          </w:p>
        </w:tc>
      </w:tr>
      <w:tr w:rsidR="007F5816" w:rsidRPr="00A27065" w14:paraId="0F47650C" w14:textId="77777777" w:rsidTr="00531D9C">
        <w:tc>
          <w:tcPr>
            <w:tcW w:w="940" w:type="pct"/>
            <w:tcBorders>
              <w:bottom w:val="single" w:sz="4" w:space="0" w:color="auto"/>
            </w:tcBorders>
            <w:shd w:val="clear" w:color="auto" w:fill="auto"/>
          </w:tcPr>
          <w:p w14:paraId="635F03EC"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Economic evaluation</w:t>
            </w:r>
          </w:p>
        </w:tc>
        <w:tc>
          <w:tcPr>
            <w:tcW w:w="4060" w:type="pct"/>
            <w:tcBorders>
              <w:bottom w:val="single" w:sz="4" w:space="0" w:color="auto"/>
            </w:tcBorders>
            <w:shd w:val="clear" w:color="auto" w:fill="auto"/>
          </w:tcPr>
          <w:p w14:paraId="4F2666ED" w14:textId="77777777" w:rsidR="007F5816" w:rsidRPr="00A27065" w:rsidRDefault="007F5816" w:rsidP="007F5816">
            <w:pPr>
              <w:keepNext/>
              <w:keepLines/>
              <w:suppressLineNumbers/>
              <w:spacing w:after="20"/>
              <w:jc w:val="left"/>
              <w:textboxTightWrap w:val="allLines"/>
              <w:rPr>
                <w:rFonts w:ascii="Arial Narrow" w:hAnsi="Arial Narrow"/>
                <w:sz w:val="20"/>
                <w:lang w:eastAsia="en-GB"/>
              </w:rPr>
            </w:pPr>
            <w:r w:rsidRPr="00A27065">
              <w:rPr>
                <w:rFonts w:ascii="Arial Narrow" w:hAnsi="Arial Narrow"/>
                <w:sz w:val="20"/>
                <w:lang w:eastAsia="en-GB"/>
              </w:rPr>
              <w:t>Cost-effectiveness (cost-utility) analysis</w:t>
            </w:r>
          </w:p>
        </w:tc>
      </w:tr>
    </w:tbl>
    <w:p w14:paraId="40FC33C2" w14:textId="681CF727" w:rsidR="007F5816" w:rsidRPr="00A27065" w:rsidRDefault="007F5816" w:rsidP="007F5816">
      <w:pPr>
        <w:spacing w:after="120"/>
        <w:contextualSpacing/>
        <w:rPr>
          <w:rFonts w:ascii="Arial Narrow" w:hAnsi="Arial Narrow"/>
          <w:snapToGrid w:val="0"/>
          <w:sz w:val="18"/>
          <w:szCs w:val="22"/>
        </w:rPr>
      </w:pPr>
      <w:r w:rsidRPr="00A27065">
        <w:rPr>
          <w:rFonts w:ascii="Arial Narrow" w:hAnsi="Arial Narrow"/>
          <w:snapToGrid w:val="0"/>
          <w:sz w:val="18"/>
          <w:szCs w:val="22"/>
        </w:rPr>
        <w:t>Source: Table10of the submission.</w:t>
      </w:r>
    </w:p>
    <w:p w14:paraId="265A6E5F" w14:textId="77777777" w:rsidR="007F5816" w:rsidRPr="00A27065" w:rsidRDefault="007F5816" w:rsidP="007F5816">
      <w:pPr>
        <w:spacing w:after="120"/>
        <w:contextualSpacing/>
        <w:rPr>
          <w:rFonts w:ascii="Arial Narrow" w:hAnsi="Arial Narrow"/>
          <w:snapToGrid w:val="0"/>
          <w:sz w:val="18"/>
          <w:szCs w:val="22"/>
        </w:rPr>
      </w:pPr>
      <w:r w:rsidRPr="00A27065">
        <w:rPr>
          <w:rFonts w:ascii="Arial Narrow" w:hAnsi="Arial Narrow"/>
          <w:snapToGrid w:val="0"/>
          <w:sz w:val="18"/>
          <w:szCs w:val="22"/>
        </w:rPr>
        <w:t>Abbreviations: CGQL, Cleveland Global Quality of life; IBDQ, Inflammatory Bowel Disease Questionnaire; IPAA, ileal pouch anal anastomosis; IV, intravenous; mPDAI, modified Pouchitis Disease Activity Index; PDAI, Pouchitis Disease Activity Index; UC, ulcerative colitis.</w:t>
      </w:r>
    </w:p>
    <w:p w14:paraId="764904A1" w14:textId="77777777" w:rsidR="007F5816" w:rsidRPr="00A27065" w:rsidRDefault="007F5816" w:rsidP="007F5816">
      <w:pPr>
        <w:spacing w:after="120"/>
        <w:contextualSpacing/>
        <w:rPr>
          <w:rFonts w:ascii="Arial Narrow" w:hAnsi="Arial Narrow"/>
          <w:snapToGrid w:val="0"/>
          <w:sz w:val="18"/>
          <w:szCs w:val="22"/>
        </w:rPr>
      </w:pPr>
      <w:r w:rsidRPr="00A27065">
        <w:rPr>
          <w:rFonts w:ascii="Arial Narrow" w:hAnsi="Arial Narrow"/>
          <w:snapToGrid w:val="0"/>
          <w:sz w:val="18"/>
          <w:szCs w:val="22"/>
          <w:vertAlign w:val="superscript"/>
        </w:rPr>
        <w:t>a</w:t>
      </w:r>
      <w:r w:rsidRPr="00A27065">
        <w:rPr>
          <w:rFonts w:ascii="Arial Narrow" w:hAnsi="Arial Narrow"/>
          <w:snapToGrid w:val="0"/>
          <w:sz w:val="18"/>
          <w:szCs w:val="22"/>
        </w:rPr>
        <w:t xml:space="preserve"> The primary endpoint included in the clinical trial was mPDAI remission at Week 14. The clinical trial also included mPDAI remission at Week 34 as a secondary endpoint, which is not included in this table.</w:t>
      </w:r>
    </w:p>
    <w:p w14:paraId="6A4397AF" w14:textId="77777777" w:rsidR="007F5816" w:rsidRPr="00A27065" w:rsidRDefault="007F5816" w:rsidP="007F5816">
      <w:pPr>
        <w:spacing w:after="120"/>
        <w:contextualSpacing/>
        <w:rPr>
          <w:rFonts w:ascii="Arial Narrow" w:hAnsi="Arial Narrow"/>
          <w:snapToGrid w:val="0"/>
          <w:sz w:val="18"/>
          <w:szCs w:val="22"/>
        </w:rPr>
      </w:pPr>
      <w:r w:rsidRPr="00A27065">
        <w:rPr>
          <w:rFonts w:ascii="Arial Narrow" w:hAnsi="Arial Narrow"/>
          <w:snapToGrid w:val="0"/>
          <w:sz w:val="18"/>
          <w:szCs w:val="22"/>
          <w:vertAlign w:val="superscript"/>
        </w:rPr>
        <w:t>b</w:t>
      </w:r>
      <w:r w:rsidRPr="00A27065">
        <w:rPr>
          <w:rFonts w:ascii="Arial Narrow" w:hAnsi="Arial Narrow"/>
          <w:snapToGrid w:val="0"/>
          <w:sz w:val="18"/>
          <w:szCs w:val="22"/>
        </w:rPr>
        <w:t xml:space="preserve"> The secondary points included in the clinical trial were measured at Week 14 and Week 34. </w:t>
      </w:r>
    </w:p>
    <w:p w14:paraId="3E1F16E0" w14:textId="77777777" w:rsidR="007F5816" w:rsidRPr="007F5816" w:rsidRDefault="007F5816" w:rsidP="005A62EC">
      <w:pPr>
        <w:pStyle w:val="2-SectionHeading"/>
      </w:pPr>
      <w:bookmarkStart w:id="9" w:name="_Toc107927619"/>
      <w:bookmarkStart w:id="10" w:name="_Toc167264511"/>
      <w:r w:rsidRPr="007F5816">
        <w:lastRenderedPageBreak/>
        <w:t>Background</w:t>
      </w:r>
      <w:bookmarkEnd w:id="9"/>
      <w:bookmarkEnd w:id="10"/>
    </w:p>
    <w:p w14:paraId="49BD6458" w14:textId="77777777" w:rsidR="007F5816" w:rsidRPr="007F5816" w:rsidRDefault="007F5816" w:rsidP="003305CD">
      <w:pPr>
        <w:pStyle w:val="4-SubsectionHeading"/>
      </w:pPr>
      <w:bookmarkStart w:id="11" w:name="_Toc22897638"/>
      <w:bookmarkStart w:id="12" w:name="_Toc107927620"/>
      <w:bookmarkStart w:id="13" w:name="_Toc167264512"/>
      <w:r w:rsidRPr="007F5816">
        <w:t>Registration status</w:t>
      </w:r>
      <w:bookmarkEnd w:id="11"/>
      <w:bookmarkEnd w:id="12"/>
      <w:bookmarkEnd w:id="13"/>
    </w:p>
    <w:p w14:paraId="72384AE5" w14:textId="001A422C" w:rsidR="00FB203D" w:rsidRPr="00FB203D" w:rsidRDefault="007F5816" w:rsidP="00FB203D">
      <w:pPr>
        <w:pStyle w:val="3-BodyText"/>
        <w:rPr>
          <w:lang w:val="en-US"/>
        </w:rPr>
      </w:pPr>
      <w:r w:rsidRPr="007F5816">
        <w:t xml:space="preserve">Vedolizumab </w:t>
      </w:r>
      <w:r w:rsidRPr="007F5816">
        <w:rPr>
          <w:lang w:val="en-US"/>
        </w:rPr>
        <w:t xml:space="preserve">for IV injection </w:t>
      </w:r>
      <w:r w:rsidR="00FB203D">
        <w:rPr>
          <w:lang w:val="en-US"/>
        </w:rPr>
        <w:t>wa</w:t>
      </w:r>
      <w:r w:rsidR="008F7063">
        <w:rPr>
          <w:lang w:val="en-US"/>
        </w:rPr>
        <w:t>s</w:t>
      </w:r>
      <w:r w:rsidR="008F7063" w:rsidRPr="007F5816">
        <w:rPr>
          <w:lang w:val="en-US"/>
        </w:rPr>
        <w:t xml:space="preserve"> </w:t>
      </w:r>
      <w:r w:rsidRPr="007F5816">
        <w:rPr>
          <w:lang w:val="en-US"/>
        </w:rPr>
        <w:t xml:space="preserve">TGA </w:t>
      </w:r>
      <w:r w:rsidRPr="007F5816">
        <w:t>registered</w:t>
      </w:r>
      <w:r w:rsidRPr="007F5816">
        <w:rPr>
          <w:lang w:val="en-US"/>
        </w:rPr>
        <w:t xml:space="preserve"> </w:t>
      </w:r>
      <w:r w:rsidR="00FB203D">
        <w:rPr>
          <w:lang w:val="en-US"/>
        </w:rPr>
        <w:t xml:space="preserve">on </w:t>
      </w:r>
      <w:r w:rsidR="00FB203D" w:rsidRPr="00FB203D">
        <w:rPr>
          <w:lang w:val="en-US"/>
        </w:rPr>
        <w:t>29 June 2023</w:t>
      </w:r>
      <w:r w:rsidR="00FB203D">
        <w:rPr>
          <w:lang w:val="en-US"/>
        </w:rPr>
        <w:t xml:space="preserve"> </w:t>
      </w:r>
      <w:r w:rsidRPr="007F5816">
        <w:rPr>
          <w:lang w:val="en-US"/>
        </w:rPr>
        <w:t xml:space="preserve">for the </w:t>
      </w:r>
      <w:r w:rsidR="00FB203D">
        <w:rPr>
          <w:lang w:val="en-US"/>
        </w:rPr>
        <w:t>t</w:t>
      </w:r>
      <w:r w:rsidR="00FB203D" w:rsidRPr="00FB203D">
        <w:rPr>
          <w:lang w:val="en-US"/>
        </w:rPr>
        <w:t>reatment of adult patients with moderate to severe chronic pouchitis, who have undergone proctocolectomy and ileal pouch anal anastomosis (IPAA) for UC, and have had an inadequate response with or lost response to antibiotic therapy.</w:t>
      </w:r>
    </w:p>
    <w:p w14:paraId="01BF5D10" w14:textId="2D6E8842" w:rsidR="007F5816" w:rsidRPr="007F5816" w:rsidRDefault="00225233" w:rsidP="007F5816">
      <w:pPr>
        <w:numPr>
          <w:ilvl w:val="1"/>
          <w:numId w:val="1"/>
        </w:numPr>
        <w:spacing w:after="120"/>
        <w:rPr>
          <w:rFonts w:asciiTheme="minorHAnsi" w:hAnsiTheme="minorHAnsi"/>
          <w:snapToGrid w:val="0"/>
        </w:rPr>
      </w:pPr>
      <w:r w:rsidRPr="007F5816">
        <w:t>Vedolizuma</w:t>
      </w:r>
      <w:r>
        <w:t xml:space="preserve">b </w:t>
      </w:r>
      <w:r w:rsidR="00FB203D">
        <w:rPr>
          <w:rFonts w:asciiTheme="minorHAnsi" w:hAnsiTheme="minorHAnsi"/>
          <w:snapToGrid w:val="0"/>
          <w:lang w:val="en-US"/>
        </w:rPr>
        <w:t xml:space="preserve">is also registered for the </w:t>
      </w:r>
      <w:r w:rsidR="007F5816" w:rsidRPr="007F5816">
        <w:rPr>
          <w:rFonts w:asciiTheme="minorHAnsi" w:hAnsiTheme="minorHAnsi"/>
          <w:snapToGrid w:val="0"/>
          <w:lang w:val="en-US"/>
        </w:rPr>
        <w:t>following indications:</w:t>
      </w:r>
    </w:p>
    <w:p w14:paraId="2561E12B" w14:textId="50C769C9" w:rsidR="007F5816" w:rsidRPr="007F5816" w:rsidRDefault="007F5816" w:rsidP="00B24069">
      <w:pPr>
        <w:numPr>
          <w:ilvl w:val="0"/>
          <w:numId w:val="16"/>
        </w:numPr>
        <w:spacing w:after="120"/>
        <w:rPr>
          <w:rFonts w:asciiTheme="minorHAnsi" w:hAnsiTheme="minorHAnsi"/>
          <w:snapToGrid w:val="0"/>
        </w:rPr>
      </w:pPr>
      <w:r w:rsidRPr="007F5816">
        <w:rPr>
          <w:rFonts w:asciiTheme="minorHAnsi" w:hAnsiTheme="minorHAnsi"/>
          <w:snapToGrid w:val="0"/>
        </w:rPr>
        <w:t xml:space="preserve">Treatment of adult patients with moderate to severe </w:t>
      </w:r>
      <w:r w:rsidR="00AB304B">
        <w:rPr>
          <w:rFonts w:asciiTheme="minorHAnsi" w:hAnsiTheme="minorHAnsi"/>
          <w:snapToGrid w:val="0"/>
        </w:rPr>
        <w:t>ulcerative colitis (UC)</w:t>
      </w:r>
      <w:r w:rsidRPr="007F5816">
        <w:rPr>
          <w:rFonts w:asciiTheme="minorHAnsi" w:hAnsiTheme="minorHAnsi"/>
          <w:snapToGrid w:val="0"/>
        </w:rPr>
        <w:t xml:space="preserve"> who have had an inadequate response with, lost response to, or are intolerant to either conventional therapy or a tumour necrosis factor-alpha (TNFα) antagonist (27 Jun 2014).</w:t>
      </w:r>
    </w:p>
    <w:p w14:paraId="3707E47F" w14:textId="10101005" w:rsidR="007F5816" w:rsidRPr="007F5816" w:rsidRDefault="007F5816" w:rsidP="00B24069">
      <w:pPr>
        <w:numPr>
          <w:ilvl w:val="0"/>
          <w:numId w:val="16"/>
        </w:numPr>
        <w:spacing w:after="120"/>
        <w:rPr>
          <w:rFonts w:asciiTheme="minorHAnsi" w:hAnsiTheme="minorHAnsi"/>
          <w:snapToGrid w:val="0"/>
        </w:rPr>
      </w:pPr>
      <w:r w:rsidRPr="007F5816">
        <w:rPr>
          <w:rFonts w:asciiTheme="minorHAnsi" w:hAnsiTheme="minorHAnsi"/>
          <w:snapToGrid w:val="0"/>
        </w:rPr>
        <w:t>Treatment of adult patients with moderate to severe Crohn’s disease who have had an inadequate response with, lost response to, or are intolerant to either conventional therapy or a TNFα antagonist (27 Jun 2014).</w:t>
      </w:r>
    </w:p>
    <w:p w14:paraId="56D83C4D" w14:textId="3A427F97" w:rsidR="007F5816" w:rsidRPr="007F5816" w:rsidRDefault="00FB203D" w:rsidP="007F5816">
      <w:pPr>
        <w:numPr>
          <w:ilvl w:val="1"/>
          <w:numId w:val="1"/>
        </w:numPr>
        <w:spacing w:after="120"/>
        <w:rPr>
          <w:rFonts w:ascii="Segoe UI" w:hAnsi="Segoe UI" w:cs="Segoe UI"/>
          <w:snapToGrid w:val="0"/>
          <w:sz w:val="18"/>
          <w:szCs w:val="18"/>
        </w:rPr>
      </w:pPr>
      <w:bookmarkStart w:id="14" w:name="_Ref164663607"/>
      <w:r>
        <w:rPr>
          <w:rFonts w:eastAsia="Calibri"/>
          <w:szCs w:val="22"/>
        </w:rPr>
        <w:t>Issues with the clinical data that were raised</w:t>
      </w:r>
      <w:r w:rsidR="00C26EF3">
        <w:rPr>
          <w:rFonts w:eastAsia="Calibri"/>
          <w:szCs w:val="22"/>
        </w:rPr>
        <w:t xml:space="preserve"> in </w:t>
      </w:r>
      <w:r>
        <w:rPr>
          <w:rFonts w:eastAsia="Calibri"/>
          <w:szCs w:val="22"/>
        </w:rPr>
        <w:t>t</w:t>
      </w:r>
      <w:r w:rsidR="007F5816" w:rsidRPr="00FD1004">
        <w:rPr>
          <w:rFonts w:cs="Calibri"/>
          <w:snapToGrid w:val="0"/>
          <w:lang w:val="en-US"/>
        </w:rPr>
        <w:t>he</w:t>
      </w:r>
      <w:r w:rsidR="007F5816" w:rsidRPr="007F5816">
        <w:rPr>
          <w:rFonts w:cs="Calibri"/>
          <w:snapToGrid w:val="0"/>
          <w:lang w:val="en-US"/>
        </w:rPr>
        <w:t xml:space="preserve"> TGA Delegate’s Overview </w:t>
      </w:r>
      <w:r>
        <w:rPr>
          <w:rFonts w:cs="Calibri"/>
          <w:snapToGrid w:val="0"/>
          <w:lang w:val="en-US"/>
        </w:rPr>
        <w:t>for this indication included</w:t>
      </w:r>
      <w:r w:rsidR="007F5816" w:rsidRPr="007F5816">
        <w:rPr>
          <w:rFonts w:cs="Calibri"/>
          <w:snapToGrid w:val="0"/>
          <w:lang w:val="en-US"/>
        </w:rPr>
        <w:t xml:space="preserve"> (of TGA Delegate’s overview):</w:t>
      </w:r>
      <w:bookmarkEnd w:id="14"/>
      <w:r w:rsidR="007F5816" w:rsidRPr="007F5816">
        <w:rPr>
          <w:rFonts w:cs="Calibri"/>
          <w:snapToGrid w:val="0"/>
          <w:lang w:val="en-US"/>
        </w:rPr>
        <w:t> </w:t>
      </w:r>
    </w:p>
    <w:p w14:paraId="408E3103" w14:textId="11516D3B" w:rsidR="007F5816" w:rsidRPr="007F5816" w:rsidRDefault="008B1164" w:rsidP="00B24069">
      <w:pPr>
        <w:numPr>
          <w:ilvl w:val="0"/>
          <w:numId w:val="18"/>
        </w:numPr>
        <w:spacing w:after="120"/>
        <w:rPr>
          <w:rFonts w:asciiTheme="minorHAnsi" w:hAnsiTheme="minorHAnsi"/>
          <w:snapToGrid w:val="0"/>
        </w:rPr>
      </w:pPr>
      <w:r>
        <w:rPr>
          <w:rFonts w:asciiTheme="minorHAnsi" w:hAnsiTheme="minorHAnsi"/>
          <w:snapToGrid w:val="0"/>
        </w:rPr>
        <w:t>“</w:t>
      </w:r>
      <w:r w:rsidR="007F5816" w:rsidRPr="007F5816">
        <w:rPr>
          <w:rFonts w:asciiTheme="minorHAnsi" w:hAnsiTheme="minorHAnsi"/>
          <w:snapToGrid w:val="0"/>
        </w:rPr>
        <w:t>The trial included multiple secondary endpoints for analysis and is unlikely to have been adequately powered to prove reliable evidence of statistical significance for endpoints other than the primary efficacy endpoint of clinical remission according to mPDAI after 14 weeks.</w:t>
      </w:r>
      <w:r>
        <w:rPr>
          <w:rFonts w:asciiTheme="minorHAnsi" w:hAnsiTheme="minorHAnsi"/>
          <w:snapToGrid w:val="0"/>
        </w:rPr>
        <w:t>”</w:t>
      </w:r>
      <w:r w:rsidR="007F5816" w:rsidRPr="007F5816">
        <w:rPr>
          <w:rFonts w:asciiTheme="minorHAnsi" w:hAnsiTheme="minorHAnsi"/>
          <w:snapToGrid w:val="0"/>
        </w:rPr>
        <w:t> </w:t>
      </w:r>
    </w:p>
    <w:p w14:paraId="29FB0E2B" w14:textId="4FEE975F" w:rsidR="007F5816" w:rsidRPr="007F5816" w:rsidRDefault="008B1164" w:rsidP="00B24069">
      <w:pPr>
        <w:numPr>
          <w:ilvl w:val="0"/>
          <w:numId w:val="18"/>
        </w:numPr>
        <w:spacing w:after="120"/>
        <w:rPr>
          <w:rFonts w:asciiTheme="minorHAnsi" w:hAnsiTheme="minorHAnsi"/>
          <w:snapToGrid w:val="0"/>
        </w:rPr>
      </w:pPr>
      <w:r>
        <w:rPr>
          <w:rFonts w:asciiTheme="minorHAnsi" w:hAnsiTheme="minorHAnsi"/>
          <w:snapToGrid w:val="0"/>
        </w:rPr>
        <w:t>“</w:t>
      </w:r>
      <w:r w:rsidR="007F5816" w:rsidRPr="007F5816">
        <w:rPr>
          <w:rFonts w:asciiTheme="minorHAnsi" w:hAnsiTheme="minorHAnsi"/>
          <w:snapToGrid w:val="0"/>
        </w:rPr>
        <w:t>It is not clear whether significant concomitant use of (prohibited) antibiotics before Week 14 in both treatment arms may have influenced the clinical outcomes. Some 20% of participants in both study groups were receiving antibiotics at Week 14</w:t>
      </w:r>
      <w:r>
        <w:rPr>
          <w:rFonts w:asciiTheme="minorHAnsi" w:hAnsiTheme="minorHAnsi"/>
          <w:snapToGrid w:val="0"/>
        </w:rPr>
        <w:t>”</w:t>
      </w:r>
      <w:r w:rsidR="007F5816" w:rsidRPr="007F5816">
        <w:rPr>
          <w:rFonts w:asciiTheme="minorHAnsi" w:hAnsiTheme="minorHAnsi"/>
          <w:snapToGrid w:val="0"/>
        </w:rPr>
        <w:t>. </w:t>
      </w:r>
    </w:p>
    <w:p w14:paraId="1F5B4570" w14:textId="007B721A" w:rsidR="007F5816" w:rsidRPr="007F5816" w:rsidRDefault="008B1164" w:rsidP="00B24069">
      <w:pPr>
        <w:numPr>
          <w:ilvl w:val="0"/>
          <w:numId w:val="18"/>
        </w:numPr>
        <w:spacing w:after="120"/>
        <w:rPr>
          <w:rFonts w:asciiTheme="minorHAnsi" w:hAnsiTheme="minorHAnsi"/>
          <w:snapToGrid w:val="0"/>
        </w:rPr>
      </w:pPr>
      <w:r>
        <w:rPr>
          <w:rFonts w:asciiTheme="minorHAnsi" w:hAnsiTheme="minorHAnsi"/>
          <w:snapToGrid w:val="0"/>
        </w:rPr>
        <w:t>“</w:t>
      </w:r>
      <w:r w:rsidR="007F5816" w:rsidRPr="007F5816">
        <w:rPr>
          <w:rFonts w:asciiTheme="minorHAnsi" w:hAnsiTheme="minorHAnsi"/>
          <w:snapToGrid w:val="0"/>
        </w:rPr>
        <w:t>The analyses provide reasonable evidence of efficacy at Week 14, but higher frequency of relapses following remission in the vedolizumab treatment arm, and less convincing evidence of efficacy at Week 34 could suggest that the effect of vedolizumab may not be sustained.</w:t>
      </w:r>
      <w:r>
        <w:rPr>
          <w:rFonts w:asciiTheme="minorHAnsi" w:hAnsiTheme="minorHAnsi"/>
          <w:snapToGrid w:val="0"/>
        </w:rPr>
        <w:t>”</w:t>
      </w:r>
      <w:r w:rsidR="007F5816" w:rsidRPr="007F5816">
        <w:rPr>
          <w:rFonts w:asciiTheme="minorHAnsi" w:hAnsiTheme="minorHAnsi"/>
          <w:snapToGrid w:val="0"/>
        </w:rPr>
        <w:t xml:space="preserve"> </w:t>
      </w:r>
    </w:p>
    <w:p w14:paraId="0B83ADE9" w14:textId="77777777" w:rsidR="007F5816" w:rsidRPr="007F5816" w:rsidRDefault="007F5816" w:rsidP="003305CD">
      <w:pPr>
        <w:pStyle w:val="4-SubsectionHeading"/>
      </w:pPr>
      <w:bookmarkStart w:id="15" w:name="_Toc22897639"/>
      <w:bookmarkStart w:id="16" w:name="_Toc107927621"/>
      <w:bookmarkStart w:id="17" w:name="_Toc167264513"/>
      <w:r w:rsidRPr="007F5816">
        <w:t>Previous PBAC consideration</w:t>
      </w:r>
      <w:bookmarkEnd w:id="15"/>
      <w:bookmarkEnd w:id="16"/>
      <w:bookmarkEnd w:id="17"/>
    </w:p>
    <w:p w14:paraId="55B37D6A" w14:textId="259152D4" w:rsidR="007F5816" w:rsidRDefault="007F5816" w:rsidP="007F5816">
      <w:pPr>
        <w:numPr>
          <w:ilvl w:val="1"/>
          <w:numId w:val="1"/>
        </w:numPr>
        <w:spacing w:after="120"/>
        <w:rPr>
          <w:rFonts w:asciiTheme="minorHAnsi" w:hAnsiTheme="minorHAnsi"/>
          <w:snapToGrid w:val="0"/>
        </w:rPr>
      </w:pPr>
      <w:r w:rsidRPr="007F5816">
        <w:rPr>
          <w:rFonts w:asciiTheme="minorHAnsi" w:hAnsiTheme="minorHAnsi"/>
          <w:snapToGrid w:val="0"/>
        </w:rPr>
        <w:t xml:space="preserve">Vedolizumab IV has previously been </w:t>
      </w:r>
      <w:r w:rsidR="008F7063">
        <w:rPr>
          <w:rFonts w:asciiTheme="minorHAnsi" w:hAnsiTheme="minorHAnsi"/>
          <w:snapToGrid w:val="0"/>
        </w:rPr>
        <w:t>considered</w:t>
      </w:r>
      <w:r w:rsidR="008F7063" w:rsidRPr="007F5816">
        <w:rPr>
          <w:rFonts w:asciiTheme="minorHAnsi" w:hAnsiTheme="minorHAnsi"/>
          <w:snapToGrid w:val="0"/>
        </w:rPr>
        <w:t xml:space="preserve"> </w:t>
      </w:r>
      <w:r w:rsidRPr="007F5816">
        <w:rPr>
          <w:rFonts w:asciiTheme="minorHAnsi" w:hAnsiTheme="minorHAnsi"/>
          <w:snapToGrid w:val="0"/>
        </w:rPr>
        <w:t xml:space="preserve">by the PBAC in July 2014 and March 2015 for the treatment of moderate to severe </w:t>
      </w:r>
      <w:r w:rsidR="002841F3">
        <w:rPr>
          <w:rFonts w:asciiTheme="minorHAnsi" w:hAnsiTheme="minorHAnsi"/>
          <w:snapToGrid w:val="0"/>
        </w:rPr>
        <w:t>UC</w:t>
      </w:r>
      <w:r w:rsidRPr="007F5816">
        <w:rPr>
          <w:rFonts w:asciiTheme="minorHAnsi" w:hAnsiTheme="minorHAnsi"/>
          <w:snapToGrid w:val="0"/>
        </w:rPr>
        <w:t xml:space="preserve"> and severe </w:t>
      </w:r>
      <w:r w:rsidR="002841F3">
        <w:rPr>
          <w:rFonts w:asciiTheme="minorHAnsi" w:hAnsiTheme="minorHAnsi"/>
          <w:snapToGrid w:val="0"/>
        </w:rPr>
        <w:t>CD</w:t>
      </w:r>
      <w:r w:rsidRPr="007F5816">
        <w:rPr>
          <w:rFonts w:asciiTheme="minorHAnsi" w:hAnsiTheme="minorHAnsi"/>
          <w:snapToGrid w:val="0"/>
        </w:rPr>
        <w:t xml:space="preserve"> in adult patients. Vedolizumab IV was recommend for both indications in March 2015. A subcutaneous formulation of vedolizumab (pre-filled pen and syringe) was also </w:t>
      </w:r>
      <w:r w:rsidR="00AE0266">
        <w:rPr>
          <w:rFonts w:asciiTheme="minorHAnsi" w:hAnsiTheme="minorHAnsi"/>
          <w:snapToGrid w:val="0"/>
        </w:rPr>
        <w:t>considered</w:t>
      </w:r>
      <w:r w:rsidR="00AE0266" w:rsidRPr="007F5816">
        <w:rPr>
          <w:rFonts w:asciiTheme="minorHAnsi" w:hAnsiTheme="minorHAnsi"/>
          <w:snapToGrid w:val="0"/>
        </w:rPr>
        <w:t xml:space="preserve"> </w:t>
      </w:r>
      <w:r w:rsidRPr="007F5816">
        <w:rPr>
          <w:rFonts w:asciiTheme="minorHAnsi" w:hAnsiTheme="minorHAnsi"/>
          <w:snapToGrid w:val="0"/>
        </w:rPr>
        <w:t xml:space="preserve">by PBAC in November 2020 and was </w:t>
      </w:r>
      <w:r w:rsidR="008F7063">
        <w:rPr>
          <w:rFonts w:asciiTheme="minorHAnsi" w:hAnsiTheme="minorHAnsi"/>
          <w:snapToGrid w:val="0"/>
        </w:rPr>
        <w:t>recommended</w:t>
      </w:r>
      <w:r w:rsidR="008F7063" w:rsidRPr="007F5816">
        <w:rPr>
          <w:rFonts w:asciiTheme="minorHAnsi" w:hAnsiTheme="minorHAnsi"/>
          <w:snapToGrid w:val="0"/>
        </w:rPr>
        <w:t xml:space="preserve"> </w:t>
      </w:r>
      <w:r w:rsidRPr="007F5816">
        <w:rPr>
          <w:rFonts w:asciiTheme="minorHAnsi" w:hAnsiTheme="minorHAnsi"/>
          <w:snapToGrid w:val="0"/>
        </w:rPr>
        <w:t>for the same indications as the IV formulation. The subcutaneous formulation is not currently TGA approved for the treatment of pouchitis.</w:t>
      </w:r>
      <w:r w:rsidR="00F55938">
        <w:rPr>
          <w:rFonts w:asciiTheme="minorHAnsi" w:hAnsiTheme="minorHAnsi"/>
          <w:snapToGrid w:val="0"/>
        </w:rPr>
        <w:t xml:space="preserve"> </w:t>
      </w:r>
    </w:p>
    <w:p w14:paraId="61DF2712" w14:textId="77777777" w:rsidR="007F5816" w:rsidRPr="007F5816" w:rsidRDefault="007F5816" w:rsidP="00752497">
      <w:pPr>
        <w:pStyle w:val="2-SectionHeading"/>
      </w:pPr>
      <w:bookmarkStart w:id="18" w:name="_Toc107902078"/>
      <w:bookmarkStart w:id="19" w:name="_Toc107927622"/>
      <w:bookmarkStart w:id="20" w:name="_Toc167264514"/>
      <w:bookmarkEnd w:id="18"/>
      <w:r w:rsidRPr="007F5816">
        <w:lastRenderedPageBreak/>
        <w:t>Requested listing</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73"/>
        <w:gridCol w:w="973"/>
        <w:gridCol w:w="800"/>
        <w:gridCol w:w="1660"/>
        <w:gridCol w:w="31"/>
        <w:gridCol w:w="951"/>
        <w:gridCol w:w="17"/>
        <w:gridCol w:w="966"/>
        <w:gridCol w:w="1429"/>
      </w:tblGrid>
      <w:tr w:rsidR="007F5816" w:rsidRPr="007F5816" w14:paraId="65F90B0C" w14:textId="77777777" w:rsidTr="006304C8">
        <w:trPr>
          <w:trHeight w:val="473"/>
        </w:trPr>
        <w:tc>
          <w:tcPr>
            <w:tcW w:w="750" w:type="pct"/>
            <w:vMerge w:val="restart"/>
            <w:shd w:val="clear" w:color="auto" w:fill="auto"/>
          </w:tcPr>
          <w:p w14:paraId="48EAB607" w14:textId="77777777" w:rsidR="007F5816" w:rsidRPr="007F5816" w:rsidRDefault="007F5816" w:rsidP="007F5816">
            <w:pPr>
              <w:keepNext/>
              <w:keepLines/>
              <w:suppressLineNumbers/>
              <w:spacing w:after="20"/>
              <w:jc w:val="left"/>
              <w:textboxTightWrap w:val="allLines"/>
              <w:rPr>
                <w:rFonts w:ascii="Arial Narrow" w:hAnsi="Arial Narrow"/>
                <w:b/>
                <w:bCs/>
                <w:sz w:val="20"/>
                <w:lang w:val="en-US" w:eastAsia="en-GB"/>
              </w:rPr>
            </w:pPr>
            <w:r w:rsidRPr="007F5816">
              <w:rPr>
                <w:rFonts w:ascii="Arial Narrow" w:hAnsi="Arial Narrow"/>
                <w:b/>
                <w:bCs/>
                <w:sz w:val="20"/>
                <w:lang w:val="en-US" w:eastAsia="en-GB"/>
              </w:rPr>
              <w:t>MEDICINAL PRODUCT</w:t>
            </w:r>
          </w:p>
          <w:p w14:paraId="6F56183C" w14:textId="77777777" w:rsidR="007F5816" w:rsidRPr="007F5816" w:rsidRDefault="007F5816" w:rsidP="007F5816">
            <w:pPr>
              <w:keepNext/>
              <w:keepLines/>
              <w:suppressLineNumbers/>
              <w:spacing w:after="20"/>
              <w:jc w:val="left"/>
              <w:textboxTightWrap w:val="allLines"/>
              <w:rPr>
                <w:rFonts w:ascii="Arial Narrow" w:hAnsi="Arial Narrow"/>
                <w:b/>
                <w:bCs/>
                <w:sz w:val="20"/>
                <w:lang w:val="en-US" w:eastAsia="en-GB"/>
              </w:rPr>
            </w:pPr>
            <w:r w:rsidRPr="007F5816">
              <w:rPr>
                <w:rFonts w:ascii="Arial Narrow" w:hAnsi="Arial Narrow"/>
                <w:b/>
                <w:bCs/>
                <w:sz w:val="20"/>
                <w:lang w:val="en-US" w:eastAsia="en-GB"/>
              </w:rPr>
              <w:t>medicinal product pack</w:t>
            </w:r>
          </w:p>
        </w:tc>
        <w:tc>
          <w:tcPr>
            <w:tcW w:w="540" w:type="pct"/>
            <w:vMerge w:val="restart"/>
            <w:shd w:val="clear" w:color="auto" w:fill="auto"/>
          </w:tcPr>
          <w:p w14:paraId="54ECB300" w14:textId="77777777" w:rsidR="007F5816" w:rsidRPr="007F5816" w:rsidRDefault="007F5816" w:rsidP="007F5816">
            <w:pPr>
              <w:keepNext/>
              <w:keepLines/>
              <w:suppressLineNumbers/>
              <w:spacing w:after="20"/>
              <w:jc w:val="center"/>
              <w:textboxTightWrap w:val="allLines"/>
              <w:rPr>
                <w:rFonts w:ascii="Arial Narrow" w:hAnsi="Arial Narrow"/>
                <w:b/>
                <w:bCs/>
                <w:sz w:val="20"/>
                <w:lang w:eastAsia="en-GB"/>
              </w:rPr>
            </w:pPr>
            <w:r w:rsidRPr="007F5816">
              <w:rPr>
                <w:rFonts w:ascii="Arial Narrow" w:hAnsi="Arial Narrow"/>
                <w:b/>
                <w:bCs/>
                <w:sz w:val="20"/>
                <w:lang w:eastAsia="en-GB"/>
              </w:rPr>
              <w:t>Maximum quantity (packs)</w:t>
            </w:r>
          </w:p>
        </w:tc>
        <w:tc>
          <w:tcPr>
            <w:tcW w:w="540" w:type="pct"/>
            <w:vMerge w:val="restart"/>
            <w:shd w:val="clear" w:color="auto" w:fill="auto"/>
          </w:tcPr>
          <w:p w14:paraId="179BF4EC" w14:textId="77777777" w:rsidR="007F5816" w:rsidRPr="007F5816" w:rsidRDefault="007F5816" w:rsidP="007F5816">
            <w:pPr>
              <w:keepNext/>
              <w:keepLines/>
              <w:suppressLineNumbers/>
              <w:spacing w:after="20"/>
              <w:jc w:val="center"/>
              <w:textboxTightWrap w:val="allLines"/>
              <w:rPr>
                <w:rFonts w:ascii="Arial Narrow" w:hAnsi="Arial Narrow"/>
                <w:b/>
                <w:bCs/>
                <w:sz w:val="20"/>
                <w:lang w:eastAsia="en-GB"/>
              </w:rPr>
            </w:pPr>
            <w:r w:rsidRPr="007F5816">
              <w:rPr>
                <w:rFonts w:ascii="Arial Narrow" w:hAnsi="Arial Narrow"/>
                <w:b/>
                <w:bCs/>
                <w:sz w:val="20"/>
                <w:lang w:eastAsia="en-GB"/>
              </w:rPr>
              <w:t>Maximum quantity (units)</w:t>
            </w:r>
          </w:p>
        </w:tc>
        <w:tc>
          <w:tcPr>
            <w:tcW w:w="133" w:type="pct"/>
            <w:vMerge w:val="restart"/>
            <w:shd w:val="clear" w:color="auto" w:fill="auto"/>
          </w:tcPr>
          <w:p w14:paraId="550FC71E" w14:textId="77777777" w:rsidR="007F5816" w:rsidRPr="007F5816" w:rsidRDefault="007F5816" w:rsidP="007F5816">
            <w:pPr>
              <w:keepNext/>
              <w:keepLines/>
              <w:suppressLineNumbers/>
              <w:spacing w:after="20"/>
              <w:jc w:val="center"/>
              <w:textboxTightWrap w:val="allLines"/>
              <w:rPr>
                <w:rFonts w:ascii="Arial Narrow" w:hAnsi="Arial Narrow"/>
                <w:b/>
                <w:bCs/>
                <w:sz w:val="20"/>
                <w:lang w:eastAsia="en-GB"/>
              </w:rPr>
            </w:pPr>
            <w:r w:rsidRPr="007F5816">
              <w:rPr>
                <w:rFonts w:ascii="Arial Narrow" w:hAnsi="Arial Narrow"/>
                <w:b/>
                <w:bCs/>
                <w:sz w:val="20"/>
                <w:lang w:eastAsia="en-GB"/>
              </w:rPr>
              <w:t>No. of repeats</w:t>
            </w:r>
          </w:p>
        </w:tc>
        <w:tc>
          <w:tcPr>
            <w:tcW w:w="1091" w:type="pct"/>
            <w:gridSpan w:val="2"/>
            <w:vMerge w:val="restart"/>
            <w:shd w:val="clear" w:color="auto" w:fill="auto"/>
          </w:tcPr>
          <w:p w14:paraId="5956AB61" w14:textId="77777777" w:rsidR="007F5816" w:rsidRPr="007F5816" w:rsidRDefault="007F5816" w:rsidP="007F5816">
            <w:pPr>
              <w:keepNext/>
              <w:keepLines/>
              <w:suppressLineNumbers/>
              <w:spacing w:after="20"/>
              <w:jc w:val="center"/>
              <w:textboxTightWrap w:val="allLines"/>
              <w:rPr>
                <w:rFonts w:ascii="Arial Narrow" w:hAnsi="Arial Narrow"/>
                <w:b/>
                <w:bCs/>
                <w:sz w:val="20"/>
                <w:lang w:eastAsia="en-GB"/>
              </w:rPr>
            </w:pPr>
            <w:r w:rsidRPr="007F5816">
              <w:rPr>
                <w:rFonts w:ascii="Arial Narrow" w:hAnsi="Arial Narrow"/>
                <w:b/>
                <w:bCs/>
                <w:sz w:val="20"/>
                <w:lang w:eastAsia="en-GB"/>
              </w:rPr>
              <w:t>AEMP</w:t>
            </w:r>
          </w:p>
        </w:tc>
        <w:tc>
          <w:tcPr>
            <w:tcW w:w="1154" w:type="pct"/>
            <w:gridSpan w:val="3"/>
            <w:shd w:val="clear" w:color="auto" w:fill="auto"/>
          </w:tcPr>
          <w:p w14:paraId="6CF98E23" w14:textId="77777777" w:rsidR="007F5816" w:rsidRPr="007F5816" w:rsidRDefault="007F5816" w:rsidP="007F5816">
            <w:pPr>
              <w:keepNext/>
              <w:keepLines/>
              <w:suppressLineNumbers/>
              <w:spacing w:after="20"/>
              <w:jc w:val="center"/>
              <w:textboxTightWrap w:val="allLines"/>
              <w:rPr>
                <w:rFonts w:ascii="Arial Narrow" w:hAnsi="Arial Narrow"/>
                <w:b/>
                <w:bCs/>
                <w:sz w:val="20"/>
                <w:lang w:eastAsia="en-GB"/>
              </w:rPr>
            </w:pPr>
            <w:r w:rsidRPr="007F5816">
              <w:rPr>
                <w:rFonts w:ascii="Arial Narrow" w:hAnsi="Arial Narrow"/>
                <w:b/>
                <w:snapToGrid w:val="0"/>
                <w:sz w:val="20"/>
                <w:lang w:eastAsia="en-GB"/>
              </w:rPr>
              <w:t>Dispensed Price for Max. Qty</w:t>
            </w:r>
          </w:p>
        </w:tc>
        <w:tc>
          <w:tcPr>
            <w:tcW w:w="792" w:type="pct"/>
            <w:vMerge w:val="restart"/>
            <w:shd w:val="clear" w:color="auto" w:fill="auto"/>
          </w:tcPr>
          <w:p w14:paraId="3CCED61E" w14:textId="77777777" w:rsidR="007F5816" w:rsidRPr="007F5816" w:rsidRDefault="007F5816" w:rsidP="007F5816">
            <w:pPr>
              <w:keepNext/>
              <w:keepLines/>
              <w:suppressLineNumbers/>
              <w:spacing w:after="20"/>
              <w:jc w:val="center"/>
              <w:textboxTightWrap w:val="allLines"/>
              <w:rPr>
                <w:rFonts w:ascii="Arial Narrow" w:hAnsi="Arial Narrow"/>
                <w:b/>
                <w:bCs/>
                <w:sz w:val="20"/>
                <w:lang w:eastAsia="en-GB"/>
              </w:rPr>
            </w:pPr>
            <w:r w:rsidRPr="007F5816">
              <w:rPr>
                <w:rFonts w:ascii="Arial Narrow" w:hAnsi="Arial Narrow"/>
                <w:b/>
                <w:sz w:val="20"/>
                <w:szCs w:val="20"/>
                <w:lang w:eastAsia="en-GB"/>
              </w:rPr>
              <w:t>Available brands</w:t>
            </w:r>
          </w:p>
        </w:tc>
      </w:tr>
      <w:tr w:rsidR="007F5816" w:rsidRPr="007F5816" w14:paraId="27CB6D05" w14:textId="77777777" w:rsidTr="006304C8">
        <w:trPr>
          <w:trHeight w:val="472"/>
        </w:trPr>
        <w:tc>
          <w:tcPr>
            <w:tcW w:w="750" w:type="pct"/>
            <w:vMerge/>
            <w:shd w:val="clear" w:color="auto" w:fill="auto"/>
          </w:tcPr>
          <w:p w14:paraId="1E29B682" w14:textId="77777777" w:rsidR="007F5816" w:rsidRPr="007F5816" w:rsidRDefault="007F5816" w:rsidP="007F5816">
            <w:pPr>
              <w:keepNext/>
              <w:keepLines/>
              <w:suppressLineNumbers/>
              <w:spacing w:after="20"/>
              <w:jc w:val="left"/>
              <w:textboxTightWrap w:val="allLines"/>
              <w:rPr>
                <w:rFonts w:ascii="Arial Narrow" w:hAnsi="Arial Narrow"/>
                <w:b/>
                <w:bCs/>
                <w:sz w:val="20"/>
                <w:lang w:val="en-US" w:eastAsia="en-GB"/>
              </w:rPr>
            </w:pPr>
          </w:p>
        </w:tc>
        <w:tc>
          <w:tcPr>
            <w:tcW w:w="540" w:type="pct"/>
            <w:vMerge/>
            <w:shd w:val="clear" w:color="auto" w:fill="auto"/>
          </w:tcPr>
          <w:p w14:paraId="414B6953" w14:textId="77777777" w:rsidR="007F5816" w:rsidRPr="007F5816" w:rsidRDefault="007F5816" w:rsidP="007F5816">
            <w:pPr>
              <w:keepNext/>
              <w:keepLines/>
              <w:suppressLineNumbers/>
              <w:spacing w:after="20"/>
              <w:jc w:val="left"/>
              <w:textboxTightWrap w:val="allLines"/>
              <w:rPr>
                <w:rFonts w:ascii="Arial Narrow" w:hAnsi="Arial Narrow"/>
                <w:b/>
                <w:bCs/>
                <w:sz w:val="20"/>
                <w:lang w:eastAsia="en-GB"/>
              </w:rPr>
            </w:pPr>
          </w:p>
        </w:tc>
        <w:tc>
          <w:tcPr>
            <w:tcW w:w="540" w:type="pct"/>
            <w:vMerge/>
            <w:shd w:val="clear" w:color="auto" w:fill="auto"/>
          </w:tcPr>
          <w:p w14:paraId="051475AA" w14:textId="77777777" w:rsidR="007F5816" w:rsidRPr="007F5816" w:rsidRDefault="007F5816" w:rsidP="007F5816">
            <w:pPr>
              <w:keepNext/>
              <w:keepLines/>
              <w:suppressLineNumbers/>
              <w:spacing w:after="20"/>
              <w:jc w:val="left"/>
              <w:textboxTightWrap w:val="allLines"/>
              <w:rPr>
                <w:rFonts w:ascii="Arial Narrow" w:hAnsi="Arial Narrow"/>
                <w:b/>
                <w:bCs/>
                <w:sz w:val="20"/>
                <w:lang w:eastAsia="en-GB"/>
              </w:rPr>
            </w:pPr>
          </w:p>
        </w:tc>
        <w:tc>
          <w:tcPr>
            <w:tcW w:w="133" w:type="pct"/>
            <w:vMerge/>
            <w:shd w:val="clear" w:color="auto" w:fill="auto"/>
          </w:tcPr>
          <w:p w14:paraId="7CF2AC6F" w14:textId="77777777" w:rsidR="007F5816" w:rsidRPr="007F5816" w:rsidRDefault="007F5816" w:rsidP="007F5816">
            <w:pPr>
              <w:keepNext/>
              <w:keepLines/>
              <w:suppressLineNumbers/>
              <w:spacing w:after="20"/>
              <w:jc w:val="left"/>
              <w:textboxTightWrap w:val="allLines"/>
              <w:rPr>
                <w:rFonts w:ascii="Arial Narrow" w:hAnsi="Arial Narrow"/>
                <w:b/>
                <w:bCs/>
                <w:sz w:val="20"/>
                <w:lang w:eastAsia="en-GB"/>
              </w:rPr>
            </w:pPr>
          </w:p>
        </w:tc>
        <w:tc>
          <w:tcPr>
            <w:tcW w:w="1091" w:type="pct"/>
            <w:gridSpan w:val="2"/>
            <w:vMerge/>
            <w:shd w:val="clear" w:color="auto" w:fill="auto"/>
          </w:tcPr>
          <w:p w14:paraId="04CE0894" w14:textId="77777777" w:rsidR="007F5816" w:rsidRPr="007F5816" w:rsidRDefault="007F5816" w:rsidP="007F5816">
            <w:pPr>
              <w:keepNext/>
              <w:keepLines/>
              <w:suppressLineNumbers/>
              <w:spacing w:after="20"/>
              <w:jc w:val="left"/>
              <w:textboxTightWrap w:val="allLines"/>
              <w:rPr>
                <w:rFonts w:ascii="Arial Narrow" w:hAnsi="Arial Narrow"/>
                <w:b/>
                <w:bCs/>
                <w:sz w:val="20"/>
                <w:lang w:eastAsia="en-GB"/>
              </w:rPr>
            </w:pPr>
          </w:p>
        </w:tc>
        <w:tc>
          <w:tcPr>
            <w:tcW w:w="577" w:type="pct"/>
            <w:gridSpan w:val="2"/>
            <w:shd w:val="clear" w:color="auto" w:fill="auto"/>
          </w:tcPr>
          <w:p w14:paraId="6F2BB8C1" w14:textId="77777777" w:rsidR="007F5816" w:rsidRPr="007F5816" w:rsidRDefault="007F5816" w:rsidP="007F5816">
            <w:pPr>
              <w:keepNext/>
              <w:keepLines/>
              <w:suppressLineNumbers/>
              <w:spacing w:after="20"/>
              <w:jc w:val="left"/>
              <w:textboxTightWrap w:val="allLines"/>
              <w:rPr>
                <w:rFonts w:ascii="Arial Narrow" w:hAnsi="Arial Narrow"/>
                <w:b/>
                <w:bCs/>
                <w:sz w:val="20"/>
                <w:lang w:eastAsia="en-GB"/>
              </w:rPr>
            </w:pPr>
            <w:r w:rsidRPr="007F5816">
              <w:rPr>
                <w:rFonts w:ascii="Arial Narrow" w:hAnsi="Arial Narrow"/>
                <w:b/>
                <w:bCs/>
                <w:sz w:val="20"/>
                <w:lang w:eastAsia="en-GB"/>
              </w:rPr>
              <w:t>Public</w:t>
            </w:r>
          </w:p>
        </w:tc>
        <w:tc>
          <w:tcPr>
            <w:tcW w:w="577" w:type="pct"/>
          </w:tcPr>
          <w:p w14:paraId="7B5BBDA5" w14:textId="77777777" w:rsidR="007F5816" w:rsidRPr="007F5816" w:rsidRDefault="007F5816" w:rsidP="007F5816">
            <w:pPr>
              <w:keepNext/>
              <w:keepLines/>
              <w:suppressLineNumbers/>
              <w:spacing w:after="20"/>
              <w:jc w:val="left"/>
              <w:textboxTightWrap w:val="allLines"/>
              <w:rPr>
                <w:rFonts w:ascii="Arial Narrow" w:hAnsi="Arial Narrow"/>
                <w:b/>
                <w:bCs/>
                <w:sz w:val="20"/>
                <w:lang w:eastAsia="en-GB"/>
              </w:rPr>
            </w:pPr>
            <w:r w:rsidRPr="007F5816">
              <w:rPr>
                <w:rFonts w:ascii="Arial Narrow" w:hAnsi="Arial Narrow"/>
                <w:b/>
                <w:bCs/>
                <w:sz w:val="20"/>
                <w:lang w:eastAsia="en-GB"/>
              </w:rPr>
              <w:t>Private</w:t>
            </w:r>
          </w:p>
        </w:tc>
        <w:tc>
          <w:tcPr>
            <w:tcW w:w="792" w:type="pct"/>
            <w:vMerge/>
            <w:shd w:val="clear" w:color="auto" w:fill="auto"/>
          </w:tcPr>
          <w:p w14:paraId="098754C3" w14:textId="77777777" w:rsidR="007F5816" w:rsidRPr="007F5816" w:rsidRDefault="007F5816" w:rsidP="007F5816">
            <w:pPr>
              <w:keepNext/>
              <w:keepLines/>
              <w:suppressLineNumbers/>
              <w:spacing w:after="20"/>
              <w:jc w:val="left"/>
              <w:textboxTightWrap w:val="allLines"/>
              <w:rPr>
                <w:rFonts w:ascii="Arial Narrow" w:hAnsi="Arial Narrow"/>
                <w:b/>
                <w:bCs/>
                <w:sz w:val="20"/>
                <w:lang w:eastAsia="en-GB"/>
              </w:rPr>
            </w:pPr>
          </w:p>
        </w:tc>
      </w:tr>
      <w:tr w:rsidR="007F5816" w:rsidRPr="007F5816" w14:paraId="33D05649" w14:textId="77777777">
        <w:tc>
          <w:tcPr>
            <w:tcW w:w="5000" w:type="pct"/>
            <w:gridSpan w:val="10"/>
            <w:shd w:val="clear" w:color="auto" w:fill="auto"/>
          </w:tcPr>
          <w:p w14:paraId="42222ACA"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VEDOLIZUMAB</w:t>
            </w:r>
          </w:p>
        </w:tc>
      </w:tr>
      <w:tr w:rsidR="007F5816" w:rsidRPr="007F5816" w14:paraId="1876C95D" w14:textId="77777777" w:rsidTr="006304C8">
        <w:tc>
          <w:tcPr>
            <w:tcW w:w="750" w:type="pct"/>
            <w:vMerge w:val="restart"/>
            <w:shd w:val="clear" w:color="auto" w:fill="auto"/>
          </w:tcPr>
          <w:p w14:paraId="5A8AEC42"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Vedolizumab, 300 mg powder for injection for intravenous infusion; in a single-use vial</w:t>
            </w:r>
          </w:p>
        </w:tc>
        <w:tc>
          <w:tcPr>
            <w:tcW w:w="3458" w:type="pct"/>
            <w:gridSpan w:val="8"/>
            <w:shd w:val="clear" w:color="auto" w:fill="auto"/>
          </w:tcPr>
          <w:p w14:paraId="1E969398"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Initial</w:t>
            </w:r>
          </w:p>
        </w:tc>
        <w:tc>
          <w:tcPr>
            <w:tcW w:w="792" w:type="pct"/>
            <w:vMerge w:val="restart"/>
            <w:shd w:val="clear" w:color="auto" w:fill="auto"/>
          </w:tcPr>
          <w:p w14:paraId="11A8EC1D"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Entyvio, Takeda Pharmaceuticals Australia Pty. Ltd.</w:t>
            </w:r>
          </w:p>
        </w:tc>
      </w:tr>
      <w:tr w:rsidR="007F5816" w:rsidRPr="007F5816" w14:paraId="1F91441C" w14:textId="77777777" w:rsidTr="006304C8">
        <w:tc>
          <w:tcPr>
            <w:tcW w:w="750" w:type="pct"/>
            <w:vMerge/>
            <w:shd w:val="clear" w:color="auto" w:fill="auto"/>
          </w:tcPr>
          <w:p w14:paraId="2017AA70"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p>
        </w:tc>
        <w:tc>
          <w:tcPr>
            <w:tcW w:w="540" w:type="pct"/>
            <w:shd w:val="clear" w:color="auto" w:fill="auto"/>
          </w:tcPr>
          <w:p w14:paraId="46F24043"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1</w:t>
            </w:r>
          </w:p>
        </w:tc>
        <w:tc>
          <w:tcPr>
            <w:tcW w:w="540" w:type="pct"/>
            <w:shd w:val="clear" w:color="auto" w:fill="auto"/>
          </w:tcPr>
          <w:p w14:paraId="56981F4F"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1</w:t>
            </w:r>
          </w:p>
        </w:tc>
        <w:tc>
          <w:tcPr>
            <w:tcW w:w="133" w:type="pct"/>
            <w:shd w:val="clear" w:color="auto" w:fill="auto"/>
          </w:tcPr>
          <w:p w14:paraId="24F5F2CA"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2</w:t>
            </w:r>
          </w:p>
        </w:tc>
        <w:tc>
          <w:tcPr>
            <w:tcW w:w="1072" w:type="pct"/>
            <w:shd w:val="clear" w:color="auto" w:fill="auto"/>
          </w:tcPr>
          <w:p w14:paraId="0A70081A"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Published: $2,949.93</w:t>
            </w:r>
          </w:p>
          <w:p w14:paraId="7D8B313E" w14:textId="65159494" w:rsid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Effective: $</w:t>
            </w:r>
            <w:r w:rsidR="00DC1AEB" w:rsidRPr="003A502F">
              <w:rPr>
                <w:rFonts w:ascii="Arial Narrow" w:hAnsi="Arial Narrow"/>
                <w:color w:val="000000"/>
                <w:spacing w:val="52"/>
                <w:sz w:val="20"/>
                <w:shd w:val="solid" w:color="000000" w:fill="000000"/>
                <w:fitText w:val="330" w:id="-894165760"/>
                <w:lang w:val="en-US" w:eastAsia="en-GB"/>
                <w14:textFill>
                  <w14:solidFill>
                    <w14:srgbClr w14:val="000000">
                      <w14:alpha w14:val="100000"/>
                    </w14:srgbClr>
                  </w14:solidFill>
                </w14:textFill>
              </w:rPr>
              <w:t>|||</w:t>
            </w:r>
            <w:r w:rsidR="00DC1AEB" w:rsidRPr="003A502F">
              <w:rPr>
                <w:rFonts w:ascii="Arial Narrow" w:hAnsi="Arial Narrow"/>
                <w:color w:val="000000"/>
                <w:spacing w:val="2"/>
                <w:sz w:val="20"/>
                <w:shd w:val="solid" w:color="000000" w:fill="000000"/>
                <w:fitText w:val="330" w:id="-894165760"/>
                <w:lang w:val="en-US" w:eastAsia="en-GB"/>
                <w14:textFill>
                  <w14:solidFill>
                    <w14:srgbClr w14:val="000000">
                      <w14:alpha w14:val="100000"/>
                    </w14:srgbClr>
                  </w14:solidFill>
                </w14:textFill>
              </w:rPr>
              <w:t>|</w:t>
            </w:r>
          </w:p>
          <w:p w14:paraId="06F38353" w14:textId="27960FC1" w:rsidR="006304C8" w:rsidRPr="007F5816" w:rsidRDefault="006304C8" w:rsidP="007F5816">
            <w:pPr>
              <w:keepNext/>
              <w:keepLines/>
              <w:suppressLineNumbers/>
              <w:spacing w:after="20"/>
              <w:jc w:val="left"/>
              <w:textboxTightWrap w:val="allLines"/>
              <w:rPr>
                <w:rFonts w:ascii="Arial Narrow" w:hAnsi="Arial Narrow"/>
                <w:sz w:val="20"/>
                <w:lang w:val="en-US" w:eastAsia="en-GB"/>
              </w:rPr>
            </w:pPr>
            <w:r>
              <w:rPr>
                <w:rFonts w:ascii="Arial Narrow" w:hAnsi="Arial Narrow"/>
                <w:sz w:val="20"/>
                <w:lang w:val="en-US" w:eastAsia="en-GB"/>
              </w:rPr>
              <w:t xml:space="preserve">Pre-PBAC response: </w:t>
            </w:r>
            <w:r w:rsidRPr="006304C8">
              <w:rPr>
                <w:rFonts w:ascii="Arial Narrow" w:hAnsi="Arial Narrow"/>
                <w:sz w:val="20"/>
                <w:lang w:val="en-US" w:eastAsia="en-GB"/>
              </w:rPr>
              <w:t>$</w:t>
            </w:r>
            <w:r w:rsidR="00DC1AEB" w:rsidRPr="00DC1AEB">
              <w:rPr>
                <w:rFonts w:ascii="Arial Narrow" w:hAnsi="Arial Narrow"/>
                <w:color w:val="000000"/>
                <w:spacing w:val="49"/>
                <w:sz w:val="20"/>
                <w:shd w:val="solid" w:color="000000" w:fill="000000"/>
                <w:fitText w:val="320" w:id="-894165759"/>
                <w:lang w:val="en-US" w:eastAsia="en-GB"/>
                <w14:textFill>
                  <w14:solidFill>
                    <w14:srgbClr w14:val="000000">
                      <w14:alpha w14:val="100000"/>
                    </w14:srgbClr>
                  </w14:solidFill>
                </w14:textFill>
              </w:rPr>
              <w:t>|||</w:t>
            </w:r>
            <w:r w:rsidR="00DC1AEB" w:rsidRPr="00DC1AEB">
              <w:rPr>
                <w:rFonts w:ascii="Arial Narrow" w:hAnsi="Arial Narrow"/>
                <w:color w:val="000000"/>
                <w:spacing w:val="3"/>
                <w:sz w:val="20"/>
                <w:shd w:val="solid" w:color="000000" w:fill="000000"/>
                <w:fitText w:val="320" w:id="-894165759"/>
                <w:lang w:val="en-US" w:eastAsia="en-GB"/>
                <w14:textFill>
                  <w14:solidFill>
                    <w14:srgbClr w14:val="000000">
                      <w14:alpha w14:val="100000"/>
                    </w14:srgbClr>
                  </w14:solidFill>
                </w14:textFill>
              </w:rPr>
              <w:t>|</w:t>
            </w:r>
          </w:p>
        </w:tc>
        <w:tc>
          <w:tcPr>
            <w:tcW w:w="586" w:type="pct"/>
            <w:gridSpan w:val="2"/>
            <w:shd w:val="clear" w:color="auto" w:fill="auto"/>
          </w:tcPr>
          <w:p w14:paraId="4701AB45"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Published: $2,949.93</w:t>
            </w:r>
          </w:p>
          <w:p w14:paraId="26143EAD" w14:textId="3D82AD8B"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Effective: $</w:t>
            </w:r>
            <w:r w:rsidR="00DC1AEB" w:rsidRPr="003A502F">
              <w:rPr>
                <w:rFonts w:ascii="Arial Narrow" w:hAnsi="Arial Narrow"/>
                <w:color w:val="000000"/>
                <w:spacing w:val="53"/>
                <w:sz w:val="20"/>
                <w:shd w:val="solid" w:color="000000" w:fill="000000"/>
                <w:fitText w:val="330" w:id="-894165758"/>
                <w:lang w:val="en-US" w:eastAsia="en-GB"/>
                <w14:textFill>
                  <w14:solidFill>
                    <w14:srgbClr w14:val="000000">
                      <w14:alpha w14:val="100000"/>
                    </w14:srgbClr>
                  </w14:solidFill>
                </w14:textFill>
              </w:rPr>
              <w:t>|||</w:t>
            </w:r>
            <w:r w:rsidR="00DC1AEB" w:rsidRPr="003A502F">
              <w:rPr>
                <w:rFonts w:ascii="Arial Narrow" w:hAnsi="Arial Narrow"/>
                <w:color w:val="000000"/>
                <w:spacing w:val="1"/>
                <w:sz w:val="20"/>
                <w:shd w:val="solid" w:color="000000" w:fill="000000"/>
                <w:fitText w:val="330" w:id="-894165758"/>
                <w:lang w:val="en-US" w:eastAsia="en-GB"/>
                <w14:textFill>
                  <w14:solidFill>
                    <w14:srgbClr w14:val="000000">
                      <w14:alpha w14:val="100000"/>
                    </w14:srgbClr>
                  </w14:solidFill>
                </w14:textFill>
              </w:rPr>
              <w:t>|</w:t>
            </w:r>
          </w:p>
        </w:tc>
        <w:tc>
          <w:tcPr>
            <w:tcW w:w="587" w:type="pct"/>
            <w:gridSpan w:val="2"/>
          </w:tcPr>
          <w:p w14:paraId="71B526B2"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Published: $2,998.30</w:t>
            </w:r>
          </w:p>
          <w:p w14:paraId="4D9A6F2D" w14:textId="0C77C73F"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Effective: $</w:t>
            </w:r>
            <w:r w:rsidR="00DC1AEB" w:rsidRPr="003A502F">
              <w:rPr>
                <w:rFonts w:ascii="Arial Narrow" w:hAnsi="Arial Narrow"/>
                <w:color w:val="000000"/>
                <w:spacing w:val="53"/>
                <w:sz w:val="20"/>
                <w:shd w:val="solid" w:color="000000" w:fill="000000"/>
                <w:fitText w:val="330" w:id="-894165757"/>
                <w:lang w:val="en-US" w:eastAsia="en-GB"/>
                <w14:textFill>
                  <w14:solidFill>
                    <w14:srgbClr w14:val="000000">
                      <w14:alpha w14:val="100000"/>
                    </w14:srgbClr>
                  </w14:solidFill>
                </w14:textFill>
              </w:rPr>
              <w:t>|||</w:t>
            </w:r>
            <w:r w:rsidR="00DC1AEB" w:rsidRPr="003A502F">
              <w:rPr>
                <w:rFonts w:ascii="Arial Narrow" w:hAnsi="Arial Narrow"/>
                <w:color w:val="000000"/>
                <w:spacing w:val="1"/>
                <w:sz w:val="20"/>
                <w:shd w:val="solid" w:color="000000" w:fill="000000"/>
                <w:fitText w:val="330" w:id="-894165757"/>
                <w:lang w:val="en-US" w:eastAsia="en-GB"/>
                <w14:textFill>
                  <w14:solidFill>
                    <w14:srgbClr w14:val="000000">
                      <w14:alpha w14:val="100000"/>
                    </w14:srgbClr>
                  </w14:solidFill>
                </w14:textFill>
              </w:rPr>
              <w:t>|</w:t>
            </w:r>
            <w:r w:rsidRPr="007F5816">
              <w:rPr>
                <w:rFonts w:ascii="Arial Narrow" w:hAnsi="Arial Narrow"/>
                <w:sz w:val="20"/>
                <w:lang w:val="en-US" w:eastAsia="en-GB"/>
              </w:rPr>
              <w:t>5</w:t>
            </w:r>
          </w:p>
        </w:tc>
        <w:tc>
          <w:tcPr>
            <w:tcW w:w="792" w:type="pct"/>
            <w:vMerge/>
            <w:shd w:val="clear" w:color="auto" w:fill="auto"/>
          </w:tcPr>
          <w:p w14:paraId="38A7FC92"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p>
        </w:tc>
      </w:tr>
      <w:tr w:rsidR="007F5816" w:rsidRPr="007F5816" w14:paraId="48D492BC" w14:textId="77777777" w:rsidTr="006304C8">
        <w:tc>
          <w:tcPr>
            <w:tcW w:w="750" w:type="pct"/>
            <w:vMerge/>
            <w:shd w:val="clear" w:color="auto" w:fill="auto"/>
          </w:tcPr>
          <w:p w14:paraId="22EE9C33"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p>
        </w:tc>
        <w:tc>
          <w:tcPr>
            <w:tcW w:w="3458" w:type="pct"/>
            <w:gridSpan w:val="8"/>
            <w:shd w:val="clear" w:color="auto" w:fill="auto"/>
          </w:tcPr>
          <w:p w14:paraId="36EB0295"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Continuing</w:t>
            </w:r>
          </w:p>
        </w:tc>
        <w:tc>
          <w:tcPr>
            <w:tcW w:w="792" w:type="pct"/>
            <w:vMerge/>
            <w:shd w:val="clear" w:color="auto" w:fill="auto"/>
          </w:tcPr>
          <w:p w14:paraId="70CECE7D"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p>
        </w:tc>
      </w:tr>
      <w:tr w:rsidR="007F5816" w:rsidRPr="007F5816" w14:paraId="70876D2A" w14:textId="77777777" w:rsidTr="006304C8">
        <w:tc>
          <w:tcPr>
            <w:tcW w:w="750" w:type="pct"/>
            <w:vMerge/>
            <w:shd w:val="clear" w:color="auto" w:fill="auto"/>
          </w:tcPr>
          <w:p w14:paraId="1E0E23EB"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p>
        </w:tc>
        <w:tc>
          <w:tcPr>
            <w:tcW w:w="540" w:type="pct"/>
            <w:shd w:val="clear" w:color="auto" w:fill="auto"/>
          </w:tcPr>
          <w:p w14:paraId="1F84BE3F"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1</w:t>
            </w:r>
          </w:p>
        </w:tc>
        <w:tc>
          <w:tcPr>
            <w:tcW w:w="540" w:type="pct"/>
            <w:shd w:val="clear" w:color="auto" w:fill="auto"/>
          </w:tcPr>
          <w:p w14:paraId="4283427D"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1</w:t>
            </w:r>
          </w:p>
        </w:tc>
        <w:tc>
          <w:tcPr>
            <w:tcW w:w="133" w:type="pct"/>
            <w:shd w:val="clear" w:color="auto" w:fill="auto"/>
          </w:tcPr>
          <w:p w14:paraId="409A99D0"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2</w:t>
            </w:r>
          </w:p>
        </w:tc>
        <w:tc>
          <w:tcPr>
            <w:tcW w:w="1072" w:type="pct"/>
            <w:shd w:val="clear" w:color="auto" w:fill="auto"/>
          </w:tcPr>
          <w:p w14:paraId="060BA9B1"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Published: $2,949.93</w:t>
            </w:r>
          </w:p>
          <w:p w14:paraId="776E3710" w14:textId="5AA964EE" w:rsid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Effective: $</w:t>
            </w:r>
            <w:r w:rsidR="00DC1AEB" w:rsidRPr="003A502F">
              <w:rPr>
                <w:rFonts w:ascii="Arial Narrow" w:hAnsi="Arial Narrow"/>
                <w:color w:val="000000"/>
                <w:spacing w:val="53"/>
                <w:sz w:val="20"/>
                <w:shd w:val="solid" w:color="000000" w:fill="000000"/>
                <w:fitText w:val="330" w:id="-894165756"/>
                <w:lang w:val="en-US" w:eastAsia="en-GB"/>
                <w14:textFill>
                  <w14:solidFill>
                    <w14:srgbClr w14:val="000000">
                      <w14:alpha w14:val="100000"/>
                    </w14:srgbClr>
                  </w14:solidFill>
                </w14:textFill>
              </w:rPr>
              <w:t>|||</w:t>
            </w:r>
            <w:r w:rsidR="00DC1AEB" w:rsidRPr="003A502F">
              <w:rPr>
                <w:rFonts w:ascii="Arial Narrow" w:hAnsi="Arial Narrow"/>
                <w:color w:val="000000"/>
                <w:spacing w:val="1"/>
                <w:sz w:val="20"/>
                <w:shd w:val="solid" w:color="000000" w:fill="000000"/>
                <w:fitText w:val="330" w:id="-894165756"/>
                <w:lang w:val="en-US" w:eastAsia="en-GB"/>
                <w14:textFill>
                  <w14:solidFill>
                    <w14:srgbClr w14:val="000000">
                      <w14:alpha w14:val="100000"/>
                    </w14:srgbClr>
                  </w14:solidFill>
                </w14:textFill>
              </w:rPr>
              <w:t>|</w:t>
            </w:r>
          </w:p>
          <w:p w14:paraId="087998B6" w14:textId="43DD0E5B" w:rsidR="006304C8" w:rsidRPr="007F5816" w:rsidRDefault="006304C8" w:rsidP="007F5816">
            <w:pPr>
              <w:keepNext/>
              <w:keepLines/>
              <w:suppressLineNumbers/>
              <w:spacing w:after="20"/>
              <w:jc w:val="left"/>
              <w:textboxTightWrap w:val="allLines"/>
              <w:rPr>
                <w:rFonts w:ascii="Arial Narrow" w:hAnsi="Arial Narrow"/>
                <w:sz w:val="20"/>
                <w:lang w:val="en-US" w:eastAsia="en-GB"/>
              </w:rPr>
            </w:pPr>
            <w:r>
              <w:rPr>
                <w:rFonts w:ascii="Arial Narrow" w:hAnsi="Arial Narrow"/>
                <w:sz w:val="20"/>
                <w:lang w:val="en-US" w:eastAsia="en-GB"/>
              </w:rPr>
              <w:t xml:space="preserve">Pre-PBAC response: </w:t>
            </w:r>
            <w:r w:rsidRPr="006304C8">
              <w:rPr>
                <w:rFonts w:ascii="Arial Narrow" w:hAnsi="Arial Narrow"/>
                <w:sz w:val="20"/>
                <w:lang w:val="en-US" w:eastAsia="en-GB"/>
              </w:rPr>
              <w:t>$</w:t>
            </w:r>
            <w:r w:rsidR="00DC1AEB" w:rsidRPr="00DC1AEB">
              <w:rPr>
                <w:rFonts w:ascii="Arial Narrow" w:hAnsi="Arial Narrow"/>
                <w:color w:val="000000"/>
                <w:spacing w:val="49"/>
                <w:sz w:val="20"/>
                <w:shd w:val="solid" w:color="000000" w:fill="000000"/>
                <w:fitText w:val="320" w:id="-894165755"/>
                <w:lang w:val="en-US" w:eastAsia="en-GB"/>
                <w14:textFill>
                  <w14:solidFill>
                    <w14:srgbClr w14:val="000000">
                      <w14:alpha w14:val="100000"/>
                    </w14:srgbClr>
                  </w14:solidFill>
                </w14:textFill>
              </w:rPr>
              <w:t>|||</w:t>
            </w:r>
            <w:r w:rsidR="00DC1AEB" w:rsidRPr="00DC1AEB">
              <w:rPr>
                <w:rFonts w:ascii="Arial Narrow" w:hAnsi="Arial Narrow"/>
                <w:color w:val="000000"/>
                <w:spacing w:val="3"/>
                <w:sz w:val="20"/>
                <w:shd w:val="solid" w:color="000000" w:fill="000000"/>
                <w:fitText w:val="320" w:id="-894165755"/>
                <w:lang w:val="en-US" w:eastAsia="en-GB"/>
                <w14:textFill>
                  <w14:solidFill>
                    <w14:srgbClr w14:val="000000">
                      <w14:alpha w14:val="100000"/>
                    </w14:srgbClr>
                  </w14:solidFill>
                </w14:textFill>
              </w:rPr>
              <w:t>|</w:t>
            </w:r>
          </w:p>
        </w:tc>
        <w:tc>
          <w:tcPr>
            <w:tcW w:w="586" w:type="pct"/>
            <w:gridSpan w:val="2"/>
            <w:shd w:val="clear" w:color="auto" w:fill="auto"/>
          </w:tcPr>
          <w:p w14:paraId="3BE43471"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 xml:space="preserve"> Published: $2,949.93</w:t>
            </w:r>
          </w:p>
          <w:p w14:paraId="3CBCA0FA" w14:textId="5149BBE8"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Effective: $</w:t>
            </w:r>
            <w:r w:rsidR="00DC1AEB" w:rsidRPr="003A502F">
              <w:rPr>
                <w:rFonts w:ascii="Arial Narrow" w:hAnsi="Arial Narrow"/>
                <w:color w:val="000000"/>
                <w:spacing w:val="53"/>
                <w:sz w:val="20"/>
                <w:shd w:val="solid" w:color="000000" w:fill="000000"/>
                <w:fitText w:val="330" w:id="-894165754"/>
                <w:lang w:val="en-US" w:eastAsia="en-GB"/>
                <w14:textFill>
                  <w14:solidFill>
                    <w14:srgbClr w14:val="000000">
                      <w14:alpha w14:val="100000"/>
                    </w14:srgbClr>
                  </w14:solidFill>
                </w14:textFill>
              </w:rPr>
              <w:t>|||</w:t>
            </w:r>
            <w:r w:rsidR="00DC1AEB" w:rsidRPr="003A502F">
              <w:rPr>
                <w:rFonts w:ascii="Arial Narrow" w:hAnsi="Arial Narrow"/>
                <w:color w:val="000000"/>
                <w:spacing w:val="1"/>
                <w:sz w:val="20"/>
                <w:shd w:val="solid" w:color="000000" w:fill="000000"/>
                <w:fitText w:val="330" w:id="-894165754"/>
                <w:lang w:val="en-US" w:eastAsia="en-GB"/>
                <w14:textFill>
                  <w14:solidFill>
                    <w14:srgbClr w14:val="000000">
                      <w14:alpha w14:val="100000"/>
                    </w14:srgbClr>
                  </w14:solidFill>
                </w14:textFill>
              </w:rPr>
              <w:t>|</w:t>
            </w:r>
          </w:p>
        </w:tc>
        <w:tc>
          <w:tcPr>
            <w:tcW w:w="587" w:type="pct"/>
            <w:gridSpan w:val="2"/>
          </w:tcPr>
          <w:p w14:paraId="2B786D10"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Published: $2,998.30</w:t>
            </w:r>
          </w:p>
          <w:p w14:paraId="45FCDB46" w14:textId="2F0C4211"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r w:rsidRPr="007F5816">
              <w:rPr>
                <w:rFonts w:ascii="Arial Narrow" w:hAnsi="Arial Narrow"/>
                <w:sz w:val="20"/>
                <w:lang w:val="en-US" w:eastAsia="en-GB"/>
              </w:rPr>
              <w:t>Effective: $</w:t>
            </w:r>
            <w:r w:rsidR="00DC1AEB" w:rsidRPr="003A502F">
              <w:rPr>
                <w:rFonts w:ascii="Arial Narrow" w:hAnsi="Arial Narrow"/>
                <w:color w:val="000000"/>
                <w:spacing w:val="53"/>
                <w:sz w:val="20"/>
                <w:shd w:val="solid" w:color="000000" w:fill="000000"/>
                <w:fitText w:val="330" w:id="-894165753"/>
                <w:lang w:val="en-US" w:eastAsia="en-GB"/>
                <w14:textFill>
                  <w14:solidFill>
                    <w14:srgbClr w14:val="000000">
                      <w14:alpha w14:val="100000"/>
                    </w14:srgbClr>
                  </w14:solidFill>
                </w14:textFill>
              </w:rPr>
              <w:t>|||</w:t>
            </w:r>
            <w:r w:rsidR="00DC1AEB" w:rsidRPr="003A502F">
              <w:rPr>
                <w:rFonts w:ascii="Arial Narrow" w:hAnsi="Arial Narrow"/>
                <w:color w:val="000000"/>
                <w:spacing w:val="1"/>
                <w:sz w:val="20"/>
                <w:shd w:val="solid" w:color="000000" w:fill="000000"/>
                <w:fitText w:val="330" w:id="-894165753"/>
                <w:lang w:val="en-US" w:eastAsia="en-GB"/>
                <w14:textFill>
                  <w14:solidFill>
                    <w14:srgbClr w14:val="000000">
                      <w14:alpha w14:val="100000"/>
                    </w14:srgbClr>
                  </w14:solidFill>
                </w14:textFill>
              </w:rPr>
              <w:t>|</w:t>
            </w:r>
          </w:p>
        </w:tc>
        <w:tc>
          <w:tcPr>
            <w:tcW w:w="792" w:type="pct"/>
            <w:vMerge/>
            <w:shd w:val="clear" w:color="auto" w:fill="auto"/>
          </w:tcPr>
          <w:p w14:paraId="1074EBD1" w14:textId="77777777" w:rsidR="007F5816" w:rsidRPr="007F5816" w:rsidRDefault="007F5816" w:rsidP="007F5816">
            <w:pPr>
              <w:keepNext/>
              <w:keepLines/>
              <w:suppressLineNumbers/>
              <w:spacing w:after="20"/>
              <w:jc w:val="left"/>
              <w:textboxTightWrap w:val="allLines"/>
              <w:rPr>
                <w:rFonts w:ascii="Arial Narrow" w:hAnsi="Arial Narrow"/>
                <w:sz w:val="20"/>
                <w:lang w:val="en-US" w:eastAsia="en-GB"/>
              </w:rPr>
            </w:pPr>
          </w:p>
        </w:tc>
      </w:tr>
    </w:tbl>
    <w:p w14:paraId="660B3134" w14:textId="77777777" w:rsidR="007F5816" w:rsidRPr="007F5816" w:rsidRDefault="007F5816" w:rsidP="007F5816">
      <w:pPr>
        <w:keepNext/>
        <w:tabs>
          <w:tab w:val="center" w:pos="4513"/>
        </w:tabs>
        <w:jc w:val="left"/>
        <w:rPr>
          <w:rFonts w:ascii="Arial Narrow" w:eastAsiaTheme="majorEastAsia" w:hAnsi="Arial Narrow" w:cstheme="majorBidi"/>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251"/>
      </w:tblGrid>
      <w:tr w:rsidR="007F5816" w:rsidRPr="007F5816" w14:paraId="0BCC0388" w14:textId="77777777">
        <w:tc>
          <w:tcPr>
            <w:tcW w:w="979" w:type="pct"/>
            <w:shd w:val="clear" w:color="auto" w:fill="auto"/>
          </w:tcPr>
          <w:p w14:paraId="566B9000"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Category / Program</w:t>
            </w:r>
          </w:p>
        </w:tc>
        <w:tc>
          <w:tcPr>
            <w:tcW w:w="4021" w:type="pct"/>
            <w:shd w:val="clear" w:color="auto" w:fill="auto"/>
          </w:tcPr>
          <w:p w14:paraId="7780305B"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S100 HSD</w:t>
            </w:r>
          </w:p>
        </w:tc>
      </w:tr>
      <w:tr w:rsidR="007F5816" w:rsidRPr="007F5816" w14:paraId="3E1B9338" w14:textId="77777777">
        <w:tc>
          <w:tcPr>
            <w:tcW w:w="979" w:type="pct"/>
            <w:shd w:val="clear" w:color="auto" w:fill="auto"/>
          </w:tcPr>
          <w:p w14:paraId="2CB01E3F"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Prescriber type</w:t>
            </w:r>
          </w:p>
        </w:tc>
        <w:tc>
          <w:tcPr>
            <w:tcW w:w="4021" w:type="pct"/>
            <w:shd w:val="clear" w:color="auto" w:fill="auto"/>
          </w:tcPr>
          <w:p w14:paraId="7B85264F"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rPr>
              <w:fldChar w:fldCharType="begin" w:fldLock="1">
                <w:ffData>
                  <w:name w:val="Check1"/>
                  <w:enabled/>
                  <w:calcOnExit w:val="0"/>
                  <w:checkBox>
                    <w:sizeAuto/>
                    <w:default w:val="0"/>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 xml:space="preserve">Dental </w:t>
            </w:r>
            <w:r w:rsidRPr="007F5816">
              <w:rPr>
                <w:rFonts w:ascii="Arial Narrow" w:eastAsiaTheme="majorEastAsia" w:hAnsi="Arial Narrow" w:cstheme="majorBidi"/>
                <w:bCs/>
                <w:sz w:val="20"/>
              </w:rPr>
              <w:fldChar w:fldCharType="begin" w:fldLock="1">
                <w:ffData>
                  <w:name w:val=""/>
                  <w:enabled/>
                  <w:calcOnExit w:val="0"/>
                  <w:checkBox>
                    <w:sizeAuto/>
                    <w:default w:val="1"/>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 xml:space="preserve">Medical Practitioners </w:t>
            </w:r>
            <w:r w:rsidRPr="007F5816">
              <w:rPr>
                <w:rFonts w:ascii="Arial Narrow" w:eastAsiaTheme="majorEastAsia" w:hAnsi="Arial Narrow" w:cstheme="majorBidi"/>
                <w:bCs/>
                <w:sz w:val="20"/>
              </w:rPr>
              <w:fldChar w:fldCharType="begin" w:fldLock="1">
                <w:ffData>
                  <w:name w:val=""/>
                  <w:enabled/>
                  <w:calcOnExit w:val="0"/>
                  <w:checkBox>
                    <w:sizeAuto/>
                    <w:default w:val="0"/>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 xml:space="preserve">Nurse practitioners </w:t>
            </w:r>
            <w:r w:rsidRPr="007F5816">
              <w:rPr>
                <w:rFonts w:ascii="Arial Narrow" w:eastAsiaTheme="majorEastAsia" w:hAnsi="Arial Narrow" w:cstheme="majorBidi"/>
                <w:bCs/>
                <w:sz w:val="20"/>
              </w:rPr>
              <w:fldChar w:fldCharType="begin" w:fldLock="1">
                <w:ffData>
                  <w:name w:val=""/>
                  <w:enabled/>
                  <w:calcOnExit w:val="0"/>
                  <w:checkBox>
                    <w:sizeAuto/>
                    <w:default w:val="0"/>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 xml:space="preserve">Optometrists </w:t>
            </w:r>
            <w:r w:rsidRPr="007F5816">
              <w:rPr>
                <w:rFonts w:ascii="Arial Narrow" w:eastAsiaTheme="majorEastAsia" w:hAnsi="Arial Narrow" w:cstheme="majorBidi"/>
                <w:bCs/>
                <w:sz w:val="20"/>
              </w:rPr>
              <w:fldChar w:fldCharType="begin" w:fldLock="1">
                <w:ffData>
                  <w:name w:val="Check5"/>
                  <w:enabled/>
                  <w:calcOnExit w:val="0"/>
                  <w:checkBox>
                    <w:sizeAuto/>
                    <w:default w:val="0"/>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Midwives</w:t>
            </w:r>
          </w:p>
        </w:tc>
      </w:tr>
      <w:tr w:rsidR="007F5816" w:rsidRPr="007F5816" w14:paraId="47DD6626" w14:textId="77777777">
        <w:tc>
          <w:tcPr>
            <w:tcW w:w="979" w:type="pct"/>
            <w:shd w:val="clear" w:color="auto" w:fill="auto"/>
          </w:tcPr>
          <w:p w14:paraId="42EBA230"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Condition</w:t>
            </w:r>
          </w:p>
        </w:tc>
        <w:tc>
          <w:tcPr>
            <w:tcW w:w="4021" w:type="pct"/>
            <w:shd w:val="clear" w:color="auto" w:fill="auto"/>
          </w:tcPr>
          <w:p w14:paraId="64B9D2EB"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Pouchitis in patients who have undergone ileal pouch anal anastomosis (IPAA) for ulcerative colitis (UC)</w:t>
            </w:r>
          </w:p>
        </w:tc>
      </w:tr>
      <w:tr w:rsidR="007F5816" w:rsidRPr="007F5816" w14:paraId="43C9F142" w14:textId="77777777">
        <w:tc>
          <w:tcPr>
            <w:tcW w:w="979" w:type="pct"/>
            <w:shd w:val="clear" w:color="auto" w:fill="auto"/>
          </w:tcPr>
          <w:p w14:paraId="13A4A569"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Severity</w:t>
            </w:r>
          </w:p>
        </w:tc>
        <w:tc>
          <w:tcPr>
            <w:tcW w:w="4021" w:type="pct"/>
            <w:shd w:val="clear" w:color="auto" w:fill="auto"/>
          </w:tcPr>
          <w:p w14:paraId="2E6A6C4F"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Moderate to severe</w:t>
            </w:r>
          </w:p>
        </w:tc>
      </w:tr>
      <w:tr w:rsidR="007F5816" w:rsidRPr="007F5816" w14:paraId="27706712" w14:textId="77777777">
        <w:tc>
          <w:tcPr>
            <w:tcW w:w="979" w:type="pct"/>
            <w:shd w:val="clear" w:color="auto" w:fill="auto"/>
          </w:tcPr>
          <w:p w14:paraId="353953A8"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Restriction type</w:t>
            </w:r>
          </w:p>
        </w:tc>
        <w:tc>
          <w:tcPr>
            <w:tcW w:w="4021" w:type="pct"/>
            <w:shd w:val="clear" w:color="auto" w:fill="auto"/>
          </w:tcPr>
          <w:p w14:paraId="734B3656" w14:textId="781B53AA"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rPr>
              <w:fldChar w:fldCharType="begin" w:fldLock="1">
                <w:ffData>
                  <w:name w:val="Check3"/>
                  <w:enabled/>
                  <w:calcOnExit w:val="0"/>
                  <w:checkBox>
                    <w:sizeAuto/>
                    <w:default w:val="1"/>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lang w:val="en-US"/>
              </w:rPr>
              <w:t xml:space="preserve">Authority Required – </w:t>
            </w:r>
            <w:r w:rsidR="00765C21">
              <w:rPr>
                <w:rFonts w:ascii="Arial Narrow" w:eastAsiaTheme="majorEastAsia" w:hAnsi="Arial Narrow" w:cstheme="majorBidi"/>
                <w:bCs/>
                <w:sz w:val="20"/>
                <w:lang w:val="en-US"/>
              </w:rPr>
              <w:t>In writing</w:t>
            </w:r>
            <w:r w:rsidRPr="007F5816">
              <w:rPr>
                <w:rFonts w:ascii="Arial Narrow" w:eastAsiaTheme="majorEastAsia" w:hAnsi="Arial Narrow" w:cstheme="majorBidi"/>
                <w:bCs/>
                <w:sz w:val="20"/>
                <w:lang w:val="en-US"/>
              </w:rPr>
              <w:t xml:space="preserve"> (</w:t>
            </w:r>
            <w:r w:rsidR="00765C21">
              <w:rPr>
                <w:rFonts w:ascii="Arial Narrow" w:eastAsiaTheme="majorEastAsia" w:hAnsi="Arial Narrow" w:cstheme="majorBidi"/>
                <w:bCs/>
                <w:sz w:val="20"/>
                <w:lang w:val="en-US"/>
              </w:rPr>
              <w:t>initial</w:t>
            </w:r>
            <w:r w:rsidR="00765C21" w:rsidRPr="007F5816">
              <w:rPr>
                <w:rFonts w:ascii="Arial Narrow" w:eastAsiaTheme="majorEastAsia" w:hAnsi="Arial Narrow" w:cstheme="majorBidi"/>
                <w:bCs/>
                <w:sz w:val="20"/>
                <w:lang w:val="en-US"/>
              </w:rPr>
              <w:t xml:space="preserve"> </w:t>
            </w:r>
            <w:r w:rsidRPr="007F5816">
              <w:rPr>
                <w:rFonts w:ascii="Arial Narrow" w:eastAsiaTheme="majorEastAsia" w:hAnsi="Arial Narrow" w:cstheme="majorBidi"/>
                <w:bCs/>
                <w:sz w:val="20"/>
                <w:lang w:val="en-US"/>
              </w:rPr>
              <w:t>treatment)</w:t>
            </w:r>
          </w:p>
        </w:tc>
      </w:tr>
      <w:tr w:rsidR="007F5816" w:rsidRPr="007F5816" w14:paraId="6ECEF557" w14:textId="77777777">
        <w:tc>
          <w:tcPr>
            <w:tcW w:w="979" w:type="pct"/>
            <w:shd w:val="clear" w:color="auto" w:fill="auto"/>
          </w:tcPr>
          <w:p w14:paraId="1E2EF1B0"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Treatment phase</w:t>
            </w:r>
          </w:p>
        </w:tc>
        <w:tc>
          <w:tcPr>
            <w:tcW w:w="4021" w:type="pct"/>
            <w:shd w:val="clear" w:color="auto" w:fill="auto"/>
          </w:tcPr>
          <w:p w14:paraId="09FA9FBE"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Initial treatment</w:t>
            </w:r>
          </w:p>
        </w:tc>
      </w:tr>
      <w:tr w:rsidR="007F5816" w:rsidRPr="007F5816" w14:paraId="0E72F7CC" w14:textId="77777777">
        <w:tc>
          <w:tcPr>
            <w:tcW w:w="979" w:type="pct"/>
            <w:tcBorders>
              <w:bottom w:val="nil"/>
            </w:tcBorders>
            <w:shd w:val="clear" w:color="auto" w:fill="auto"/>
          </w:tcPr>
          <w:p w14:paraId="14A70916"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Treatment criteria</w:t>
            </w:r>
          </w:p>
        </w:tc>
        <w:tc>
          <w:tcPr>
            <w:tcW w:w="4021" w:type="pct"/>
            <w:tcBorders>
              <w:bottom w:val="nil"/>
            </w:tcBorders>
            <w:shd w:val="clear" w:color="auto" w:fill="auto"/>
          </w:tcPr>
          <w:p w14:paraId="67145BD8"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Must be treated by a gastroenterologist, OR</w:t>
            </w:r>
          </w:p>
          <w:p w14:paraId="131458EB" w14:textId="3F373036"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Must be treated by a consultant physician [internal medicine specialising in gastroenterology]; OR</w:t>
            </w:r>
          </w:p>
          <w:p w14:paraId="0EA3F4FC" w14:textId="34648A8F"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Must be treated by a consultant physician [general medicine specialising in gastroenterology].</w:t>
            </w:r>
          </w:p>
          <w:p w14:paraId="42FA1135"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tc>
      </w:tr>
      <w:tr w:rsidR="007F5816" w:rsidRPr="007F5816" w14:paraId="7ED59354" w14:textId="77777777">
        <w:tc>
          <w:tcPr>
            <w:tcW w:w="979" w:type="pct"/>
            <w:tcBorders>
              <w:top w:val="nil"/>
              <w:bottom w:val="single" w:sz="4" w:space="0" w:color="auto"/>
            </w:tcBorders>
            <w:shd w:val="clear" w:color="auto" w:fill="auto"/>
          </w:tcPr>
          <w:p w14:paraId="6B9902E8"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21" w:type="pct"/>
            <w:tcBorders>
              <w:top w:val="nil"/>
              <w:bottom w:val="single" w:sz="4" w:space="0" w:color="auto"/>
            </w:tcBorders>
            <w:shd w:val="clear" w:color="auto" w:fill="auto"/>
          </w:tcPr>
          <w:p w14:paraId="68116827"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Treatment must be initiated in parallel with standard of care antibiotic</w:t>
            </w:r>
          </w:p>
        </w:tc>
      </w:tr>
      <w:tr w:rsidR="007F5816" w:rsidRPr="007F5816" w14:paraId="4250130D" w14:textId="77777777">
        <w:tc>
          <w:tcPr>
            <w:tcW w:w="979" w:type="pct"/>
            <w:tcBorders>
              <w:top w:val="single" w:sz="4" w:space="0" w:color="auto"/>
              <w:bottom w:val="nil"/>
            </w:tcBorders>
            <w:shd w:val="clear" w:color="auto" w:fill="auto"/>
          </w:tcPr>
          <w:p w14:paraId="628204AF"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Clinical criteria</w:t>
            </w:r>
          </w:p>
        </w:tc>
        <w:tc>
          <w:tcPr>
            <w:tcW w:w="4021" w:type="pct"/>
            <w:tcBorders>
              <w:top w:val="single" w:sz="4" w:space="0" w:color="auto"/>
              <w:bottom w:val="nil"/>
            </w:tcBorders>
            <w:shd w:val="clear" w:color="auto" w:fill="auto"/>
          </w:tcPr>
          <w:p w14:paraId="30FAA17D"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 must have a history of IPAA for UC that was created at least 1 year previously</w:t>
            </w:r>
          </w:p>
          <w:p w14:paraId="1A12122D"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tc>
      </w:tr>
      <w:tr w:rsidR="007F5816" w:rsidRPr="007F5816" w14:paraId="24979780" w14:textId="77777777">
        <w:tc>
          <w:tcPr>
            <w:tcW w:w="979" w:type="pct"/>
            <w:tcBorders>
              <w:top w:val="nil"/>
              <w:bottom w:val="nil"/>
            </w:tcBorders>
            <w:shd w:val="clear" w:color="auto" w:fill="auto"/>
          </w:tcPr>
          <w:p w14:paraId="14F7B73C"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21" w:type="pct"/>
            <w:tcBorders>
              <w:top w:val="nil"/>
              <w:bottom w:val="nil"/>
            </w:tcBorders>
            <w:shd w:val="clear" w:color="auto" w:fill="auto"/>
          </w:tcPr>
          <w:p w14:paraId="7E3D46A5"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The condition must be confirmed based on the patient’s symptoms, treatment history and baseline endoscopic examination of the pouch (pouchoscopy)</w:t>
            </w:r>
          </w:p>
          <w:p w14:paraId="0FCC1D95"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tc>
      </w:tr>
      <w:tr w:rsidR="007F5816" w:rsidRPr="007F5816" w14:paraId="478C9DE4" w14:textId="77777777">
        <w:tc>
          <w:tcPr>
            <w:tcW w:w="979" w:type="pct"/>
            <w:tcBorders>
              <w:top w:val="nil"/>
              <w:bottom w:val="nil"/>
            </w:tcBorders>
            <w:shd w:val="clear" w:color="auto" w:fill="auto"/>
          </w:tcPr>
          <w:p w14:paraId="669BD015"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21" w:type="pct"/>
            <w:tcBorders>
              <w:top w:val="nil"/>
              <w:bottom w:val="nil"/>
            </w:tcBorders>
            <w:shd w:val="clear" w:color="auto" w:fill="auto"/>
          </w:tcPr>
          <w:p w14:paraId="028A9385"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 must have a Modified Pouchitis Disease Activity Index (mPDAI) score of at least 5</w:t>
            </w:r>
          </w:p>
          <w:p w14:paraId="1949F949"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p w14:paraId="45ED2031"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 must have a minimum endoscopic mPDAI sub-score of at least 2</w:t>
            </w:r>
          </w:p>
          <w:p w14:paraId="34F8CAE6"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tc>
      </w:tr>
      <w:tr w:rsidR="007F5816" w:rsidRPr="007F5816" w14:paraId="3420D130" w14:textId="77777777">
        <w:tc>
          <w:tcPr>
            <w:tcW w:w="979" w:type="pct"/>
            <w:tcBorders>
              <w:top w:val="nil"/>
              <w:bottom w:val="nil"/>
            </w:tcBorders>
            <w:shd w:val="clear" w:color="auto" w:fill="auto"/>
          </w:tcPr>
          <w:p w14:paraId="7892007A"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21" w:type="pct"/>
            <w:tcBorders>
              <w:top w:val="nil"/>
              <w:bottom w:val="nil"/>
            </w:tcBorders>
            <w:shd w:val="clear" w:color="auto" w:fill="auto"/>
          </w:tcPr>
          <w:p w14:paraId="1429418F" w14:textId="15E5F16E"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 must have had at least 3 recurrent episodes of pouchitis within the previous year each of which was treated with at least 2 weeks of antibiotic or other prescription therapy,</w:t>
            </w:r>
          </w:p>
          <w:p w14:paraId="0DC4BA88"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OR</w:t>
            </w:r>
          </w:p>
          <w:p w14:paraId="4F34B3FE"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The condition must have required maintenance antibiotic therapy taken continuously for at least 4 weeks</w:t>
            </w:r>
          </w:p>
          <w:p w14:paraId="33EA0724"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tc>
      </w:tr>
      <w:tr w:rsidR="007F5816" w:rsidRPr="007F5816" w14:paraId="292C28DC" w14:textId="77777777">
        <w:tc>
          <w:tcPr>
            <w:tcW w:w="979" w:type="pct"/>
            <w:tcBorders>
              <w:top w:val="nil"/>
              <w:bottom w:val="nil"/>
            </w:tcBorders>
            <w:shd w:val="clear" w:color="auto" w:fill="auto"/>
          </w:tcPr>
          <w:p w14:paraId="6A05E17F"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21" w:type="pct"/>
            <w:tcBorders>
              <w:top w:val="nil"/>
              <w:bottom w:val="nil"/>
            </w:tcBorders>
            <w:shd w:val="clear" w:color="auto" w:fill="auto"/>
          </w:tcPr>
          <w:p w14:paraId="7EA8B4C7"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 xml:space="preserve">Patient must not receive more 3 doses to be administered at weeks 0, </w:t>
            </w:r>
            <w:r w:rsidRPr="007F5816">
              <w:rPr>
                <w:rFonts w:ascii="Arial Narrow" w:eastAsiaTheme="majorEastAsia" w:hAnsi="Arial Narrow" w:cstheme="majorBidi"/>
                <w:bCs/>
                <w:i/>
                <w:iCs/>
                <w:sz w:val="20"/>
                <w:lang w:val="en-US"/>
              </w:rPr>
              <w:t xml:space="preserve">2 </w:t>
            </w:r>
            <w:r w:rsidRPr="007F5816">
              <w:rPr>
                <w:rFonts w:ascii="Arial Narrow" w:eastAsiaTheme="majorEastAsia" w:hAnsi="Arial Narrow" w:cstheme="majorBidi"/>
                <w:bCs/>
                <w:sz w:val="20"/>
                <w:lang w:val="en-US"/>
              </w:rPr>
              <w:t>and 6 under this treatment phase.</w:t>
            </w:r>
          </w:p>
        </w:tc>
      </w:tr>
      <w:tr w:rsidR="007F5816" w:rsidRPr="007F5816" w14:paraId="4BAD186D" w14:textId="77777777">
        <w:tc>
          <w:tcPr>
            <w:tcW w:w="979" w:type="pct"/>
            <w:tcBorders>
              <w:top w:val="nil"/>
              <w:bottom w:val="nil"/>
            </w:tcBorders>
            <w:shd w:val="clear" w:color="auto" w:fill="auto"/>
          </w:tcPr>
          <w:p w14:paraId="1E284F6C"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21" w:type="pct"/>
            <w:tcBorders>
              <w:top w:val="nil"/>
              <w:bottom w:val="nil"/>
            </w:tcBorders>
            <w:shd w:val="clear" w:color="auto" w:fill="auto"/>
          </w:tcPr>
          <w:p w14:paraId="0B7BB15D"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 must be aged 18 years or older</w:t>
            </w:r>
          </w:p>
          <w:p w14:paraId="234FE912"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tc>
      </w:tr>
      <w:tr w:rsidR="007F5816" w:rsidRPr="007F5816" w14:paraId="6CFF8003" w14:textId="77777777">
        <w:tc>
          <w:tcPr>
            <w:tcW w:w="979" w:type="pct"/>
            <w:tcBorders>
              <w:top w:val="nil"/>
              <w:bottom w:val="nil"/>
            </w:tcBorders>
            <w:shd w:val="clear" w:color="auto" w:fill="auto"/>
          </w:tcPr>
          <w:p w14:paraId="4A8EF2FA"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21" w:type="pct"/>
            <w:tcBorders>
              <w:top w:val="nil"/>
              <w:bottom w:val="nil"/>
            </w:tcBorders>
            <w:shd w:val="clear" w:color="auto" w:fill="auto"/>
          </w:tcPr>
          <w:p w14:paraId="690C3171"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 must not have previously received PBS-subsidised treatment with this drug for this condition for this treatment cycle/current pouchitis episode,</w:t>
            </w:r>
          </w:p>
          <w:p w14:paraId="13D1A6FA"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tc>
      </w:tr>
      <w:tr w:rsidR="007F5816" w:rsidRPr="007F5816" w14:paraId="2FC45B50" w14:textId="77777777">
        <w:tc>
          <w:tcPr>
            <w:tcW w:w="979" w:type="pct"/>
            <w:tcBorders>
              <w:top w:val="nil"/>
            </w:tcBorders>
            <w:shd w:val="clear" w:color="auto" w:fill="auto"/>
          </w:tcPr>
          <w:p w14:paraId="20DEDFF6"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21" w:type="pct"/>
            <w:tcBorders>
              <w:top w:val="nil"/>
            </w:tcBorders>
            <w:shd w:val="clear" w:color="auto" w:fill="auto"/>
          </w:tcPr>
          <w:p w14:paraId="2142B75C" w14:textId="45D3C9D8"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Application for authorisation of initial treatment must be in writing and must include:</w:t>
            </w:r>
          </w:p>
          <w:p w14:paraId="178119D8"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 a completed authority prescription form; and</w:t>
            </w:r>
          </w:p>
          <w:p w14:paraId="4EC929A4" w14:textId="3907292B"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 xml:space="preserve">(b) a completed Pouchitis PBS Authority Application </w:t>
            </w:r>
            <w:r w:rsidR="004C0606">
              <w:rPr>
                <w:rFonts w:ascii="Arial Narrow" w:eastAsiaTheme="majorEastAsia" w:hAnsi="Arial Narrow" w:cstheme="majorBidi"/>
                <w:bCs/>
                <w:sz w:val="20"/>
                <w:lang w:val="en-US"/>
              </w:rPr>
              <w:t>-</w:t>
            </w:r>
            <w:r w:rsidRPr="007F5816">
              <w:rPr>
                <w:rFonts w:ascii="Arial Narrow" w:eastAsiaTheme="majorEastAsia" w:hAnsi="Arial Narrow" w:cstheme="majorBidi"/>
                <w:bCs/>
                <w:sz w:val="20"/>
                <w:lang w:val="en-US"/>
              </w:rPr>
              <w:t xml:space="preserve"> Supporting Information Form which includes the following:</w:t>
            </w:r>
          </w:p>
          <w:p w14:paraId="164F5EEF" w14:textId="62C31FAD"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(i) the completed current Modified Pouchitis Disease Activity Index (mPDAI) calculation sheet including the date of assessment of the patient</w:t>
            </w:r>
            <w:r w:rsidR="00AE0266">
              <w:rPr>
                <w:rFonts w:ascii="Arial Narrow" w:eastAsiaTheme="majorEastAsia" w:hAnsi="Arial Narrow" w:cstheme="majorBidi"/>
                <w:bCs/>
                <w:sz w:val="20"/>
                <w:lang w:val="en-US"/>
              </w:rPr>
              <w:t>’</w:t>
            </w:r>
            <w:r w:rsidRPr="007F5816">
              <w:rPr>
                <w:rFonts w:ascii="Arial Narrow" w:eastAsiaTheme="majorEastAsia" w:hAnsi="Arial Narrow" w:cstheme="majorBidi"/>
                <w:bCs/>
                <w:sz w:val="20"/>
                <w:lang w:val="en-US"/>
              </w:rPr>
              <w:t>s condition; and</w:t>
            </w:r>
          </w:p>
          <w:p w14:paraId="7DF9AEF1"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(ii) details of prior drug therapy for the condition [dosage, date of commencement and duration of therapy].</w:t>
            </w:r>
          </w:p>
          <w:p w14:paraId="6EB955A0" w14:textId="5C73D632"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 maximum quantity and number of repeats to provide for an initial course of this drug consisting of one vial of 300 mg per dose, with one dose to be administered at weeks 0, 2 and 6, will be authorised.</w:t>
            </w:r>
          </w:p>
          <w:p w14:paraId="5716C18D" w14:textId="4377260F"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Up to a maximum of 2 repeats will be authorised.</w:t>
            </w:r>
          </w:p>
          <w:p w14:paraId="1F0C23C1"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 xml:space="preserve">The endoscopic assessment contributing to the Modified Pouchitis </w:t>
            </w:r>
            <w:r w:rsidRPr="007F5816">
              <w:rPr>
                <w:rFonts w:ascii="Arial Narrow" w:eastAsiaTheme="majorEastAsia" w:hAnsi="Arial Narrow" w:cstheme="majorBidi"/>
                <w:bCs/>
                <w:color w:val="000000"/>
                <w:sz w:val="20"/>
                <w:lang w:val="en-US"/>
              </w:rPr>
              <w:t>Disease Activity Index score to confirm the patient’s condition at baseline must have been performed no more than 4 weeks prior to the application.</w:t>
            </w:r>
            <w:r w:rsidRPr="007F5816">
              <w:rPr>
                <w:rFonts w:ascii="Arial Narrow" w:eastAsiaTheme="majorEastAsia" w:hAnsi="Arial Narrow" w:cstheme="majorBidi"/>
                <w:bCs/>
                <w:sz w:val="20"/>
                <w:lang w:val="en-US"/>
              </w:rPr>
              <w:t xml:space="preserve"> </w:t>
            </w:r>
          </w:p>
        </w:tc>
      </w:tr>
      <w:tr w:rsidR="007F5816" w:rsidRPr="007F5816" w14:paraId="6AE5A152" w14:textId="77777777">
        <w:tc>
          <w:tcPr>
            <w:tcW w:w="979" w:type="pct"/>
            <w:tcBorders>
              <w:bottom w:val="nil"/>
            </w:tcBorders>
            <w:shd w:val="clear" w:color="auto" w:fill="auto"/>
          </w:tcPr>
          <w:p w14:paraId="1AEFC862"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Prescribing instructions</w:t>
            </w:r>
          </w:p>
        </w:tc>
        <w:tc>
          <w:tcPr>
            <w:tcW w:w="4021" w:type="pct"/>
            <w:tcBorders>
              <w:bottom w:val="nil"/>
            </w:tcBorders>
            <w:shd w:val="clear" w:color="auto" w:fill="auto"/>
          </w:tcPr>
          <w:p w14:paraId="7BE7138A"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Applications for treatment of this condition must be received within 4 weeks of the endoscopy to confirm diagnosis</w:t>
            </w:r>
          </w:p>
        </w:tc>
      </w:tr>
      <w:tr w:rsidR="007F5816" w:rsidRPr="007F5816" w14:paraId="1958036F" w14:textId="77777777">
        <w:tc>
          <w:tcPr>
            <w:tcW w:w="979" w:type="pct"/>
            <w:tcBorders>
              <w:top w:val="nil"/>
              <w:bottom w:val="single" w:sz="4" w:space="0" w:color="auto"/>
            </w:tcBorders>
            <w:shd w:val="clear" w:color="auto" w:fill="auto"/>
          </w:tcPr>
          <w:p w14:paraId="066AC14D"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21" w:type="pct"/>
            <w:tcBorders>
              <w:top w:val="nil"/>
              <w:bottom w:val="single" w:sz="4" w:space="0" w:color="auto"/>
            </w:tcBorders>
            <w:shd w:val="clear" w:color="auto" w:fill="auto"/>
          </w:tcPr>
          <w:p w14:paraId="488659D9"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Prescriber must exclude secondary causes of pouchitis, for example:</w:t>
            </w:r>
          </w:p>
          <w:p w14:paraId="6531C07B" w14:textId="77777777" w:rsidR="007F5816" w:rsidRPr="007F5816" w:rsidRDefault="007F5816" w:rsidP="00B24069">
            <w:pPr>
              <w:widowControl w:val="0"/>
              <w:numPr>
                <w:ilvl w:val="0"/>
                <w:numId w:val="8"/>
              </w:numPr>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Ischaemia</w:t>
            </w:r>
          </w:p>
          <w:p w14:paraId="40B2290B" w14:textId="77777777" w:rsidR="007F5816" w:rsidRPr="007F5816" w:rsidRDefault="007F5816" w:rsidP="00B24069">
            <w:pPr>
              <w:widowControl w:val="0"/>
              <w:numPr>
                <w:ilvl w:val="0"/>
                <w:numId w:val="8"/>
              </w:numPr>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Crohn’s disease (CD) or CD of the pouch</w:t>
            </w:r>
          </w:p>
          <w:p w14:paraId="0DDD563A" w14:textId="77777777" w:rsidR="007F5816" w:rsidRPr="007F5816" w:rsidRDefault="007F5816" w:rsidP="00B24069">
            <w:pPr>
              <w:widowControl w:val="0"/>
              <w:numPr>
                <w:ilvl w:val="0"/>
                <w:numId w:val="8"/>
              </w:numPr>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Irritable pouch syndrome</w:t>
            </w:r>
          </w:p>
          <w:p w14:paraId="7F41B0A1" w14:textId="77777777" w:rsidR="007F5816" w:rsidRPr="007F5816" w:rsidRDefault="007F5816" w:rsidP="00B24069">
            <w:pPr>
              <w:widowControl w:val="0"/>
              <w:numPr>
                <w:ilvl w:val="0"/>
                <w:numId w:val="8"/>
              </w:numPr>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Predominant cuffitis</w:t>
            </w:r>
          </w:p>
          <w:p w14:paraId="16220E39" w14:textId="77777777" w:rsidR="007F5816" w:rsidRPr="007F5816" w:rsidRDefault="007F5816" w:rsidP="00B24069">
            <w:pPr>
              <w:widowControl w:val="0"/>
              <w:numPr>
                <w:ilvl w:val="0"/>
                <w:numId w:val="8"/>
              </w:numPr>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Pouch stricture or pouch fistula</w:t>
            </w:r>
          </w:p>
          <w:p w14:paraId="33884C64" w14:textId="77777777" w:rsidR="007F5816" w:rsidRPr="007F5816" w:rsidRDefault="007F5816" w:rsidP="00B24069">
            <w:pPr>
              <w:widowControl w:val="0"/>
              <w:numPr>
                <w:ilvl w:val="0"/>
                <w:numId w:val="8"/>
              </w:numPr>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Active infection</w:t>
            </w:r>
          </w:p>
          <w:p w14:paraId="0EE76E33" w14:textId="77777777" w:rsidR="007F5816" w:rsidRPr="007F5816" w:rsidRDefault="007F5816" w:rsidP="00B24069">
            <w:pPr>
              <w:widowControl w:val="0"/>
              <w:numPr>
                <w:ilvl w:val="0"/>
                <w:numId w:val="8"/>
              </w:numPr>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NSAIDs</w:t>
            </w:r>
          </w:p>
          <w:p w14:paraId="5F7B5425" w14:textId="77777777" w:rsidR="007F5816" w:rsidRPr="007F5816" w:rsidRDefault="007F5816" w:rsidP="00B24069">
            <w:pPr>
              <w:widowControl w:val="0"/>
              <w:numPr>
                <w:ilvl w:val="0"/>
                <w:numId w:val="8"/>
              </w:numPr>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Celiacs disease</w:t>
            </w:r>
          </w:p>
        </w:tc>
      </w:tr>
    </w:tbl>
    <w:p w14:paraId="608873B1" w14:textId="77777777" w:rsidR="007F5816" w:rsidRPr="007F5816" w:rsidRDefault="007F5816" w:rsidP="007F5816">
      <w:pPr>
        <w:spacing w:after="120"/>
        <w:contextualSpacing/>
        <w:rPr>
          <w:rFonts w:ascii="Arial Narrow" w:hAnsi="Arial Narrow"/>
          <w:snapToGrid w:val="0"/>
          <w:sz w:val="18"/>
          <w:szCs w:val="22"/>
        </w:rPr>
      </w:pPr>
      <w:r w:rsidRPr="007F5816">
        <w:rPr>
          <w:rFonts w:ascii="Arial Narrow" w:hAnsi="Arial Narrow"/>
          <w:snapToGrid w:val="0"/>
          <w:sz w:val="18"/>
          <w:szCs w:val="22"/>
        </w:rPr>
        <w:t>Source: Table 13, p14-16 of submission.</w:t>
      </w:r>
    </w:p>
    <w:p w14:paraId="6DCB3A3E" w14:textId="77777777" w:rsidR="007F5816" w:rsidRPr="007F5816" w:rsidRDefault="007F5816" w:rsidP="007F5816">
      <w:pPr>
        <w:spacing w:after="120"/>
        <w:contextualSpacing/>
        <w:rPr>
          <w:rFonts w:ascii="Arial Narrow" w:hAnsi="Arial Narrow"/>
          <w:snapToGrid w:val="0"/>
          <w:sz w:val="18"/>
          <w:szCs w:val="22"/>
        </w:rPr>
      </w:pPr>
      <w:r w:rsidRPr="007F5816">
        <w:rPr>
          <w:rFonts w:ascii="Arial Narrow" w:hAnsi="Arial Narrow"/>
          <w:snapToGrid w:val="0"/>
          <w:sz w:val="18"/>
          <w:szCs w:val="22"/>
        </w:rPr>
        <w:t xml:space="preserve">Abbreviations: CD, Crohn’s disease; HSD, Highly Specialised Drug; IPAA, ileal pouch anal anastomosis; </w:t>
      </w:r>
      <w:r w:rsidRPr="007F5816">
        <w:rPr>
          <w:rFonts w:ascii="Arial Narrow" w:hAnsi="Arial Narrow"/>
          <w:snapToGrid w:val="0"/>
          <w:sz w:val="18"/>
          <w:szCs w:val="22"/>
          <w:lang w:val="en-US"/>
        </w:rPr>
        <w:t>mPDAI, modified Pouchitis Disease Activity Index; NSAIDs</w:t>
      </w:r>
      <w:r w:rsidRPr="007F5816">
        <w:rPr>
          <w:rFonts w:ascii="Arial Narrow" w:hAnsi="Arial Narrow"/>
          <w:snapToGrid w:val="0"/>
          <w:sz w:val="18"/>
          <w:szCs w:val="22"/>
        </w:rPr>
        <w:t>, non-steroidal anti-inflammatory drugs; PBS, Pharmaceutical Benefits Scheme, UC, ulcerative colitis.</w:t>
      </w:r>
    </w:p>
    <w:p w14:paraId="288660C6" w14:textId="61D5CD2A" w:rsidR="007F5816" w:rsidRPr="007F5816" w:rsidRDefault="006D4BD3">
      <w:pPr>
        <w:jc w:val="left"/>
        <w:rPr>
          <w:rFonts w:ascii="Arial Narrow" w:eastAsiaTheme="majorEastAsia" w:hAnsi="Arial Narrow" w:cstheme="majorBidi"/>
          <w:bCs/>
          <w:sz w:val="20"/>
        </w:rPr>
      </w:pPr>
      <w:r>
        <w:rPr>
          <w:rFonts w:ascii="Arial Narrow" w:eastAsiaTheme="majorEastAsia" w:hAnsi="Arial Narrow" w:cstheme="majorBidi"/>
          <w:bCs/>
          <w:sz w:val="20"/>
        </w:rPr>
        <w:br w:type="page"/>
      </w:r>
    </w:p>
    <w:p w14:paraId="622CA60A" w14:textId="77777777" w:rsidR="007F5816" w:rsidRPr="007F5816" w:rsidRDefault="007F5816" w:rsidP="007F5816">
      <w:pPr>
        <w:keepNext/>
        <w:tabs>
          <w:tab w:val="center" w:pos="4513"/>
        </w:tabs>
        <w:jc w:val="left"/>
        <w:rPr>
          <w:rFonts w:ascii="Arial Narrow" w:eastAsiaTheme="majorEastAsia" w:hAnsi="Arial Narrow" w:cstheme="majorBidi"/>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22"/>
      </w:tblGrid>
      <w:tr w:rsidR="007F5816" w:rsidRPr="007F5816" w14:paraId="12CE96C2" w14:textId="77777777">
        <w:tc>
          <w:tcPr>
            <w:tcW w:w="940" w:type="pct"/>
            <w:shd w:val="clear" w:color="auto" w:fill="auto"/>
          </w:tcPr>
          <w:p w14:paraId="463B5655"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Category</w:t>
            </w:r>
          </w:p>
          <w:p w14:paraId="6D6BE2E0"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/Program</w:t>
            </w:r>
          </w:p>
        </w:tc>
        <w:tc>
          <w:tcPr>
            <w:tcW w:w="4060" w:type="pct"/>
            <w:shd w:val="clear" w:color="auto" w:fill="auto"/>
          </w:tcPr>
          <w:p w14:paraId="5EEBB012"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S100 HSD</w:t>
            </w:r>
          </w:p>
        </w:tc>
      </w:tr>
      <w:tr w:rsidR="007F5816" w:rsidRPr="007F5816" w14:paraId="1E42B8DF" w14:textId="77777777">
        <w:tc>
          <w:tcPr>
            <w:tcW w:w="940" w:type="pct"/>
            <w:shd w:val="clear" w:color="auto" w:fill="auto"/>
          </w:tcPr>
          <w:p w14:paraId="1A7A3964"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Prescriber type</w:t>
            </w:r>
          </w:p>
        </w:tc>
        <w:tc>
          <w:tcPr>
            <w:tcW w:w="4060" w:type="pct"/>
            <w:shd w:val="clear" w:color="auto" w:fill="auto"/>
          </w:tcPr>
          <w:p w14:paraId="5DF86B8C"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rPr>
              <w:fldChar w:fldCharType="begin" w:fldLock="1">
                <w:ffData>
                  <w:name w:val="Check1"/>
                  <w:enabled/>
                  <w:calcOnExit w:val="0"/>
                  <w:checkBox>
                    <w:sizeAuto/>
                    <w:default w:val="0"/>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 xml:space="preserve">Dental </w:t>
            </w:r>
            <w:r w:rsidRPr="007F5816">
              <w:rPr>
                <w:rFonts w:ascii="Arial Narrow" w:eastAsiaTheme="majorEastAsia" w:hAnsi="Arial Narrow" w:cstheme="majorBidi"/>
                <w:bCs/>
                <w:sz w:val="20"/>
              </w:rPr>
              <w:fldChar w:fldCharType="begin" w:fldLock="1">
                <w:ffData>
                  <w:name w:val=""/>
                  <w:enabled/>
                  <w:calcOnExit w:val="0"/>
                  <w:checkBox>
                    <w:sizeAuto/>
                    <w:default w:val="1"/>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 xml:space="preserve">Medical Practitioners </w:t>
            </w:r>
            <w:r w:rsidRPr="007F5816">
              <w:rPr>
                <w:rFonts w:ascii="Arial Narrow" w:eastAsiaTheme="majorEastAsia" w:hAnsi="Arial Narrow" w:cstheme="majorBidi"/>
                <w:bCs/>
                <w:sz w:val="20"/>
              </w:rPr>
              <w:fldChar w:fldCharType="begin" w:fldLock="1">
                <w:ffData>
                  <w:name w:val=""/>
                  <w:enabled/>
                  <w:calcOnExit w:val="0"/>
                  <w:checkBox>
                    <w:sizeAuto/>
                    <w:default w:val="0"/>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 xml:space="preserve">Nurse practitioners </w:t>
            </w:r>
            <w:r w:rsidRPr="007F5816">
              <w:rPr>
                <w:rFonts w:ascii="Arial Narrow" w:eastAsiaTheme="majorEastAsia" w:hAnsi="Arial Narrow" w:cstheme="majorBidi"/>
                <w:bCs/>
                <w:sz w:val="20"/>
              </w:rPr>
              <w:fldChar w:fldCharType="begin" w:fldLock="1">
                <w:ffData>
                  <w:name w:val=""/>
                  <w:enabled/>
                  <w:calcOnExit w:val="0"/>
                  <w:checkBox>
                    <w:sizeAuto/>
                    <w:default w:val="0"/>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 xml:space="preserve">Optometrists </w:t>
            </w:r>
            <w:r w:rsidRPr="007F5816">
              <w:rPr>
                <w:rFonts w:ascii="Arial Narrow" w:eastAsiaTheme="majorEastAsia" w:hAnsi="Arial Narrow" w:cstheme="majorBidi"/>
                <w:bCs/>
                <w:sz w:val="20"/>
              </w:rPr>
              <w:fldChar w:fldCharType="begin" w:fldLock="1">
                <w:ffData>
                  <w:name w:val="Check5"/>
                  <w:enabled/>
                  <w:calcOnExit w:val="0"/>
                  <w:checkBox>
                    <w:sizeAuto/>
                    <w:default w:val="0"/>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rPr>
              <w:t>Midwives</w:t>
            </w:r>
          </w:p>
        </w:tc>
      </w:tr>
      <w:tr w:rsidR="007F5816" w:rsidRPr="007F5816" w14:paraId="6DF93416" w14:textId="77777777">
        <w:tc>
          <w:tcPr>
            <w:tcW w:w="940" w:type="pct"/>
            <w:shd w:val="clear" w:color="auto" w:fill="auto"/>
          </w:tcPr>
          <w:p w14:paraId="00BB02C8"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Condition</w:t>
            </w:r>
          </w:p>
        </w:tc>
        <w:tc>
          <w:tcPr>
            <w:tcW w:w="4060" w:type="pct"/>
            <w:shd w:val="clear" w:color="auto" w:fill="auto"/>
          </w:tcPr>
          <w:p w14:paraId="216655E0"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Pouchitis in patients who have undergone ileal pouch anal anastomosis (IPAA) for ulcerative colitis (UC)</w:t>
            </w:r>
          </w:p>
        </w:tc>
      </w:tr>
      <w:tr w:rsidR="007F5816" w:rsidRPr="007F5816" w14:paraId="1E28BD8A" w14:textId="77777777">
        <w:tc>
          <w:tcPr>
            <w:tcW w:w="940" w:type="pct"/>
            <w:shd w:val="clear" w:color="auto" w:fill="auto"/>
          </w:tcPr>
          <w:p w14:paraId="0C5020CD"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Severity</w:t>
            </w:r>
          </w:p>
        </w:tc>
        <w:tc>
          <w:tcPr>
            <w:tcW w:w="4060" w:type="pct"/>
            <w:shd w:val="clear" w:color="auto" w:fill="auto"/>
          </w:tcPr>
          <w:p w14:paraId="79070A72" w14:textId="77777777" w:rsidR="007F5816" w:rsidRPr="007F5816" w:rsidRDefault="007F5816" w:rsidP="007F5816">
            <w:pPr>
              <w:widowControl w:val="0"/>
              <w:jc w:val="left"/>
              <w:rPr>
                <w:rFonts w:ascii="Arial Narrow" w:eastAsiaTheme="majorEastAsia" w:hAnsi="Arial Narrow" w:cstheme="majorBidi"/>
                <w:bCs/>
                <w:sz w:val="20"/>
              </w:rPr>
            </w:pPr>
            <w:r w:rsidRPr="007F5816">
              <w:rPr>
                <w:rFonts w:ascii="Arial Narrow" w:eastAsiaTheme="majorEastAsia" w:hAnsi="Arial Narrow" w:cstheme="majorBidi"/>
                <w:bCs/>
                <w:sz w:val="20"/>
              </w:rPr>
              <w:t>Moderate to severe</w:t>
            </w:r>
          </w:p>
        </w:tc>
      </w:tr>
      <w:tr w:rsidR="007F5816" w:rsidRPr="007F5816" w14:paraId="5CBFD57C" w14:textId="77777777">
        <w:tc>
          <w:tcPr>
            <w:tcW w:w="940" w:type="pct"/>
            <w:shd w:val="clear" w:color="auto" w:fill="auto"/>
          </w:tcPr>
          <w:p w14:paraId="1BFC1002"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Restriction type</w:t>
            </w:r>
          </w:p>
        </w:tc>
        <w:tc>
          <w:tcPr>
            <w:tcW w:w="4060" w:type="pct"/>
            <w:shd w:val="clear" w:color="auto" w:fill="auto"/>
          </w:tcPr>
          <w:p w14:paraId="2FFECB09" w14:textId="7A2276FB"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rPr>
              <w:fldChar w:fldCharType="begin" w:fldLock="1">
                <w:ffData>
                  <w:name w:val="Check3"/>
                  <w:enabled/>
                  <w:calcOnExit w:val="0"/>
                  <w:checkBox>
                    <w:sizeAuto/>
                    <w:default w:val="1"/>
                  </w:checkBox>
                </w:ffData>
              </w:fldChar>
            </w:r>
            <w:r w:rsidRPr="007F5816">
              <w:rPr>
                <w:rFonts w:ascii="Arial Narrow" w:eastAsiaTheme="majorEastAsia" w:hAnsi="Arial Narrow" w:cstheme="majorBidi"/>
                <w:bCs/>
                <w:sz w:val="20"/>
              </w:rPr>
              <w:instrText xml:space="preserve"> FORMCHECKBOX </w:instrText>
            </w:r>
            <w:r w:rsidR="00827768">
              <w:rPr>
                <w:rFonts w:ascii="Arial Narrow" w:eastAsiaTheme="majorEastAsia" w:hAnsi="Arial Narrow" w:cstheme="majorBidi"/>
                <w:bCs/>
                <w:sz w:val="20"/>
              </w:rPr>
            </w:r>
            <w:r w:rsidR="00827768">
              <w:rPr>
                <w:rFonts w:ascii="Arial Narrow" w:eastAsiaTheme="majorEastAsia" w:hAnsi="Arial Narrow" w:cstheme="majorBidi"/>
                <w:bCs/>
                <w:sz w:val="20"/>
              </w:rPr>
              <w:fldChar w:fldCharType="separate"/>
            </w:r>
            <w:r w:rsidRPr="007F5816">
              <w:rPr>
                <w:rFonts w:ascii="Arial Narrow" w:eastAsiaTheme="majorEastAsia" w:hAnsi="Arial Narrow" w:cstheme="majorBidi"/>
                <w:bCs/>
                <w:sz w:val="20"/>
              </w:rPr>
              <w:fldChar w:fldCharType="end"/>
            </w:r>
            <w:r w:rsidRPr="007F5816">
              <w:rPr>
                <w:rFonts w:ascii="Arial Narrow" w:eastAsiaTheme="majorEastAsia" w:hAnsi="Arial Narrow" w:cstheme="majorBidi"/>
                <w:bCs/>
                <w:sz w:val="20"/>
                <w:lang w:val="en-US"/>
              </w:rPr>
              <w:t>Authority Required – Immediate/real time assessment telephone (continuing treatment)</w:t>
            </w:r>
          </w:p>
        </w:tc>
      </w:tr>
      <w:tr w:rsidR="007F5816" w:rsidRPr="007F5816" w14:paraId="0C4728B2" w14:textId="77777777">
        <w:tc>
          <w:tcPr>
            <w:tcW w:w="940" w:type="pct"/>
            <w:shd w:val="clear" w:color="auto" w:fill="auto"/>
          </w:tcPr>
          <w:p w14:paraId="466DDF3F"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Treatment phase</w:t>
            </w:r>
          </w:p>
        </w:tc>
        <w:tc>
          <w:tcPr>
            <w:tcW w:w="4060" w:type="pct"/>
            <w:shd w:val="clear" w:color="auto" w:fill="auto"/>
          </w:tcPr>
          <w:p w14:paraId="001A4EA1"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Continuing treatment</w:t>
            </w:r>
          </w:p>
        </w:tc>
      </w:tr>
      <w:tr w:rsidR="007F5816" w:rsidRPr="007F5816" w14:paraId="56E4CFBF" w14:textId="77777777">
        <w:tc>
          <w:tcPr>
            <w:tcW w:w="940" w:type="pct"/>
            <w:tcBorders>
              <w:bottom w:val="single" w:sz="4" w:space="0" w:color="auto"/>
            </w:tcBorders>
            <w:shd w:val="clear" w:color="auto" w:fill="auto"/>
          </w:tcPr>
          <w:p w14:paraId="20F0DC9B"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Treatment criteria</w:t>
            </w:r>
          </w:p>
        </w:tc>
        <w:tc>
          <w:tcPr>
            <w:tcW w:w="4060" w:type="pct"/>
            <w:tcBorders>
              <w:bottom w:val="single" w:sz="4" w:space="0" w:color="auto"/>
            </w:tcBorders>
            <w:shd w:val="clear" w:color="auto" w:fill="auto"/>
          </w:tcPr>
          <w:p w14:paraId="534BE10B"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Must be treated by a gastroenterologist; OR</w:t>
            </w:r>
          </w:p>
          <w:p w14:paraId="21053D2D" w14:textId="5CDCDAD0"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Must be treated by a consultant physician [internal medicine specialising in gastroenterology]; OR</w:t>
            </w:r>
          </w:p>
          <w:p w14:paraId="61089ECB" w14:textId="45B2B4BD"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Must be treated by a consultant physician [general medicine specialising in gastroenterology].</w:t>
            </w:r>
          </w:p>
          <w:p w14:paraId="22C0BB79"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tc>
      </w:tr>
      <w:tr w:rsidR="007F5816" w:rsidRPr="007F5816" w14:paraId="32605F0A" w14:textId="77777777">
        <w:tc>
          <w:tcPr>
            <w:tcW w:w="940" w:type="pct"/>
            <w:tcBorders>
              <w:top w:val="single" w:sz="4" w:space="0" w:color="auto"/>
              <w:bottom w:val="nil"/>
            </w:tcBorders>
            <w:shd w:val="clear" w:color="auto" w:fill="auto"/>
          </w:tcPr>
          <w:p w14:paraId="2302B478"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Clinical criteria</w:t>
            </w:r>
          </w:p>
        </w:tc>
        <w:tc>
          <w:tcPr>
            <w:tcW w:w="4060" w:type="pct"/>
            <w:tcBorders>
              <w:top w:val="single" w:sz="4" w:space="0" w:color="auto"/>
              <w:bottom w:val="nil"/>
            </w:tcBorders>
            <w:shd w:val="clear" w:color="auto" w:fill="auto"/>
          </w:tcPr>
          <w:p w14:paraId="39D23084"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 must have previously received PBS-subsidised initial treatment with this drug for this condition,</w:t>
            </w:r>
          </w:p>
          <w:p w14:paraId="4F9C1863"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AND</w:t>
            </w:r>
          </w:p>
        </w:tc>
      </w:tr>
      <w:tr w:rsidR="007F5816" w:rsidRPr="007F5816" w14:paraId="340A81B5" w14:textId="77777777">
        <w:tc>
          <w:tcPr>
            <w:tcW w:w="940" w:type="pct"/>
            <w:tcBorders>
              <w:top w:val="nil"/>
              <w:bottom w:val="nil"/>
            </w:tcBorders>
            <w:shd w:val="clear" w:color="auto" w:fill="auto"/>
          </w:tcPr>
          <w:p w14:paraId="362ACAA4" w14:textId="77777777" w:rsidR="007F5816" w:rsidRPr="007F5816" w:rsidRDefault="007F5816" w:rsidP="007F5816">
            <w:pPr>
              <w:widowControl w:val="0"/>
              <w:jc w:val="left"/>
              <w:rPr>
                <w:rFonts w:ascii="Arial Narrow" w:eastAsiaTheme="majorEastAsia" w:hAnsi="Arial Narrow" w:cs="Times New Roman"/>
                <w:b/>
                <w:sz w:val="20"/>
                <w:lang w:val="en-US"/>
              </w:rPr>
            </w:pPr>
          </w:p>
        </w:tc>
        <w:tc>
          <w:tcPr>
            <w:tcW w:w="4060" w:type="pct"/>
            <w:tcBorders>
              <w:top w:val="nil"/>
              <w:bottom w:val="nil"/>
            </w:tcBorders>
            <w:shd w:val="clear" w:color="auto" w:fill="auto"/>
          </w:tcPr>
          <w:p w14:paraId="22ACBE69"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 must have demonstrated or sustained an adequate response to the most recent PBS-subsidised treatment with this drug for this condition.</w:t>
            </w:r>
          </w:p>
          <w:p w14:paraId="58118AE6" w14:textId="77777777" w:rsidR="007F5816" w:rsidRPr="007F5816" w:rsidRDefault="007F5816" w:rsidP="007F5816">
            <w:pPr>
              <w:widowControl w:val="0"/>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Note: Patient must be discontinued from receiving PBS-subsidised treatment with this drug for this condition if no evidence of therapeutic benefit is observed by 14 weeks of treatment with vedolizumab</w:t>
            </w:r>
          </w:p>
        </w:tc>
      </w:tr>
      <w:tr w:rsidR="007F5816" w:rsidRPr="007F5816" w14:paraId="0AD14ACD" w14:textId="77777777">
        <w:tc>
          <w:tcPr>
            <w:tcW w:w="940" w:type="pct"/>
            <w:tcBorders>
              <w:top w:val="single" w:sz="4" w:space="0" w:color="auto"/>
            </w:tcBorders>
            <w:shd w:val="clear" w:color="auto" w:fill="auto"/>
          </w:tcPr>
          <w:p w14:paraId="121EC2AA" w14:textId="77777777" w:rsidR="007F5816" w:rsidRPr="007F5816" w:rsidRDefault="007F5816" w:rsidP="007F5816">
            <w:pPr>
              <w:widowControl w:val="0"/>
              <w:jc w:val="left"/>
              <w:rPr>
                <w:rFonts w:ascii="Arial Narrow" w:eastAsiaTheme="majorEastAsia" w:hAnsi="Arial Narrow" w:cs="Times New Roman"/>
                <w:b/>
                <w:sz w:val="20"/>
                <w:lang w:val="en-US"/>
              </w:rPr>
            </w:pPr>
            <w:r w:rsidRPr="007F5816">
              <w:rPr>
                <w:rFonts w:ascii="Arial Narrow" w:eastAsiaTheme="majorEastAsia" w:hAnsi="Arial Narrow" w:cs="Times New Roman"/>
                <w:b/>
                <w:sz w:val="20"/>
                <w:lang w:val="en-US"/>
              </w:rPr>
              <w:t>Notes</w:t>
            </w:r>
          </w:p>
        </w:tc>
        <w:tc>
          <w:tcPr>
            <w:tcW w:w="4060" w:type="pct"/>
            <w:tcBorders>
              <w:top w:val="single" w:sz="4" w:space="0" w:color="auto"/>
            </w:tcBorders>
            <w:shd w:val="clear" w:color="auto" w:fill="auto"/>
          </w:tcPr>
          <w:p w14:paraId="411EB94B" w14:textId="77777777" w:rsidR="007F5816" w:rsidRPr="007F5816" w:rsidRDefault="007F5816" w:rsidP="00B24069">
            <w:pPr>
              <w:widowControl w:val="0"/>
              <w:numPr>
                <w:ilvl w:val="0"/>
                <w:numId w:val="9"/>
              </w:numPr>
              <w:ind w:left="315"/>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Patients who have failed to maintain an adequate response compared to baseline with continuing treatment with this drug, will not be eligible to receive further PBS-subsidised treatment with this drug for this treatment cycle/pouchitis episode.</w:t>
            </w:r>
          </w:p>
          <w:p w14:paraId="52B73B4D" w14:textId="77777777" w:rsidR="007F5816" w:rsidRPr="007F5816" w:rsidRDefault="007F5816" w:rsidP="00B24069">
            <w:pPr>
              <w:widowControl w:val="0"/>
              <w:numPr>
                <w:ilvl w:val="0"/>
                <w:numId w:val="9"/>
              </w:numPr>
              <w:ind w:left="315"/>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Patients are eligible to receive continuing treatment with this drug in courses up to 24 weeks providing they continue to sustain a response.</w:t>
            </w:r>
          </w:p>
          <w:p w14:paraId="5A6AD6A2" w14:textId="77777777" w:rsidR="007F5816" w:rsidRPr="007F5816" w:rsidRDefault="007F5816" w:rsidP="00B24069">
            <w:pPr>
              <w:widowControl w:val="0"/>
              <w:numPr>
                <w:ilvl w:val="0"/>
                <w:numId w:val="9"/>
              </w:numPr>
              <w:ind w:left="315"/>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At the time of the authority application, medical practitioners should request the appropriate number of vials, to provide for a single infusion of 300 mg per dose.</w:t>
            </w:r>
          </w:p>
          <w:p w14:paraId="4FB8E0A3" w14:textId="57F7EF0C" w:rsidR="007F5816" w:rsidRPr="007F5816" w:rsidRDefault="007F5816" w:rsidP="00B24069">
            <w:pPr>
              <w:widowControl w:val="0"/>
              <w:numPr>
                <w:ilvl w:val="0"/>
                <w:numId w:val="9"/>
              </w:numPr>
              <w:ind w:left="315"/>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Up to a maximum of 2 repeats will be authorised.</w:t>
            </w:r>
          </w:p>
          <w:p w14:paraId="028EBA9D" w14:textId="77777777" w:rsidR="007F5816" w:rsidRPr="007F5816" w:rsidRDefault="007F5816" w:rsidP="00B24069">
            <w:pPr>
              <w:widowControl w:val="0"/>
              <w:numPr>
                <w:ilvl w:val="0"/>
                <w:numId w:val="9"/>
              </w:numPr>
              <w:ind w:left="315"/>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3899D401" w14:textId="77777777" w:rsidR="007F5816" w:rsidRPr="007F5816" w:rsidRDefault="007F5816" w:rsidP="00B24069">
            <w:pPr>
              <w:widowControl w:val="0"/>
              <w:numPr>
                <w:ilvl w:val="0"/>
                <w:numId w:val="9"/>
              </w:numPr>
              <w:ind w:left="315"/>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0670256" w14:textId="77777777" w:rsidR="007F5816" w:rsidRPr="007F5816" w:rsidRDefault="007F5816" w:rsidP="00B24069">
            <w:pPr>
              <w:widowControl w:val="0"/>
              <w:numPr>
                <w:ilvl w:val="0"/>
                <w:numId w:val="9"/>
              </w:numPr>
              <w:ind w:left="315"/>
              <w:jc w:val="left"/>
              <w:rPr>
                <w:rFonts w:ascii="Arial Narrow" w:eastAsiaTheme="majorEastAsia" w:hAnsi="Arial Narrow" w:cstheme="majorBidi"/>
                <w:bCs/>
                <w:sz w:val="20"/>
                <w:lang w:val="en-US"/>
              </w:rPr>
            </w:pPr>
            <w:r w:rsidRPr="007F5816">
              <w:rPr>
                <w:rFonts w:ascii="Arial Narrow" w:eastAsiaTheme="majorEastAsia" w:hAnsi="Arial Narrow" w:cstheme="majorBidi"/>
                <w:bCs/>
                <w:sz w:val="20"/>
                <w:lang w:val="en-US"/>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bl>
    <w:p w14:paraId="1A2F5EBD" w14:textId="01369EEE" w:rsidR="007F5816" w:rsidRPr="007F5816" w:rsidRDefault="007F5816" w:rsidP="007F5816">
      <w:pPr>
        <w:spacing w:after="120"/>
        <w:contextualSpacing/>
        <w:rPr>
          <w:rFonts w:ascii="Arial Narrow" w:hAnsi="Arial Narrow"/>
          <w:snapToGrid w:val="0"/>
          <w:sz w:val="18"/>
          <w:szCs w:val="22"/>
        </w:rPr>
      </w:pPr>
      <w:r w:rsidRPr="007F5816">
        <w:rPr>
          <w:rFonts w:ascii="Arial Narrow" w:hAnsi="Arial Narrow"/>
          <w:snapToGrid w:val="0"/>
          <w:sz w:val="18"/>
          <w:szCs w:val="22"/>
        </w:rPr>
        <w:t>Source: Table 14of submission.</w:t>
      </w:r>
    </w:p>
    <w:p w14:paraId="2652265C" w14:textId="22D8ED28" w:rsidR="007F5816" w:rsidRDefault="007F5816" w:rsidP="00225233">
      <w:pPr>
        <w:spacing w:after="240"/>
        <w:rPr>
          <w:rFonts w:ascii="Arial Narrow" w:hAnsi="Arial Narrow"/>
          <w:snapToGrid w:val="0"/>
          <w:sz w:val="18"/>
          <w:szCs w:val="22"/>
        </w:rPr>
      </w:pPr>
      <w:r w:rsidRPr="007F5816">
        <w:rPr>
          <w:rFonts w:ascii="Arial Narrow" w:hAnsi="Arial Narrow"/>
          <w:snapToGrid w:val="0"/>
          <w:sz w:val="18"/>
          <w:szCs w:val="22"/>
        </w:rPr>
        <w:t xml:space="preserve">Abbreviations: HSD, Highly Specialised Drug; IPAA, ileal pouch anal anastomosis; </w:t>
      </w:r>
      <w:r w:rsidRPr="007F5816">
        <w:rPr>
          <w:rFonts w:ascii="Arial Narrow" w:hAnsi="Arial Narrow"/>
          <w:snapToGrid w:val="0"/>
          <w:sz w:val="18"/>
          <w:szCs w:val="22"/>
          <w:lang w:val="en-US"/>
        </w:rPr>
        <w:t>mPDAI, modified Pouchitis Disease Activity Index; NSAIDs</w:t>
      </w:r>
      <w:r w:rsidRPr="007F5816">
        <w:rPr>
          <w:rFonts w:ascii="Arial Narrow" w:hAnsi="Arial Narrow"/>
          <w:snapToGrid w:val="0"/>
          <w:sz w:val="18"/>
          <w:szCs w:val="22"/>
        </w:rPr>
        <w:t>, non-steroidal anti-inflammatory drugs; PBS, Pharmaceutical Benefits Scheme; UC, ulcerative colitis.</w:t>
      </w:r>
      <w:r w:rsidR="008F7063">
        <w:rPr>
          <w:rFonts w:ascii="Arial Narrow" w:hAnsi="Arial Narrow"/>
          <w:snapToGrid w:val="0"/>
          <w:sz w:val="18"/>
          <w:szCs w:val="22"/>
        </w:rPr>
        <w:t xml:space="preserve"> </w:t>
      </w:r>
    </w:p>
    <w:p w14:paraId="7B15C084" w14:textId="61FC6FD8" w:rsidR="007F5816" w:rsidRPr="00A27065" w:rsidRDefault="007F5816" w:rsidP="007F5816">
      <w:pPr>
        <w:numPr>
          <w:ilvl w:val="1"/>
          <w:numId w:val="1"/>
        </w:numPr>
        <w:spacing w:after="120"/>
        <w:rPr>
          <w:rFonts w:asciiTheme="minorHAnsi" w:hAnsiTheme="minorHAnsi"/>
          <w:snapToGrid w:val="0"/>
        </w:rPr>
      </w:pPr>
      <w:bookmarkStart w:id="21" w:name="_Ref172200904"/>
      <w:r w:rsidRPr="00A27065">
        <w:rPr>
          <w:rFonts w:asciiTheme="minorHAnsi" w:hAnsiTheme="minorHAnsi"/>
          <w:snapToGrid w:val="0"/>
        </w:rPr>
        <w:t>The submission proposed a special pricing arrangement (SPA) with an effective price of $</w:t>
      </w:r>
      <w:r w:rsidR="00DC1AEB" w:rsidRPr="00827768">
        <w:rPr>
          <w:rFonts w:asciiTheme="minorHAnsi" w:hAnsiTheme="minorHAnsi"/>
          <w:snapToGrid w:val="0"/>
          <w:color w:val="000000"/>
          <w:w w:val="15"/>
          <w:shd w:val="solid" w:color="000000" w:fill="000000"/>
          <w:fitText w:val="-20" w:id="-894165752"/>
          <w14:textFill>
            <w14:solidFill>
              <w14:srgbClr w14:val="000000">
                <w14:alpha w14:val="100000"/>
              </w14:srgbClr>
            </w14:solidFill>
          </w14:textFill>
        </w:rPr>
        <w:t xml:space="preserve">|  </w:t>
      </w:r>
      <w:r w:rsidR="00DC1AEB" w:rsidRPr="00827768">
        <w:rPr>
          <w:rFonts w:asciiTheme="minorHAnsi" w:hAnsiTheme="minorHAnsi"/>
          <w:snapToGrid w:val="0"/>
          <w:color w:val="000000"/>
          <w:spacing w:val="-69"/>
          <w:w w:val="15"/>
          <w:shd w:val="solid" w:color="000000" w:fill="000000"/>
          <w:fitText w:val="-20" w:id="-894165752"/>
          <w14:textFill>
            <w14:solidFill>
              <w14:srgbClr w14:val="000000">
                <w14:alpha w14:val="100000"/>
              </w14:srgbClr>
            </w14:solidFill>
          </w14:textFill>
        </w:rPr>
        <w:t>|</w:t>
      </w:r>
      <w:r w:rsidR="00AE0266">
        <w:rPr>
          <w:rFonts w:asciiTheme="minorHAnsi" w:hAnsiTheme="minorHAnsi"/>
          <w:snapToGrid w:val="0"/>
        </w:rPr>
        <w:t xml:space="preserve"> per 300 mg vial</w:t>
      </w:r>
      <w:r w:rsidR="00FB203D">
        <w:rPr>
          <w:rFonts w:asciiTheme="minorHAnsi" w:hAnsiTheme="minorHAnsi"/>
          <w:snapToGrid w:val="0"/>
        </w:rPr>
        <w:t>,</w:t>
      </w:r>
      <w:r w:rsidRPr="00A27065">
        <w:rPr>
          <w:rFonts w:asciiTheme="minorHAnsi" w:hAnsiTheme="minorHAnsi"/>
          <w:snapToGrid w:val="0"/>
        </w:rPr>
        <w:t xml:space="preserve"> consistent with the</w:t>
      </w:r>
      <w:r w:rsidR="008F7063" w:rsidRPr="00A27065">
        <w:rPr>
          <w:rFonts w:asciiTheme="minorHAnsi" w:hAnsiTheme="minorHAnsi"/>
          <w:snapToGrid w:val="0"/>
        </w:rPr>
        <w:t xml:space="preserve"> effective price</w:t>
      </w:r>
      <w:r w:rsidRPr="00A27065">
        <w:rPr>
          <w:rFonts w:asciiTheme="minorHAnsi" w:hAnsiTheme="minorHAnsi"/>
          <w:snapToGrid w:val="0"/>
        </w:rPr>
        <w:t xml:space="preserve"> for vedolizumab IV for UC</w:t>
      </w:r>
      <w:r w:rsidR="00FB203D">
        <w:rPr>
          <w:rFonts w:asciiTheme="minorHAnsi" w:hAnsiTheme="minorHAnsi"/>
          <w:snapToGrid w:val="0"/>
        </w:rPr>
        <w:t xml:space="preserve"> (though lower than </w:t>
      </w:r>
      <w:r w:rsidRPr="00A27065">
        <w:rPr>
          <w:rFonts w:asciiTheme="minorHAnsi" w:hAnsiTheme="minorHAnsi"/>
          <w:snapToGrid w:val="0"/>
        </w:rPr>
        <w:t xml:space="preserve">the </w:t>
      </w:r>
      <w:r w:rsidR="008F7063" w:rsidRPr="00A27065">
        <w:rPr>
          <w:rFonts w:asciiTheme="minorHAnsi" w:hAnsiTheme="minorHAnsi"/>
          <w:snapToGrid w:val="0"/>
        </w:rPr>
        <w:t>effective price</w:t>
      </w:r>
      <w:r w:rsidRPr="00A27065">
        <w:rPr>
          <w:rFonts w:asciiTheme="minorHAnsi" w:hAnsiTheme="minorHAnsi"/>
          <w:snapToGrid w:val="0"/>
        </w:rPr>
        <w:t xml:space="preserve"> of vedolizumab IV for </w:t>
      </w:r>
      <w:r w:rsidR="00C2545F" w:rsidRPr="007F5816">
        <w:rPr>
          <w:rFonts w:asciiTheme="minorHAnsi" w:hAnsiTheme="minorHAnsi"/>
          <w:snapToGrid w:val="0"/>
        </w:rPr>
        <w:t>Crohn’s disease</w:t>
      </w:r>
      <w:r w:rsidR="00616B94">
        <w:rPr>
          <w:rFonts w:asciiTheme="minorHAnsi" w:hAnsiTheme="minorHAnsi"/>
          <w:snapToGrid w:val="0"/>
        </w:rPr>
        <w:t xml:space="preserve"> </w:t>
      </w:r>
      <w:r w:rsidR="00C2545F">
        <w:rPr>
          <w:rFonts w:asciiTheme="minorHAnsi" w:hAnsiTheme="minorHAnsi"/>
          <w:snapToGrid w:val="0"/>
        </w:rPr>
        <w:t>at the time the submission was made</w:t>
      </w:r>
      <w:r w:rsidRPr="00A27065">
        <w:rPr>
          <w:rFonts w:asciiTheme="minorHAnsi" w:hAnsiTheme="minorHAnsi"/>
          <w:snapToGrid w:val="0"/>
        </w:rPr>
        <w:t>).</w:t>
      </w:r>
      <w:r w:rsidR="00697C28">
        <w:rPr>
          <w:rFonts w:asciiTheme="minorHAnsi" w:hAnsiTheme="minorHAnsi"/>
          <w:snapToGrid w:val="0"/>
        </w:rPr>
        <w:t xml:space="preserve"> The pre-PBAC response proposed </w:t>
      </w:r>
      <w:r w:rsidR="00C2545F">
        <w:rPr>
          <w:rFonts w:asciiTheme="minorHAnsi" w:hAnsiTheme="minorHAnsi"/>
          <w:snapToGrid w:val="0"/>
        </w:rPr>
        <w:t>a revised</w:t>
      </w:r>
      <w:r w:rsidR="00697C28">
        <w:rPr>
          <w:rFonts w:asciiTheme="minorHAnsi" w:hAnsiTheme="minorHAnsi"/>
          <w:snapToGrid w:val="0"/>
        </w:rPr>
        <w:t xml:space="preserve"> price </w:t>
      </w:r>
      <w:r w:rsidR="00C2545F">
        <w:rPr>
          <w:rFonts w:asciiTheme="minorHAnsi" w:hAnsiTheme="minorHAnsi"/>
          <w:snapToGrid w:val="0"/>
        </w:rPr>
        <w:t xml:space="preserve">of </w:t>
      </w:r>
      <w:r w:rsidR="00C2545F" w:rsidRPr="00C2545F">
        <w:rPr>
          <w:rFonts w:asciiTheme="minorHAnsi" w:hAnsiTheme="minorHAnsi"/>
          <w:snapToGrid w:val="0"/>
        </w:rPr>
        <w:t>$</w:t>
      </w:r>
      <w:r w:rsidR="00DC1AEB" w:rsidRPr="00827768">
        <w:rPr>
          <w:rFonts w:asciiTheme="minorHAnsi" w:hAnsiTheme="minorHAnsi"/>
          <w:snapToGrid w:val="0"/>
          <w:color w:val="000000"/>
          <w:w w:val="15"/>
          <w:shd w:val="solid" w:color="000000" w:fill="000000"/>
          <w:fitText w:val="-20" w:id="-894165751"/>
          <w14:textFill>
            <w14:solidFill>
              <w14:srgbClr w14:val="000000">
                <w14:alpha w14:val="100000"/>
              </w14:srgbClr>
            </w14:solidFill>
          </w14:textFill>
        </w:rPr>
        <w:t xml:space="preserve">|  </w:t>
      </w:r>
      <w:r w:rsidR="00DC1AEB" w:rsidRPr="00827768">
        <w:rPr>
          <w:rFonts w:asciiTheme="minorHAnsi" w:hAnsiTheme="minorHAnsi"/>
          <w:snapToGrid w:val="0"/>
          <w:color w:val="000000"/>
          <w:spacing w:val="-69"/>
          <w:w w:val="15"/>
          <w:shd w:val="solid" w:color="000000" w:fill="000000"/>
          <w:fitText w:val="-20" w:id="-894165751"/>
          <w14:textFill>
            <w14:solidFill>
              <w14:srgbClr w14:val="000000">
                <w14:alpha w14:val="100000"/>
              </w14:srgbClr>
            </w14:solidFill>
          </w14:textFill>
        </w:rPr>
        <w:t>|</w:t>
      </w:r>
      <w:r w:rsidR="00616B94">
        <w:rPr>
          <w:rFonts w:asciiTheme="minorHAnsi" w:hAnsiTheme="minorHAnsi"/>
          <w:snapToGrid w:val="0"/>
        </w:rPr>
        <w:t xml:space="preserve"> </w:t>
      </w:r>
      <w:r w:rsidR="00DB75CF">
        <w:rPr>
          <w:rFonts w:asciiTheme="minorHAnsi" w:hAnsiTheme="minorHAnsi"/>
          <w:snapToGrid w:val="0"/>
        </w:rPr>
        <w:t>to</w:t>
      </w:r>
      <w:r w:rsidR="00C2545F" w:rsidRPr="00C2545F">
        <w:rPr>
          <w:rFonts w:asciiTheme="minorHAnsi" w:hAnsiTheme="minorHAnsi"/>
          <w:snapToGrid w:val="0"/>
        </w:rPr>
        <w:t xml:space="preserve"> align with a </w:t>
      </w:r>
      <w:r w:rsidR="00DB75CF">
        <w:rPr>
          <w:rFonts w:asciiTheme="minorHAnsi" w:hAnsiTheme="minorHAnsi"/>
          <w:snapToGrid w:val="0"/>
        </w:rPr>
        <w:t>recent (</w:t>
      </w:r>
      <w:r w:rsidR="00C2545F" w:rsidRPr="00C2545F">
        <w:rPr>
          <w:rFonts w:asciiTheme="minorHAnsi" w:hAnsiTheme="minorHAnsi"/>
          <w:snapToGrid w:val="0"/>
        </w:rPr>
        <w:t>June 2024</w:t>
      </w:r>
      <w:r w:rsidR="00DB75CF">
        <w:rPr>
          <w:rFonts w:asciiTheme="minorHAnsi" w:hAnsiTheme="minorHAnsi"/>
          <w:snapToGrid w:val="0"/>
        </w:rPr>
        <w:t>)</w:t>
      </w:r>
      <w:r w:rsidR="00C2545F">
        <w:rPr>
          <w:rFonts w:asciiTheme="minorHAnsi" w:hAnsiTheme="minorHAnsi"/>
          <w:snapToGrid w:val="0"/>
        </w:rPr>
        <w:t xml:space="preserve"> change to </w:t>
      </w:r>
      <w:r w:rsidR="006304C8">
        <w:rPr>
          <w:rFonts w:asciiTheme="minorHAnsi" w:hAnsiTheme="minorHAnsi"/>
          <w:snapToGrid w:val="0"/>
        </w:rPr>
        <w:t>the</w:t>
      </w:r>
      <w:r w:rsidR="00C2545F" w:rsidRPr="00C2545F">
        <w:rPr>
          <w:rFonts w:asciiTheme="minorHAnsi" w:hAnsiTheme="minorHAnsi"/>
          <w:snapToGrid w:val="0"/>
        </w:rPr>
        <w:t xml:space="preserve"> </w:t>
      </w:r>
      <w:r w:rsidR="00616B94">
        <w:rPr>
          <w:rFonts w:asciiTheme="minorHAnsi" w:hAnsiTheme="minorHAnsi"/>
          <w:snapToGrid w:val="0"/>
        </w:rPr>
        <w:t>price in</w:t>
      </w:r>
      <w:r w:rsidR="00C2545F" w:rsidRPr="00C2545F">
        <w:rPr>
          <w:rFonts w:asciiTheme="minorHAnsi" w:hAnsiTheme="minorHAnsi"/>
          <w:snapToGrid w:val="0"/>
        </w:rPr>
        <w:t xml:space="preserve"> Crohn’s disease, </w:t>
      </w:r>
      <w:r w:rsidR="00616B94">
        <w:rPr>
          <w:rFonts w:asciiTheme="minorHAnsi" w:hAnsiTheme="minorHAnsi"/>
          <w:snapToGrid w:val="0"/>
        </w:rPr>
        <w:t>which was the</w:t>
      </w:r>
      <w:r w:rsidR="00C2545F" w:rsidRPr="00C2545F">
        <w:rPr>
          <w:rFonts w:asciiTheme="minorHAnsi" w:hAnsiTheme="minorHAnsi"/>
          <w:snapToGrid w:val="0"/>
        </w:rPr>
        <w:t xml:space="preserve"> lowest indication</w:t>
      </w:r>
      <w:r w:rsidR="00616B94">
        <w:rPr>
          <w:rFonts w:asciiTheme="minorHAnsi" w:hAnsiTheme="minorHAnsi"/>
          <w:snapToGrid w:val="0"/>
        </w:rPr>
        <w:t>-</w:t>
      </w:r>
      <w:r w:rsidR="00C2545F" w:rsidRPr="00C2545F">
        <w:rPr>
          <w:rFonts w:asciiTheme="minorHAnsi" w:hAnsiTheme="minorHAnsi"/>
          <w:snapToGrid w:val="0"/>
        </w:rPr>
        <w:t>specific vedolizumab</w:t>
      </w:r>
      <w:r w:rsidR="00616B94">
        <w:rPr>
          <w:rFonts w:asciiTheme="minorHAnsi" w:hAnsiTheme="minorHAnsi"/>
          <w:snapToGrid w:val="0"/>
        </w:rPr>
        <w:t xml:space="preserve"> price</w:t>
      </w:r>
      <w:r w:rsidR="00C2545F" w:rsidRPr="00C2545F">
        <w:rPr>
          <w:rFonts w:asciiTheme="minorHAnsi" w:hAnsiTheme="minorHAnsi"/>
          <w:snapToGrid w:val="0"/>
        </w:rPr>
        <w:t xml:space="preserve"> on the PBS</w:t>
      </w:r>
      <w:r w:rsidR="00616B94">
        <w:rPr>
          <w:rFonts w:asciiTheme="minorHAnsi" w:hAnsiTheme="minorHAnsi"/>
          <w:snapToGrid w:val="0"/>
        </w:rPr>
        <w:t xml:space="preserve"> at the time of PBAC consideration</w:t>
      </w:r>
      <w:r w:rsidR="00C2545F">
        <w:rPr>
          <w:rFonts w:asciiTheme="minorHAnsi" w:hAnsiTheme="minorHAnsi"/>
          <w:snapToGrid w:val="0"/>
        </w:rPr>
        <w:t>.</w:t>
      </w:r>
      <w:bookmarkEnd w:id="21"/>
      <w:r w:rsidR="00697C28">
        <w:rPr>
          <w:rFonts w:asciiTheme="minorHAnsi" w:hAnsiTheme="minorHAnsi"/>
          <w:snapToGrid w:val="0"/>
        </w:rPr>
        <w:t xml:space="preserve"> </w:t>
      </w:r>
    </w:p>
    <w:p w14:paraId="791565F9" w14:textId="3EC9F405" w:rsidR="00513151" w:rsidRPr="00513151" w:rsidRDefault="008E69B5" w:rsidP="00703DEA">
      <w:pPr>
        <w:pStyle w:val="3-BodyText"/>
        <w:rPr>
          <w:rFonts w:eastAsia="Calibri"/>
        </w:rPr>
      </w:pPr>
      <w:bookmarkStart w:id="22" w:name="_Ref169681062"/>
      <w:bookmarkStart w:id="23" w:name="_Ref164236777"/>
      <w:r w:rsidRPr="00A27065">
        <w:rPr>
          <w:rFonts w:eastAsia="Calibri"/>
        </w:rPr>
        <w:lastRenderedPageBreak/>
        <w:t>The proposed restriction state</w:t>
      </w:r>
      <w:r w:rsidR="00616B94">
        <w:rPr>
          <w:rFonts w:eastAsia="Calibri"/>
        </w:rPr>
        <w:t>d</w:t>
      </w:r>
      <w:r w:rsidRPr="00A27065">
        <w:rPr>
          <w:rFonts w:eastAsia="Calibri"/>
        </w:rPr>
        <w:t xml:space="preserve"> the condition must be moderate to severe, however</w:t>
      </w:r>
      <w:r>
        <w:rPr>
          <w:rFonts w:eastAsia="Calibri"/>
        </w:rPr>
        <w:t xml:space="preserve"> this </w:t>
      </w:r>
      <w:r w:rsidR="00616B94">
        <w:rPr>
          <w:rFonts w:eastAsia="Calibri"/>
        </w:rPr>
        <w:t>wa</w:t>
      </w:r>
      <w:r>
        <w:rPr>
          <w:rFonts w:eastAsia="Calibri"/>
        </w:rPr>
        <w:t>s not explicitly defined in the proposed restriction, which instead relie</w:t>
      </w:r>
      <w:r w:rsidR="00C77F8D">
        <w:rPr>
          <w:rFonts w:eastAsia="Calibri"/>
        </w:rPr>
        <w:t>d</w:t>
      </w:r>
      <w:r>
        <w:rPr>
          <w:rFonts w:eastAsia="Calibri"/>
        </w:rPr>
        <w:t xml:space="preserve"> on </w:t>
      </w:r>
      <w:r w:rsidR="007F5816" w:rsidRPr="00513151">
        <w:rPr>
          <w:rFonts w:eastAsia="Calibri"/>
        </w:rPr>
        <w:t xml:space="preserve">the modified </w:t>
      </w:r>
      <w:r w:rsidR="007F5816" w:rsidRPr="00A27065">
        <w:t>Pouchitis Disease Activity Index</w:t>
      </w:r>
      <w:r w:rsidR="007F5816" w:rsidRPr="00513151">
        <w:rPr>
          <w:rFonts w:eastAsia="Calibri"/>
        </w:rPr>
        <w:t xml:space="preserve"> (mPDAI) as a clinical criterion for initial treatment.</w:t>
      </w:r>
      <w:r w:rsidR="00FF7185" w:rsidRPr="00513151">
        <w:rPr>
          <w:rFonts w:eastAsia="Calibri"/>
        </w:rPr>
        <w:t xml:space="preserve"> </w:t>
      </w:r>
      <w:r w:rsidR="00513151" w:rsidRPr="00513151">
        <w:rPr>
          <w:rFonts w:eastAsia="Calibri"/>
        </w:rPr>
        <w:t xml:space="preserve">The mPDAI is a modified version of the PDAI. </w:t>
      </w:r>
      <w:r w:rsidR="00E70C95">
        <w:rPr>
          <w:rFonts w:eastAsia="Calibri"/>
        </w:rPr>
        <w:t xml:space="preserve">As outlined in </w:t>
      </w:r>
      <w:r w:rsidR="00E70C95" w:rsidRPr="00225233">
        <w:rPr>
          <w:rFonts w:eastAsia="Calibri"/>
        </w:rPr>
        <w:fldChar w:fldCharType="begin" w:fldLock="1"/>
      </w:r>
      <w:r w:rsidR="00E70C95" w:rsidRPr="00225233">
        <w:rPr>
          <w:rFonts w:eastAsia="Calibri"/>
        </w:rPr>
        <w:instrText xml:space="preserve"> REF _Ref169533593 \h </w:instrText>
      </w:r>
      <w:r w:rsidR="00225233" w:rsidRPr="00225233">
        <w:rPr>
          <w:rFonts w:eastAsia="Calibri"/>
        </w:rPr>
        <w:instrText xml:space="preserve"> \* MERGEFORMAT </w:instrText>
      </w:r>
      <w:r w:rsidR="00E70C95" w:rsidRPr="00225233">
        <w:rPr>
          <w:rFonts w:eastAsia="Calibri"/>
        </w:rPr>
      </w:r>
      <w:r w:rsidR="00E70C95" w:rsidRPr="00225233">
        <w:rPr>
          <w:rFonts w:eastAsia="Calibri"/>
        </w:rPr>
        <w:fldChar w:fldCharType="separate"/>
      </w:r>
      <w:r w:rsidR="00DC7CC4" w:rsidRPr="00225233">
        <w:t xml:space="preserve">Table </w:t>
      </w:r>
      <w:r w:rsidR="00DC7CC4">
        <w:rPr>
          <w:noProof/>
        </w:rPr>
        <w:t>2</w:t>
      </w:r>
      <w:r w:rsidR="00E70C95" w:rsidRPr="00225233">
        <w:rPr>
          <w:rFonts w:eastAsia="Calibri"/>
        </w:rPr>
        <w:fldChar w:fldCharType="end"/>
      </w:r>
      <w:r w:rsidR="00E70C95">
        <w:rPr>
          <w:rFonts w:eastAsia="Calibri"/>
        </w:rPr>
        <w:t>, t</w:t>
      </w:r>
      <w:r w:rsidR="00513151" w:rsidRPr="00513151">
        <w:rPr>
          <w:rFonts w:eastAsia="Calibri"/>
        </w:rPr>
        <w:t xml:space="preserve">he PDAI is an 18-point overall score calculated from 3 separate 6-point scales based on clinical symptoms (0-6), endoscopic findings (0-6) and histologic findings (0-6), whereas the mPDAI is a 12-point overall score that </w:t>
      </w:r>
      <w:r w:rsidR="00513151">
        <w:rPr>
          <w:rFonts w:eastAsia="Calibri"/>
        </w:rPr>
        <w:t>excludes</w:t>
      </w:r>
      <w:r w:rsidR="00513151" w:rsidRPr="00513151">
        <w:rPr>
          <w:rFonts w:eastAsia="Calibri"/>
        </w:rPr>
        <w:t xml:space="preserve"> histologic findings. The</w:t>
      </w:r>
      <w:r w:rsidR="00C77F8D">
        <w:rPr>
          <w:rFonts w:eastAsia="Calibri"/>
        </w:rPr>
        <w:t xml:space="preserve"> evaluation and the ESC considered the</w:t>
      </w:r>
      <w:r w:rsidR="00513151" w:rsidRPr="00513151">
        <w:rPr>
          <w:rFonts w:eastAsia="Calibri"/>
        </w:rPr>
        <w:t>re is a lack of validation of the mPDAI for pouchitis disease activity, it was developed in very small patient samples, the clinical remission cut-off is arbitrarily defined, and there is a lack of psychometric evidence (e.g. lack of good inter-rater reliability of the overall total score between the PDAI and mPDAI and poor correlation with stool and blood markers of inflammation, and lack of predictability for therapeutic response</w:t>
      </w:r>
      <w:r w:rsidR="00513151" w:rsidRPr="008E69B5">
        <w:rPr>
          <w:rStyle w:val="FootnoteReference"/>
          <w:rFonts w:eastAsia="Calibri"/>
        </w:rPr>
        <w:footnoteReference w:id="2"/>
      </w:r>
      <w:r w:rsidR="00513151" w:rsidRPr="008E69B5">
        <w:rPr>
          <w:rFonts w:eastAsia="Calibri"/>
          <w:vertAlign w:val="superscript"/>
        </w:rPr>
        <w:t>,</w:t>
      </w:r>
      <w:r w:rsidR="00513151" w:rsidRPr="008E69B5">
        <w:rPr>
          <w:rStyle w:val="FootnoteReference"/>
          <w:rFonts w:eastAsia="Calibri"/>
        </w:rPr>
        <w:footnoteReference w:id="3"/>
      </w:r>
      <w:r w:rsidR="00513151" w:rsidRPr="008E69B5">
        <w:rPr>
          <w:rFonts w:eastAsia="Calibri"/>
          <w:vertAlign w:val="superscript"/>
        </w:rPr>
        <w:t>,</w:t>
      </w:r>
      <w:r w:rsidR="00513151" w:rsidRPr="008E69B5">
        <w:rPr>
          <w:rStyle w:val="FootnoteReference"/>
          <w:rFonts w:eastAsia="Calibri"/>
        </w:rPr>
        <w:footnoteReference w:id="4"/>
      </w:r>
      <w:r w:rsidR="00513151" w:rsidRPr="008E69B5">
        <w:rPr>
          <w:rFonts w:eastAsia="Calibri"/>
          <w:vertAlign w:val="superscript"/>
        </w:rPr>
        <w:t>,</w:t>
      </w:r>
      <w:r w:rsidR="00513151" w:rsidRPr="008E69B5">
        <w:rPr>
          <w:rStyle w:val="FootnoteReference"/>
          <w:rFonts w:eastAsia="Calibri"/>
        </w:rPr>
        <w:footnoteReference w:id="5"/>
      </w:r>
      <w:r w:rsidR="00513151" w:rsidRPr="00741EE2">
        <w:rPr>
          <w:rFonts w:eastAsia="Calibri"/>
        </w:rPr>
        <w:t>)</w:t>
      </w:r>
      <w:r w:rsidR="00513151" w:rsidRPr="00513151">
        <w:rPr>
          <w:rFonts w:eastAsia="Calibri"/>
        </w:rPr>
        <w:t>.</w:t>
      </w:r>
      <w:bookmarkEnd w:id="22"/>
      <w:r w:rsidR="00513151" w:rsidRPr="00513151">
        <w:rPr>
          <w:rFonts w:eastAsia="Calibri"/>
        </w:rPr>
        <w:t xml:space="preserve"> </w:t>
      </w:r>
    </w:p>
    <w:p w14:paraId="0A029634" w14:textId="1BC21241" w:rsidR="00741EE2" w:rsidRPr="00225233" w:rsidRDefault="00741EE2" w:rsidP="00741EE2">
      <w:pPr>
        <w:pStyle w:val="Caption"/>
        <w:ind w:firstLine="709"/>
        <w:rPr>
          <w:rFonts w:eastAsiaTheme="majorEastAsia" w:cstheme="majorBidi"/>
          <w:szCs w:val="20"/>
        </w:rPr>
      </w:pPr>
      <w:bookmarkStart w:id="24" w:name="_Ref169533593"/>
      <w:r w:rsidRPr="00225233">
        <w:t xml:space="preserve">Table </w:t>
      </w:r>
      <w:r>
        <w:fldChar w:fldCharType="begin" w:fldLock="1"/>
      </w:r>
      <w:r>
        <w:instrText xml:space="preserve"> SEQ Table \* ARABIC </w:instrText>
      </w:r>
      <w:r>
        <w:fldChar w:fldCharType="separate"/>
      </w:r>
      <w:r w:rsidR="00DC7CC4">
        <w:rPr>
          <w:noProof/>
        </w:rPr>
        <w:t>2</w:t>
      </w:r>
      <w:r>
        <w:rPr>
          <w:noProof/>
        </w:rPr>
        <w:fldChar w:fldCharType="end"/>
      </w:r>
      <w:bookmarkEnd w:id="24"/>
      <w:r w:rsidRPr="00225233">
        <w:rPr>
          <w:rFonts w:eastAsiaTheme="majorEastAsia" w:cstheme="majorBidi"/>
          <w:szCs w:val="20"/>
        </w:rPr>
        <w:t xml:space="preserve">: Pouchitis Disease Activity Index (PDAI). The mPDAI omits the histology component. </w:t>
      </w:r>
    </w:p>
    <w:p w14:paraId="2049068F" w14:textId="77777777" w:rsidR="00741EE2" w:rsidRPr="00E3117B" w:rsidRDefault="00741EE2" w:rsidP="00741EE2">
      <w:pPr>
        <w:pStyle w:val="NoSpacing"/>
        <w:ind w:left="851" w:hanging="142"/>
        <w:rPr>
          <w:rFonts w:ascii="Times New Roman" w:eastAsiaTheme="minorHAnsi" w:hAnsi="Times New Roman" w:cs="Times New Roman"/>
          <w:i/>
          <w:iCs/>
          <w:kern w:val="2"/>
          <w:sz w:val="24"/>
          <w:szCs w:val="24"/>
          <w14:ligatures w14:val="standardContextual"/>
        </w:rPr>
      </w:pPr>
      <w:r w:rsidRPr="00E3117B">
        <w:rPr>
          <w:i/>
          <w:iCs/>
          <w:noProof/>
        </w:rPr>
        <w:drawing>
          <wp:inline distT="0" distB="0" distL="0" distR="0" wp14:anchorId="46FE59CF" wp14:editId="076A0ECD">
            <wp:extent cx="2081561" cy="3216958"/>
            <wp:effectExtent l="0" t="0" r="0" b="2540"/>
            <wp:docPr id="4" name="Picture 4" descr="Table 2: Pouchitis Disease Activity Index (PDAI). The mPDAI omits the histology compon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2: Pouchitis Disease Activity Index (PDAI). The mPDAI omits the histology compone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140" cy="3219399"/>
                    </a:xfrm>
                    <a:prstGeom prst="rect">
                      <a:avLst/>
                    </a:prstGeom>
                    <a:noFill/>
                    <a:ln>
                      <a:noFill/>
                    </a:ln>
                  </pic:spPr>
                </pic:pic>
              </a:graphicData>
            </a:graphic>
          </wp:inline>
        </w:drawing>
      </w:r>
    </w:p>
    <w:p w14:paraId="2C8D623C" w14:textId="6641BF09" w:rsidR="00741EE2" w:rsidRPr="00225233" w:rsidRDefault="00741EE2" w:rsidP="00741EE2">
      <w:pPr>
        <w:pStyle w:val="NoSpacing"/>
        <w:spacing w:after="240"/>
        <w:ind w:firstLine="709"/>
        <w:rPr>
          <w:rFonts w:asciiTheme="minorHAnsi" w:hAnsiTheme="minorHAnsi"/>
        </w:rPr>
      </w:pPr>
      <w:r w:rsidRPr="00225233">
        <w:rPr>
          <w:rFonts w:ascii="Arial Narrow" w:hAnsi="Arial Narrow"/>
          <w:sz w:val="20"/>
        </w:rPr>
        <w:t xml:space="preserve">Source: </w:t>
      </w:r>
      <w:hyperlink r:id="rId9" w:history="1">
        <w:r w:rsidRPr="00225233">
          <w:rPr>
            <w:rStyle w:val="Hyperlink"/>
            <w:rFonts w:ascii="Arial Narrow" w:hAnsi="Arial Narrow"/>
            <w:sz w:val="20"/>
          </w:rPr>
          <w:t>www.yumpu.com/en/document/read/4702016/modified-pouchitis-disease-activity-index-a-cleveland-clinic</w:t>
        </w:r>
      </w:hyperlink>
    </w:p>
    <w:p w14:paraId="0C8793EC" w14:textId="67D44E51" w:rsidR="007F5816" w:rsidRPr="00F55938" w:rsidRDefault="00E70C95" w:rsidP="007F5816">
      <w:pPr>
        <w:numPr>
          <w:ilvl w:val="1"/>
          <w:numId w:val="1"/>
        </w:numPr>
        <w:spacing w:after="120"/>
        <w:rPr>
          <w:rFonts w:asciiTheme="minorHAnsi" w:hAnsiTheme="minorHAnsi"/>
          <w:snapToGrid w:val="0"/>
        </w:rPr>
      </w:pPr>
      <w:r w:rsidRPr="00F55938">
        <w:rPr>
          <w:rFonts w:asciiTheme="minorHAnsi" w:eastAsia="Calibri" w:hAnsiTheme="minorHAnsi"/>
          <w:snapToGrid w:val="0"/>
        </w:rPr>
        <w:t>The evaluation stated th</w:t>
      </w:r>
      <w:r w:rsidR="008D41BB" w:rsidRPr="00F55938">
        <w:rPr>
          <w:rFonts w:asciiTheme="minorHAnsi" w:eastAsia="Calibri" w:hAnsiTheme="minorHAnsi"/>
          <w:snapToGrid w:val="0"/>
        </w:rPr>
        <w:t>at, f</w:t>
      </w:r>
      <w:r w:rsidR="007F5816" w:rsidRPr="00F55938">
        <w:rPr>
          <w:rFonts w:asciiTheme="minorHAnsi" w:eastAsia="Calibri" w:hAnsiTheme="minorHAnsi"/>
          <w:snapToGrid w:val="0"/>
        </w:rPr>
        <w:t xml:space="preserve">rom a consultation with clinicians (gastroenterologists), the </w:t>
      </w:r>
      <w:r w:rsidR="007F5816" w:rsidRPr="00F55938">
        <w:rPr>
          <w:rFonts w:asciiTheme="minorHAnsi" w:hAnsiTheme="minorHAnsi"/>
          <w:bCs/>
          <w:snapToGrid w:val="0"/>
        </w:rPr>
        <w:t>Pouchitis Disease Activity Index</w:t>
      </w:r>
      <w:r w:rsidR="007F5816" w:rsidRPr="00F55938">
        <w:rPr>
          <w:rFonts w:asciiTheme="minorHAnsi" w:eastAsia="Calibri" w:hAnsiTheme="minorHAnsi"/>
          <w:snapToGrid w:val="0"/>
        </w:rPr>
        <w:t xml:space="preserve"> (PDAI) appear</w:t>
      </w:r>
      <w:r w:rsidR="00225233">
        <w:rPr>
          <w:rFonts w:asciiTheme="minorHAnsi" w:eastAsia="Calibri" w:hAnsiTheme="minorHAnsi"/>
          <w:snapToGrid w:val="0"/>
        </w:rPr>
        <w:t>ed</w:t>
      </w:r>
      <w:r w:rsidR="007F5816" w:rsidRPr="00F55938">
        <w:rPr>
          <w:rFonts w:asciiTheme="minorHAnsi" w:eastAsia="Calibri" w:hAnsiTheme="minorHAnsi"/>
          <w:snapToGrid w:val="0"/>
        </w:rPr>
        <w:t xml:space="preserve"> to be </w:t>
      </w:r>
      <w:r w:rsidR="00741EE2" w:rsidRPr="00F55938">
        <w:rPr>
          <w:rFonts w:asciiTheme="minorHAnsi" w:eastAsia="Calibri" w:hAnsiTheme="minorHAnsi"/>
          <w:snapToGrid w:val="0"/>
        </w:rPr>
        <w:t xml:space="preserve">used </w:t>
      </w:r>
      <w:r w:rsidR="007F5816" w:rsidRPr="00F55938">
        <w:rPr>
          <w:rFonts w:asciiTheme="minorHAnsi" w:eastAsia="Calibri" w:hAnsiTheme="minorHAnsi"/>
          <w:snapToGrid w:val="0"/>
        </w:rPr>
        <w:t xml:space="preserve">more commonly </w:t>
      </w:r>
      <w:r w:rsidR="00741EE2" w:rsidRPr="00F55938">
        <w:rPr>
          <w:rFonts w:asciiTheme="minorHAnsi" w:eastAsia="Calibri" w:hAnsiTheme="minorHAnsi"/>
          <w:snapToGrid w:val="0"/>
        </w:rPr>
        <w:t xml:space="preserve">than </w:t>
      </w:r>
      <w:r w:rsidR="00741EE2" w:rsidRPr="00F55938">
        <w:rPr>
          <w:rFonts w:asciiTheme="minorHAnsi" w:eastAsia="Calibri" w:hAnsiTheme="minorHAnsi"/>
          <w:snapToGrid w:val="0"/>
        </w:rPr>
        <w:lastRenderedPageBreak/>
        <w:t>mPDAI</w:t>
      </w:r>
      <w:r w:rsidR="007F5816" w:rsidRPr="00F55938">
        <w:rPr>
          <w:rFonts w:asciiTheme="minorHAnsi" w:eastAsia="Calibri" w:hAnsiTheme="minorHAnsi"/>
          <w:snapToGrid w:val="0"/>
        </w:rPr>
        <w:t xml:space="preserve"> in clinical practice. Although several </w:t>
      </w:r>
      <w:r w:rsidR="007F5816" w:rsidRPr="00F55938">
        <w:rPr>
          <w:rFonts w:asciiTheme="minorHAnsi" w:hAnsiTheme="minorHAnsi"/>
          <w:snapToGrid w:val="0"/>
        </w:rPr>
        <w:t>instruments exist to measure pouchitis disease activity (including PDAI and mPDAI), none have been fully validated or deemed reliable or responsive.</w:t>
      </w:r>
      <w:r w:rsidR="007F5816" w:rsidRPr="00F55938">
        <w:rPr>
          <w:rFonts w:asciiTheme="minorHAnsi" w:hAnsiTheme="minorHAnsi"/>
          <w:snapToGrid w:val="0"/>
          <w:vertAlign w:val="superscript"/>
        </w:rPr>
        <w:footnoteReference w:id="6"/>
      </w:r>
      <w:bookmarkEnd w:id="23"/>
    </w:p>
    <w:p w14:paraId="01A581FE" w14:textId="3ED8F2C7" w:rsidR="008E69B5" w:rsidRPr="00F55938" w:rsidRDefault="008E69B5" w:rsidP="008E69B5">
      <w:pPr>
        <w:pStyle w:val="3-BodyText"/>
        <w:rPr>
          <w:rFonts w:eastAsia="Calibri"/>
        </w:rPr>
      </w:pPr>
      <w:r w:rsidRPr="00F55938">
        <w:rPr>
          <w:rFonts w:eastAsia="Calibri"/>
        </w:rPr>
        <w:t xml:space="preserve">The </w:t>
      </w:r>
      <w:r w:rsidR="00DB6D27" w:rsidRPr="00DB6D27">
        <w:rPr>
          <w:rFonts w:eastAsia="Calibri"/>
        </w:rPr>
        <w:t xml:space="preserve">Pre-Sub-Committee Response </w:t>
      </w:r>
      <w:r w:rsidR="00DB6D27">
        <w:rPr>
          <w:rFonts w:eastAsia="Calibri"/>
        </w:rPr>
        <w:t>(</w:t>
      </w:r>
      <w:r w:rsidRPr="00F55938">
        <w:rPr>
          <w:rFonts w:eastAsia="Calibri"/>
        </w:rPr>
        <w:t>PSCR</w:t>
      </w:r>
      <w:r w:rsidR="00DB6D27">
        <w:rPr>
          <w:rFonts w:eastAsia="Calibri"/>
        </w:rPr>
        <w:t>)</w:t>
      </w:r>
      <w:r w:rsidRPr="00F55938">
        <w:rPr>
          <w:rFonts w:eastAsia="Calibri"/>
        </w:rPr>
        <w:t xml:space="preserve"> argued that whilst the PDAI and mPDAI scales are not fully validated, they remain the most commonly used pouchitis assessment tools and are recognised by the European Crohn’s and Colitis Organisation (ECCO), and that the mPDAI instrument has shown similar sensitivity and specificity to the PDAI scale</w:t>
      </w:r>
      <w:r w:rsidRPr="00F55938">
        <w:rPr>
          <w:rStyle w:val="FootnoteReference"/>
          <w:rFonts w:eastAsia="Calibri"/>
        </w:rPr>
        <w:footnoteReference w:id="7"/>
      </w:r>
      <w:r w:rsidRPr="00F55938">
        <w:rPr>
          <w:rFonts w:eastAsia="Calibri"/>
        </w:rPr>
        <w:t xml:space="preserve">. </w:t>
      </w:r>
    </w:p>
    <w:p w14:paraId="1015E037" w14:textId="277EAC0B" w:rsidR="00881F8B" w:rsidRPr="00F55938" w:rsidRDefault="008C1262" w:rsidP="00E37470">
      <w:pPr>
        <w:pStyle w:val="3-BodyText"/>
      </w:pPr>
      <w:bookmarkStart w:id="25" w:name="_Ref169100776"/>
      <w:r w:rsidRPr="00F55938">
        <w:rPr>
          <w:rFonts w:eastAsia="Calibri"/>
        </w:rPr>
        <w:t>T</w:t>
      </w:r>
      <w:r w:rsidR="00E70C95" w:rsidRPr="00F55938">
        <w:rPr>
          <w:rFonts w:eastAsia="Calibri"/>
        </w:rPr>
        <w:t xml:space="preserve">he proposed initial PBS restriction requires patients to have an mPDAI total score </w:t>
      </w:r>
      <w:r w:rsidR="00A4546B" w:rsidRPr="00F55938">
        <w:rPr>
          <w:rFonts w:eastAsia="Calibri"/>
        </w:rPr>
        <w:t>≥</w:t>
      </w:r>
      <w:r w:rsidR="00E70C95" w:rsidRPr="00F55938">
        <w:rPr>
          <w:rFonts w:eastAsia="Calibri"/>
        </w:rPr>
        <w:t xml:space="preserve">5 with a </w:t>
      </w:r>
      <w:r w:rsidR="00A4546B" w:rsidRPr="00F55938">
        <w:rPr>
          <w:rFonts w:eastAsia="Calibri"/>
        </w:rPr>
        <w:t>minimum endoscopic sub-score of 2,</w:t>
      </w:r>
      <w:r w:rsidRPr="00F55938">
        <w:rPr>
          <w:rFonts w:eastAsia="Calibri"/>
        </w:rPr>
        <w:t xml:space="preserve"> consistent with the eligibility criteria for the clinical trial</w:t>
      </w:r>
      <w:r w:rsidR="00754590" w:rsidRPr="00F55938">
        <w:rPr>
          <w:rFonts w:eastAsia="Calibri"/>
        </w:rPr>
        <w:t>. In the clinical trial</w:t>
      </w:r>
      <w:r w:rsidR="00657166">
        <w:rPr>
          <w:rFonts w:eastAsia="Calibri"/>
        </w:rPr>
        <w:t>,</w:t>
      </w:r>
      <w:r w:rsidR="00754590" w:rsidRPr="00F55938">
        <w:rPr>
          <w:rFonts w:eastAsia="Calibri"/>
        </w:rPr>
        <w:t xml:space="preserve"> total mPDAI score &lt;5 was considered quiescent disease; 5 to 8 was moderately active; and a score 9 to 12 was severely active. </w:t>
      </w:r>
      <w:r w:rsidR="008E69B5" w:rsidRPr="00F55938">
        <w:rPr>
          <w:rFonts w:eastAsia="Calibri"/>
        </w:rPr>
        <w:t>Overall, t</w:t>
      </w:r>
      <w:r w:rsidR="00FB203D" w:rsidRPr="00F55938">
        <w:rPr>
          <w:rFonts w:eastAsia="Calibri"/>
        </w:rPr>
        <w:t xml:space="preserve">he ESC considered that the mPDAI score </w:t>
      </w:r>
      <w:r w:rsidR="00754590" w:rsidRPr="00F55938">
        <w:rPr>
          <w:rFonts w:eastAsia="Calibri"/>
        </w:rPr>
        <w:t xml:space="preserve">is not well validated for assessing severity, is subjective in the way it reports symptoms, </w:t>
      </w:r>
      <w:r w:rsidR="00E3117B" w:rsidRPr="00F55938">
        <w:rPr>
          <w:rFonts w:eastAsia="Calibri"/>
        </w:rPr>
        <w:t>and</w:t>
      </w:r>
      <w:r w:rsidR="00754590" w:rsidRPr="00F55938">
        <w:rPr>
          <w:rFonts w:eastAsia="Calibri"/>
        </w:rPr>
        <w:t xml:space="preserve"> patients can achieve score</w:t>
      </w:r>
      <w:r w:rsidR="00E3117B" w:rsidRPr="00F55938">
        <w:rPr>
          <w:rFonts w:eastAsia="Calibri"/>
        </w:rPr>
        <w:t>s</w:t>
      </w:r>
      <w:r w:rsidR="00754590" w:rsidRPr="00F55938">
        <w:rPr>
          <w:rFonts w:eastAsia="Calibri"/>
        </w:rPr>
        <w:t xml:space="preserve"> ≥5 with relatively mild symptoms.</w:t>
      </w:r>
      <w:r w:rsidR="00BE61EA" w:rsidRPr="00F55938">
        <w:rPr>
          <w:rFonts w:eastAsia="Calibri"/>
        </w:rPr>
        <w:t xml:space="preserve"> </w:t>
      </w:r>
      <w:r w:rsidR="00E70C95" w:rsidRPr="00F55938">
        <w:rPr>
          <w:rFonts w:eastAsia="Calibri"/>
        </w:rPr>
        <w:t>The ESC considered that while it was unclear whether the PDAI and/or mPDAI scores are routinely recorded by clinicians</w:t>
      </w:r>
      <w:r w:rsidRPr="00F55938">
        <w:rPr>
          <w:rFonts w:eastAsia="Calibri"/>
        </w:rPr>
        <w:t xml:space="preserve"> </w:t>
      </w:r>
      <w:r w:rsidR="00E70C95" w:rsidRPr="00F55938">
        <w:rPr>
          <w:rFonts w:eastAsia="Calibri"/>
        </w:rPr>
        <w:t xml:space="preserve">in current practice, the </w:t>
      </w:r>
      <w:r w:rsidR="004D2DB4" w:rsidRPr="00F55938">
        <w:rPr>
          <w:rFonts w:eastAsia="Calibri"/>
        </w:rPr>
        <w:t xml:space="preserve">symptom-based </w:t>
      </w:r>
      <w:r w:rsidR="00E70C95" w:rsidRPr="00F55938">
        <w:rPr>
          <w:rFonts w:eastAsia="Calibri"/>
        </w:rPr>
        <w:t>components underpinning the scores are likely to be routinely assessed (e.g. changes to stool frequency, rectal bleeding, faecal urgency and abdominal cramps)</w:t>
      </w:r>
      <w:r w:rsidR="004D2DB4" w:rsidRPr="00F55938">
        <w:rPr>
          <w:rFonts w:eastAsia="Calibri"/>
        </w:rPr>
        <w:t xml:space="preserve"> with endoscopy actively considered by clinicians</w:t>
      </w:r>
      <w:r w:rsidR="00E70C95" w:rsidRPr="00F55938">
        <w:rPr>
          <w:rFonts w:eastAsia="Calibri"/>
        </w:rPr>
        <w:t xml:space="preserve">. </w:t>
      </w:r>
      <w:bookmarkEnd w:id="25"/>
    </w:p>
    <w:p w14:paraId="451B6D28" w14:textId="2948D397" w:rsidR="008C1262" w:rsidRPr="00F55938" w:rsidRDefault="007F5816" w:rsidP="00A604F0">
      <w:pPr>
        <w:numPr>
          <w:ilvl w:val="1"/>
          <w:numId w:val="1"/>
        </w:numPr>
        <w:spacing w:after="120"/>
        <w:rPr>
          <w:rFonts w:asciiTheme="minorHAnsi" w:hAnsiTheme="minorHAnsi"/>
          <w:snapToGrid w:val="0"/>
        </w:rPr>
      </w:pPr>
      <w:r w:rsidRPr="00F55938">
        <w:rPr>
          <w:rFonts w:asciiTheme="minorHAnsi" w:hAnsiTheme="minorHAnsi"/>
          <w:snapToGrid w:val="0"/>
        </w:rPr>
        <w:t xml:space="preserve">The proposed restriction for continuing treatment </w:t>
      </w:r>
      <w:r w:rsidR="009751DD" w:rsidRPr="00F55938">
        <w:rPr>
          <w:rFonts w:asciiTheme="minorHAnsi" w:hAnsiTheme="minorHAnsi"/>
          <w:snapToGrid w:val="0"/>
        </w:rPr>
        <w:t>states</w:t>
      </w:r>
      <w:r w:rsidRPr="00F55938">
        <w:rPr>
          <w:rFonts w:asciiTheme="minorHAnsi" w:hAnsiTheme="minorHAnsi"/>
          <w:snapToGrid w:val="0"/>
        </w:rPr>
        <w:t xml:space="preserve"> that </w:t>
      </w:r>
      <w:r w:rsidR="009751DD" w:rsidRPr="00F55938">
        <w:rPr>
          <w:rFonts w:asciiTheme="minorHAnsi" w:hAnsiTheme="minorHAnsi"/>
          <w:snapToGrid w:val="0"/>
        </w:rPr>
        <w:t>the “</w:t>
      </w:r>
      <w:r w:rsidRPr="00F55938">
        <w:rPr>
          <w:rFonts w:asciiTheme="minorHAnsi" w:hAnsiTheme="minorHAnsi"/>
          <w:snapToGrid w:val="0"/>
        </w:rPr>
        <w:t>patient must have demonstrated or sustained an adequate response</w:t>
      </w:r>
      <w:r w:rsidR="009751DD" w:rsidRPr="00F55938">
        <w:rPr>
          <w:rFonts w:asciiTheme="minorHAnsi" w:hAnsiTheme="minorHAnsi"/>
          <w:snapToGrid w:val="0"/>
        </w:rPr>
        <w:t>”</w:t>
      </w:r>
      <w:r w:rsidRPr="00F55938">
        <w:rPr>
          <w:rFonts w:asciiTheme="minorHAnsi" w:hAnsiTheme="minorHAnsi"/>
          <w:snapToGrid w:val="0"/>
        </w:rPr>
        <w:t xml:space="preserve"> with vedolizumab to continue treatment with vedolizumab. </w:t>
      </w:r>
      <w:r w:rsidR="009751DD" w:rsidRPr="00F55938">
        <w:rPr>
          <w:rFonts w:asciiTheme="minorHAnsi" w:hAnsiTheme="minorHAnsi"/>
          <w:snapToGrid w:val="0"/>
        </w:rPr>
        <w:t xml:space="preserve">However, </w:t>
      </w:r>
      <w:r w:rsidR="00BE61EA" w:rsidRPr="00F55938">
        <w:rPr>
          <w:rFonts w:asciiTheme="minorHAnsi" w:hAnsiTheme="minorHAnsi"/>
          <w:snapToGrid w:val="0"/>
        </w:rPr>
        <w:t xml:space="preserve">the proposed restriction did not define </w:t>
      </w:r>
      <w:r w:rsidR="009751DD" w:rsidRPr="00F55938">
        <w:rPr>
          <w:rFonts w:asciiTheme="minorHAnsi" w:hAnsiTheme="minorHAnsi"/>
          <w:snapToGrid w:val="0"/>
        </w:rPr>
        <w:t xml:space="preserve">“adequate response” </w:t>
      </w:r>
      <w:r w:rsidR="00BE61EA" w:rsidRPr="00F55938">
        <w:rPr>
          <w:rFonts w:asciiTheme="minorHAnsi" w:hAnsiTheme="minorHAnsi"/>
          <w:snapToGrid w:val="0"/>
        </w:rPr>
        <w:t>nor</w:t>
      </w:r>
      <w:r w:rsidR="009751DD" w:rsidRPr="00F55938">
        <w:rPr>
          <w:rFonts w:asciiTheme="minorHAnsi" w:hAnsiTheme="minorHAnsi"/>
          <w:snapToGrid w:val="0"/>
        </w:rPr>
        <w:t xml:space="preserve"> specify how </w:t>
      </w:r>
      <w:r w:rsidR="00BE61EA" w:rsidRPr="00F55938">
        <w:rPr>
          <w:rFonts w:asciiTheme="minorHAnsi" w:hAnsiTheme="minorHAnsi"/>
          <w:snapToGrid w:val="0"/>
        </w:rPr>
        <w:t>it</w:t>
      </w:r>
      <w:r w:rsidR="009751DD" w:rsidRPr="00F55938">
        <w:rPr>
          <w:rFonts w:asciiTheme="minorHAnsi" w:hAnsiTheme="minorHAnsi"/>
          <w:snapToGrid w:val="0"/>
        </w:rPr>
        <w:t xml:space="preserve"> should be demonstrated, sustained or objectively assessed. </w:t>
      </w:r>
      <w:r w:rsidR="00BE61EA" w:rsidRPr="00F55938">
        <w:rPr>
          <w:rFonts w:asciiTheme="minorHAnsi" w:hAnsiTheme="minorHAnsi"/>
          <w:snapToGrid w:val="0"/>
        </w:rPr>
        <w:t>In</w:t>
      </w:r>
      <w:r w:rsidR="009751DD" w:rsidRPr="00F55938">
        <w:rPr>
          <w:rFonts w:asciiTheme="minorHAnsi" w:hAnsiTheme="minorHAnsi"/>
          <w:snapToGrid w:val="0"/>
        </w:rPr>
        <w:t xml:space="preserve"> the clinical trial</w:t>
      </w:r>
      <w:r w:rsidR="00BE61EA" w:rsidRPr="00F55938">
        <w:rPr>
          <w:rFonts w:asciiTheme="minorHAnsi" w:hAnsiTheme="minorHAnsi"/>
          <w:snapToGrid w:val="0"/>
        </w:rPr>
        <w:t xml:space="preserve">: </w:t>
      </w:r>
      <w:r w:rsidR="009751DD" w:rsidRPr="00F55938">
        <w:rPr>
          <w:rFonts w:asciiTheme="minorHAnsi" w:hAnsiTheme="minorHAnsi"/>
          <w:snapToGrid w:val="0"/>
        </w:rPr>
        <w:t xml:space="preserve">remission </w:t>
      </w:r>
      <w:r w:rsidR="00BE61EA" w:rsidRPr="00F55938">
        <w:rPr>
          <w:rFonts w:asciiTheme="minorHAnsi" w:hAnsiTheme="minorHAnsi"/>
          <w:snapToGrid w:val="0"/>
        </w:rPr>
        <w:t xml:space="preserve">was defined </w:t>
      </w:r>
      <w:r w:rsidR="009751DD" w:rsidRPr="00F55938">
        <w:rPr>
          <w:rFonts w:asciiTheme="minorHAnsi" w:hAnsiTheme="minorHAnsi"/>
          <w:snapToGrid w:val="0"/>
        </w:rPr>
        <w:t xml:space="preserve">as a total score of &lt;5 and </w:t>
      </w:r>
      <w:r w:rsidR="00BE61EA" w:rsidRPr="00F55938">
        <w:rPr>
          <w:rFonts w:asciiTheme="minorHAnsi" w:hAnsiTheme="minorHAnsi"/>
          <w:snapToGrid w:val="0"/>
        </w:rPr>
        <w:t xml:space="preserve">decrease of ≥ 2 points </w:t>
      </w:r>
      <w:r w:rsidR="009751DD" w:rsidRPr="00F55938">
        <w:rPr>
          <w:rFonts w:asciiTheme="minorHAnsi" w:hAnsiTheme="minorHAnsi"/>
          <w:snapToGrid w:val="0"/>
        </w:rPr>
        <w:t>from baseline</w:t>
      </w:r>
      <w:r w:rsidR="00BE61EA" w:rsidRPr="00F55938">
        <w:rPr>
          <w:rFonts w:asciiTheme="minorHAnsi" w:hAnsiTheme="minorHAnsi"/>
          <w:snapToGrid w:val="0"/>
        </w:rPr>
        <w:t>; and partial response</w:t>
      </w:r>
      <w:r w:rsidR="009751DD" w:rsidRPr="00F55938">
        <w:rPr>
          <w:rFonts w:asciiTheme="minorHAnsi" w:hAnsiTheme="minorHAnsi"/>
          <w:snapToGrid w:val="0"/>
        </w:rPr>
        <w:t xml:space="preserve"> </w:t>
      </w:r>
      <w:r w:rsidR="00BE61EA" w:rsidRPr="00F55938">
        <w:rPr>
          <w:rFonts w:asciiTheme="minorHAnsi" w:hAnsiTheme="minorHAnsi"/>
          <w:snapToGrid w:val="0"/>
        </w:rPr>
        <w:t xml:space="preserve">as a decrease of ≥ 2 points from baseline. </w:t>
      </w:r>
    </w:p>
    <w:p w14:paraId="78B500FB" w14:textId="33FFB711" w:rsidR="009751DD" w:rsidRPr="00F55938" w:rsidRDefault="009751DD" w:rsidP="00A604F0">
      <w:pPr>
        <w:numPr>
          <w:ilvl w:val="1"/>
          <w:numId w:val="1"/>
        </w:numPr>
        <w:spacing w:after="120"/>
        <w:rPr>
          <w:rFonts w:asciiTheme="minorHAnsi" w:hAnsiTheme="minorHAnsi"/>
          <w:snapToGrid w:val="0"/>
        </w:rPr>
      </w:pPr>
      <w:bookmarkStart w:id="26" w:name="_Ref166481082"/>
      <w:r w:rsidRPr="00F55938">
        <w:rPr>
          <w:rFonts w:asciiTheme="minorHAnsi" w:hAnsiTheme="minorHAnsi"/>
          <w:snapToGrid w:val="0"/>
        </w:rPr>
        <w:t xml:space="preserve">The submission stated that </w:t>
      </w:r>
      <w:r w:rsidR="00BE61EA" w:rsidRPr="00F55938">
        <w:rPr>
          <w:rFonts w:asciiTheme="minorHAnsi" w:hAnsiTheme="minorHAnsi"/>
          <w:snapToGrid w:val="0"/>
        </w:rPr>
        <w:t>the continuing restriction did not include a</w:t>
      </w:r>
      <w:r w:rsidRPr="00F55938">
        <w:rPr>
          <w:rFonts w:asciiTheme="minorHAnsi" w:hAnsiTheme="minorHAnsi"/>
          <w:snapToGrid w:val="0"/>
        </w:rPr>
        <w:t xml:space="preserve"> requirement for endoscopic examination</w:t>
      </w:r>
      <w:r w:rsidR="00BE61EA" w:rsidRPr="00F55938">
        <w:rPr>
          <w:rFonts w:asciiTheme="minorHAnsi" w:hAnsiTheme="minorHAnsi"/>
          <w:snapToGrid w:val="0"/>
        </w:rPr>
        <w:t xml:space="preserve"> to assess response “</w:t>
      </w:r>
      <w:r w:rsidRPr="00F55938">
        <w:rPr>
          <w:rFonts w:asciiTheme="minorHAnsi" w:hAnsiTheme="minorHAnsi"/>
          <w:snapToGrid w:val="0"/>
        </w:rPr>
        <w:t>to avoid the burden on patients</w:t>
      </w:r>
      <w:r w:rsidR="00BE61EA" w:rsidRPr="00F55938">
        <w:rPr>
          <w:rFonts w:asciiTheme="minorHAnsi" w:hAnsiTheme="minorHAnsi"/>
          <w:snapToGrid w:val="0"/>
        </w:rPr>
        <w:t>”</w:t>
      </w:r>
      <w:r w:rsidRPr="00F55938">
        <w:rPr>
          <w:rFonts w:asciiTheme="minorHAnsi" w:hAnsiTheme="minorHAnsi"/>
          <w:snapToGrid w:val="0"/>
        </w:rPr>
        <w:t xml:space="preserve">. </w:t>
      </w:r>
      <w:r w:rsidR="008C1262" w:rsidRPr="00F55938">
        <w:rPr>
          <w:rFonts w:asciiTheme="minorHAnsi" w:hAnsiTheme="minorHAnsi"/>
          <w:snapToGrid w:val="0"/>
        </w:rPr>
        <w:t>However, t</w:t>
      </w:r>
      <w:r w:rsidRPr="00F55938">
        <w:rPr>
          <w:rFonts w:asciiTheme="minorHAnsi" w:hAnsiTheme="minorHAnsi"/>
          <w:snapToGrid w:val="0"/>
        </w:rPr>
        <w:t xml:space="preserve">he evaluation considered that endoscopic examinations are regularly used to assess response to treatment and these examinations are generally accepted by patients. The evaluation considered that the inclusion of a diagnostic tool (e.g., endoscopy) in the proposed continuing treatment restriction would be important to confirm sustained adequate response to treatment. Additionally, the results from the clinical trial in achieving mPDAI-defined remission at Week 14 were driven by changing endoscopic appearances rather than symptoms (paragraph </w:t>
      </w:r>
      <w:r w:rsidRPr="00F55938">
        <w:rPr>
          <w:rFonts w:asciiTheme="minorHAnsi" w:hAnsiTheme="minorHAnsi"/>
          <w:snapToGrid w:val="0"/>
        </w:rPr>
        <w:fldChar w:fldCharType="begin" w:fldLock="1"/>
      </w:r>
      <w:r w:rsidRPr="00F55938">
        <w:rPr>
          <w:rFonts w:asciiTheme="minorHAnsi" w:hAnsiTheme="minorHAnsi"/>
          <w:snapToGrid w:val="0"/>
        </w:rPr>
        <w:instrText xml:space="preserve"> REF _Ref166243917 \r \h  \* MERGEFORMAT </w:instrText>
      </w:r>
      <w:r w:rsidRPr="00F55938">
        <w:rPr>
          <w:rFonts w:asciiTheme="minorHAnsi" w:hAnsiTheme="minorHAnsi"/>
          <w:snapToGrid w:val="0"/>
        </w:rPr>
      </w:r>
      <w:r w:rsidRPr="00F55938">
        <w:rPr>
          <w:rFonts w:asciiTheme="minorHAnsi" w:hAnsiTheme="minorHAnsi"/>
          <w:snapToGrid w:val="0"/>
        </w:rPr>
        <w:fldChar w:fldCharType="separate"/>
      </w:r>
      <w:r w:rsidR="00DC7CC4">
        <w:rPr>
          <w:rFonts w:asciiTheme="minorHAnsi" w:hAnsiTheme="minorHAnsi"/>
          <w:snapToGrid w:val="0"/>
        </w:rPr>
        <w:t>6.30</w:t>
      </w:r>
      <w:r w:rsidRPr="00F55938">
        <w:rPr>
          <w:rFonts w:asciiTheme="minorHAnsi" w:hAnsiTheme="minorHAnsi"/>
          <w:snapToGrid w:val="0"/>
        </w:rPr>
        <w:fldChar w:fldCharType="end"/>
      </w:r>
      <w:r w:rsidRPr="00F55938">
        <w:rPr>
          <w:rFonts w:asciiTheme="minorHAnsi" w:hAnsiTheme="minorHAnsi"/>
          <w:snapToGrid w:val="0"/>
        </w:rPr>
        <w:t xml:space="preserve">). The criteria to </w:t>
      </w:r>
      <w:r w:rsidRPr="00F55938">
        <w:rPr>
          <w:rFonts w:asciiTheme="minorHAnsi" w:hAnsiTheme="minorHAnsi"/>
          <w:snapToGrid w:val="0"/>
        </w:rPr>
        <w:lastRenderedPageBreak/>
        <w:t>determine remission or response to treatment had a significant impact on the results of the economic model and financial estimates.</w:t>
      </w:r>
      <w:bookmarkEnd w:id="26"/>
      <w:r w:rsidRPr="00F55938">
        <w:rPr>
          <w:rFonts w:asciiTheme="minorHAnsi" w:hAnsiTheme="minorHAnsi"/>
          <w:snapToGrid w:val="0"/>
        </w:rPr>
        <w:t xml:space="preserve"> </w:t>
      </w:r>
    </w:p>
    <w:p w14:paraId="71E67103" w14:textId="6CD5156F" w:rsidR="009B7EC9" w:rsidRPr="00F55938" w:rsidRDefault="009751DD" w:rsidP="009751DD">
      <w:pPr>
        <w:numPr>
          <w:ilvl w:val="1"/>
          <w:numId w:val="1"/>
        </w:numPr>
        <w:spacing w:after="120"/>
        <w:rPr>
          <w:rFonts w:asciiTheme="minorHAnsi" w:hAnsiTheme="minorHAnsi"/>
          <w:snapToGrid w:val="0"/>
        </w:rPr>
      </w:pPr>
      <w:r w:rsidRPr="00F55938">
        <w:rPr>
          <w:rFonts w:asciiTheme="minorHAnsi" w:hAnsiTheme="minorHAnsi"/>
          <w:snapToGrid w:val="0"/>
        </w:rPr>
        <w:t xml:space="preserve">The PSCR acknowledged the </w:t>
      </w:r>
      <w:r w:rsidR="00657166">
        <w:rPr>
          <w:rFonts w:asciiTheme="minorHAnsi" w:hAnsiTheme="minorHAnsi"/>
          <w:snapToGrid w:val="0"/>
        </w:rPr>
        <w:t xml:space="preserve">proposed </w:t>
      </w:r>
      <w:r w:rsidRPr="00F55938">
        <w:rPr>
          <w:rFonts w:asciiTheme="minorHAnsi" w:hAnsiTheme="minorHAnsi"/>
          <w:snapToGrid w:val="0"/>
        </w:rPr>
        <w:t>restriction relies on a clinician’s judgement to continue treatment, however argued the risk of treating some patients on the basis of symptomatic response</w:t>
      </w:r>
      <w:r w:rsidR="008C1262" w:rsidRPr="00F55938">
        <w:rPr>
          <w:rFonts w:asciiTheme="minorHAnsi" w:hAnsiTheme="minorHAnsi"/>
          <w:snapToGrid w:val="0"/>
        </w:rPr>
        <w:t xml:space="preserve"> alone</w:t>
      </w:r>
      <w:r w:rsidRPr="00F55938">
        <w:rPr>
          <w:rFonts w:asciiTheme="minorHAnsi" w:hAnsiTheme="minorHAnsi"/>
          <w:snapToGrid w:val="0"/>
        </w:rPr>
        <w:t xml:space="preserve"> should not detract from the importance of having a treatment option available for this condition given its rarity. However, the PSCR also stated the Sponsor is open to suggestions from the PBAC regarding the proposed restriction, alignment with the clinical trial data and measures of remission and/or response for continuing treatment. </w:t>
      </w:r>
      <w:r w:rsidR="009E6BF7" w:rsidRPr="00F55938">
        <w:rPr>
          <w:rFonts w:asciiTheme="minorHAnsi" w:hAnsiTheme="minorHAnsi"/>
          <w:snapToGrid w:val="0"/>
        </w:rPr>
        <w:t>The ESC considered that, in the absence of a more objective assessment of continuing response, it was likely that many patients would receive long-term vedolizumab treatment despite the lack of clinical data to support use beyond Week 34 for this condition. However, t</w:t>
      </w:r>
      <w:r w:rsidRPr="00F55938">
        <w:rPr>
          <w:rFonts w:eastAsia="Calibri"/>
        </w:rPr>
        <w:t xml:space="preserve">he ESC also </w:t>
      </w:r>
      <w:r w:rsidR="00741EE2" w:rsidRPr="00F55938">
        <w:rPr>
          <w:rFonts w:eastAsia="Calibri"/>
        </w:rPr>
        <w:t>considered it was unclear whether</w:t>
      </w:r>
      <w:r w:rsidR="008C1262" w:rsidRPr="00F55938">
        <w:rPr>
          <w:rFonts w:eastAsia="Calibri"/>
        </w:rPr>
        <w:t xml:space="preserve"> </w:t>
      </w:r>
      <w:r w:rsidRPr="00F55938">
        <w:rPr>
          <w:rFonts w:eastAsia="Calibri"/>
        </w:rPr>
        <w:t xml:space="preserve">repeat endoscopies </w:t>
      </w:r>
      <w:r w:rsidR="00741EE2" w:rsidRPr="00F55938">
        <w:rPr>
          <w:rFonts w:eastAsia="Calibri"/>
        </w:rPr>
        <w:t>are</w:t>
      </w:r>
      <w:r w:rsidR="00BE61EA" w:rsidRPr="00F55938">
        <w:rPr>
          <w:rFonts w:eastAsia="Calibri"/>
        </w:rPr>
        <w:t xml:space="preserve"> routinely performed</w:t>
      </w:r>
      <w:r w:rsidR="004B1217" w:rsidRPr="00F55938">
        <w:rPr>
          <w:rFonts w:eastAsia="Calibri"/>
        </w:rPr>
        <w:t>,</w:t>
      </w:r>
      <w:r w:rsidR="00BE61EA" w:rsidRPr="00F55938">
        <w:rPr>
          <w:rFonts w:eastAsia="Calibri"/>
        </w:rPr>
        <w:t xml:space="preserve"> </w:t>
      </w:r>
      <w:r w:rsidR="004B1217" w:rsidRPr="00F55938">
        <w:rPr>
          <w:rFonts w:eastAsia="Calibri"/>
        </w:rPr>
        <w:t>on an ongoing basis (every six months), to assess treatment response in current clinical practice.</w:t>
      </w:r>
    </w:p>
    <w:p w14:paraId="52F39D16" w14:textId="663AB149" w:rsidR="009751DD" w:rsidRPr="00F55938" w:rsidRDefault="00E34B57" w:rsidP="00B371A1">
      <w:pPr>
        <w:numPr>
          <w:ilvl w:val="1"/>
          <w:numId w:val="1"/>
        </w:numPr>
        <w:spacing w:after="120"/>
        <w:rPr>
          <w:rFonts w:asciiTheme="minorHAnsi" w:hAnsiTheme="minorHAnsi"/>
          <w:snapToGrid w:val="0"/>
        </w:rPr>
      </w:pPr>
      <w:r w:rsidRPr="00F55938">
        <w:rPr>
          <w:rFonts w:asciiTheme="minorHAnsi" w:hAnsiTheme="minorHAnsi"/>
          <w:snapToGrid w:val="0"/>
        </w:rPr>
        <w:t xml:space="preserve">As outlined in paragraph </w:t>
      </w:r>
      <w:r w:rsidRPr="00F55938">
        <w:rPr>
          <w:rFonts w:asciiTheme="minorHAnsi" w:hAnsiTheme="minorHAnsi"/>
          <w:snapToGrid w:val="0"/>
        </w:rPr>
        <w:fldChar w:fldCharType="begin" w:fldLock="1"/>
      </w:r>
      <w:r w:rsidRPr="00F55938">
        <w:rPr>
          <w:rFonts w:asciiTheme="minorHAnsi" w:hAnsiTheme="minorHAnsi"/>
          <w:snapToGrid w:val="0"/>
        </w:rPr>
        <w:instrText xml:space="preserve"> REF _Ref164255478 \r \h </w:instrText>
      </w:r>
      <w:r w:rsidR="00F55938" w:rsidRPr="00F55938">
        <w:rPr>
          <w:rFonts w:asciiTheme="minorHAnsi" w:hAnsiTheme="minorHAnsi"/>
          <w:snapToGrid w:val="0"/>
        </w:rPr>
        <w:instrText xml:space="preserve"> \* MERGEFORMAT </w:instrText>
      </w:r>
      <w:r w:rsidRPr="00F55938">
        <w:rPr>
          <w:rFonts w:asciiTheme="minorHAnsi" w:hAnsiTheme="minorHAnsi"/>
          <w:snapToGrid w:val="0"/>
        </w:rPr>
      </w:r>
      <w:r w:rsidRPr="00F55938">
        <w:rPr>
          <w:rFonts w:asciiTheme="minorHAnsi" w:hAnsiTheme="minorHAnsi"/>
          <w:snapToGrid w:val="0"/>
        </w:rPr>
        <w:fldChar w:fldCharType="separate"/>
      </w:r>
      <w:r w:rsidR="00DC7CC4">
        <w:rPr>
          <w:rFonts w:asciiTheme="minorHAnsi" w:hAnsiTheme="minorHAnsi"/>
          <w:snapToGrid w:val="0"/>
        </w:rPr>
        <w:t>6.38</w:t>
      </w:r>
      <w:r w:rsidRPr="00F55938">
        <w:rPr>
          <w:rFonts w:asciiTheme="minorHAnsi" w:hAnsiTheme="minorHAnsi"/>
          <w:snapToGrid w:val="0"/>
        </w:rPr>
        <w:fldChar w:fldCharType="end"/>
      </w:r>
      <w:r w:rsidRPr="00F55938">
        <w:rPr>
          <w:rFonts w:asciiTheme="minorHAnsi" w:hAnsiTheme="minorHAnsi"/>
          <w:snapToGrid w:val="0"/>
        </w:rPr>
        <w:t>, t</w:t>
      </w:r>
      <w:r w:rsidR="009B7EC9" w:rsidRPr="00F55938">
        <w:rPr>
          <w:rFonts w:asciiTheme="minorHAnsi" w:hAnsiTheme="minorHAnsi"/>
          <w:snapToGrid w:val="0"/>
        </w:rPr>
        <w:t xml:space="preserve">here is no clinical data to support continuing use of vedolizumab beyond Week 34 for this condition. This was also raised as a concern in the TGA Delegate’s overview (TGA Delegate’s overview). </w:t>
      </w:r>
    </w:p>
    <w:p w14:paraId="3ACAED1D" w14:textId="49A46B7D" w:rsidR="007F5816" w:rsidRPr="00F55938" w:rsidRDefault="005B4910" w:rsidP="007F5816">
      <w:pPr>
        <w:numPr>
          <w:ilvl w:val="1"/>
          <w:numId w:val="1"/>
        </w:numPr>
        <w:spacing w:after="120"/>
        <w:rPr>
          <w:rFonts w:asciiTheme="minorHAnsi" w:hAnsiTheme="minorHAnsi"/>
          <w:snapToGrid w:val="0"/>
        </w:rPr>
      </w:pPr>
      <w:r w:rsidRPr="00F55938">
        <w:rPr>
          <w:rFonts w:asciiTheme="minorHAnsi" w:hAnsiTheme="minorHAnsi"/>
          <w:snapToGrid w:val="0"/>
        </w:rPr>
        <w:t xml:space="preserve">The </w:t>
      </w:r>
      <w:r w:rsidR="009751DD" w:rsidRPr="00F55938">
        <w:rPr>
          <w:rFonts w:asciiTheme="minorHAnsi" w:hAnsiTheme="minorHAnsi"/>
          <w:snapToGrid w:val="0"/>
        </w:rPr>
        <w:t xml:space="preserve">submission’s proposed </w:t>
      </w:r>
      <w:r w:rsidRPr="00F55938">
        <w:rPr>
          <w:rFonts w:asciiTheme="minorHAnsi" w:hAnsiTheme="minorHAnsi"/>
          <w:snapToGrid w:val="0"/>
        </w:rPr>
        <w:t xml:space="preserve">14-week timepoint for </w:t>
      </w:r>
      <w:r w:rsidR="00A4546B" w:rsidRPr="00F55938">
        <w:rPr>
          <w:rFonts w:asciiTheme="minorHAnsi" w:hAnsiTheme="minorHAnsi"/>
          <w:snapToGrid w:val="0"/>
        </w:rPr>
        <w:t xml:space="preserve">first </w:t>
      </w:r>
      <w:r w:rsidRPr="00F55938">
        <w:rPr>
          <w:rFonts w:asciiTheme="minorHAnsi" w:hAnsiTheme="minorHAnsi"/>
          <w:snapToGrid w:val="0"/>
        </w:rPr>
        <w:t>assessing response</w:t>
      </w:r>
      <w:r w:rsidR="007F5816" w:rsidRPr="00F55938">
        <w:rPr>
          <w:rFonts w:asciiTheme="minorHAnsi" w:hAnsiTheme="minorHAnsi"/>
          <w:snapToGrid w:val="0"/>
        </w:rPr>
        <w:t xml:space="preserve"> </w:t>
      </w:r>
      <w:r w:rsidR="00657166">
        <w:rPr>
          <w:rFonts w:asciiTheme="minorHAnsi" w:hAnsiTheme="minorHAnsi"/>
          <w:snapToGrid w:val="0"/>
        </w:rPr>
        <w:t>wa</w:t>
      </w:r>
      <w:r w:rsidR="007F5816" w:rsidRPr="00F55938">
        <w:rPr>
          <w:rFonts w:asciiTheme="minorHAnsi" w:hAnsiTheme="minorHAnsi"/>
          <w:snapToGrid w:val="0"/>
        </w:rPr>
        <w:t xml:space="preserve">s consistent with the TGA </w:t>
      </w:r>
      <w:r w:rsidR="009B0BB6" w:rsidRPr="00F55938">
        <w:rPr>
          <w:rFonts w:asciiTheme="minorHAnsi" w:hAnsiTheme="minorHAnsi"/>
          <w:snapToGrid w:val="0"/>
        </w:rPr>
        <w:t xml:space="preserve">product information </w:t>
      </w:r>
      <w:r w:rsidR="007F5816" w:rsidRPr="00F55938">
        <w:rPr>
          <w:rFonts w:asciiTheme="minorHAnsi" w:hAnsiTheme="minorHAnsi"/>
          <w:snapToGrid w:val="0"/>
        </w:rPr>
        <w:t xml:space="preserve">(PI), economic model and </w:t>
      </w:r>
      <w:r w:rsidR="00AE1D4C" w:rsidRPr="00F55938">
        <w:rPr>
          <w:rFonts w:asciiTheme="minorHAnsi" w:hAnsiTheme="minorHAnsi"/>
          <w:snapToGrid w:val="0"/>
        </w:rPr>
        <w:t>financial estimates.</w:t>
      </w:r>
      <w:r w:rsidR="007F5816" w:rsidRPr="00F55938">
        <w:rPr>
          <w:rFonts w:asciiTheme="minorHAnsi" w:hAnsiTheme="minorHAnsi"/>
          <w:snapToGrid w:val="0"/>
        </w:rPr>
        <w:t xml:space="preserve"> </w:t>
      </w:r>
      <w:r w:rsidR="00AE1D4C" w:rsidRPr="00F55938">
        <w:rPr>
          <w:rFonts w:asciiTheme="minorHAnsi" w:hAnsiTheme="minorHAnsi"/>
          <w:snapToGrid w:val="0"/>
        </w:rPr>
        <w:t xml:space="preserve">Further, the 14-week time point is consistent with response assessment in patients with moderate or severe ulcerative colitis. However, it </w:t>
      </w:r>
      <w:r w:rsidR="00657166">
        <w:rPr>
          <w:rFonts w:asciiTheme="minorHAnsi" w:hAnsiTheme="minorHAnsi"/>
          <w:snapToGrid w:val="0"/>
        </w:rPr>
        <w:t>was</w:t>
      </w:r>
      <w:r w:rsidR="00AE1D4C" w:rsidRPr="00F55938">
        <w:rPr>
          <w:rFonts w:asciiTheme="minorHAnsi" w:hAnsiTheme="minorHAnsi"/>
          <w:snapToGrid w:val="0"/>
        </w:rPr>
        <w:t xml:space="preserve"> in</w:t>
      </w:r>
      <w:r w:rsidR="007F5816" w:rsidRPr="00F55938">
        <w:rPr>
          <w:rFonts w:asciiTheme="minorHAnsi" w:hAnsiTheme="minorHAnsi"/>
          <w:snapToGrid w:val="0"/>
        </w:rPr>
        <w:t xml:space="preserve">consistent with the clinical trial which allowed patients to remain on treatment up to Week 30. </w:t>
      </w:r>
    </w:p>
    <w:p w14:paraId="18B96A5A" w14:textId="7E49FDB1" w:rsidR="007F5816" w:rsidRPr="00F55938" w:rsidRDefault="007F5816" w:rsidP="00953CC8">
      <w:pPr>
        <w:numPr>
          <w:ilvl w:val="1"/>
          <w:numId w:val="1"/>
        </w:numPr>
        <w:spacing w:after="120"/>
        <w:rPr>
          <w:rFonts w:asciiTheme="minorHAnsi" w:hAnsiTheme="minorHAnsi"/>
          <w:snapToGrid w:val="0"/>
        </w:rPr>
      </w:pPr>
      <w:r w:rsidRPr="00F55938">
        <w:rPr>
          <w:rFonts w:asciiTheme="minorHAnsi" w:hAnsiTheme="minorHAnsi"/>
          <w:snapToGrid w:val="0"/>
        </w:rPr>
        <w:t xml:space="preserve">The submission requested (although did not </w:t>
      </w:r>
      <w:r w:rsidR="00DD2B4E" w:rsidRPr="00F55938">
        <w:rPr>
          <w:rFonts w:asciiTheme="minorHAnsi" w:hAnsiTheme="minorHAnsi"/>
          <w:snapToGrid w:val="0"/>
        </w:rPr>
        <w:t>propose restriction wording for</w:t>
      </w:r>
      <w:r w:rsidRPr="00F55938">
        <w:rPr>
          <w:rFonts w:asciiTheme="minorHAnsi" w:hAnsiTheme="minorHAnsi"/>
          <w:snapToGrid w:val="0"/>
        </w:rPr>
        <w:t>) a provision for initial treatment (recommencement of treatment after a break) to allow patients who have previously initiated vedolizumab on the PBS for pouchitis</w:t>
      </w:r>
      <w:r w:rsidR="00621C6F">
        <w:rPr>
          <w:rFonts w:asciiTheme="minorHAnsi" w:hAnsiTheme="minorHAnsi"/>
          <w:snapToGrid w:val="0"/>
        </w:rPr>
        <w:t xml:space="preserve"> but</w:t>
      </w:r>
      <w:r w:rsidRPr="00F55938">
        <w:rPr>
          <w:rFonts w:asciiTheme="minorHAnsi" w:hAnsiTheme="minorHAnsi"/>
          <w:snapToGrid w:val="0"/>
        </w:rPr>
        <w:t xml:space="preserve"> who </w:t>
      </w:r>
      <w:r w:rsidR="00621C6F">
        <w:rPr>
          <w:rFonts w:asciiTheme="minorHAnsi" w:hAnsiTheme="minorHAnsi"/>
          <w:snapToGrid w:val="0"/>
        </w:rPr>
        <w:t>ceased</w:t>
      </w:r>
      <w:r w:rsidRPr="00F55938">
        <w:rPr>
          <w:rFonts w:asciiTheme="minorHAnsi" w:hAnsiTheme="minorHAnsi"/>
          <w:snapToGrid w:val="0"/>
        </w:rPr>
        <w:t xml:space="preserve"> for a reason other than failure to maintain an adequate treatment response</w:t>
      </w:r>
      <w:r w:rsidR="00621C6F">
        <w:rPr>
          <w:rFonts w:asciiTheme="minorHAnsi" w:hAnsiTheme="minorHAnsi"/>
          <w:snapToGrid w:val="0"/>
        </w:rPr>
        <w:t xml:space="preserve">. This would allow </w:t>
      </w:r>
      <w:r w:rsidRPr="00F55938">
        <w:rPr>
          <w:rFonts w:asciiTheme="minorHAnsi" w:hAnsiTheme="minorHAnsi"/>
          <w:snapToGrid w:val="0"/>
        </w:rPr>
        <w:t>recommence</w:t>
      </w:r>
      <w:r w:rsidR="00621C6F">
        <w:rPr>
          <w:rFonts w:asciiTheme="minorHAnsi" w:hAnsiTheme="minorHAnsi"/>
          <w:snapToGrid w:val="0"/>
        </w:rPr>
        <w:t>ment of vedolizumab in these patients if they experience a</w:t>
      </w:r>
      <w:r w:rsidRPr="00F55938">
        <w:rPr>
          <w:rFonts w:asciiTheme="minorHAnsi" w:hAnsiTheme="minorHAnsi"/>
          <w:snapToGrid w:val="0"/>
        </w:rPr>
        <w:t xml:space="preserve"> re-emergence of chronic pouchitis symptoms. This patient population was excluded from the clinical trial (EARNEST). There is currently no clinical evidence to support re-treatment after a break.</w:t>
      </w:r>
      <w:r w:rsidR="009E60FF" w:rsidRPr="00F55938">
        <w:rPr>
          <w:rFonts w:asciiTheme="minorHAnsi" w:hAnsiTheme="minorHAnsi"/>
          <w:snapToGrid w:val="0"/>
        </w:rPr>
        <w:t xml:space="preserve"> </w:t>
      </w:r>
      <w:r w:rsidR="00496E0A" w:rsidRPr="00F55938">
        <w:rPr>
          <w:rFonts w:asciiTheme="minorHAnsi" w:hAnsiTheme="minorHAnsi"/>
          <w:snapToGrid w:val="0"/>
        </w:rPr>
        <w:t xml:space="preserve">Further, the proposed restriction would not preclude patients who had previously failed vedolizumab for pouchitis </w:t>
      </w:r>
      <w:r w:rsidR="004E1E27" w:rsidRPr="00F55938">
        <w:rPr>
          <w:rFonts w:asciiTheme="minorHAnsi" w:hAnsiTheme="minorHAnsi"/>
          <w:snapToGrid w:val="0"/>
        </w:rPr>
        <w:t xml:space="preserve">(or ulcerative colitis) </w:t>
      </w:r>
      <w:r w:rsidR="00496E0A" w:rsidRPr="00F55938">
        <w:rPr>
          <w:rFonts w:asciiTheme="minorHAnsi" w:hAnsiTheme="minorHAnsi"/>
          <w:snapToGrid w:val="0"/>
        </w:rPr>
        <w:t xml:space="preserve">from re-trialling vedolizumab for subsequent episodes, and these patients were included in the financial estimates (refer to paragraph </w:t>
      </w:r>
      <w:r w:rsidR="009E6BF7" w:rsidRPr="00F55938">
        <w:rPr>
          <w:rFonts w:asciiTheme="minorHAnsi" w:hAnsiTheme="minorHAnsi"/>
          <w:snapToGrid w:val="0"/>
        </w:rPr>
        <w:fldChar w:fldCharType="begin" w:fldLock="1"/>
      </w:r>
      <w:r w:rsidR="009E6BF7" w:rsidRPr="00F55938">
        <w:rPr>
          <w:rFonts w:asciiTheme="minorHAnsi" w:hAnsiTheme="minorHAnsi"/>
          <w:snapToGrid w:val="0"/>
        </w:rPr>
        <w:instrText xml:space="preserve"> REF _Ref169516918 \r \h  \* MERGEFORMAT </w:instrText>
      </w:r>
      <w:r w:rsidR="009E6BF7" w:rsidRPr="00F55938">
        <w:rPr>
          <w:rFonts w:asciiTheme="minorHAnsi" w:hAnsiTheme="minorHAnsi"/>
          <w:snapToGrid w:val="0"/>
        </w:rPr>
      </w:r>
      <w:r w:rsidR="009E6BF7" w:rsidRPr="00F55938">
        <w:rPr>
          <w:rFonts w:asciiTheme="minorHAnsi" w:hAnsiTheme="minorHAnsi"/>
          <w:snapToGrid w:val="0"/>
        </w:rPr>
        <w:fldChar w:fldCharType="separate"/>
      </w:r>
      <w:r w:rsidR="00DC7CC4">
        <w:rPr>
          <w:rFonts w:asciiTheme="minorHAnsi" w:hAnsiTheme="minorHAnsi"/>
          <w:snapToGrid w:val="0"/>
        </w:rPr>
        <w:t>6.78</w:t>
      </w:r>
      <w:r w:rsidR="009E6BF7" w:rsidRPr="00F55938">
        <w:rPr>
          <w:rFonts w:asciiTheme="minorHAnsi" w:hAnsiTheme="minorHAnsi"/>
          <w:snapToGrid w:val="0"/>
        </w:rPr>
        <w:fldChar w:fldCharType="end"/>
      </w:r>
      <w:r w:rsidR="00496E0A" w:rsidRPr="00F55938">
        <w:rPr>
          <w:rFonts w:asciiTheme="minorHAnsi" w:hAnsiTheme="minorHAnsi"/>
          <w:snapToGrid w:val="0"/>
        </w:rPr>
        <w:t xml:space="preserve">). </w:t>
      </w:r>
      <w:r w:rsidR="009E60FF" w:rsidRPr="00F55938">
        <w:rPr>
          <w:rFonts w:eastAsia="Calibri"/>
        </w:rPr>
        <w:t xml:space="preserve">The ESC </w:t>
      </w:r>
      <w:r w:rsidR="00496E0A" w:rsidRPr="00F55938">
        <w:rPr>
          <w:rFonts w:eastAsia="Calibri"/>
        </w:rPr>
        <w:t xml:space="preserve">considered it would not be reasonable to allow </w:t>
      </w:r>
      <w:r w:rsidR="009E60FF" w:rsidRPr="00F55938">
        <w:rPr>
          <w:rFonts w:eastAsia="Calibri"/>
        </w:rPr>
        <w:t xml:space="preserve">re-treatment with vedolizumab for chronic pouchitis if it was previously ineffective, but considered that </w:t>
      </w:r>
      <w:r w:rsidR="004E1E27" w:rsidRPr="00F55938">
        <w:rPr>
          <w:rFonts w:eastAsia="Calibri"/>
        </w:rPr>
        <w:t xml:space="preserve">it may be reasonable to allow </w:t>
      </w:r>
      <w:r w:rsidR="009E60FF" w:rsidRPr="00F55938">
        <w:rPr>
          <w:rFonts w:eastAsia="Calibri"/>
        </w:rPr>
        <w:t>re</w:t>
      </w:r>
      <w:r w:rsidR="00A12502" w:rsidRPr="00F55938">
        <w:rPr>
          <w:rFonts w:eastAsia="Calibri"/>
        </w:rPr>
        <w:noBreakHyphen/>
      </w:r>
      <w:r w:rsidR="009E60FF" w:rsidRPr="00F55938">
        <w:rPr>
          <w:rFonts w:eastAsia="Calibri"/>
        </w:rPr>
        <w:t>treatment after a treatment break or cessation of treatment for non-efficacy reasons.</w:t>
      </w:r>
    </w:p>
    <w:p w14:paraId="1C31AC67" w14:textId="69A17FA3" w:rsidR="007F5816" w:rsidRDefault="007F5816" w:rsidP="007F5816">
      <w:pPr>
        <w:numPr>
          <w:ilvl w:val="1"/>
          <w:numId w:val="1"/>
        </w:numPr>
        <w:spacing w:after="120"/>
        <w:rPr>
          <w:rFonts w:asciiTheme="minorHAnsi" w:hAnsiTheme="minorHAnsi"/>
          <w:snapToGrid w:val="0"/>
        </w:rPr>
      </w:pPr>
      <w:r w:rsidRPr="00F55938">
        <w:rPr>
          <w:rFonts w:asciiTheme="minorHAnsi" w:hAnsiTheme="minorHAnsi"/>
          <w:snapToGrid w:val="0"/>
        </w:rPr>
        <w:t>The submission also requested a grandfathering provision and stated that there are 10 patients in the Patient Access Program.</w:t>
      </w:r>
      <w:r w:rsidR="00F55938">
        <w:rPr>
          <w:rFonts w:asciiTheme="minorHAnsi" w:hAnsiTheme="minorHAnsi"/>
          <w:snapToGrid w:val="0"/>
        </w:rPr>
        <w:t xml:space="preserve"> </w:t>
      </w:r>
    </w:p>
    <w:p w14:paraId="21B856E1" w14:textId="77777777" w:rsidR="00F55938" w:rsidRPr="00C33D30" w:rsidRDefault="00F55938" w:rsidP="00F55938">
      <w:pPr>
        <w:ind w:firstLine="709"/>
        <w:rPr>
          <w:rFonts w:asciiTheme="minorHAnsi" w:hAnsiTheme="minorHAnsi"/>
          <w:i/>
        </w:rPr>
      </w:pPr>
      <w:r w:rsidRPr="00C33D30">
        <w:rPr>
          <w:rFonts w:asciiTheme="minorHAnsi" w:hAnsiTheme="minorHAnsi"/>
          <w:i/>
        </w:rPr>
        <w:t>For more detail on PBAC’s view, see section 7 PBAC outcome.</w:t>
      </w:r>
    </w:p>
    <w:p w14:paraId="38AFBD9D" w14:textId="77777777" w:rsidR="007F5816" w:rsidRPr="007F5816" w:rsidDel="00195452" w:rsidRDefault="007F5816" w:rsidP="009A6BB6">
      <w:pPr>
        <w:pStyle w:val="2-SectionHeading"/>
      </w:pPr>
      <w:bookmarkStart w:id="27" w:name="_Toc107927623"/>
      <w:bookmarkStart w:id="28" w:name="_Toc167264515"/>
      <w:r w:rsidRPr="007F5816" w:rsidDel="00195452">
        <w:lastRenderedPageBreak/>
        <w:t>Population and disease</w:t>
      </w:r>
      <w:bookmarkEnd w:id="27"/>
      <w:bookmarkEnd w:id="28"/>
    </w:p>
    <w:p w14:paraId="5434C2C2" w14:textId="4968F7E8" w:rsidR="000C0C7D" w:rsidRPr="00F55938" w:rsidRDefault="007F5816" w:rsidP="00E37470">
      <w:pPr>
        <w:numPr>
          <w:ilvl w:val="1"/>
          <w:numId w:val="1"/>
        </w:numPr>
        <w:spacing w:after="120"/>
        <w:rPr>
          <w:rFonts w:asciiTheme="minorHAnsi" w:hAnsiTheme="minorHAnsi"/>
          <w:snapToGrid w:val="0"/>
        </w:rPr>
      </w:pPr>
      <w:r w:rsidRPr="00F55938">
        <w:rPr>
          <w:rFonts w:asciiTheme="minorHAnsi" w:hAnsiTheme="minorHAnsi"/>
          <w:snapToGrid w:val="0"/>
        </w:rPr>
        <w:t xml:space="preserve">Pouchitis is a rare condition characterised by inflammation of </w:t>
      </w:r>
      <w:r w:rsidR="005009D3" w:rsidRPr="00F55938">
        <w:rPr>
          <w:rFonts w:asciiTheme="minorHAnsi" w:hAnsiTheme="minorHAnsi"/>
          <w:snapToGrid w:val="0"/>
        </w:rPr>
        <w:t xml:space="preserve">a </w:t>
      </w:r>
      <w:r w:rsidRPr="00F55938">
        <w:rPr>
          <w:rFonts w:asciiTheme="minorHAnsi" w:hAnsiTheme="minorHAnsi"/>
          <w:snapToGrid w:val="0"/>
        </w:rPr>
        <w:t>surgically constructed pouch</w:t>
      </w:r>
      <w:r w:rsidR="005009D3" w:rsidRPr="00F55938">
        <w:rPr>
          <w:rFonts w:asciiTheme="minorHAnsi" w:hAnsiTheme="minorHAnsi"/>
          <w:snapToGrid w:val="0"/>
        </w:rPr>
        <w:t xml:space="preserve">. </w:t>
      </w:r>
      <w:r w:rsidR="00B87769" w:rsidRPr="00F55938">
        <w:rPr>
          <w:lang w:val="en-US"/>
        </w:rPr>
        <w:t>Restorative proctocolectomy with IPAA is a surgical procedure</w:t>
      </w:r>
      <w:r w:rsidR="00B87769" w:rsidRPr="00F55938">
        <w:rPr>
          <w:rFonts w:asciiTheme="minorHAnsi" w:hAnsiTheme="minorHAnsi"/>
          <w:snapToGrid w:val="0"/>
        </w:rPr>
        <w:t xml:space="preserve"> </w:t>
      </w:r>
      <w:r w:rsidR="008231E3" w:rsidRPr="00F55938">
        <w:rPr>
          <w:rFonts w:asciiTheme="minorHAnsi" w:hAnsiTheme="minorHAnsi"/>
          <w:snapToGrid w:val="0"/>
        </w:rPr>
        <w:t xml:space="preserve">performed </w:t>
      </w:r>
      <w:r w:rsidR="005009D3" w:rsidRPr="00F55938">
        <w:rPr>
          <w:rFonts w:asciiTheme="minorHAnsi" w:hAnsiTheme="minorHAnsi"/>
          <w:snapToGrid w:val="0"/>
        </w:rPr>
        <w:t>to restore gastrointestinal continuity after removal of the colon and rectum, by creating an ileal pouch reservoir to aid stool retention.</w:t>
      </w:r>
      <w:r w:rsidR="008231E3" w:rsidRPr="00F55938">
        <w:rPr>
          <w:rStyle w:val="FootnoteReference"/>
          <w:rFonts w:asciiTheme="minorHAnsi" w:hAnsiTheme="minorHAnsi"/>
          <w:snapToGrid w:val="0"/>
        </w:rPr>
        <w:footnoteReference w:id="8"/>
      </w:r>
      <w:r w:rsidR="005009D3" w:rsidRPr="00F55938">
        <w:rPr>
          <w:rFonts w:asciiTheme="minorHAnsi" w:hAnsiTheme="minorHAnsi"/>
          <w:snapToGrid w:val="0"/>
        </w:rPr>
        <w:t xml:space="preserve"> The aim </w:t>
      </w:r>
      <w:r w:rsidR="001946B4" w:rsidRPr="00F55938">
        <w:rPr>
          <w:rFonts w:asciiTheme="minorHAnsi" w:hAnsiTheme="minorHAnsi"/>
          <w:snapToGrid w:val="0"/>
        </w:rPr>
        <w:t xml:space="preserve">of the IPAA surgery is to definitively cure disease and prevent malignant degeneration, while maintaining continence and avoiding a permanent stoma. </w:t>
      </w:r>
      <w:r w:rsidR="000C0C7D" w:rsidRPr="00F55938">
        <w:rPr>
          <w:rFonts w:asciiTheme="minorHAnsi" w:hAnsiTheme="minorHAnsi"/>
          <w:snapToGrid w:val="0"/>
        </w:rPr>
        <w:t xml:space="preserve">The ESC noted the number of proctocolectomies and IPAAs for UC performed in Australia may have decreased over time (refer to </w:t>
      </w:r>
      <w:r w:rsidR="000C0C7D" w:rsidRPr="00F55938">
        <w:rPr>
          <w:rFonts w:asciiTheme="minorHAnsi" w:hAnsiTheme="minorHAnsi"/>
          <w:snapToGrid w:val="0"/>
        </w:rPr>
        <w:fldChar w:fldCharType="begin" w:fldLock="1"/>
      </w:r>
      <w:r w:rsidR="000C0C7D" w:rsidRPr="00F55938">
        <w:rPr>
          <w:rFonts w:asciiTheme="minorHAnsi" w:hAnsiTheme="minorHAnsi"/>
          <w:snapToGrid w:val="0"/>
        </w:rPr>
        <w:instrText xml:space="preserve"> REF _Ref164422093 \h  \* MERGEFORMAT </w:instrText>
      </w:r>
      <w:r w:rsidR="000C0C7D" w:rsidRPr="00F55938">
        <w:rPr>
          <w:rFonts w:asciiTheme="minorHAnsi" w:hAnsiTheme="minorHAnsi"/>
          <w:snapToGrid w:val="0"/>
        </w:rPr>
      </w:r>
      <w:r w:rsidR="000C0C7D" w:rsidRPr="00F55938">
        <w:rPr>
          <w:rFonts w:asciiTheme="minorHAnsi" w:hAnsiTheme="minorHAnsi"/>
          <w:snapToGrid w:val="0"/>
        </w:rPr>
        <w:fldChar w:fldCharType="separate"/>
      </w:r>
      <w:r w:rsidR="00DC7CC4" w:rsidRPr="00DC7CC4">
        <w:rPr>
          <w:rFonts w:asciiTheme="minorHAnsi" w:hAnsiTheme="minorHAnsi"/>
          <w:snapToGrid w:val="0"/>
        </w:rPr>
        <w:t>Table 15</w:t>
      </w:r>
      <w:r w:rsidR="000C0C7D" w:rsidRPr="00F55938">
        <w:rPr>
          <w:rFonts w:asciiTheme="minorHAnsi" w:hAnsiTheme="minorHAnsi"/>
          <w:snapToGrid w:val="0"/>
        </w:rPr>
        <w:fldChar w:fldCharType="end"/>
      </w:r>
      <w:r w:rsidR="000C0C7D" w:rsidRPr="00F55938">
        <w:rPr>
          <w:rFonts w:asciiTheme="minorHAnsi" w:hAnsiTheme="minorHAnsi"/>
          <w:snapToGrid w:val="0"/>
        </w:rPr>
        <w:t xml:space="preserve">), which may be due to the availability of effective biologics for earlier stages of ulcerative colitis. </w:t>
      </w:r>
    </w:p>
    <w:p w14:paraId="490A13D7" w14:textId="4FCBF6E8" w:rsidR="007F5816" w:rsidRPr="00F55938" w:rsidRDefault="001946B4" w:rsidP="008063E6">
      <w:pPr>
        <w:numPr>
          <w:ilvl w:val="1"/>
          <w:numId w:val="1"/>
        </w:numPr>
        <w:spacing w:after="120"/>
        <w:rPr>
          <w:rFonts w:asciiTheme="minorHAnsi" w:hAnsiTheme="minorHAnsi"/>
          <w:snapToGrid w:val="0"/>
        </w:rPr>
      </w:pPr>
      <w:r w:rsidRPr="00F55938">
        <w:rPr>
          <w:rFonts w:asciiTheme="minorHAnsi" w:hAnsiTheme="minorHAnsi"/>
          <w:snapToGrid w:val="0"/>
        </w:rPr>
        <w:t xml:space="preserve">Pouchitis </w:t>
      </w:r>
      <w:r w:rsidR="007F5816" w:rsidRPr="00F55938">
        <w:rPr>
          <w:rFonts w:asciiTheme="minorHAnsi" w:hAnsiTheme="minorHAnsi"/>
          <w:snapToGrid w:val="0"/>
        </w:rPr>
        <w:t xml:space="preserve">is the most common complication in </w:t>
      </w:r>
      <w:r w:rsidR="00AD784A" w:rsidRPr="00F55938">
        <w:rPr>
          <w:rFonts w:asciiTheme="minorHAnsi" w:hAnsiTheme="minorHAnsi"/>
          <w:snapToGrid w:val="0"/>
        </w:rPr>
        <w:t xml:space="preserve">patients </w:t>
      </w:r>
      <w:r w:rsidR="00AD784A">
        <w:rPr>
          <w:rFonts w:asciiTheme="minorHAnsi" w:hAnsiTheme="minorHAnsi"/>
          <w:snapToGrid w:val="0"/>
        </w:rPr>
        <w:t xml:space="preserve">with </w:t>
      </w:r>
      <w:r w:rsidR="007F5816" w:rsidRPr="00F55938">
        <w:rPr>
          <w:rFonts w:asciiTheme="minorHAnsi" w:hAnsiTheme="minorHAnsi"/>
          <w:snapToGrid w:val="0"/>
        </w:rPr>
        <w:t>UC who have undergone the IPAA procedure.</w:t>
      </w:r>
      <w:r w:rsidR="007F5816" w:rsidRPr="00F55938">
        <w:rPr>
          <w:rFonts w:asciiTheme="minorHAnsi" w:hAnsiTheme="minorHAnsi"/>
          <w:snapToGrid w:val="0"/>
          <w:vertAlign w:val="superscript"/>
        </w:rPr>
        <w:footnoteReference w:id="9"/>
      </w:r>
      <w:r w:rsidR="007F5816" w:rsidRPr="00F55938">
        <w:rPr>
          <w:rFonts w:asciiTheme="minorHAnsi" w:hAnsiTheme="minorHAnsi"/>
          <w:snapToGrid w:val="0"/>
        </w:rPr>
        <w:t xml:space="preserve"> Among patients who have undergone an IPAA, the reported incidence of pouchitis ranges from 20 to 50%.</w:t>
      </w:r>
      <w:r w:rsidR="007F5816" w:rsidRPr="00F55938">
        <w:rPr>
          <w:rFonts w:asciiTheme="minorHAnsi" w:hAnsiTheme="minorHAnsi"/>
          <w:snapToGrid w:val="0"/>
          <w:vertAlign w:val="superscript"/>
        </w:rPr>
        <w:footnoteReference w:id="10"/>
      </w:r>
      <w:r w:rsidR="007F5816" w:rsidRPr="00F55938">
        <w:rPr>
          <w:rFonts w:asciiTheme="minorHAnsi" w:hAnsiTheme="minorHAnsi"/>
          <w:snapToGrid w:val="0"/>
          <w:vertAlign w:val="superscript"/>
        </w:rPr>
        <w:t>,</w:t>
      </w:r>
      <w:r w:rsidR="007F5816" w:rsidRPr="00F55938">
        <w:rPr>
          <w:rFonts w:asciiTheme="minorHAnsi" w:hAnsiTheme="minorHAnsi"/>
          <w:snapToGrid w:val="0"/>
          <w:vertAlign w:val="superscript"/>
        </w:rPr>
        <w:footnoteReference w:id="11"/>
      </w:r>
      <w:r w:rsidR="007F5816" w:rsidRPr="00F55938">
        <w:rPr>
          <w:rFonts w:asciiTheme="minorHAnsi" w:hAnsiTheme="minorHAnsi"/>
          <w:snapToGrid w:val="0"/>
          <w:vertAlign w:val="superscript"/>
        </w:rPr>
        <w:t xml:space="preserve"> </w:t>
      </w:r>
      <w:r w:rsidR="007F5816" w:rsidRPr="00F55938">
        <w:rPr>
          <w:rFonts w:asciiTheme="minorHAnsi" w:hAnsiTheme="minorHAnsi"/>
          <w:snapToGrid w:val="0"/>
          <w:vertAlign w:val="superscript"/>
        </w:rPr>
        <w:footnoteReference w:id="12"/>
      </w:r>
      <w:r w:rsidR="007F5816" w:rsidRPr="00F55938">
        <w:rPr>
          <w:rFonts w:asciiTheme="minorHAnsi" w:hAnsiTheme="minorHAnsi"/>
          <w:snapToGrid w:val="0"/>
          <w:vertAlign w:val="superscript"/>
        </w:rPr>
        <w:t>,</w:t>
      </w:r>
      <w:r w:rsidR="007F5816" w:rsidRPr="00F55938">
        <w:rPr>
          <w:rFonts w:asciiTheme="minorHAnsi" w:hAnsiTheme="minorHAnsi"/>
          <w:snapToGrid w:val="0"/>
          <w:vertAlign w:val="superscript"/>
        </w:rPr>
        <w:footnoteReference w:id="13"/>
      </w:r>
      <w:r w:rsidR="007F5816" w:rsidRPr="00F55938">
        <w:rPr>
          <w:rFonts w:asciiTheme="minorHAnsi" w:hAnsiTheme="minorHAnsi"/>
          <w:snapToGrid w:val="0"/>
        </w:rPr>
        <w:t xml:space="preserve"> The reported rate of acute pouchitis from a single Australian institution study was 42.3% among patients who have undergone an IPAA, with 8.7% of patients developing chronic pouchitis.</w:t>
      </w:r>
      <w:r w:rsidR="007F5816" w:rsidRPr="00F55938">
        <w:rPr>
          <w:rFonts w:asciiTheme="minorHAnsi" w:hAnsiTheme="minorHAnsi"/>
          <w:snapToGrid w:val="0"/>
          <w:vertAlign w:val="superscript"/>
        </w:rPr>
        <w:footnoteReference w:id="14"/>
      </w:r>
      <w:r w:rsidR="007F5816" w:rsidRPr="00F55938">
        <w:rPr>
          <w:rFonts w:asciiTheme="minorHAnsi" w:hAnsiTheme="minorHAnsi"/>
          <w:snapToGrid w:val="0"/>
        </w:rPr>
        <w:t xml:space="preserve"> </w:t>
      </w:r>
    </w:p>
    <w:p w14:paraId="22A7F6D9" w14:textId="77777777" w:rsidR="007F5816" w:rsidRPr="00A27065" w:rsidRDefault="007F5816" w:rsidP="007F5816">
      <w:pPr>
        <w:numPr>
          <w:ilvl w:val="1"/>
          <w:numId w:val="1"/>
        </w:numPr>
        <w:spacing w:after="120"/>
        <w:rPr>
          <w:rFonts w:asciiTheme="minorHAnsi" w:hAnsiTheme="minorHAnsi"/>
          <w:snapToGrid w:val="0"/>
        </w:rPr>
      </w:pPr>
      <w:r w:rsidRPr="00A27065">
        <w:rPr>
          <w:rFonts w:asciiTheme="minorHAnsi" w:hAnsiTheme="minorHAnsi"/>
          <w:snapToGrid w:val="0"/>
        </w:rPr>
        <w:t>Pouchitis is characterised by frequent, watery, sometimes bloody stools associated with urgency, incontinence, abdominal cramps, malaise, and fever.</w:t>
      </w:r>
      <w:r w:rsidRPr="00A27065">
        <w:rPr>
          <w:rFonts w:asciiTheme="minorHAnsi" w:hAnsiTheme="minorHAnsi"/>
          <w:snapToGrid w:val="0"/>
          <w:vertAlign w:val="superscript"/>
        </w:rPr>
        <w:t>2,</w:t>
      </w:r>
      <w:r w:rsidRPr="00A27065">
        <w:rPr>
          <w:rFonts w:asciiTheme="minorHAnsi" w:hAnsiTheme="minorHAnsi"/>
          <w:snapToGrid w:val="0"/>
          <w:vertAlign w:val="superscript"/>
        </w:rPr>
        <w:footnoteReference w:id="15"/>
      </w:r>
      <w:r w:rsidRPr="00A27065">
        <w:rPr>
          <w:rFonts w:asciiTheme="minorHAnsi" w:hAnsiTheme="minorHAnsi"/>
          <w:snapToGrid w:val="0"/>
        </w:rPr>
        <w:t xml:space="preserve"> Disease activity is difficult to classify but has been described as (1) remission (no active pouchitis), (2) mildly to moderately active (increased stool frequency, urgency, infrequent incontinence), or (3) severely active (hospitalisation for dehydration, frequent incontinence).</w:t>
      </w:r>
      <w:r w:rsidRPr="00A27065">
        <w:rPr>
          <w:rFonts w:asciiTheme="minorHAnsi" w:hAnsiTheme="minorHAnsi"/>
          <w:snapToGrid w:val="0"/>
          <w:vertAlign w:val="superscript"/>
        </w:rPr>
        <w:footnoteReference w:id="16"/>
      </w:r>
    </w:p>
    <w:p w14:paraId="20B5B136" w14:textId="7AF8CD3B" w:rsidR="007F5816" w:rsidRPr="00A27065" w:rsidRDefault="007F5816" w:rsidP="007F5816">
      <w:pPr>
        <w:numPr>
          <w:ilvl w:val="1"/>
          <w:numId w:val="1"/>
        </w:numPr>
        <w:spacing w:after="120"/>
        <w:rPr>
          <w:rFonts w:asciiTheme="minorHAnsi" w:hAnsiTheme="minorHAnsi"/>
          <w:snapToGrid w:val="0"/>
          <w:lang w:val="en-US"/>
        </w:rPr>
      </w:pPr>
      <w:r w:rsidRPr="00A27065">
        <w:rPr>
          <w:rFonts w:asciiTheme="minorHAnsi" w:hAnsiTheme="minorHAnsi"/>
          <w:snapToGrid w:val="0"/>
        </w:rPr>
        <w:t xml:space="preserve">Pouchitis has also been classified based on duration of pouch-related symptoms as either acute (&lt;4 weeks) or chronic (≥4 weeks). Acute pouchitis develops in up to 50% </w:t>
      </w:r>
      <w:r w:rsidRPr="00A27065">
        <w:rPr>
          <w:rFonts w:asciiTheme="minorHAnsi" w:hAnsiTheme="minorHAnsi"/>
          <w:snapToGrid w:val="0"/>
        </w:rPr>
        <w:lastRenderedPageBreak/>
        <w:t>of patients within 10 years of undergoing the IPAA procedure.</w:t>
      </w:r>
      <w:r w:rsidRPr="00A27065">
        <w:rPr>
          <w:rFonts w:asciiTheme="minorHAnsi" w:hAnsiTheme="minorHAnsi"/>
          <w:snapToGrid w:val="0"/>
          <w:vertAlign w:val="superscript"/>
        </w:rPr>
        <w:footnoteReference w:id="17"/>
      </w:r>
      <w:r w:rsidRPr="00A27065">
        <w:rPr>
          <w:rFonts w:asciiTheme="minorHAnsi" w:hAnsiTheme="minorHAnsi"/>
          <w:snapToGrid w:val="0"/>
        </w:rPr>
        <w:t xml:space="preserve"> Acute pouchitis usually responds to a single or several courses of antibiotic therapy, however 10% to 20% of patients with acute pouchitis may subsequently develop chronic pouchitis.</w:t>
      </w:r>
      <w:r w:rsidRPr="00A27065">
        <w:rPr>
          <w:rFonts w:asciiTheme="minorHAnsi" w:hAnsiTheme="minorHAnsi"/>
          <w:snapToGrid w:val="0"/>
          <w:vertAlign w:val="superscript"/>
        </w:rPr>
        <w:footnoteReference w:id="18"/>
      </w:r>
      <w:r w:rsidRPr="00A27065">
        <w:rPr>
          <w:rFonts w:asciiTheme="minorHAnsi" w:hAnsiTheme="minorHAnsi"/>
          <w:snapToGrid w:val="0"/>
        </w:rPr>
        <w:t xml:space="preserve"> Pouchitis can develop, based on the number of episodes and response to antibiotics, from acute antibiotic-responsive to chronic antibiotic-dependent pouchitis (CADP) (defined as ≥3 antibiotic-responsive episodes a year). In some patients, if the symptoms persist despite a course of more than four weeks of antibiotic therapy, pouchitis can become chronic antibiotic-refractory pouchitis (CARP).</w:t>
      </w:r>
      <w:r w:rsidRPr="00A27065">
        <w:rPr>
          <w:rFonts w:asciiTheme="minorHAnsi" w:hAnsiTheme="minorHAnsi"/>
          <w:snapToGrid w:val="0"/>
          <w:vertAlign w:val="superscript"/>
        </w:rPr>
        <w:t>13,</w:t>
      </w:r>
      <w:r w:rsidRPr="00A27065">
        <w:rPr>
          <w:rFonts w:asciiTheme="minorHAnsi" w:hAnsiTheme="minorHAnsi"/>
          <w:snapToGrid w:val="0"/>
          <w:vertAlign w:val="superscript"/>
        </w:rPr>
        <w:footnoteReference w:id="19"/>
      </w:r>
    </w:p>
    <w:p w14:paraId="755C17F1" w14:textId="5F08359B" w:rsidR="007F5816" w:rsidRPr="00A27065" w:rsidRDefault="007F5816" w:rsidP="007F5816">
      <w:pPr>
        <w:numPr>
          <w:ilvl w:val="1"/>
          <w:numId w:val="1"/>
        </w:numPr>
        <w:spacing w:after="120"/>
        <w:rPr>
          <w:rFonts w:asciiTheme="minorHAnsi" w:hAnsiTheme="minorHAnsi"/>
          <w:snapToGrid w:val="0"/>
        </w:rPr>
      </w:pPr>
      <w:r w:rsidRPr="00A27065">
        <w:rPr>
          <w:rFonts w:asciiTheme="minorHAnsi" w:hAnsiTheme="minorHAnsi"/>
          <w:snapToGrid w:val="0"/>
        </w:rPr>
        <w:t>The SOC treatment of chronic pouchitis generally includes antibiotics with a combination of 2 antibiotics agents (e.g., ciprofloxacin and metronidazole for over 4 weeks). Short-term corticosteroids followed by biologic agents in combination with antibiotics are proposed for patients who are intolerant to antibiotics or who are concerned about the risks of long-term antibiotic therapy and for patients with CARP. The American Gastroenterological Association (AGA)</w:t>
      </w:r>
      <w:r w:rsidR="003E3EB4" w:rsidRPr="00A27065">
        <w:rPr>
          <w:rStyle w:val="FootnoteReference"/>
          <w:rFonts w:asciiTheme="minorHAnsi" w:hAnsiTheme="minorHAnsi"/>
          <w:snapToGrid w:val="0"/>
        </w:rPr>
        <w:footnoteReference w:id="20"/>
      </w:r>
      <w:r w:rsidRPr="00A27065">
        <w:rPr>
          <w:rFonts w:asciiTheme="minorHAnsi" w:hAnsiTheme="minorHAnsi"/>
          <w:snapToGrid w:val="0"/>
        </w:rPr>
        <w:t xml:space="preserve"> guidelines mention use of advanced immunosuppressive therapies, including TNF–a antagonists (</w:t>
      </w:r>
      <w:r w:rsidR="0076715D" w:rsidRPr="00A27065">
        <w:rPr>
          <w:rFonts w:asciiTheme="minorHAnsi" w:hAnsiTheme="minorHAnsi"/>
          <w:snapToGrid w:val="0"/>
        </w:rPr>
        <w:t>i.e.</w:t>
      </w:r>
      <w:r w:rsidRPr="00A27065">
        <w:rPr>
          <w:rFonts w:asciiTheme="minorHAnsi" w:hAnsiTheme="minorHAnsi"/>
          <w:snapToGrid w:val="0"/>
        </w:rPr>
        <w:t>, infliximab, adalimumab, golimumab, certolizumab pegol), vedolizumab, ustekinumab, ozanimod, tofacitinib, and upadacitinib, that can be used alone or in combination with antibiotics for CADP and CARP patients.</w:t>
      </w:r>
      <w:r w:rsidR="00DD5FD7" w:rsidRPr="00A27065">
        <w:rPr>
          <w:rFonts w:asciiTheme="minorHAnsi" w:hAnsiTheme="minorHAnsi"/>
          <w:snapToGrid w:val="0"/>
        </w:rPr>
        <w:t xml:space="preserve"> The </w:t>
      </w:r>
      <w:r w:rsidR="00BC6D0A" w:rsidRPr="00A27065">
        <w:rPr>
          <w:rFonts w:asciiTheme="minorHAnsi" w:hAnsiTheme="minorHAnsi"/>
          <w:snapToGrid w:val="0"/>
        </w:rPr>
        <w:t xml:space="preserve">guidelines </w:t>
      </w:r>
      <w:r w:rsidR="002F6F27" w:rsidRPr="00A27065">
        <w:rPr>
          <w:rFonts w:asciiTheme="minorHAnsi" w:hAnsiTheme="minorHAnsi"/>
          <w:snapToGrid w:val="0"/>
        </w:rPr>
        <w:t xml:space="preserve">conditional recommendation described </w:t>
      </w:r>
      <w:r w:rsidR="00756725" w:rsidRPr="00A27065">
        <w:rPr>
          <w:rFonts w:asciiTheme="minorHAnsi" w:hAnsiTheme="minorHAnsi"/>
          <w:snapToGrid w:val="0"/>
        </w:rPr>
        <w:t>vedolizumab as low certainty of evidence and very lo</w:t>
      </w:r>
      <w:r w:rsidR="00C37CC9" w:rsidRPr="00A27065">
        <w:rPr>
          <w:rFonts w:asciiTheme="minorHAnsi" w:hAnsiTheme="minorHAnsi"/>
          <w:snapToGrid w:val="0"/>
        </w:rPr>
        <w:t xml:space="preserve">w for other advanced immunosuppressive therapies. </w:t>
      </w:r>
      <w:r w:rsidR="00377575" w:rsidRPr="00A27065">
        <w:rPr>
          <w:rFonts w:asciiTheme="minorHAnsi" w:hAnsiTheme="minorHAnsi"/>
          <w:snapToGrid w:val="0"/>
        </w:rPr>
        <w:t xml:space="preserve">Vedolizumab is the only biologic that is TGA-approved for the treatment of pouchitis, though others </w:t>
      </w:r>
      <w:r w:rsidR="00D76100" w:rsidRPr="00A27065">
        <w:rPr>
          <w:rFonts w:asciiTheme="minorHAnsi" w:hAnsiTheme="minorHAnsi"/>
          <w:snapToGrid w:val="0"/>
        </w:rPr>
        <w:t>may be used off-label in clinical practice</w:t>
      </w:r>
      <w:r w:rsidR="00377575" w:rsidRPr="00A27065">
        <w:rPr>
          <w:rFonts w:asciiTheme="minorHAnsi" w:hAnsiTheme="minorHAnsi"/>
          <w:snapToGrid w:val="0"/>
        </w:rPr>
        <w:t xml:space="preserve"> (e.g. adalimumab and infliximab)</w:t>
      </w:r>
      <w:r w:rsidR="00D76100" w:rsidRPr="00A27065">
        <w:rPr>
          <w:rFonts w:asciiTheme="minorHAnsi" w:hAnsiTheme="minorHAnsi"/>
          <w:snapToGrid w:val="0"/>
        </w:rPr>
        <w:t xml:space="preserve">. </w:t>
      </w:r>
    </w:p>
    <w:p w14:paraId="0E485BF1" w14:textId="141C19D5" w:rsidR="007F5816" w:rsidRPr="00A27065" w:rsidRDefault="007F5816" w:rsidP="00E37470">
      <w:pPr>
        <w:numPr>
          <w:ilvl w:val="1"/>
          <w:numId w:val="1"/>
        </w:numPr>
        <w:spacing w:after="120"/>
        <w:rPr>
          <w:rFonts w:asciiTheme="minorHAnsi" w:hAnsiTheme="minorHAnsi"/>
          <w:snapToGrid w:val="0"/>
        </w:rPr>
      </w:pPr>
      <w:r w:rsidRPr="00A27065">
        <w:rPr>
          <w:rFonts w:asciiTheme="minorHAnsi" w:hAnsiTheme="minorHAnsi"/>
          <w:snapToGrid w:val="0"/>
        </w:rPr>
        <w:t>Vedolizumab is proposed to be used in combination with SOC</w:t>
      </w:r>
      <w:r w:rsidR="00457D81" w:rsidRPr="00A27065">
        <w:rPr>
          <w:rFonts w:asciiTheme="minorHAnsi" w:hAnsiTheme="minorHAnsi"/>
          <w:snapToGrid w:val="0"/>
        </w:rPr>
        <w:t>, which includes</w:t>
      </w:r>
      <w:r w:rsidRPr="00A27065">
        <w:rPr>
          <w:rFonts w:asciiTheme="minorHAnsi" w:hAnsiTheme="minorHAnsi"/>
          <w:snapToGrid w:val="0"/>
        </w:rPr>
        <w:t xml:space="preserve"> antibiotics. Vedolizumab is a gut-selective monoclonal antibody that specifically targets the α4β7 integrin. Vedolizumab blocks the interaction of α4β7 integrin with the mucosal addressin cell adhesion molecule-1, thereby inhibiting the migration of gut-homing T lymphocytes across the intestinal vascular endothelium and consequently reducing intestinal inflammation.</w:t>
      </w:r>
    </w:p>
    <w:p w14:paraId="6A6DA025" w14:textId="77777777" w:rsidR="00F55938" w:rsidRPr="00C33D30" w:rsidRDefault="00F55938" w:rsidP="00F55938">
      <w:pPr>
        <w:ind w:firstLine="709"/>
        <w:rPr>
          <w:rFonts w:asciiTheme="minorHAnsi" w:hAnsiTheme="minorHAnsi"/>
          <w:i/>
        </w:rPr>
      </w:pPr>
      <w:r w:rsidRPr="00C33D30">
        <w:rPr>
          <w:rFonts w:asciiTheme="minorHAnsi" w:hAnsiTheme="minorHAnsi"/>
          <w:i/>
        </w:rPr>
        <w:t>For more detail on PBAC’s view, see section 7 PBAC outcome.</w:t>
      </w:r>
    </w:p>
    <w:p w14:paraId="3FF3F38E" w14:textId="77777777" w:rsidR="007F5816" w:rsidRPr="007F5816" w:rsidRDefault="007F5816" w:rsidP="00945246">
      <w:pPr>
        <w:pStyle w:val="2-SectionHeading"/>
        <w:rPr>
          <w:b w:val="0"/>
        </w:rPr>
      </w:pPr>
      <w:bookmarkStart w:id="29" w:name="_Toc107927624"/>
      <w:bookmarkStart w:id="30" w:name="_Toc167264516"/>
      <w:r w:rsidRPr="007F5816">
        <w:lastRenderedPageBreak/>
        <w:t>Comparator</w:t>
      </w:r>
      <w:bookmarkEnd w:id="29"/>
      <w:bookmarkEnd w:id="30"/>
    </w:p>
    <w:p w14:paraId="0CD35D6A" w14:textId="16100334" w:rsidR="007F5816" w:rsidRPr="00F55938" w:rsidRDefault="007F5816" w:rsidP="00E37470">
      <w:pPr>
        <w:numPr>
          <w:ilvl w:val="1"/>
          <w:numId w:val="1"/>
        </w:numPr>
        <w:spacing w:after="120"/>
        <w:rPr>
          <w:rFonts w:asciiTheme="minorHAnsi" w:hAnsiTheme="minorHAnsi"/>
          <w:lang w:val="en-US"/>
        </w:rPr>
      </w:pPr>
      <w:r w:rsidRPr="006B343C">
        <w:rPr>
          <w:rFonts w:asciiTheme="minorHAnsi" w:hAnsiTheme="minorHAnsi"/>
          <w:lang w:val="en-US"/>
        </w:rPr>
        <w:t xml:space="preserve">The submission nominated standard of care (SOC) as the main comparator. SOC includes the use of antibiotic therapy (additional to the companion antibiotic with the initiation of vedolizumab), as required, for the treatment of flares. </w:t>
      </w:r>
      <w:r w:rsidR="00105904" w:rsidRPr="006B343C">
        <w:rPr>
          <w:rFonts w:asciiTheme="minorHAnsi" w:hAnsiTheme="minorHAnsi"/>
          <w:lang w:val="en-US"/>
        </w:rPr>
        <w:t>The submission stated that a</w:t>
      </w:r>
      <w:r w:rsidRPr="006B343C">
        <w:rPr>
          <w:rFonts w:asciiTheme="minorHAnsi" w:hAnsiTheme="minorHAnsi"/>
          <w:lang w:val="en-US"/>
        </w:rPr>
        <w:t xml:space="preserve">dditional supportive therapies for pouchitis may include the use of </w:t>
      </w:r>
      <w:bookmarkStart w:id="31" w:name="_Hlk167109669"/>
      <w:r w:rsidRPr="006B343C">
        <w:rPr>
          <w:rFonts w:asciiTheme="minorHAnsi" w:hAnsiTheme="minorHAnsi"/>
          <w:lang w:val="en-US"/>
        </w:rPr>
        <w:t xml:space="preserve">probiotics and anti-diarrheal </w:t>
      </w:r>
      <w:bookmarkEnd w:id="31"/>
      <w:r w:rsidRPr="006B343C">
        <w:rPr>
          <w:rFonts w:asciiTheme="minorHAnsi" w:hAnsiTheme="minorHAnsi"/>
          <w:lang w:val="en-US"/>
        </w:rPr>
        <w:t xml:space="preserve">treatments. </w:t>
      </w:r>
      <w:r w:rsidR="00B50A06" w:rsidRPr="006B343C">
        <w:rPr>
          <w:rFonts w:asciiTheme="minorHAnsi" w:hAnsiTheme="minorHAnsi"/>
          <w:lang w:val="en-US"/>
        </w:rPr>
        <w:t xml:space="preserve">Other supportive therapies </w:t>
      </w:r>
      <w:r w:rsidR="00C95B5A" w:rsidRPr="006B343C">
        <w:rPr>
          <w:rFonts w:asciiTheme="minorHAnsi" w:hAnsiTheme="minorHAnsi"/>
          <w:lang w:val="en-US"/>
        </w:rPr>
        <w:t xml:space="preserve">(not identified in the submission) </w:t>
      </w:r>
      <w:r w:rsidR="00FA059E" w:rsidRPr="006B343C">
        <w:rPr>
          <w:rFonts w:asciiTheme="minorHAnsi" w:hAnsiTheme="minorHAnsi"/>
          <w:lang w:val="en-US"/>
        </w:rPr>
        <w:t xml:space="preserve">that </w:t>
      </w:r>
      <w:r w:rsidR="00CE3841" w:rsidRPr="006B343C">
        <w:rPr>
          <w:rFonts w:asciiTheme="minorHAnsi" w:hAnsiTheme="minorHAnsi"/>
          <w:lang w:val="en-US"/>
        </w:rPr>
        <w:t>may also comprise S</w:t>
      </w:r>
      <w:r w:rsidR="00574057" w:rsidRPr="006B343C">
        <w:rPr>
          <w:rFonts w:asciiTheme="minorHAnsi" w:hAnsiTheme="minorHAnsi"/>
          <w:lang w:val="en-US"/>
        </w:rPr>
        <w:t xml:space="preserve">OC include </w:t>
      </w:r>
      <w:r w:rsidR="00B50A06" w:rsidRPr="006B343C">
        <w:rPr>
          <w:rFonts w:asciiTheme="minorHAnsi" w:hAnsiTheme="minorHAnsi"/>
        </w:rPr>
        <w:t>corticosteroids and advanced immunosuppressive therapies</w:t>
      </w:r>
      <w:r w:rsidR="00327886" w:rsidRPr="006B343C">
        <w:rPr>
          <w:rFonts w:asciiTheme="minorHAnsi" w:hAnsiTheme="minorHAnsi"/>
        </w:rPr>
        <w:t xml:space="preserve">. </w:t>
      </w:r>
      <w:r w:rsidRPr="006B343C">
        <w:rPr>
          <w:rFonts w:asciiTheme="minorHAnsi" w:hAnsiTheme="minorHAnsi"/>
          <w:lang w:val="en-US"/>
        </w:rPr>
        <w:t xml:space="preserve">There are currently no </w:t>
      </w:r>
      <w:r w:rsidRPr="006B343C">
        <w:rPr>
          <w:rFonts w:asciiTheme="minorHAnsi" w:hAnsiTheme="minorHAnsi"/>
          <w:snapToGrid w:val="0"/>
        </w:rPr>
        <w:t>TGA approved therapies specific for the treatment of chronic pouchitis other than vedolizumab.</w:t>
      </w:r>
      <w:r w:rsidR="00F55938">
        <w:rPr>
          <w:rFonts w:asciiTheme="minorHAnsi" w:hAnsiTheme="minorHAnsi"/>
          <w:snapToGrid w:val="0"/>
        </w:rPr>
        <w:t xml:space="preserve"> </w:t>
      </w:r>
    </w:p>
    <w:p w14:paraId="64C25BFF" w14:textId="77777777" w:rsidR="00F55938" w:rsidRPr="00C33D30" w:rsidRDefault="00F55938" w:rsidP="00F55938">
      <w:pPr>
        <w:ind w:firstLine="709"/>
        <w:rPr>
          <w:rFonts w:asciiTheme="minorHAnsi" w:hAnsiTheme="minorHAnsi"/>
          <w:i/>
        </w:rPr>
      </w:pPr>
      <w:r w:rsidRPr="00C33D30">
        <w:rPr>
          <w:rFonts w:asciiTheme="minorHAnsi" w:hAnsiTheme="minorHAnsi"/>
          <w:i/>
        </w:rPr>
        <w:t>For more detail on PBAC’s view, see section 7 PBAC outcome.</w:t>
      </w:r>
    </w:p>
    <w:p w14:paraId="33CE3588" w14:textId="77777777" w:rsidR="007F5816" w:rsidRPr="007F5816" w:rsidRDefault="007F5816" w:rsidP="00752497">
      <w:pPr>
        <w:pStyle w:val="2-SectionHeading"/>
      </w:pPr>
      <w:bookmarkStart w:id="32" w:name="_Toc107927625"/>
      <w:bookmarkStart w:id="33" w:name="_Toc167264517"/>
      <w:bookmarkStart w:id="34" w:name="_Toc22897640"/>
      <w:r w:rsidRPr="007F5816">
        <w:t>Consideration of the evidence</w:t>
      </w:r>
      <w:bookmarkEnd w:id="32"/>
      <w:bookmarkEnd w:id="33"/>
    </w:p>
    <w:p w14:paraId="05C025F9" w14:textId="77777777" w:rsidR="00F55938" w:rsidRPr="006E1229" w:rsidRDefault="00F55938" w:rsidP="005E1647">
      <w:pPr>
        <w:pStyle w:val="3-SubsectionHeading"/>
        <w:outlineLvl w:val="1"/>
        <w:rPr>
          <w:lang w:eastAsia="en-AU"/>
        </w:rPr>
      </w:pPr>
      <w:bookmarkStart w:id="35" w:name="_Hlk76375935"/>
      <w:bookmarkStart w:id="36" w:name="_Toc107927626"/>
      <w:bookmarkStart w:id="37" w:name="_Toc167264518"/>
      <w:r w:rsidRPr="006E1229">
        <w:rPr>
          <w:lang w:eastAsia="en-AU"/>
        </w:rPr>
        <w:t>Sponsor hearing</w:t>
      </w:r>
    </w:p>
    <w:p w14:paraId="377D6B91" w14:textId="4A64677E" w:rsidR="00F55938" w:rsidRPr="00F26FB5" w:rsidRDefault="00F55938" w:rsidP="001A66FE">
      <w:pPr>
        <w:widowControl w:val="0"/>
        <w:numPr>
          <w:ilvl w:val="1"/>
          <w:numId w:val="1"/>
        </w:numPr>
        <w:spacing w:after="120"/>
        <w:rPr>
          <w:rFonts w:asciiTheme="minorHAnsi" w:hAnsiTheme="minorHAnsi"/>
          <w:bCs/>
          <w:snapToGrid w:val="0"/>
        </w:rPr>
      </w:pPr>
      <w:bookmarkStart w:id="38" w:name="_Hlk76382586"/>
      <w:r w:rsidRPr="00F26FB5">
        <w:rPr>
          <w:rFonts w:asciiTheme="minorHAnsi" w:hAnsiTheme="minorHAnsi"/>
          <w:bCs/>
          <w:snapToGrid w:val="0"/>
        </w:rPr>
        <w:t xml:space="preserve">The sponsor requested a hearing for this item. </w:t>
      </w:r>
      <w:r w:rsidR="00CE6FB3" w:rsidRPr="00F26FB5">
        <w:rPr>
          <w:rFonts w:asciiTheme="minorHAnsi" w:hAnsiTheme="minorHAnsi"/>
          <w:bCs/>
          <w:snapToGrid w:val="0"/>
        </w:rPr>
        <w:t>The clinician outlined the</w:t>
      </w:r>
      <w:r w:rsidR="00F26FB5" w:rsidRPr="00F26FB5">
        <w:t xml:space="preserve"> </w:t>
      </w:r>
      <w:r w:rsidR="00F26FB5" w:rsidRPr="00F26FB5">
        <w:rPr>
          <w:bCs/>
        </w:rPr>
        <w:t>significant impact that chronic pouchitis can have on patient quality of life, and that the condition</w:t>
      </w:r>
      <w:r w:rsidR="00F26FB5">
        <w:rPr>
          <w:bCs/>
        </w:rPr>
        <w:t xml:space="preserve"> </w:t>
      </w:r>
      <w:r w:rsidR="00CE6FB3" w:rsidRPr="00F26FB5">
        <w:rPr>
          <w:rFonts w:asciiTheme="minorHAnsi" w:hAnsiTheme="minorHAnsi"/>
          <w:bCs/>
          <w:snapToGrid w:val="0"/>
        </w:rPr>
        <w:t xml:space="preserve">generally affects younger adults consistent with the median age of patients recruited in the EARNEST trial being 44 years. </w:t>
      </w:r>
      <w:r w:rsidRPr="00F26FB5">
        <w:rPr>
          <w:rFonts w:asciiTheme="minorHAnsi" w:hAnsiTheme="minorHAnsi"/>
          <w:bCs/>
          <w:snapToGrid w:val="0"/>
        </w:rPr>
        <w:t>The clinician discussed the</w:t>
      </w:r>
      <w:r w:rsidR="00CE6FB3" w:rsidRPr="00F26FB5">
        <w:rPr>
          <w:rFonts w:asciiTheme="minorHAnsi" w:hAnsiTheme="minorHAnsi"/>
          <w:bCs/>
          <w:snapToGrid w:val="0"/>
        </w:rPr>
        <w:t xml:space="preserve"> management of pouchitis including that vedolizumab is the only biologic agent with randomised controlled trial evidence </w:t>
      </w:r>
      <w:r w:rsidR="00F26FB5">
        <w:rPr>
          <w:rFonts w:asciiTheme="minorHAnsi" w:hAnsiTheme="minorHAnsi"/>
          <w:bCs/>
          <w:snapToGrid w:val="0"/>
        </w:rPr>
        <w:t>for</w:t>
      </w:r>
      <w:r w:rsidR="00CE6FB3" w:rsidRPr="00F26FB5">
        <w:rPr>
          <w:rFonts w:asciiTheme="minorHAnsi" w:hAnsiTheme="minorHAnsi"/>
          <w:bCs/>
          <w:snapToGrid w:val="0"/>
        </w:rPr>
        <w:t xml:space="preserve"> this condition. In response to questions, the clinician outlined that in </w:t>
      </w:r>
      <w:r w:rsidR="00F26FB5">
        <w:rPr>
          <w:rFonts w:asciiTheme="minorHAnsi" w:hAnsiTheme="minorHAnsi"/>
          <w:bCs/>
          <w:snapToGrid w:val="0"/>
        </w:rPr>
        <w:t xml:space="preserve">current </w:t>
      </w:r>
      <w:r w:rsidR="00CE6FB3" w:rsidRPr="00F26FB5">
        <w:rPr>
          <w:rFonts w:asciiTheme="minorHAnsi" w:hAnsiTheme="minorHAnsi"/>
          <w:bCs/>
          <w:snapToGrid w:val="0"/>
        </w:rPr>
        <w:t>practice, patients are monitored for response based on their symptoms</w:t>
      </w:r>
      <w:r w:rsidR="00663C2A">
        <w:rPr>
          <w:rFonts w:asciiTheme="minorHAnsi" w:hAnsiTheme="minorHAnsi"/>
          <w:bCs/>
          <w:snapToGrid w:val="0"/>
        </w:rPr>
        <w:t>. E</w:t>
      </w:r>
      <w:r w:rsidR="00CE6FB3" w:rsidRPr="00F26FB5">
        <w:rPr>
          <w:rFonts w:asciiTheme="minorHAnsi" w:hAnsiTheme="minorHAnsi"/>
          <w:bCs/>
          <w:snapToGrid w:val="0"/>
        </w:rPr>
        <w:t xml:space="preserve">ndoscopy </w:t>
      </w:r>
      <w:r w:rsidR="00663C2A">
        <w:rPr>
          <w:rFonts w:asciiTheme="minorHAnsi" w:hAnsiTheme="minorHAnsi"/>
          <w:bCs/>
          <w:snapToGrid w:val="0"/>
        </w:rPr>
        <w:t>is performed</w:t>
      </w:r>
      <w:r w:rsidR="00CE6FB3" w:rsidRPr="00F26FB5">
        <w:rPr>
          <w:rFonts w:asciiTheme="minorHAnsi" w:hAnsiTheme="minorHAnsi"/>
          <w:bCs/>
          <w:snapToGrid w:val="0"/>
        </w:rPr>
        <w:t xml:space="preserve"> to confirm remission, then </w:t>
      </w:r>
      <w:r w:rsidR="00663C2A">
        <w:rPr>
          <w:rFonts w:asciiTheme="minorHAnsi" w:hAnsiTheme="minorHAnsi"/>
          <w:bCs/>
          <w:snapToGrid w:val="0"/>
        </w:rPr>
        <w:t xml:space="preserve">used </w:t>
      </w:r>
      <w:r w:rsidR="000E2A87">
        <w:rPr>
          <w:rFonts w:asciiTheme="minorHAnsi" w:hAnsiTheme="minorHAnsi"/>
          <w:bCs/>
          <w:snapToGrid w:val="0"/>
        </w:rPr>
        <w:t xml:space="preserve">less frequently on an on-going basis </w:t>
      </w:r>
      <w:r w:rsidR="00663C2A">
        <w:rPr>
          <w:rFonts w:asciiTheme="minorHAnsi" w:hAnsiTheme="minorHAnsi"/>
          <w:bCs/>
          <w:snapToGrid w:val="0"/>
        </w:rPr>
        <w:t xml:space="preserve">for monitoring </w:t>
      </w:r>
      <w:r w:rsidR="000E2A87">
        <w:rPr>
          <w:rFonts w:asciiTheme="minorHAnsi" w:hAnsiTheme="minorHAnsi"/>
          <w:bCs/>
          <w:snapToGrid w:val="0"/>
        </w:rPr>
        <w:t xml:space="preserve">(e.g. </w:t>
      </w:r>
      <w:r w:rsidR="00CE6FB3" w:rsidRPr="00F26FB5">
        <w:rPr>
          <w:rFonts w:asciiTheme="minorHAnsi" w:hAnsiTheme="minorHAnsi"/>
          <w:bCs/>
          <w:snapToGrid w:val="0"/>
        </w:rPr>
        <w:t xml:space="preserve">generally every three years thereafter depending on other risk factors). The clinician outlined that vedolizumab would likely be used long-term in those patients who respond. Treatment breaks (with close monitoring) may be offered to patients who achieve histological remission. </w:t>
      </w:r>
      <w:r w:rsidRPr="00F26FB5">
        <w:rPr>
          <w:rFonts w:asciiTheme="minorHAnsi" w:hAnsiTheme="minorHAnsi"/>
          <w:bCs/>
          <w:snapToGrid w:val="0"/>
        </w:rPr>
        <w:t xml:space="preserve">The PBAC considered that the hearing was informative as it provided a clinical perspective on treating this uncommon </w:t>
      </w:r>
      <w:r w:rsidR="00CE6FB3" w:rsidRPr="00F26FB5">
        <w:rPr>
          <w:rFonts w:asciiTheme="minorHAnsi" w:hAnsiTheme="minorHAnsi"/>
          <w:bCs/>
          <w:snapToGrid w:val="0"/>
        </w:rPr>
        <w:t>condition</w:t>
      </w:r>
      <w:r w:rsidRPr="00F26FB5">
        <w:rPr>
          <w:rFonts w:asciiTheme="minorHAnsi" w:hAnsiTheme="minorHAnsi"/>
          <w:bCs/>
          <w:snapToGrid w:val="0"/>
        </w:rPr>
        <w:t>.</w:t>
      </w:r>
    </w:p>
    <w:bookmarkEnd w:id="38"/>
    <w:p w14:paraId="67B512EC" w14:textId="77777777" w:rsidR="00F55938" w:rsidRPr="006E1229" w:rsidRDefault="00F55938" w:rsidP="005E1647">
      <w:pPr>
        <w:pStyle w:val="3-SubsectionHeading"/>
        <w:outlineLvl w:val="1"/>
        <w:rPr>
          <w:lang w:eastAsia="en-AU"/>
        </w:rPr>
      </w:pPr>
      <w:r w:rsidRPr="006E1229">
        <w:rPr>
          <w:lang w:eastAsia="en-AU"/>
        </w:rPr>
        <w:t>Consumer comments</w:t>
      </w:r>
    </w:p>
    <w:p w14:paraId="0CF6D9C4" w14:textId="4C8E08A4" w:rsidR="0004791E" w:rsidRDefault="00F55938" w:rsidP="00EB45D2">
      <w:pPr>
        <w:pStyle w:val="3-BodyText"/>
      </w:pPr>
      <w:bookmarkStart w:id="39" w:name="_Hlk76382618"/>
      <w:r w:rsidRPr="00836F75">
        <w:t xml:space="preserve">The PBAC noted and welcomed the input from </w:t>
      </w:r>
      <w:r w:rsidR="0004791E">
        <w:t>a</w:t>
      </w:r>
      <w:r w:rsidRPr="00836F75">
        <w:t xml:space="preserve"> health care professional and </w:t>
      </w:r>
      <w:r w:rsidR="0004791E">
        <w:t xml:space="preserve">an </w:t>
      </w:r>
      <w:r w:rsidRPr="00836F75">
        <w:t xml:space="preserve">organisation via the Consumer Comments facility on the PBS website. The </w:t>
      </w:r>
      <w:r w:rsidR="0004791E">
        <w:t>health care professional</w:t>
      </w:r>
      <w:r w:rsidRPr="00836F75">
        <w:t xml:space="preserve"> described the </w:t>
      </w:r>
      <w:r w:rsidR="0004791E" w:rsidRPr="0004791E">
        <w:rPr>
          <w:bCs/>
        </w:rPr>
        <w:t xml:space="preserve">significant morbidity associated with </w:t>
      </w:r>
      <w:r w:rsidR="0004791E">
        <w:t xml:space="preserve">chronic pouchitis and outlined </w:t>
      </w:r>
      <w:bookmarkStart w:id="40" w:name="_Hlk172283750"/>
      <w:r w:rsidR="0004791E">
        <w:t>that there are a</w:t>
      </w:r>
      <w:r w:rsidR="0004791E" w:rsidRPr="0004791E">
        <w:rPr>
          <w:bCs/>
        </w:rPr>
        <w:t xml:space="preserve"> proportion of patients who do not respond to current treatments.</w:t>
      </w:r>
      <w:r w:rsidR="0004791E" w:rsidRPr="0004791E">
        <w:t xml:space="preserve"> </w:t>
      </w:r>
      <w:bookmarkEnd w:id="40"/>
      <w:r w:rsidR="0004791E">
        <w:t>The comments also described the known and favourable safety profile of vedolizumab and the potential for improved quality of life</w:t>
      </w:r>
      <w:r w:rsidR="0004791E" w:rsidRPr="0004791E">
        <w:rPr>
          <w:bCs/>
        </w:rPr>
        <w:t xml:space="preserve"> and increased productivity</w:t>
      </w:r>
      <w:r w:rsidR="0004791E">
        <w:rPr>
          <w:bCs/>
        </w:rPr>
        <w:t xml:space="preserve"> with vedolizumab. </w:t>
      </w:r>
    </w:p>
    <w:p w14:paraId="35C475EE" w14:textId="3C9DAB10" w:rsidR="0004791E" w:rsidRPr="0004791E" w:rsidRDefault="00F55938" w:rsidP="00464387">
      <w:pPr>
        <w:pStyle w:val="3-BodyText"/>
        <w:rPr>
          <w:bCs/>
        </w:rPr>
      </w:pPr>
      <w:r w:rsidRPr="00836F75">
        <w:t xml:space="preserve">The PBAC noted the advice received from </w:t>
      </w:r>
      <w:r w:rsidR="0004791E">
        <w:t xml:space="preserve">Crohn’s and Colitis Australia that was supportive of the evidence provided in the submission. Evidence provided from a person living with pouchitis described the burden of symptoms on everyday life (e.g. </w:t>
      </w:r>
      <w:r w:rsidR="0004791E">
        <w:lastRenderedPageBreak/>
        <w:t xml:space="preserve">increased bowel motions, urgency, fatigue and lack of energy) and the need for alternative effective treatment options. </w:t>
      </w:r>
    </w:p>
    <w:bookmarkEnd w:id="35"/>
    <w:bookmarkEnd w:id="39"/>
    <w:p w14:paraId="08E85FED" w14:textId="77777777" w:rsidR="007F5816" w:rsidRPr="007F5816" w:rsidRDefault="007F5816" w:rsidP="009D0558">
      <w:pPr>
        <w:pStyle w:val="4-SubsectionHeading"/>
        <w:keepNext w:val="0"/>
      </w:pPr>
      <w:r w:rsidRPr="007F5816">
        <w:t xml:space="preserve">Clinical </w:t>
      </w:r>
      <w:bookmarkEnd w:id="34"/>
      <w:bookmarkEnd w:id="36"/>
      <w:r w:rsidRPr="007F5816">
        <w:t>trials</w:t>
      </w:r>
      <w:bookmarkEnd w:id="37"/>
    </w:p>
    <w:p w14:paraId="55B4BF71" w14:textId="3FBFEAF1"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The submission was based on one head-to-head trial comparing VEDO + SOC to PBO + SOC (N=102): EARNEST. </w:t>
      </w:r>
    </w:p>
    <w:p w14:paraId="122142AC" w14:textId="7BCDBA1A"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lang w:val="en-US"/>
        </w:rPr>
        <w:t xml:space="preserve">Details of the trial presented in the submission are provided </w:t>
      </w:r>
      <w:r w:rsidRPr="006B343C">
        <w:rPr>
          <w:rStyle w:val="3-BodyTextChar"/>
        </w:rPr>
        <w:t xml:space="preserve">in </w:t>
      </w:r>
      <w:r w:rsidRPr="006B343C">
        <w:rPr>
          <w:rStyle w:val="3-BodyTextChar"/>
        </w:rPr>
        <w:fldChar w:fldCharType="begin" w:fldLock="1"/>
      </w:r>
      <w:r w:rsidRPr="006B343C">
        <w:rPr>
          <w:rStyle w:val="3-BodyTextChar"/>
        </w:rPr>
        <w:instrText xml:space="preserve"> REF _Ref104803956 \h </w:instrText>
      </w:r>
      <w:r w:rsidR="00272FF2" w:rsidRPr="006B343C">
        <w:rPr>
          <w:rStyle w:val="3-BodyTextChar"/>
        </w:rPr>
        <w:instrText xml:space="preserve"> \* MERGEFORMAT </w:instrText>
      </w:r>
      <w:r w:rsidRPr="006B343C">
        <w:rPr>
          <w:rStyle w:val="3-BodyTextChar"/>
        </w:rPr>
      </w:r>
      <w:r w:rsidRPr="006B343C">
        <w:rPr>
          <w:rStyle w:val="3-BodyTextChar"/>
        </w:rPr>
        <w:fldChar w:fldCharType="separate"/>
      </w:r>
      <w:r w:rsidR="00DC7CC4" w:rsidRPr="00DC7CC4">
        <w:rPr>
          <w:rStyle w:val="3-BodyTextChar"/>
        </w:rPr>
        <w:t>Table 3</w:t>
      </w:r>
      <w:r w:rsidRPr="006B343C">
        <w:rPr>
          <w:rStyle w:val="3-BodyTextChar"/>
        </w:rPr>
        <w:fldChar w:fldCharType="end"/>
      </w:r>
      <w:r w:rsidRPr="006B343C">
        <w:rPr>
          <w:rStyle w:val="3-BodyTextChar"/>
        </w:rPr>
        <w:t>.</w:t>
      </w:r>
      <w:r w:rsidRPr="006B343C">
        <w:rPr>
          <w:rFonts w:asciiTheme="minorHAnsi" w:hAnsiTheme="minorHAnsi"/>
          <w:lang w:val="en-US"/>
        </w:rPr>
        <w:t xml:space="preserve"> </w:t>
      </w:r>
    </w:p>
    <w:p w14:paraId="21077430" w14:textId="7918F2F5" w:rsidR="007F5816" w:rsidRPr="006B343C" w:rsidRDefault="007F5816" w:rsidP="00663C2A">
      <w:pPr>
        <w:jc w:val="left"/>
        <w:rPr>
          <w:rFonts w:ascii="Arial Narrow" w:eastAsiaTheme="majorEastAsia" w:hAnsi="Arial Narrow" w:cstheme="majorBidi"/>
          <w:b/>
          <w:bCs/>
          <w:sz w:val="20"/>
        </w:rPr>
      </w:pPr>
      <w:bookmarkStart w:id="41" w:name="_Ref104803956"/>
      <w:r w:rsidRPr="006B343C">
        <w:rPr>
          <w:rFonts w:ascii="Arial Narrow" w:eastAsiaTheme="majorEastAsia" w:hAnsi="Arial Narrow" w:cstheme="majorBidi"/>
          <w:b/>
          <w:bCs/>
          <w:sz w:val="20"/>
        </w:rPr>
        <w:t xml:space="preserve">Table </w:t>
      </w:r>
      <w:r w:rsidRPr="006B343C">
        <w:rPr>
          <w:rFonts w:ascii="Arial Narrow" w:eastAsiaTheme="majorEastAsia" w:hAnsi="Arial Narrow" w:cstheme="majorBidi"/>
          <w:b/>
          <w:bCs/>
          <w:sz w:val="20"/>
        </w:rPr>
        <w:fldChar w:fldCharType="begin" w:fldLock="1"/>
      </w:r>
      <w:r w:rsidRPr="006B343C">
        <w:rPr>
          <w:rFonts w:ascii="Arial Narrow" w:eastAsiaTheme="majorEastAsia" w:hAnsi="Arial Narrow" w:cstheme="majorBidi"/>
          <w:b/>
          <w:bCs/>
          <w:sz w:val="20"/>
        </w:rPr>
        <w:instrText xml:space="preserve"> SEQ Table \* ARABIC </w:instrText>
      </w:r>
      <w:r w:rsidRPr="006B343C">
        <w:rPr>
          <w:rFonts w:ascii="Arial Narrow" w:eastAsiaTheme="majorEastAsia" w:hAnsi="Arial Narrow" w:cstheme="majorBidi"/>
          <w:b/>
          <w:bCs/>
          <w:sz w:val="20"/>
        </w:rPr>
        <w:fldChar w:fldCharType="separate"/>
      </w:r>
      <w:r w:rsidR="00DC7CC4">
        <w:rPr>
          <w:rFonts w:ascii="Arial Narrow" w:eastAsiaTheme="majorEastAsia" w:hAnsi="Arial Narrow" w:cstheme="majorBidi"/>
          <w:b/>
          <w:bCs/>
          <w:noProof/>
          <w:sz w:val="20"/>
        </w:rPr>
        <w:t>3</w:t>
      </w:r>
      <w:r w:rsidRPr="006B343C">
        <w:rPr>
          <w:rFonts w:ascii="Arial Narrow" w:eastAsiaTheme="majorEastAsia" w:hAnsi="Arial Narrow" w:cstheme="majorBidi"/>
          <w:b/>
          <w:bCs/>
          <w:noProof/>
          <w:sz w:val="20"/>
        </w:rPr>
        <w:fldChar w:fldCharType="end"/>
      </w:r>
      <w:bookmarkEnd w:id="41"/>
      <w:r w:rsidRPr="006B343C">
        <w:rPr>
          <w:rFonts w:ascii="Arial Narrow" w:eastAsiaTheme="majorEastAsia" w:hAnsi="Arial Narrow" w:cstheme="majorBidi"/>
          <w:b/>
          <w:bCs/>
          <w:sz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4"/>
        <w:gridCol w:w="5055"/>
        <w:gridCol w:w="2528"/>
      </w:tblGrid>
      <w:tr w:rsidR="007F5816" w:rsidRPr="006B343C" w14:paraId="34B47AA4" w14:textId="77777777">
        <w:trPr>
          <w:cantSplit/>
          <w:tblHeader/>
        </w:trPr>
        <w:tc>
          <w:tcPr>
            <w:tcW w:w="795" w:type="pct"/>
            <w:vAlign w:val="center"/>
          </w:tcPr>
          <w:p w14:paraId="360115A7" w14:textId="77777777" w:rsidR="007F5816" w:rsidRPr="006B343C" w:rsidRDefault="007F5816" w:rsidP="00663C2A">
            <w:pPr>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Trial ID</w:t>
            </w:r>
          </w:p>
        </w:tc>
        <w:tc>
          <w:tcPr>
            <w:tcW w:w="2803" w:type="pct"/>
            <w:vAlign w:val="center"/>
          </w:tcPr>
          <w:p w14:paraId="62A874B1" w14:textId="77777777" w:rsidR="007F5816" w:rsidRPr="006B343C" w:rsidRDefault="007F5816" w:rsidP="00663C2A">
            <w:pPr>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Protocol title/ Publication title</w:t>
            </w:r>
          </w:p>
        </w:tc>
        <w:tc>
          <w:tcPr>
            <w:tcW w:w="1402" w:type="pct"/>
            <w:vAlign w:val="center"/>
          </w:tcPr>
          <w:p w14:paraId="7391A003" w14:textId="77777777" w:rsidR="007F5816" w:rsidRPr="006B343C" w:rsidRDefault="007F5816" w:rsidP="00663C2A">
            <w:pPr>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Publication citation</w:t>
            </w:r>
          </w:p>
        </w:tc>
      </w:tr>
      <w:tr w:rsidR="007F5816" w:rsidRPr="006B343C" w14:paraId="6E8317F4" w14:textId="77777777">
        <w:trPr>
          <w:cantSplit/>
        </w:trPr>
        <w:tc>
          <w:tcPr>
            <w:tcW w:w="795" w:type="pct"/>
            <w:vMerge w:val="restart"/>
            <w:vAlign w:val="center"/>
          </w:tcPr>
          <w:p w14:paraId="0AD1C09F" w14:textId="77777777" w:rsidR="007F5816" w:rsidRPr="006B343C" w:rsidRDefault="007F5816" w:rsidP="00663C2A">
            <w:pPr>
              <w:jc w:val="center"/>
              <w:rPr>
                <w:rFonts w:ascii="Arial Narrow" w:eastAsiaTheme="majorEastAsia" w:hAnsi="Arial Narrow" w:cstheme="majorBidi"/>
                <w:bCs/>
                <w:sz w:val="20"/>
                <w:szCs w:val="20"/>
              </w:rPr>
            </w:pPr>
            <w:r w:rsidRPr="006B343C">
              <w:rPr>
                <w:rFonts w:ascii="Arial Narrow" w:eastAsiaTheme="majorEastAsia" w:hAnsi="Arial Narrow" w:cstheme="majorBidi"/>
                <w:bCs/>
                <w:sz w:val="20"/>
              </w:rPr>
              <w:t>EARNEST NCT02790138</w:t>
            </w:r>
          </w:p>
          <w:p w14:paraId="2BD73B7A" w14:textId="77777777" w:rsidR="007F5816" w:rsidRPr="006B343C" w:rsidRDefault="007F5816" w:rsidP="00663C2A">
            <w:pPr>
              <w:jc w:val="left"/>
              <w:rPr>
                <w:rFonts w:ascii="Arial Narrow" w:eastAsiaTheme="majorEastAsia" w:hAnsi="Arial Narrow" w:cstheme="majorBidi"/>
                <w:bCs/>
                <w:sz w:val="20"/>
                <w:szCs w:val="20"/>
              </w:rPr>
            </w:pPr>
          </w:p>
        </w:tc>
        <w:tc>
          <w:tcPr>
            <w:tcW w:w="2803" w:type="pct"/>
            <w:tcBorders>
              <w:bottom w:val="nil"/>
            </w:tcBorders>
            <w:vAlign w:val="center"/>
          </w:tcPr>
          <w:p w14:paraId="7B117522" w14:textId="77777777" w:rsidR="007F5816" w:rsidRPr="006B343C" w:rsidRDefault="007F5816" w:rsidP="00663C2A">
            <w:pPr>
              <w:jc w:val="left"/>
              <w:rPr>
                <w:rFonts w:ascii="Arial Narrow" w:eastAsiaTheme="majorEastAsia" w:hAnsi="Arial Narrow" w:cstheme="majorBidi"/>
                <w:bCs/>
                <w:sz w:val="20"/>
              </w:rPr>
            </w:pPr>
            <w:r w:rsidRPr="006B343C">
              <w:rPr>
                <w:rFonts w:ascii="Arial Narrow" w:eastAsiaTheme="majorEastAsia" w:hAnsi="Arial Narrow" w:cstheme="majorBidi"/>
                <w:bCs/>
                <w:sz w:val="20"/>
                <w:szCs w:val="18"/>
              </w:rPr>
              <w:t>A Randomized, Double-Blind, Placebo-Controlled Phase 4 Study to Evaluate the Efficacy and Safety of ENTYVIO (Vedolizumab IV) in the Treatment of Chronic Pouchitis (EARNEST).</w:t>
            </w:r>
          </w:p>
        </w:tc>
        <w:tc>
          <w:tcPr>
            <w:tcW w:w="1402" w:type="pct"/>
            <w:tcBorders>
              <w:bottom w:val="nil"/>
            </w:tcBorders>
            <w:vAlign w:val="center"/>
          </w:tcPr>
          <w:p w14:paraId="67C793EF" w14:textId="77777777" w:rsidR="007F5816" w:rsidRPr="006B343C" w:rsidRDefault="007F5816" w:rsidP="00663C2A">
            <w:pPr>
              <w:jc w:val="left"/>
              <w:rPr>
                <w:rFonts w:ascii="Times" w:eastAsiaTheme="majorEastAsia" w:hAnsi="Times" w:cstheme="majorBidi"/>
                <w:bCs/>
                <w:sz w:val="20"/>
              </w:rPr>
            </w:pPr>
            <w:r w:rsidRPr="006B343C">
              <w:rPr>
                <w:rFonts w:ascii="Arial Narrow" w:eastAsiaTheme="majorEastAsia" w:hAnsi="Arial Narrow" w:cstheme="majorBidi"/>
                <w:bCs/>
                <w:sz w:val="20"/>
              </w:rPr>
              <w:t>June 2021</w:t>
            </w:r>
          </w:p>
        </w:tc>
      </w:tr>
      <w:tr w:rsidR="007F5816" w:rsidRPr="006B343C" w14:paraId="19049F44" w14:textId="77777777">
        <w:trPr>
          <w:cantSplit/>
        </w:trPr>
        <w:tc>
          <w:tcPr>
            <w:tcW w:w="795" w:type="pct"/>
            <w:vMerge/>
            <w:tcBorders>
              <w:bottom w:val="single" w:sz="4" w:space="0" w:color="auto"/>
            </w:tcBorders>
            <w:vAlign w:val="center"/>
          </w:tcPr>
          <w:p w14:paraId="363AED91" w14:textId="77777777" w:rsidR="007F5816" w:rsidRPr="006B343C" w:rsidRDefault="007F5816" w:rsidP="00663C2A">
            <w:pPr>
              <w:jc w:val="center"/>
              <w:rPr>
                <w:rFonts w:ascii="Arial Narrow" w:eastAsiaTheme="majorEastAsia" w:hAnsi="Arial Narrow" w:cstheme="majorBidi"/>
                <w:bCs/>
                <w:sz w:val="20"/>
              </w:rPr>
            </w:pPr>
          </w:p>
        </w:tc>
        <w:tc>
          <w:tcPr>
            <w:tcW w:w="2803" w:type="pct"/>
            <w:tcBorders>
              <w:top w:val="nil"/>
              <w:bottom w:val="single" w:sz="4" w:space="0" w:color="auto"/>
            </w:tcBorders>
            <w:vAlign w:val="center"/>
          </w:tcPr>
          <w:p w14:paraId="0DB8AC52" w14:textId="77777777" w:rsidR="007F5816" w:rsidRPr="006B343C" w:rsidRDefault="007F5816" w:rsidP="00663C2A">
            <w:pPr>
              <w:jc w:val="left"/>
              <w:rPr>
                <w:rFonts w:ascii="Arial Narrow" w:eastAsiaTheme="majorEastAsia" w:hAnsi="Arial Narrow" w:cstheme="majorBidi"/>
                <w:bCs/>
                <w:sz w:val="20"/>
              </w:rPr>
            </w:pPr>
            <w:r w:rsidRPr="006B343C">
              <w:rPr>
                <w:rFonts w:ascii="Arial Narrow" w:eastAsiaTheme="majorEastAsia" w:hAnsi="Arial Narrow" w:cstheme="majorBidi"/>
                <w:bCs/>
                <w:sz w:val="20"/>
                <w:szCs w:val="18"/>
              </w:rPr>
              <w:t>Travis S, Silverberg MS, Danese S et al. Vedolizumab for the treatment of chronic pouchitis.</w:t>
            </w:r>
          </w:p>
        </w:tc>
        <w:tc>
          <w:tcPr>
            <w:tcW w:w="1402" w:type="pct"/>
            <w:tcBorders>
              <w:top w:val="nil"/>
              <w:bottom w:val="single" w:sz="4" w:space="0" w:color="auto"/>
            </w:tcBorders>
            <w:vAlign w:val="center"/>
          </w:tcPr>
          <w:p w14:paraId="00B774B3" w14:textId="77777777" w:rsidR="007F5816" w:rsidRPr="006B343C" w:rsidRDefault="007F5816" w:rsidP="00663C2A">
            <w:pPr>
              <w:jc w:val="left"/>
              <w:rPr>
                <w:rFonts w:ascii="Arial Narrow" w:eastAsiaTheme="majorEastAsia" w:hAnsi="Arial Narrow" w:cstheme="majorBidi"/>
                <w:bCs/>
                <w:sz w:val="20"/>
              </w:rPr>
            </w:pPr>
            <w:r w:rsidRPr="006B343C">
              <w:rPr>
                <w:rFonts w:ascii="Arial Narrow" w:eastAsiaTheme="majorEastAsia" w:hAnsi="Arial Narrow" w:cstheme="majorBidi"/>
                <w:bCs/>
                <w:sz w:val="20"/>
                <w:szCs w:val="18"/>
              </w:rPr>
              <w:t>NEJM 2023; 388(13), 1191-1200</w:t>
            </w:r>
          </w:p>
        </w:tc>
      </w:tr>
    </w:tbl>
    <w:p w14:paraId="615EBBEF" w14:textId="74B027C4" w:rsidR="007F5816" w:rsidRPr="006B343C" w:rsidRDefault="007F5816" w:rsidP="00663C2A">
      <w:pPr>
        <w:spacing w:after="120"/>
        <w:contextualSpacing/>
        <w:rPr>
          <w:rFonts w:ascii="Arial Narrow" w:hAnsi="Arial Narrow"/>
          <w:snapToGrid w:val="0"/>
          <w:sz w:val="18"/>
          <w:szCs w:val="22"/>
        </w:rPr>
      </w:pPr>
      <w:r w:rsidRPr="006B343C">
        <w:rPr>
          <w:rFonts w:ascii="Arial Narrow" w:hAnsi="Arial Narrow"/>
          <w:snapToGrid w:val="0"/>
          <w:sz w:val="18"/>
          <w:szCs w:val="22"/>
        </w:rPr>
        <w:t>Source: Table 19of the submission.</w:t>
      </w:r>
    </w:p>
    <w:p w14:paraId="0A5CA911" w14:textId="22CEC87F" w:rsidR="009D0558" w:rsidRDefault="007F5816" w:rsidP="00663C2A">
      <w:pPr>
        <w:spacing w:after="120"/>
        <w:contextualSpacing/>
        <w:rPr>
          <w:rFonts w:ascii="Arial Narrow" w:hAnsi="Arial Narrow"/>
          <w:snapToGrid w:val="0"/>
          <w:sz w:val="18"/>
          <w:szCs w:val="22"/>
        </w:rPr>
      </w:pPr>
      <w:r w:rsidRPr="006B343C">
        <w:rPr>
          <w:rFonts w:ascii="Arial Narrow" w:hAnsi="Arial Narrow"/>
          <w:snapToGrid w:val="0"/>
          <w:sz w:val="18"/>
          <w:szCs w:val="22"/>
        </w:rPr>
        <w:t xml:space="preserve">Abbreviation: IV, intravenous; NEJM, New England Journal of Medicine. </w:t>
      </w:r>
    </w:p>
    <w:p w14:paraId="1FCE95E5" w14:textId="71E948F3" w:rsidR="00C26EF3" w:rsidRDefault="007F5816" w:rsidP="00663C2A">
      <w:pPr>
        <w:pStyle w:val="3-BodyText"/>
      </w:pPr>
      <w:r w:rsidRPr="006B343C">
        <w:t>The key features of the direct randomised trial are summarised in</w:t>
      </w:r>
      <w:r w:rsidR="00B9635B" w:rsidRPr="006B343C">
        <w:t xml:space="preserve"> </w:t>
      </w:r>
      <w:r w:rsidR="00B9635B" w:rsidRPr="006B343C">
        <w:fldChar w:fldCharType="begin" w:fldLock="1"/>
      </w:r>
      <w:r w:rsidR="00B9635B" w:rsidRPr="006B343C">
        <w:instrText xml:space="preserve"> REF _Ref164675694 \h  \* MERGEFORMAT </w:instrText>
      </w:r>
      <w:r w:rsidR="00B9635B" w:rsidRPr="006B343C">
        <w:fldChar w:fldCharType="separate"/>
      </w:r>
      <w:r w:rsidR="00DC7CC4" w:rsidRPr="00DC7CC4">
        <w:rPr>
          <w:rFonts w:eastAsiaTheme="majorEastAsia"/>
        </w:rPr>
        <w:t>Table 4</w:t>
      </w:r>
      <w:r w:rsidR="00B9635B" w:rsidRPr="006B343C">
        <w:fldChar w:fldCharType="end"/>
      </w:r>
      <w:r w:rsidRPr="006B343C">
        <w:t xml:space="preserve">. </w:t>
      </w:r>
    </w:p>
    <w:p w14:paraId="535925D1" w14:textId="3780CC2D" w:rsidR="007F5816" w:rsidRPr="006B343C" w:rsidRDefault="007F5816" w:rsidP="00663C2A">
      <w:pPr>
        <w:keepNext/>
        <w:keepLines/>
        <w:rPr>
          <w:rFonts w:ascii="Arial Narrow" w:eastAsiaTheme="majorEastAsia" w:hAnsi="Arial Narrow" w:cstheme="majorBidi"/>
          <w:b/>
          <w:bCs/>
          <w:sz w:val="20"/>
        </w:rPr>
      </w:pPr>
      <w:bookmarkStart w:id="42" w:name="_Ref104804098"/>
      <w:bookmarkStart w:id="43" w:name="_Ref164675694"/>
      <w:r w:rsidRPr="006B343C">
        <w:rPr>
          <w:rFonts w:ascii="Arial Narrow" w:eastAsiaTheme="majorEastAsia" w:hAnsi="Arial Narrow" w:cstheme="majorBidi"/>
          <w:b/>
          <w:bCs/>
          <w:sz w:val="20"/>
        </w:rPr>
        <w:t xml:space="preserve">Table </w:t>
      </w:r>
      <w:r w:rsidRPr="006B343C">
        <w:rPr>
          <w:rFonts w:ascii="Arial Narrow" w:eastAsiaTheme="majorEastAsia" w:hAnsi="Arial Narrow" w:cstheme="majorBidi"/>
          <w:b/>
          <w:bCs/>
          <w:sz w:val="20"/>
        </w:rPr>
        <w:fldChar w:fldCharType="begin" w:fldLock="1"/>
      </w:r>
      <w:r w:rsidRPr="006B343C">
        <w:rPr>
          <w:rFonts w:ascii="Arial Narrow" w:eastAsiaTheme="majorEastAsia" w:hAnsi="Arial Narrow" w:cstheme="majorBidi"/>
          <w:b/>
          <w:bCs/>
          <w:sz w:val="20"/>
        </w:rPr>
        <w:instrText xml:space="preserve"> SEQ Table \* ARABIC </w:instrText>
      </w:r>
      <w:r w:rsidRPr="006B343C">
        <w:rPr>
          <w:rFonts w:ascii="Arial Narrow" w:eastAsiaTheme="majorEastAsia" w:hAnsi="Arial Narrow" w:cstheme="majorBidi"/>
          <w:b/>
          <w:bCs/>
          <w:sz w:val="20"/>
        </w:rPr>
        <w:fldChar w:fldCharType="separate"/>
      </w:r>
      <w:r w:rsidR="00DC7CC4">
        <w:rPr>
          <w:rFonts w:ascii="Arial Narrow" w:eastAsiaTheme="majorEastAsia" w:hAnsi="Arial Narrow" w:cstheme="majorBidi"/>
          <w:b/>
          <w:bCs/>
          <w:noProof/>
          <w:sz w:val="20"/>
        </w:rPr>
        <w:t>4</w:t>
      </w:r>
      <w:r w:rsidRPr="006B343C">
        <w:rPr>
          <w:rFonts w:ascii="Arial Narrow" w:eastAsiaTheme="majorEastAsia" w:hAnsi="Arial Narrow" w:cstheme="majorBidi"/>
          <w:b/>
          <w:bCs/>
          <w:sz w:val="20"/>
        </w:rPr>
        <w:fldChar w:fldCharType="end"/>
      </w:r>
      <w:bookmarkEnd w:id="42"/>
      <w:bookmarkEnd w:id="43"/>
      <w:r w:rsidRPr="006B343C">
        <w:rPr>
          <w:rFonts w:ascii="Arial Narrow" w:eastAsiaTheme="majorEastAsia" w:hAnsi="Arial Narrow" w:cstheme="majorBidi"/>
          <w:b/>
          <w:bCs/>
          <w:sz w:val="20"/>
        </w:rPr>
        <w:t>: Key features of the included evidence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943"/>
        <w:gridCol w:w="523"/>
        <w:gridCol w:w="950"/>
        <w:gridCol w:w="806"/>
        <w:gridCol w:w="1591"/>
        <w:gridCol w:w="2548"/>
        <w:gridCol w:w="1656"/>
      </w:tblGrid>
      <w:tr w:rsidR="007F5816" w:rsidRPr="006B343C" w14:paraId="0F108891" w14:textId="77777777">
        <w:trPr>
          <w:cantSplit/>
          <w:tblHeader/>
        </w:trPr>
        <w:tc>
          <w:tcPr>
            <w:tcW w:w="523" w:type="pct"/>
            <w:shd w:val="clear" w:color="auto" w:fill="auto"/>
            <w:vAlign w:val="center"/>
          </w:tcPr>
          <w:p w14:paraId="1E0CA289" w14:textId="77777777" w:rsidR="007F5816" w:rsidRPr="006B343C" w:rsidRDefault="007F5816" w:rsidP="00663C2A">
            <w:pPr>
              <w:keepNext/>
              <w:keepLines/>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Trial</w:t>
            </w:r>
          </w:p>
        </w:tc>
        <w:tc>
          <w:tcPr>
            <w:tcW w:w="290" w:type="pct"/>
            <w:shd w:val="clear" w:color="auto" w:fill="auto"/>
            <w:vAlign w:val="center"/>
          </w:tcPr>
          <w:p w14:paraId="65C432EA" w14:textId="77777777" w:rsidR="007F5816" w:rsidRPr="006B343C" w:rsidRDefault="007F5816" w:rsidP="00663C2A">
            <w:pPr>
              <w:keepNext/>
              <w:keepLines/>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N</w:t>
            </w:r>
          </w:p>
        </w:tc>
        <w:tc>
          <w:tcPr>
            <w:tcW w:w="527" w:type="pct"/>
            <w:shd w:val="clear" w:color="auto" w:fill="auto"/>
            <w:vAlign w:val="center"/>
          </w:tcPr>
          <w:p w14:paraId="32E23059" w14:textId="77777777" w:rsidR="007F5816" w:rsidRPr="006B343C" w:rsidRDefault="007F5816" w:rsidP="00663C2A">
            <w:pPr>
              <w:keepNext/>
              <w:keepLines/>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Design/ duration</w:t>
            </w:r>
          </w:p>
        </w:tc>
        <w:tc>
          <w:tcPr>
            <w:tcW w:w="447" w:type="pct"/>
            <w:shd w:val="clear" w:color="auto" w:fill="auto"/>
            <w:vAlign w:val="center"/>
          </w:tcPr>
          <w:p w14:paraId="2A658B0B" w14:textId="77777777" w:rsidR="007F5816" w:rsidRPr="006B343C" w:rsidRDefault="007F5816" w:rsidP="00663C2A">
            <w:pPr>
              <w:keepNext/>
              <w:keepLines/>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Risk of bias</w:t>
            </w:r>
          </w:p>
        </w:tc>
        <w:tc>
          <w:tcPr>
            <w:tcW w:w="882" w:type="pct"/>
            <w:shd w:val="clear" w:color="auto" w:fill="auto"/>
            <w:vAlign w:val="center"/>
          </w:tcPr>
          <w:p w14:paraId="1493EE21" w14:textId="77777777" w:rsidR="007F5816" w:rsidRPr="006B343C" w:rsidRDefault="007F5816" w:rsidP="00663C2A">
            <w:pPr>
              <w:keepNext/>
              <w:keepLines/>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Patient population</w:t>
            </w:r>
          </w:p>
        </w:tc>
        <w:tc>
          <w:tcPr>
            <w:tcW w:w="1413" w:type="pct"/>
            <w:shd w:val="clear" w:color="auto" w:fill="auto"/>
            <w:vAlign w:val="center"/>
          </w:tcPr>
          <w:p w14:paraId="0A232642" w14:textId="77777777" w:rsidR="007F5816" w:rsidRPr="006B343C" w:rsidRDefault="007F5816" w:rsidP="00663C2A">
            <w:pPr>
              <w:keepNext/>
              <w:keepLines/>
              <w:jc w:val="center"/>
              <w:rPr>
                <w:rFonts w:ascii="Arial Narrow" w:eastAsiaTheme="majorEastAsia" w:hAnsi="Arial Narrow" w:cs="Times New Roman"/>
                <w:b/>
                <w:sz w:val="20"/>
                <w:vertAlign w:val="superscript"/>
                <w:lang w:val="en-US"/>
              </w:rPr>
            </w:pPr>
            <w:r w:rsidRPr="006B343C">
              <w:rPr>
                <w:rFonts w:ascii="Arial Narrow" w:eastAsiaTheme="majorEastAsia" w:hAnsi="Arial Narrow" w:cs="Times New Roman"/>
                <w:b/>
                <w:sz w:val="20"/>
                <w:lang w:val="en-US"/>
              </w:rPr>
              <w:t>Outcomes</w:t>
            </w:r>
            <w:r w:rsidRPr="006B343C">
              <w:rPr>
                <w:rFonts w:ascii="Arial Narrow" w:eastAsiaTheme="majorEastAsia" w:hAnsi="Arial Narrow" w:cs="Times New Roman"/>
                <w:b/>
                <w:sz w:val="20"/>
                <w:vertAlign w:val="superscript"/>
                <w:lang w:val="en-US"/>
              </w:rPr>
              <w:t>a</w:t>
            </w:r>
          </w:p>
        </w:tc>
        <w:tc>
          <w:tcPr>
            <w:tcW w:w="917" w:type="pct"/>
            <w:shd w:val="clear" w:color="auto" w:fill="auto"/>
            <w:vAlign w:val="center"/>
          </w:tcPr>
          <w:p w14:paraId="017F6349" w14:textId="77777777" w:rsidR="007F5816" w:rsidRPr="006B343C" w:rsidRDefault="007F5816" w:rsidP="00663C2A">
            <w:pPr>
              <w:keepNext/>
              <w:keepLines/>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Use in modelled evaluation</w:t>
            </w:r>
          </w:p>
        </w:tc>
      </w:tr>
      <w:tr w:rsidR="007F5816" w:rsidRPr="006B343C" w14:paraId="13E3CC7D" w14:textId="77777777">
        <w:trPr>
          <w:cantSplit/>
        </w:trPr>
        <w:tc>
          <w:tcPr>
            <w:tcW w:w="5000" w:type="pct"/>
            <w:gridSpan w:val="7"/>
            <w:shd w:val="clear" w:color="auto" w:fill="auto"/>
            <w:vAlign w:val="center"/>
          </w:tcPr>
          <w:p w14:paraId="0853DA21" w14:textId="77777777" w:rsidR="007F5816" w:rsidRPr="006B343C" w:rsidRDefault="007F5816" w:rsidP="00663C2A">
            <w:pPr>
              <w:keepNext/>
              <w:keepLines/>
              <w:jc w:val="left"/>
              <w:rPr>
                <w:rFonts w:ascii="Arial Narrow" w:eastAsiaTheme="majorEastAsia" w:hAnsi="Arial Narrow" w:cs="Times New Roman"/>
                <w:b/>
                <w:sz w:val="20"/>
                <w:lang w:val="pt-BR"/>
              </w:rPr>
            </w:pPr>
            <w:r w:rsidRPr="006B343C">
              <w:rPr>
                <w:rFonts w:ascii="Arial Narrow" w:eastAsiaTheme="majorEastAsia" w:hAnsi="Arial Narrow" w:cs="Times New Roman"/>
                <w:b/>
                <w:sz w:val="20"/>
                <w:lang w:val="pt-BR"/>
              </w:rPr>
              <w:t>VEDO + SOC vs. PBO + SOC</w:t>
            </w:r>
          </w:p>
        </w:tc>
      </w:tr>
      <w:tr w:rsidR="007F5816" w:rsidRPr="006B343C" w14:paraId="5BB4BDFF" w14:textId="77777777">
        <w:trPr>
          <w:cantSplit/>
        </w:trPr>
        <w:tc>
          <w:tcPr>
            <w:tcW w:w="523" w:type="pct"/>
            <w:shd w:val="clear" w:color="auto" w:fill="auto"/>
            <w:vAlign w:val="center"/>
          </w:tcPr>
          <w:p w14:paraId="03753583" w14:textId="77777777" w:rsidR="00F87AF2" w:rsidRPr="006B343C" w:rsidRDefault="00F87AF2" w:rsidP="00663C2A">
            <w:pPr>
              <w:keepNext/>
              <w:keepLines/>
              <w:jc w:val="left"/>
              <w:rPr>
                <w:rFonts w:ascii="Arial Narrow" w:eastAsiaTheme="majorEastAsia" w:hAnsi="Arial Narrow" w:cstheme="majorBidi"/>
                <w:sz w:val="20"/>
                <w:lang w:val="pt-BR"/>
              </w:rPr>
            </w:pPr>
          </w:p>
          <w:p w14:paraId="2528A4DA" w14:textId="687E4B81" w:rsidR="007F5816" w:rsidRPr="006B343C" w:rsidRDefault="00F87AF2" w:rsidP="00663C2A">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rPr>
              <w:t>EARNEST</w:t>
            </w:r>
            <w:r w:rsidRPr="006B343C">
              <w:rPr>
                <w:rFonts w:ascii="Arial Narrow" w:eastAsiaTheme="majorEastAsia" w:hAnsi="Arial Narrow" w:cstheme="majorBidi"/>
                <w:bCs/>
                <w:sz w:val="20"/>
                <w:lang w:val="en-US"/>
              </w:rPr>
              <w:t xml:space="preserve"> (</w:t>
            </w:r>
            <w:r w:rsidR="007F5816" w:rsidRPr="006B343C">
              <w:rPr>
                <w:rFonts w:ascii="Arial Narrow" w:eastAsiaTheme="majorEastAsia" w:hAnsi="Arial Narrow" w:cstheme="majorBidi"/>
                <w:bCs/>
                <w:sz w:val="20"/>
                <w:lang w:val="en-US"/>
              </w:rPr>
              <w:t>Travis 2023</w:t>
            </w:r>
            <w:r w:rsidRPr="006B343C">
              <w:rPr>
                <w:rFonts w:ascii="Arial Narrow" w:eastAsiaTheme="majorEastAsia" w:hAnsi="Arial Narrow" w:cstheme="majorBidi"/>
                <w:bCs/>
                <w:sz w:val="20"/>
                <w:lang w:val="en-US"/>
              </w:rPr>
              <w:t>)</w:t>
            </w:r>
          </w:p>
        </w:tc>
        <w:tc>
          <w:tcPr>
            <w:tcW w:w="290" w:type="pct"/>
            <w:shd w:val="clear" w:color="auto" w:fill="auto"/>
            <w:vAlign w:val="center"/>
          </w:tcPr>
          <w:p w14:paraId="2348FB54" w14:textId="77777777" w:rsidR="007F5816" w:rsidRPr="006B343C" w:rsidRDefault="007F5816" w:rsidP="00663C2A">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102</w:t>
            </w:r>
          </w:p>
        </w:tc>
        <w:tc>
          <w:tcPr>
            <w:tcW w:w="527" w:type="pct"/>
            <w:shd w:val="clear" w:color="auto" w:fill="auto"/>
            <w:vAlign w:val="center"/>
          </w:tcPr>
          <w:p w14:paraId="41DE8338" w14:textId="77777777" w:rsidR="007F5816" w:rsidRPr="006B343C" w:rsidRDefault="007F5816" w:rsidP="00663C2A">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R, DB, PC, MC, MN</w:t>
            </w:r>
          </w:p>
          <w:p w14:paraId="105CD84C" w14:textId="77777777" w:rsidR="007F5816" w:rsidRPr="006B343C" w:rsidRDefault="007F5816" w:rsidP="00663C2A">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34 weeks</w:t>
            </w:r>
          </w:p>
        </w:tc>
        <w:tc>
          <w:tcPr>
            <w:tcW w:w="447" w:type="pct"/>
            <w:shd w:val="clear" w:color="auto" w:fill="auto"/>
            <w:vAlign w:val="center"/>
          </w:tcPr>
          <w:p w14:paraId="54E2886A" w14:textId="0031FFB7" w:rsidR="007F5816" w:rsidRPr="006B343C" w:rsidRDefault="007F5816" w:rsidP="00663C2A">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High</w:t>
            </w:r>
            <w:r w:rsidR="000D026E" w:rsidRPr="006B343C">
              <w:rPr>
                <w:rFonts w:ascii="Arial Narrow" w:eastAsiaTheme="majorEastAsia" w:hAnsi="Arial Narrow" w:cstheme="majorBidi"/>
                <w:bCs/>
                <w:sz w:val="20"/>
                <w:vertAlign w:val="superscript"/>
                <w:lang w:val="en-US"/>
              </w:rPr>
              <w:t>b</w:t>
            </w:r>
          </w:p>
        </w:tc>
        <w:tc>
          <w:tcPr>
            <w:tcW w:w="882" w:type="pct"/>
            <w:shd w:val="clear" w:color="auto" w:fill="auto"/>
            <w:vAlign w:val="center"/>
          </w:tcPr>
          <w:p w14:paraId="11983C2D" w14:textId="2EBE65F7" w:rsidR="007F5816" w:rsidRPr="006B343C" w:rsidRDefault="007F5816" w:rsidP="00663C2A">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Patients who had undergone a proctocolectomy and IPAA for UC</w:t>
            </w:r>
            <w:r w:rsidR="000D026E" w:rsidRPr="006B343C">
              <w:rPr>
                <w:rFonts w:ascii="Arial Narrow" w:eastAsiaTheme="majorEastAsia" w:hAnsi="Arial Narrow" w:cstheme="majorBidi"/>
                <w:bCs/>
                <w:sz w:val="20"/>
                <w:vertAlign w:val="superscript"/>
                <w:lang w:val="en-US"/>
              </w:rPr>
              <w:t>c</w:t>
            </w:r>
            <w:r w:rsidRPr="006B343C">
              <w:rPr>
                <w:rFonts w:ascii="Arial Narrow" w:eastAsiaTheme="majorEastAsia" w:hAnsi="Arial Narrow" w:cstheme="majorBidi"/>
                <w:bCs/>
                <w:sz w:val="20"/>
                <w:lang w:val="en-US"/>
              </w:rPr>
              <w:t xml:space="preserve"> and had chronic pouchitis</w:t>
            </w:r>
          </w:p>
        </w:tc>
        <w:tc>
          <w:tcPr>
            <w:tcW w:w="1413" w:type="pct"/>
            <w:shd w:val="clear" w:color="auto" w:fill="auto"/>
            <w:vAlign w:val="center"/>
          </w:tcPr>
          <w:p w14:paraId="184952E2" w14:textId="192BAE34" w:rsidR="007F5816" w:rsidRPr="006B343C" w:rsidRDefault="007F5816" w:rsidP="00663C2A">
            <w:pPr>
              <w:keepNext/>
              <w:keepLines/>
              <w:numPr>
                <w:ilvl w:val="0"/>
                <w:numId w:val="14"/>
              </w:numPr>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mPDAI</w:t>
            </w:r>
            <w:r w:rsidR="008B63FE" w:rsidRPr="006B343C">
              <w:rPr>
                <w:rFonts w:ascii="Arial Narrow" w:eastAsiaTheme="majorEastAsia" w:hAnsi="Arial Narrow" w:cstheme="majorBidi"/>
                <w:bCs/>
                <w:sz w:val="20"/>
                <w:lang w:val="en-US"/>
              </w:rPr>
              <w:t>-defined</w:t>
            </w:r>
            <w:r w:rsidRPr="006B343C">
              <w:rPr>
                <w:rFonts w:ascii="Arial Narrow" w:eastAsiaTheme="majorEastAsia" w:hAnsi="Arial Narrow" w:cstheme="majorBidi"/>
                <w:bCs/>
                <w:sz w:val="20"/>
                <w:lang w:val="en-US"/>
              </w:rPr>
              <w:t xml:space="preserve"> clinical remission</w:t>
            </w:r>
            <w:r w:rsidR="000D026E" w:rsidRPr="006B343C">
              <w:rPr>
                <w:rFonts w:ascii="Arial Narrow" w:eastAsiaTheme="majorEastAsia" w:hAnsi="Arial Narrow" w:cstheme="majorBidi"/>
                <w:bCs/>
                <w:sz w:val="20"/>
                <w:vertAlign w:val="superscript"/>
                <w:lang w:val="en-US"/>
              </w:rPr>
              <w:t>d</w:t>
            </w:r>
          </w:p>
          <w:p w14:paraId="4FFD54FC" w14:textId="22E5A618" w:rsidR="007F5816" w:rsidRPr="006B343C" w:rsidRDefault="007F5816" w:rsidP="00663C2A">
            <w:pPr>
              <w:keepNext/>
              <w:keepLines/>
              <w:numPr>
                <w:ilvl w:val="0"/>
                <w:numId w:val="14"/>
              </w:numPr>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PDAI</w:t>
            </w:r>
            <w:r w:rsidR="008B63FE" w:rsidRPr="006B343C">
              <w:rPr>
                <w:rFonts w:ascii="Arial Narrow" w:eastAsiaTheme="majorEastAsia" w:hAnsi="Arial Narrow" w:cstheme="majorBidi"/>
                <w:bCs/>
                <w:sz w:val="20"/>
                <w:lang w:val="en-US"/>
              </w:rPr>
              <w:t>-defined</w:t>
            </w:r>
            <w:r w:rsidRPr="006B343C">
              <w:rPr>
                <w:rFonts w:ascii="Arial Narrow" w:eastAsiaTheme="majorEastAsia" w:hAnsi="Arial Narrow" w:cstheme="majorBidi"/>
                <w:bCs/>
                <w:sz w:val="20"/>
                <w:lang w:val="en-US"/>
              </w:rPr>
              <w:t xml:space="preserve"> clinical remission</w:t>
            </w:r>
          </w:p>
          <w:p w14:paraId="44B219D1" w14:textId="662FB65C" w:rsidR="007F5816" w:rsidRPr="006B343C" w:rsidRDefault="007F5816" w:rsidP="00663C2A">
            <w:pPr>
              <w:keepNext/>
              <w:keepLines/>
              <w:numPr>
                <w:ilvl w:val="0"/>
                <w:numId w:val="14"/>
              </w:numPr>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Partial mPDAI</w:t>
            </w:r>
            <w:r w:rsidR="008B63FE" w:rsidRPr="006B343C">
              <w:rPr>
                <w:rFonts w:ascii="Arial Narrow" w:eastAsiaTheme="majorEastAsia" w:hAnsi="Arial Narrow" w:cstheme="majorBidi"/>
                <w:bCs/>
                <w:sz w:val="20"/>
                <w:lang w:val="en-US"/>
              </w:rPr>
              <w:t>-</w:t>
            </w:r>
            <w:r w:rsidR="00FA116F" w:rsidRPr="006B343C">
              <w:rPr>
                <w:rFonts w:ascii="Arial Narrow" w:eastAsiaTheme="majorEastAsia" w:hAnsi="Arial Narrow" w:cstheme="majorBidi"/>
                <w:bCs/>
                <w:sz w:val="20"/>
                <w:lang w:val="en-US"/>
              </w:rPr>
              <w:t>defined response</w:t>
            </w:r>
          </w:p>
          <w:p w14:paraId="7F9551B2" w14:textId="77777777" w:rsidR="007F5816" w:rsidRPr="006B343C" w:rsidRDefault="007F5816" w:rsidP="00663C2A">
            <w:pPr>
              <w:keepNext/>
              <w:keepLines/>
              <w:numPr>
                <w:ilvl w:val="0"/>
                <w:numId w:val="14"/>
              </w:numPr>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Clinically meaningful improvement in IBDQ score</w:t>
            </w:r>
          </w:p>
          <w:p w14:paraId="1E6C13A6" w14:textId="77777777" w:rsidR="007F5816" w:rsidRPr="006B343C" w:rsidRDefault="007F5816" w:rsidP="00663C2A">
            <w:pPr>
              <w:keepNext/>
              <w:keepLines/>
              <w:numPr>
                <w:ilvl w:val="0"/>
                <w:numId w:val="14"/>
              </w:numPr>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Change from baseline in mPDAI total score</w:t>
            </w:r>
          </w:p>
          <w:p w14:paraId="333A960E" w14:textId="77777777" w:rsidR="007F5816" w:rsidRPr="006B343C" w:rsidRDefault="007F5816" w:rsidP="00663C2A">
            <w:pPr>
              <w:keepNext/>
              <w:keepLines/>
              <w:numPr>
                <w:ilvl w:val="0"/>
                <w:numId w:val="14"/>
              </w:numPr>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Change from baseline in PDAI total score, and clinical, endoscopic and histologic sub-score</w:t>
            </w:r>
          </w:p>
          <w:p w14:paraId="699B6D40" w14:textId="77777777" w:rsidR="007F5816" w:rsidRPr="006B343C" w:rsidRDefault="007F5816" w:rsidP="00663C2A">
            <w:pPr>
              <w:keepNext/>
              <w:keepLines/>
              <w:numPr>
                <w:ilvl w:val="0"/>
                <w:numId w:val="14"/>
              </w:numPr>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Change from baseline in IBDQ score</w:t>
            </w:r>
          </w:p>
          <w:p w14:paraId="0ABB2C1C" w14:textId="77777777" w:rsidR="007F5816" w:rsidRPr="006B343C" w:rsidRDefault="007F5816" w:rsidP="00663C2A">
            <w:pPr>
              <w:keepNext/>
              <w:keepLines/>
              <w:numPr>
                <w:ilvl w:val="0"/>
                <w:numId w:val="14"/>
              </w:numPr>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Change from baseline in CGQL Fazio score</w:t>
            </w:r>
          </w:p>
        </w:tc>
        <w:tc>
          <w:tcPr>
            <w:tcW w:w="917" w:type="pct"/>
            <w:shd w:val="clear" w:color="auto" w:fill="auto"/>
            <w:vAlign w:val="center"/>
          </w:tcPr>
          <w:p w14:paraId="4997EB50" w14:textId="77777777" w:rsidR="007F5816" w:rsidRPr="006B343C" w:rsidRDefault="007F5816" w:rsidP="00663C2A">
            <w:pPr>
              <w:keepNext/>
              <w:keepLines/>
              <w:ind w:left="360"/>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mPDAI clinical remission, change from baseline in IBDQ score</w:t>
            </w:r>
          </w:p>
          <w:p w14:paraId="642B3E4B" w14:textId="77777777" w:rsidR="007F5816" w:rsidRPr="006B343C" w:rsidRDefault="007F5816" w:rsidP="00663C2A">
            <w:pPr>
              <w:keepNext/>
              <w:keepLines/>
              <w:ind w:left="360"/>
              <w:jc w:val="left"/>
              <w:rPr>
                <w:rFonts w:ascii="Arial Narrow" w:eastAsiaTheme="majorEastAsia" w:hAnsi="Arial Narrow" w:cstheme="majorBidi"/>
                <w:bCs/>
                <w:sz w:val="20"/>
                <w:lang w:val="en-US"/>
              </w:rPr>
            </w:pPr>
          </w:p>
          <w:p w14:paraId="6A01A21A" w14:textId="77777777" w:rsidR="007F5816" w:rsidRPr="006B343C" w:rsidRDefault="007F5816" w:rsidP="00663C2A">
            <w:pPr>
              <w:keepNext/>
              <w:keepLines/>
              <w:jc w:val="center"/>
              <w:rPr>
                <w:rFonts w:ascii="Arial Narrow" w:eastAsiaTheme="majorEastAsia" w:hAnsi="Arial Narrow" w:cstheme="majorBidi"/>
                <w:bCs/>
                <w:sz w:val="20"/>
                <w:lang w:val="en-US"/>
              </w:rPr>
            </w:pPr>
          </w:p>
        </w:tc>
      </w:tr>
    </w:tbl>
    <w:p w14:paraId="3FE9D7D2" w14:textId="122285BF" w:rsidR="007F5816" w:rsidRPr="006B343C" w:rsidRDefault="007F5816" w:rsidP="00663C2A">
      <w:pPr>
        <w:keepNext/>
        <w:keepLines/>
        <w:spacing w:after="120"/>
        <w:contextualSpacing/>
        <w:rPr>
          <w:rFonts w:ascii="Arial Narrow" w:hAnsi="Arial Narrow"/>
          <w:snapToGrid w:val="0"/>
          <w:sz w:val="18"/>
          <w:szCs w:val="22"/>
        </w:rPr>
      </w:pPr>
      <w:r w:rsidRPr="006B343C">
        <w:rPr>
          <w:rFonts w:ascii="Arial Narrow" w:hAnsi="Arial Narrow"/>
          <w:snapToGrid w:val="0"/>
          <w:sz w:val="18"/>
          <w:szCs w:val="22"/>
        </w:rPr>
        <w:t xml:space="preserve">Source: Table </w:t>
      </w:r>
      <w:r w:rsidR="00FA116F" w:rsidRPr="006B343C">
        <w:rPr>
          <w:rFonts w:ascii="Arial Narrow" w:hAnsi="Arial Narrow"/>
          <w:snapToGrid w:val="0"/>
          <w:sz w:val="18"/>
          <w:szCs w:val="22"/>
        </w:rPr>
        <w:t>19</w:t>
      </w:r>
      <w:r w:rsidR="00FA116F">
        <w:rPr>
          <w:rFonts w:ascii="Arial Narrow" w:hAnsi="Arial Narrow"/>
          <w:snapToGrid w:val="0"/>
          <w:sz w:val="18"/>
          <w:szCs w:val="22"/>
        </w:rPr>
        <w:t xml:space="preserve"> </w:t>
      </w:r>
      <w:r w:rsidR="00FA116F" w:rsidRPr="006B343C">
        <w:rPr>
          <w:rFonts w:ascii="Arial Narrow" w:hAnsi="Arial Narrow"/>
          <w:snapToGrid w:val="0"/>
          <w:sz w:val="18"/>
          <w:szCs w:val="22"/>
        </w:rPr>
        <w:t>of</w:t>
      </w:r>
      <w:r w:rsidRPr="006B343C">
        <w:rPr>
          <w:rFonts w:ascii="Arial Narrow" w:hAnsi="Arial Narrow"/>
          <w:snapToGrid w:val="0"/>
          <w:sz w:val="18"/>
          <w:szCs w:val="22"/>
        </w:rPr>
        <w:t xml:space="preserve"> the submission.</w:t>
      </w:r>
    </w:p>
    <w:p w14:paraId="09097A9E" w14:textId="2D2E31A7" w:rsidR="007F5816" w:rsidRPr="006B343C" w:rsidRDefault="007F5816" w:rsidP="00663C2A">
      <w:pPr>
        <w:spacing w:after="120"/>
        <w:contextualSpacing/>
        <w:rPr>
          <w:rFonts w:ascii="Arial Narrow" w:hAnsi="Arial Narrow"/>
          <w:snapToGrid w:val="0"/>
          <w:sz w:val="18"/>
          <w:szCs w:val="18"/>
          <w:lang w:val="en-US"/>
        </w:rPr>
      </w:pPr>
      <w:r w:rsidRPr="006B343C">
        <w:rPr>
          <w:rFonts w:ascii="Arial Narrow" w:hAnsi="Arial Narrow"/>
          <w:snapToGrid w:val="0"/>
          <w:sz w:val="18"/>
          <w:szCs w:val="22"/>
        </w:rPr>
        <w:t xml:space="preserve">Abbreviations: </w:t>
      </w:r>
      <w:r w:rsidRPr="006B343C">
        <w:rPr>
          <w:rFonts w:ascii="Arial Narrow" w:hAnsi="Arial Narrow"/>
          <w:snapToGrid w:val="0"/>
          <w:sz w:val="18"/>
          <w:szCs w:val="18"/>
          <w:lang w:val="en-US"/>
        </w:rPr>
        <w:t xml:space="preserve">CGQL, Cleveland Global Quality of Life; </w:t>
      </w:r>
      <w:r w:rsidR="00A20225" w:rsidRPr="006B343C">
        <w:rPr>
          <w:rFonts w:ascii="Arial Narrow" w:hAnsi="Arial Narrow"/>
          <w:snapToGrid w:val="0"/>
          <w:sz w:val="18"/>
          <w:szCs w:val="22"/>
        </w:rPr>
        <w:t xml:space="preserve">DB, double-blind; </w:t>
      </w:r>
      <w:r w:rsidRPr="006B343C">
        <w:rPr>
          <w:rFonts w:ascii="Arial Narrow" w:hAnsi="Arial Narrow"/>
          <w:snapToGrid w:val="0"/>
          <w:sz w:val="18"/>
          <w:szCs w:val="18"/>
          <w:lang w:val="en-US"/>
        </w:rPr>
        <w:t xml:space="preserve">IBDQ, Inflammatory Bowel Disease Questionnaire; </w:t>
      </w:r>
      <w:r w:rsidR="00A20225" w:rsidRPr="006B343C">
        <w:rPr>
          <w:rFonts w:ascii="Arial Narrow" w:hAnsi="Arial Narrow"/>
          <w:snapToGrid w:val="0"/>
          <w:sz w:val="18"/>
          <w:szCs w:val="22"/>
        </w:rPr>
        <w:t>IPAA, ileal pouch anal anastomosis</w:t>
      </w:r>
      <w:r w:rsidRPr="006B343C">
        <w:rPr>
          <w:rFonts w:ascii="Arial Narrow" w:hAnsi="Arial Narrow"/>
          <w:snapToGrid w:val="0"/>
          <w:sz w:val="18"/>
          <w:szCs w:val="22"/>
        </w:rPr>
        <w:t xml:space="preserve">; MC, multi-centre; MN, multi-national; </w:t>
      </w:r>
      <w:r w:rsidRPr="006B343C">
        <w:rPr>
          <w:rFonts w:ascii="Arial Narrow" w:hAnsi="Arial Narrow"/>
          <w:snapToGrid w:val="0"/>
          <w:sz w:val="18"/>
          <w:szCs w:val="18"/>
          <w:lang w:val="en-US"/>
        </w:rPr>
        <w:t xml:space="preserve">mPDAI, modified Pouchitis Disease Activity Index; PBO, placebo; </w:t>
      </w:r>
      <w:r w:rsidR="00131159" w:rsidRPr="006B343C">
        <w:rPr>
          <w:rFonts w:ascii="Arial Narrow" w:hAnsi="Arial Narrow"/>
          <w:snapToGrid w:val="0"/>
          <w:sz w:val="18"/>
          <w:szCs w:val="18"/>
          <w:lang w:val="en-US"/>
        </w:rPr>
        <w:t xml:space="preserve">PC, placebo-controlled; </w:t>
      </w:r>
      <w:r w:rsidRPr="006B343C">
        <w:rPr>
          <w:rFonts w:ascii="Arial Narrow" w:hAnsi="Arial Narrow"/>
          <w:snapToGrid w:val="0"/>
          <w:sz w:val="18"/>
          <w:szCs w:val="18"/>
          <w:lang w:val="en-US"/>
        </w:rPr>
        <w:t>PDAI, Pouchitis Disease Activity Index</w:t>
      </w:r>
      <w:r w:rsidRPr="006B343C">
        <w:rPr>
          <w:rFonts w:ascii="Arial Narrow" w:hAnsi="Arial Narrow"/>
          <w:snapToGrid w:val="0"/>
          <w:sz w:val="18"/>
          <w:szCs w:val="22"/>
        </w:rPr>
        <w:t xml:space="preserve">; R, randomised; </w:t>
      </w:r>
      <w:r w:rsidRPr="006B343C">
        <w:rPr>
          <w:rFonts w:ascii="Arial Narrow" w:hAnsi="Arial Narrow"/>
          <w:snapToGrid w:val="0"/>
          <w:sz w:val="18"/>
          <w:szCs w:val="18"/>
          <w:lang w:val="en-US"/>
        </w:rPr>
        <w:t xml:space="preserve">SOC, standard-of-care; </w:t>
      </w:r>
      <w:r w:rsidR="005E700A" w:rsidRPr="006B343C">
        <w:rPr>
          <w:rFonts w:ascii="Arial Narrow" w:hAnsi="Arial Narrow"/>
          <w:snapToGrid w:val="0"/>
          <w:sz w:val="18"/>
          <w:szCs w:val="18"/>
          <w:lang w:val="en-US"/>
        </w:rPr>
        <w:t xml:space="preserve">UC, ulcerative colitis; </w:t>
      </w:r>
      <w:r w:rsidRPr="006B343C">
        <w:rPr>
          <w:rFonts w:ascii="Arial Narrow" w:hAnsi="Arial Narrow"/>
          <w:snapToGrid w:val="0"/>
          <w:sz w:val="18"/>
          <w:szCs w:val="18"/>
          <w:lang w:val="en-US"/>
        </w:rPr>
        <w:t>VEDO, vedolizumab.</w:t>
      </w:r>
    </w:p>
    <w:p w14:paraId="4BB1C562" w14:textId="77777777" w:rsidR="007F5816" w:rsidRPr="006B343C" w:rsidRDefault="007F5816" w:rsidP="00663C2A">
      <w:pPr>
        <w:spacing w:after="120"/>
        <w:contextualSpacing/>
        <w:rPr>
          <w:rFonts w:ascii="Arial Narrow" w:hAnsi="Arial Narrow"/>
          <w:snapToGrid w:val="0"/>
          <w:sz w:val="18"/>
          <w:szCs w:val="18"/>
          <w:lang w:val="en-US"/>
        </w:rPr>
      </w:pPr>
      <w:r w:rsidRPr="006B343C">
        <w:rPr>
          <w:rFonts w:ascii="Arial Narrow" w:hAnsi="Arial Narrow"/>
          <w:snapToGrid w:val="0"/>
          <w:sz w:val="18"/>
          <w:szCs w:val="18"/>
          <w:vertAlign w:val="superscript"/>
          <w:lang w:val="en-US"/>
        </w:rPr>
        <w:t>a</w:t>
      </w:r>
      <w:r w:rsidRPr="006B343C">
        <w:rPr>
          <w:rFonts w:ascii="Arial Narrow" w:hAnsi="Arial Narrow"/>
          <w:snapToGrid w:val="0"/>
          <w:sz w:val="18"/>
          <w:szCs w:val="18"/>
          <w:lang w:val="en-US"/>
        </w:rPr>
        <w:t xml:space="preserve"> All outcomes were assessed at the Week 14 and 34 endpoints. </w:t>
      </w:r>
    </w:p>
    <w:p w14:paraId="7DEE0D1A" w14:textId="556F1380" w:rsidR="007F5816" w:rsidRPr="006B343C" w:rsidRDefault="007F5816" w:rsidP="00663C2A">
      <w:pPr>
        <w:spacing w:after="120"/>
        <w:contextualSpacing/>
        <w:rPr>
          <w:rFonts w:ascii="Arial Narrow" w:hAnsi="Arial Narrow"/>
          <w:snapToGrid w:val="0"/>
          <w:sz w:val="18"/>
          <w:szCs w:val="18"/>
          <w:lang w:val="en-US"/>
        </w:rPr>
      </w:pPr>
      <w:r w:rsidRPr="006B343C">
        <w:rPr>
          <w:rFonts w:ascii="Arial Narrow" w:hAnsi="Arial Narrow"/>
          <w:snapToGrid w:val="0"/>
          <w:sz w:val="18"/>
          <w:szCs w:val="18"/>
          <w:vertAlign w:val="superscript"/>
          <w:lang w:val="en-US"/>
        </w:rPr>
        <w:t>b</w:t>
      </w:r>
      <w:r w:rsidRPr="006B343C">
        <w:rPr>
          <w:rFonts w:ascii="Arial Narrow" w:hAnsi="Arial Narrow"/>
          <w:snapToGrid w:val="0"/>
          <w:sz w:val="18"/>
          <w:szCs w:val="18"/>
          <w:lang w:val="en-US"/>
        </w:rPr>
        <w:t xml:space="preserve"> </w:t>
      </w:r>
      <w:r w:rsidR="000D026E" w:rsidRPr="006B343C">
        <w:rPr>
          <w:rFonts w:ascii="Arial Narrow" w:hAnsi="Arial Narrow"/>
          <w:snapToGrid w:val="0"/>
          <w:sz w:val="18"/>
          <w:szCs w:val="22"/>
          <w:lang w:val="en-US"/>
        </w:rPr>
        <w:t xml:space="preserve">Risk of bias has been raised from ‘low’ in the submission to high based on the high attrition rate, use of the last observation carried forward imputation method and the large number of protocol deviations.  </w:t>
      </w:r>
    </w:p>
    <w:p w14:paraId="307989BE" w14:textId="255CA7D1" w:rsidR="007F5816" w:rsidRPr="006B343C" w:rsidRDefault="007F5816" w:rsidP="00663C2A">
      <w:pPr>
        <w:spacing w:after="120"/>
        <w:contextualSpacing/>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c</w:t>
      </w:r>
      <w:r w:rsidRPr="006B343C">
        <w:rPr>
          <w:rFonts w:ascii="Arial Narrow" w:hAnsi="Arial Narrow"/>
          <w:snapToGrid w:val="0"/>
          <w:sz w:val="18"/>
          <w:szCs w:val="22"/>
          <w:lang w:val="en-US"/>
        </w:rPr>
        <w:t xml:space="preserve"> </w:t>
      </w:r>
      <w:r w:rsidR="000D026E" w:rsidRPr="006B343C">
        <w:rPr>
          <w:rFonts w:ascii="Arial Narrow" w:hAnsi="Arial Narrow"/>
          <w:snapToGrid w:val="0"/>
          <w:sz w:val="18"/>
          <w:szCs w:val="22"/>
          <w:lang w:val="en-US"/>
        </w:rPr>
        <w:t>History of IP</w:t>
      </w:r>
      <w:r w:rsidR="001A7FF7" w:rsidRPr="006B343C">
        <w:rPr>
          <w:rFonts w:ascii="Arial Narrow" w:hAnsi="Arial Narrow"/>
          <w:snapToGrid w:val="0"/>
          <w:sz w:val="18"/>
          <w:szCs w:val="22"/>
          <w:lang w:val="en-US"/>
        </w:rPr>
        <w:t>A</w:t>
      </w:r>
      <w:r w:rsidR="000D026E" w:rsidRPr="006B343C">
        <w:rPr>
          <w:rFonts w:ascii="Arial Narrow" w:hAnsi="Arial Narrow"/>
          <w:snapToGrid w:val="0"/>
          <w:sz w:val="18"/>
          <w:szCs w:val="22"/>
          <w:lang w:val="en-US"/>
        </w:rPr>
        <w:t xml:space="preserve">A for UC demonstrated at least 1 year prior to </w:t>
      </w:r>
      <w:r w:rsidR="000D026E" w:rsidRPr="006B343C">
        <w:rPr>
          <w:rFonts w:ascii="Arial Narrow" w:hAnsi="Arial Narrow"/>
          <w:snapToGrid w:val="0"/>
          <w:sz w:val="18"/>
          <w:szCs w:val="22"/>
        </w:rPr>
        <w:t>randomisation</w:t>
      </w:r>
      <w:r w:rsidR="000D026E" w:rsidRPr="006B343C">
        <w:rPr>
          <w:rFonts w:ascii="Arial Narrow" w:hAnsi="Arial Narrow"/>
          <w:snapToGrid w:val="0"/>
          <w:sz w:val="18"/>
          <w:szCs w:val="22"/>
          <w:lang w:val="en-US"/>
        </w:rPr>
        <w:t xml:space="preserve">. </w:t>
      </w:r>
      <w:r w:rsidRPr="006B343C">
        <w:rPr>
          <w:rFonts w:ascii="Arial Narrow" w:hAnsi="Arial Narrow"/>
          <w:snapToGrid w:val="0"/>
          <w:sz w:val="18"/>
          <w:szCs w:val="22"/>
          <w:lang w:val="en-US"/>
        </w:rPr>
        <w:t xml:space="preserve"> </w:t>
      </w:r>
    </w:p>
    <w:p w14:paraId="5229BD88" w14:textId="79081711" w:rsidR="005830DA" w:rsidRPr="006B343C" w:rsidRDefault="005830DA" w:rsidP="009D0558">
      <w:pPr>
        <w:keepNext/>
        <w:keepLines/>
        <w:spacing w:after="120"/>
        <w:contextualSpacing/>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d</w:t>
      </w:r>
      <w:r w:rsidRPr="006B343C">
        <w:rPr>
          <w:rFonts w:ascii="Arial Narrow" w:hAnsi="Arial Narrow"/>
          <w:snapToGrid w:val="0"/>
          <w:sz w:val="18"/>
          <w:szCs w:val="22"/>
          <w:lang w:val="en-US"/>
        </w:rPr>
        <w:t xml:space="preserve"> </w:t>
      </w:r>
      <w:r w:rsidR="000D026E" w:rsidRPr="006B343C">
        <w:rPr>
          <w:rFonts w:ascii="Arial Narrow" w:hAnsi="Arial Narrow"/>
          <w:snapToGrid w:val="0"/>
          <w:sz w:val="18"/>
          <w:szCs w:val="18"/>
          <w:lang w:val="en-US"/>
        </w:rPr>
        <w:t>Only the mPDAI clinical remission at Week 14 was considered the primary outcome. All other outcomes were secondary and considered patient-relevant.</w:t>
      </w:r>
    </w:p>
    <w:p w14:paraId="4A79575F" w14:textId="77777777" w:rsidR="00343F09" w:rsidRPr="006B343C" w:rsidRDefault="00343F09" w:rsidP="007F5816">
      <w:pPr>
        <w:spacing w:after="120"/>
        <w:contextualSpacing/>
        <w:rPr>
          <w:rFonts w:ascii="Arial Narrow" w:hAnsi="Arial Narrow"/>
          <w:snapToGrid w:val="0"/>
          <w:sz w:val="18"/>
          <w:szCs w:val="22"/>
        </w:rPr>
      </w:pPr>
    </w:p>
    <w:p w14:paraId="6607C84D" w14:textId="1C0EEC05" w:rsidR="00F87AF2" w:rsidRPr="006B343C" w:rsidRDefault="00F87AF2" w:rsidP="007F5816">
      <w:pPr>
        <w:numPr>
          <w:ilvl w:val="1"/>
          <w:numId w:val="1"/>
        </w:numPr>
        <w:spacing w:after="120"/>
        <w:rPr>
          <w:rFonts w:asciiTheme="minorHAnsi" w:hAnsiTheme="minorHAnsi"/>
          <w:snapToGrid w:val="0"/>
        </w:rPr>
      </w:pPr>
      <w:r w:rsidRPr="006B343C">
        <w:rPr>
          <w:rFonts w:asciiTheme="minorHAnsi" w:hAnsiTheme="minorHAnsi"/>
          <w:snapToGrid w:val="0"/>
        </w:rPr>
        <w:lastRenderedPageBreak/>
        <w:t xml:space="preserve">The EARNEST trial was a multicentre, randomised, placebo-controlled trial to assess the efficacy and safety of vedolizumab in adults with moderate to severe pouchitis inadequately responding to antibiotic therapy. </w:t>
      </w:r>
      <w:r w:rsidR="005830DA" w:rsidRPr="006B343C">
        <w:rPr>
          <w:rFonts w:asciiTheme="minorHAnsi" w:hAnsiTheme="minorHAnsi"/>
          <w:snapToGrid w:val="0"/>
        </w:rPr>
        <w:t xml:space="preserve">Patients were randomly assigned in a 1:1 ratio to either vedolizumab or placebo. All patients received the SOC antibiotic therapy with ciprofloxacin for the first four weeks from randomisation. </w:t>
      </w:r>
      <w:r w:rsidRPr="006B343C">
        <w:rPr>
          <w:rFonts w:asciiTheme="minorHAnsi" w:hAnsiTheme="minorHAnsi"/>
          <w:snapToGrid w:val="0"/>
        </w:rPr>
        <w:t>Additional courses of antibiotics were permitted after Week 14 as needed</w:t>
      </w:r>
      <w:r w:rsidR="005830DA" w:rsidRPr="006B343C">
        <w:rPr>
          <w:rFonts w:asciiTheme="minorHAnsi" w:hAnsiTheme="minorHAnsi"/>
          <w:snapToGrid w:val="0"/>
        </w:rPr>
        <w:t xml:space="preserve"> for the management of </w:t>
      </w:r>
      <w:r w:rsidR="00314F83" w:rsidRPr="006B343C">
        <w:rPr>
          <w:rFonts w:asciiTheme="minorHAnsi" w:hAnsiTheme="minorHAnsi"/>
          <w:snapToGrid w:val="0"/>
        </w:rPr>
        <w:t>disease flares</w:t>
      </w:r>
      <w:r w:rsidRPr="006B343C">
        <w:rPr>
          <w:rFonts w:asciiTheme="minorHAnsi" w:hAnsiTheme="minorHAnsi"/>
          <w:snapToGrid w:val="0"/>
        </w:rPr>
        <w:t xml:space="preserve">. </w:t>
      </w:r>
      <w:r w:rsidR="00314F83" w:rsidRPr="006B343C">
        <w:rPr>
          <w:rStyle w:val="normaltextrun"/>
          <w:rFonts w:cs="Calibri"/>
          <w:bdr w:val="none" w:sz="0" w:space="0" w:color="auto" w:frame="1"/>
        </w:rPr>
        <w:t>Final efficacy assessments were conducted at Week 34, which was 4 weeks after the last dose of study drug administered at Week 30. A final safety follow-up visit was conducted at Week 48. The primary efficacy outcome of mPDAI</w:t>
      </w:r>
      <w:r w:rsidR="00AE07F6" w:rsidRPr="006B343C">
        <w:rPr>
          <w:rStyle w:val="normaltextrun"/>
          <w:rFonts w:cs="Calibri"/>
          <w:bdr w:val="none" w:sz="0" w:space="0" w:color="auto" w:frame="1"/>
        </w:rPr>
        <w:t>-defined</w:t>
      </w:r>
      <w:r w:rsidR="00314F83" w:rsidRPr="006B343C">
        <w:rPr>
          <w:rStyle w:val="normaltextrun"/>
          <w:rFonts w:cs="Calibri"/>
          <w:bdr w:val="none" w:sz="0" w:space="0" w:color="auto" w:frame="1"/>
        </w:rPr>
        <w:t xml:space="preserve"> clinical remission was assessed at Week 14. </w:t>
      </w:r>
      <w:r w:rsidR="00B132A0" w:rsidRPr="006B343C">
        <w:rPr>
          <w:rStyle w:val="normaltextrun"/>
          <w:rFonts w:cs="Calibri"/>
          <w:bdr w:val="none" w:sz="0" w:space="0" w:color="auto" w:frame="1"/>
        </w:rPr>
        <w:t xml:space="preserve">All other secondary outcomes including </w:t>
      </w:r>
      <w:r w:rsidR="00314F83" w:rsidRPr="006B343C">
        <w:rPr>
          <w:rStyle w:val="normaltextrun"/>
          <w:rFonts w:cs="Calibri"/>
          <w:bdr w:val="none" w:sz="0" w:space="0" w:color="auto" w:frame="1"/>
        </w:rPr>
        <w:t>mPDAI</w:t>
      </w:r>
      <w:r w:rsidR="00B132A0" w:rsidRPr="006B343C">
        <w:rPr>
          <w:rStyle w:val="normaltextrun"/>
          <w:rFonts w:cs="Calibri"/>
          <w:bdr w:val="none" w:sz="0" w:space="0" w:color="auto" w:frame="1"/>
        </w:rPr>
        <w:t>-defined</w:t>
      </w:r>
      <w:r w:rsidR="00314F83" w:rsidRPr="006B343C">
        <w:rPr>
          <w:rStyle w:val="normaltextrun"/>
          <w:rFonts w:cs="Calibri"/>
          <w:bdr w:val="none" w:sz="0" w:space="0" w:color="auto" w:frame="1"/>
        </w:rPr>
        <w:t xml:space="preserve"> clinical remission </w:t>
      </w:r>
      <w:r w:rsidR="00394A68" w:rsidRPr="006B343C">
        <w:rPr>
          <w:rStyle w:val="normaltextrun"/>
          <w:rFonts w:cs="Calibri"/>
          <w:bdr w:val="none" w:sz="0" w:space="0" w:color="auto" w:frame="1"/>
        </w:rPr>
        <w:t xml:space="preserve">and response </w:t>
      </w:r>
      <w:r w:rsidR="00B132A0" w:rsidRPr="006B343C">
        <w:rPr>
          <w:rStyle w:val="normaltextrun"/>
          <w:rFonts w:cs="Calibri"/>
          <w:bdr w:val="none" w:sz="0" w:space="0" w:color="auto" w:frame="1"/>
        </w:rPr>
        <w:t xml:space="preserve">were </w:t>
      </w:r>
      <w:r w:rsidR="00314F83" w:rsidRPr="006B343C">
        <w:rPr>
          <w:rStyle w:val="normaltextrun"/>
          <w:rFonts w:cs="Calibri"/>
          <w:bdr w:val="none" w:sz="0" w:space="0" w:color="auto" w:frame="1"/>
        </w:rPr>
        <w:t xml:space="preserve">assessed at Week 34.   </w:t>
      </w:r>
    </w:p>
    <w:p w14:paraId="41A61C0F" w14:textId="4069007C" w:rsidR="007F5816" w:rsidRPr="006B343C" w:rsidRDefault="007F5816" w:rsidP="007F5816">
      <w:pPr>
        <w:numPr>
          <w:ilvl w:val="1"/>
          <w:numId w:val="1"/>
        </w:numPr>
        <w:spacing w:after="120"/>
        <w:rPr>
          <w:rFonts w:asciiTheme="minorHAnsi" w:hAnsiTheme="minorHAnsi"/>
          <w:snapToGrid w:val="0"/>
        </w:rPr>
      </w:pPr>
      <w:bookmarkStart w:id="44" w:name="_Ref169100952"/>
      <w:r w:rsidRPr="006B343C">
        <w:rPr>
          <w:rFonts w:asciiTheme="minorHAnsi" w:hAnsiTheme="minorHAnsi"/>
          <w:snapToGrid w:val="0"/>
        </w:rPr>
        <w:t>The submission claimed that there was an overall low risk of bias from the EARNEST trial. However,</w:t>
      </w:r>
      <w:r w:rsidR="00B45E80">
        <w:rPr>
          <w:rFonts w:asciiTheme="minorHAnsi" w:hAnsiTheme="minorHAnsi"/>
          <w:snapToGrid w:val="0"/>
        </w:rPr>
        <w:t xml:space="preserve"> </w:t>
      </w:r>
      <w:r w:rsidR="00B45E80" w:rsidRPr="00F55938">
        <w:rPr>
          <w:rFonts w:asciiTheme="minorHAnsi" w:hAnsiTheme="minorHAnsi"/>
          <w:snapToGrid w:val="0"/>
        </w:rPr>
        <w:t xml:space="preserve">the evaluation </w:t>
      </w:r>
      <w:r w:rsidR="00FF7185" w:rsidRPr="00F55938">
        <w:rPr>
          <w:rFonts w:asciiTheme="minorHAnsi" w:hAnsiTheme="minorHAnsi"/>
          <w:snapToGrid w:val="0"/>
        </w:rPr>
        <w:t xml:space="preserve">and the ESC </w:t>
      </w:r>
      <w:r w:rsidR="00B45E80" w:rsidRPr="00F55938">
        <w:rPr>
          <w:rFonts w:asciiTheme="minorHAnsi" w:hAnsiTheme="minorHAnsi"/>
          <w:snapToGrid w:val="0"/>
        </w:rPr>
        <w:t>considered</w:t>
      </w:r>
      <w:r w:rsidRPr="006B343C">
        <w:rPr>
          <w:rFonts w:asciiTheme="minorHAnsi" w:hAnsiTheme="minorHAnsi"/>
          <w:snapToGrid w:val="0"/>
        </w:rPr>
        <w:t xml:space="preserve"> an overall high risk of bias </w:t>
      </w:r>
      <w:r w:rsidR="00E93F4F">
        <w:rPr>
          <w:rFonts w:asciiTheme="minorHAnsi" w:hAnsiTheme="minorHAnsi"/>
          <w:snapToGrid w:val="0"/>
        </w:rPr>
        <w:t>wa</w:t>
      </w:r>
      <w:r w:rsidRPr="006B343C">
        <w:rPr>
          <w:rFonts w:asciiTheme="minorHAnsi" w:hAnsiTheme="minorHAnsi"/>
          <w:snapToGrid w:val="0"/>
        </w:rPr>
        <w:t xml:space="preserve">s more appropriate for the following reasons: due to substantial treatment and study discontinuation, use of </w:t>
      </w:r>
      <w:r w:rsidR="000879C8" w:rsidRPr="006B343C">
        <w:rPr>
          <w:rFonts w:asciiTheme="minorHAnsi" w:hAnsiTheme="minorHAnsi"/>
          <w:snapToGrid w:val="0"/>
        </w:rPr>
        <w:t>LOCF</w:t>
      </w:r>
      <w:r w:rsidRPr="006B343C">
        <w:rPr>
          <w:rFonts w:asciiTheme="minorHAnsi" w:hAnsiTheme="minorHAnsi"/>
          <w:snapToGrid w:val="0"/>
        </w:rPr>
        <w:t xml:space="preserve"> imputation methods, and large number of</w:t>
      </w:r>
      <w:r w:rsidRPr="006B343C" w:rsidDel="00A06AF0">
        <w:rPr>
          <w:rFonts w:asciiTheme="minorHAnsi" w:hAnsiTheme="minorHAnsi"/>
          <w:snapToGrid w:val="0"/>
        </w:rPr>
        <w:t xml:space="preserve"> </w:t>
      </w:r>
      <w:r w:rsidRPr="006B343C">
        <w:rPr>
          <w:rFonts w:asciiTheme="minorHAnsi" w:hAnsiTheme="minorHAnsi"/>
          <w:snapToGrid w:val="0"/>
        </w:rPr>
        <w:t>protocol deviations. This attrition bias likely favours the intervention.</w:t>
      </w:r>
      <w:bookmarkEnd w:id="44"/>
      <w:r w:rsidRPr="006B343C">
        <w:rPr>
          <w:rFonts w:asciiTheme="minorHAnsi" w:hAnsiTheme="minorHAnsi"/>
          <w:snapToGrid w:val="0"/>
        </w:rPr>
        <w:t xml:space="preserve"> </w:t>
      </w:r>
    </w:p>
    <w:p w14:paraId="1C8F43B8" w14:textId="15B4D325" w:rsidR="007F5816" w:rsidRPr="006B343C" w:rsidRDefault="007F5816" w:rsidP="00B24069">
      <w:pPr>
        <w:numPr>
          <w:ilvl w:val="0"/>
          <w:numId w:val="17"/>
        </w:numPr>
        <w:spacing w:after="120"/>
        <w:rPr>
          <w:rFonts w:asciiTheme="minorHAnsi" w:hAnsiTheme="minorHAnsi"/>
          <w:snapToGrid w:val="0"/>
        </w:rPr>
      </w:pPr>
      <w:r w:rsidRPr="006B343C">
        <w:rPr>
          <w:rFonts w:asciiTheme="minorHAnsi" w:hAnsiTheme="minorHAnsi"/>
          <w:snapToGrid w:val="0"/>
        </w:rPr>
        <w:t>There was a high proportion of treatment discontinuation before the 30-week treatment period; 29.4% in the VEDO + SOC vs 37.3% in the PBO + SOC. Reasons included voluntary withdrawal and lack of efficacy (23.5% vs. 27.4% respectively), and adverse events (3.9% vs. 9.8% respectively).</w:t>
      </w:r>
    </w:p>
    <w:p w14:paraId="3F259C45" w14:textId="46C18742" w:rsidR="007F5816" w:rsidRPr="006B343C" w:rsidRDefault="007F5816" w:rsidP="00B24069">
      <w:pPr>
        <w:numPr>
          <w:ilvl w:val="0"/>
          <w:numId w:val="17"/>
        </w:numPr>
        <w:spacing w:after="120"/>
        <w:rPr>
          <w:rFonts w:asciiTheme="minorHAnsi" w:hAnsiTheme="minorHAnsi"/>
          <w:snapToGrid w:val="0"/>
        </w:rPr>
      </w:pPr>
      <w:r w:rsidRPr="006B343C">
        <w:rPr>
          <w:rFonts w:asciiTheme="minorHAnsi" w:hAnsiTheme="minorHAnsi"/>
          <w:snapToGrid w:val="0"/>
        </w:rPr>
        <w:t xml:space="preserve">At Week 14, study discontinuation was 9.8% in the VEDO + SOC group and 15.7% in the PBO + SOC group. </w:t>
      </w:r>
      <w:r w:rsidR="00800B92" w:rsidRPr="006B343C">
        <w:rPr>
          <w:rFonts w:asciiTheme="minorHAnsi" w:hAnsiTheme="minorHAnsi"/>
          <w:snapToGrid w:val="0"/>
        </w:rPr>
        <w:t xml:space="preserve">The submission did not describe the reasons for study discontinuation before Week 14 (primary efficacy outcome endpoint). </w:t>
      </w:r>
      <w:r w:rsidRPr="006B343C">
        <w:rPr>
          <w:rFonts w:asciiTheme="minorHAnsi" w:hAnsiTheme="minorHAnsi"/>
          <w:snapToGrid w:val="0"/>
        </w:rPr>
        <w:t>By Week 34, study discontinuation increased to 27.5% in the VEDO + SOC group and 37.3% in the PBO + SOC group. Reasons for study discontinuation before Week 34 included lack of efficacy (15.7% in each treatment arm)</w:t>
      </w:r>
      <w:r w:rsidR="00343F09" w:rsidRPr="006B343C">
        <w:rPr>
          <w:rFonts w:asciiTheme="minorHAnsi" w:hAnsiTheme="minorHAnsi"/>
          <w:snapToGrid w:val="0"/>
        </w:rPr>
        <w:t>,</w:t>
      </w:r>
      <w:r w:rsidRPr="006B343C">
        <w:rPr>
          <w:rFonts w:asciiTheme="minorHAnsi" w:hAnsiTheme="minorHAnsi"/>
          <w:snapToGrid w:val="0"/>
        </w:rPr>
        <w:t xml:space="preserve"> adverse events and significant protocol deviations (5.0% vs. 9.8%, respectively). </w:t>
      </w:r>
    </w:p>
    <w:p w14:paraId="20E8E646" w14:textId="1FDEC1DC" w:rsidR="007F5816" w:rsidRPr="006B343C" w:rsidRDefault="007F5816" w:rsidP="00B24069">
      <w:pPr>
        <w:numPr>
          <w:ilvl w:val="0"/>
          <w:numId w:val="17"/>
        </w:numPr>
        <w:spacing w:after="120"/>
        <w:rPr>
          <w:rFonts w:asciiTheme="minorHAnsi" w:hAnsiTheme="minorHAnsi"/>
          <w:snapToGrid w:val="0"/>
        </w:rPr>
      </w:pPr>
      <w:r w:rsidRPr="006B343C">
        <w:rPr>
          <w:rFonts w:asciiTheme="minorHAnsi" w:hAnsiTheme="minorHAnsi" w:cs="Calibri"/>
          <w:snapToGrid w:val="0"/>
        </w:rPr>
        <w:t xml:space="preserve">There was a high proportion of </w:t>
      </w:r>
      <w:r w:rsidR="009E67C5" w:rsidRPr="006B343C">
        <w:rPr>
          <w:rFonts w:asciiTheme="minorHAnsi" w:hAnsiTheme="minorHAnsi" w:cs="Calibri"/>
          <w:snapToGrid w:val="0"/>
        </w:rPr>
        <w:t xml:space="preserve">patients with </w:t>
      </w:r>
      <w:r w:rsidRPr="006B343C">
        <w:rPr>
          <w:rFonts w:asciiTheme="minorHAnsi" w:hAnsiTheme="minorHAnsi" w:cs="Calibri"/>
          <w:snapToGrid w:val="0"/>
        </w:rPr>
        <w:t xml:space="preserve">at least one study-specific significant protocol deviation; 37.3% in VEDO + SOC vs 39.2% in PBO + SOC. Study procedure deviations, such as missing Week 14 endoscopies or poor-quality endoscopy recordings, were less common in the VEDO + SOC group (7.8%) compared to the PBO + SOC group (19.6%). </w:t>
      </w:r>
    </w:p>
    <w:p w14:paraId="21D6D1CA" w14:textId="748EC95D" w:rsidR="007F5816" w:rsidRPr="006B343C" w:rsidRDefault="007F5816" w:rsidP="00B24069">
      <w:pPr>
        <w:numPr>
          <w:ilvl w:val="0"/>
          <w:numId w:val="17"/>
        </w:numPr>
        <w:spacing w:after="120"/>
        <w:rPr>
          <w:rFonts w:asciiTheme="minorHAnsi" w:hAnsiTheme="minorHAnsi"/>
          <w:snapToGrid w:val="0"/>
        </w:rPr>
      </w:pPr>
      <w:r w:rsidRPr="006B343C">
        <w:rPr>
          <w:rFonts w:asciiTheme="minorHAnsi" w:hAnsiTheme="minorHAnsi" w:cs="Calibri"/>
          <w:snapToGrid w:val="0"/>
        </w:rPr>
        <w:t>15.7% of patients in the VEDO + SOC group and 25.5% in the PBO + SOC group reported at least one major protocol violation. This was mainly due to more patients in the PBO + SOC group having missing mPDAI at Week 14 (21.6% vs. 6% in the VEDO + SOC group).</w:t>
      </w:r>
    </w:p>
    <w:p w14:paraId="493AFB5D" w14:textId="606C9B56"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The</w:t>
      </w:r>
      <w:r w:rsidR="00663C2A">
        <w:rPr>
          <w:rFonts w:asciiTheme="minorHAnsi" w:hAnsiTheme="minorHAnsi"/>
          <w:snapToGrid w:val="0"/>
        </w:rPr>
        <w:t xml:space="preserve"> evaluation considered the </w:t>
      </w:r>
      <w:r w:rsidRPr="006B343C">
        <w:rPr>
          <w:rFonts w:asciiTheme="minorHAnsi" w:hAnsiTheme="minorHAnsi"/>
          <w:snapToGrid w:val="0"/>
        </w:rPr>
        <w:t xml:space="preserve">higher frequency of study discontinuation at Week 14 in </w:t>
      </w:r>
      <w:r w:rsidR="00663C2A">
        <w:rPr>
          <w:rFonts w:asciiTheme="minorHAnsi" w:hAnsiTheme="minorHAnsi"/>
          <w:snapToGrid w:val="0"/>
        </w:rPr>
        <w:t xml:space="preserve">the </w:t>
      </w:r>
      <w:r w:rsidRPr="006B343C">
        <w:rPr>
          <w:rFonts w:asciiTheme="minorHAnsi" w:hAnsiTheme="minorHAnsi"/>
          <w:snapToGrid w:val="0"/>
        </w:rPr>
        <w:t xml:space="preserve">VEDO + SOC </w:t>
      </w:r>
      <w:r w:rsidR="00663C2A">
        <w:rPr>
          <w:rFonts w:asciiTheme="minorHAnsi" w:hAnsiTheme="minorHAnsi"/>
          <w:snapToGrid w:val="0"/>
        </w:rPr>
        <w:t xml:space="preserve">arm (versus the </w:t>
      </w:r>
      <w:r w:rsidRPr="006B343C">
        <w:rPr>
          <w:rFonts w:asciiTheme="minorHAnsi" w:hAnsiTheme="minorHAnsi"/>
          <w:snapToGrid w:val="0"/>
        </w:rPr>
        <w:t xml:space="preserve">PBO + SOC </w:t>
      </w:r>
      <w:r w:rsidR="00663C2A">
        <w:rPr>
          <w:rFonts w:asciiTheme="minorHAnsi" w:hAnsiTheme="minorHAnsi"/>
          <w:snapToGrid w:val="0"/>
        </w:rPr>
        <w:t>arm) was</w:t>
      </w:r>
      <w:r w:rsidRPr="006B343C">
        <w:rPr>
          <w:rFonts w:asciiTheme="minorHAnsi" w:hAnsiTheme="minorHAnsi"/>
          <w:snapToGrid w:val="0"/>
        </w:rPr>
        <w:t xml:space="preserve"> further exacerbated by the imputation of missing data for withdrawn patients, which could favour VEDO + SOC. While completely missing data for mPDAI clinical remission scores was addressed by </w:t>
      </w:r>
      <w:r w:rsidRPr="006B343C">
        <w:rPr>
          <w:rFonts w:asciiTheme="minorHAnsi" w:hAnsiTheme="minorHAnsi"/>
          <w:snapToGrid w:val="0"/>
        </w:rPr>
        <w:lastRenderedPageBreak/>
        <w:t>non-response imputation, partially missing data w</w:t>
      </w:r>
      <w:r w:rsidR="00663C2A">
        <w:rPr>
          <w:rFonts w:asciiTheme="minorHAnsi" w:hAnsiTheme="minorHAnsi"/>
          <w:snapToGrid w:val="0"/>
        </w:rPr>
        <w:t xml:space="preserve">ere </w:t>
      </w:r>
      <w:r w:rsidRPr="006B343C">
        <w:rPr>
          <w:rFonts w:asciiTheme="minorHAnsi" w:hAnsiTheme="minorHAnsi"/>
          <w:snapToGrid w:val="0"/>
        </w:rPr>
        <w:t xml:space="preserve">addressed by LOCF based on baseline data and unscheduled data visits. </w:t>
      </w:r>
    </w:p>
    <w:p w14:paraId="76C9F579" w14:textId="1A772053" w:rsidR="007F5816" w:rsidRPr="006B343C" w:rsidRDefault="007F5816" w:rsidP="007F5816">
      <w:pPr>
        <w:numPr>
          <w:ilvl w:val="1"/>
          <w:numId w:val="1"/>
        </w:numPr>
        <w:spacing w:after="120"/>
        <w:rPr>
          <w:rFonts w:asciiTheme="minorHAnsi" w:hAnsiTheme="minorHAnsi"/>
          <w:snapToGrid w:val="0"/>
        </w:rPr>
      </w:pPr>
      <w:bookmarkStart w:id="45" w:name="_Ref166750186"/>
      <w:r w:rsidRPr="006B343C">
        <w:rPr>
          <w:rFonts w:asciiTheme="minorHAnsi" w:hAnsiTheme="minorHAnsi"/>
          <w:snapToGrid w:val="0"/>
        </w:rPr>
        <w:t xml:space="preserve">Using the LOCF imputation method could favour vedolizumab and </w:t>
      </w:r>
      <w:r w:rsidR="00663C2A">
        <w:rPr>
          <w:rFonts w:asciiTheme="minorHAnsi" w:hAnsiTheme="minorHAnsi"/>
          <w:snapToGrid w:val="0"/>
        </w:rPr>
        <w:t>wa</w:t>
      </w:r>
      <w:r w:rsidRPr="006B343C">
        <w:rPr>
          <w:rFonts w:asciiTheme="minorHAnsi" w:hAnsiTheme="minorHAnsi"/>
          <w:snapToGrid w:val="0"/>
        </w:rPr>
        <w:t>s not the most conservative approach as some patients withdrew due to lack of efficacy</w:t>
      </w:r>
      <w:r w:rsidR="00343F09" w:rsidRPr="006B343C">
        <w:rPr>
          <w:rFonts w:asciiTheme="minorHAnsi" w:hAnsiTheme="minorHAnsi"/>
          <w:snapToGrid w:val="0"/>
        </w:rPr>
        <w:t>,</w:t>
      </w:r>
      <w:r w:rsidRPr="006B343C">
        <w:rPr>
          <w:rFonts w:asciiTheme="minorHAnsi" w:hAnsiTheme="minorHAnsi"/>
          <w:snapToGrid w:val="0"/>
        </w:rPr>
        <w:t xml:space="preserve"> which </w:t>
      </w:r>
      <w:r w:rsidR="00663C2A">
        <w:rPr>
          <w:rFonts w:asciiTheme="minorHAnsi" w:hAnsiTheme="minorHAnsi"/>
          <w:snapToGrid w:val="0"/>
        </w:rPr>
        <w:t>wa</w:t>
      </w:r>
      <w:r w:rsidRPr="006B343C">
        <w:rPr>
          <w:rFonts w:asciiTheme="minorHAnsi" w:hAnsiTheme="minorHAnsi"/>
          <w:snapToGrid w:val="0"/>
        </w:rPr>
        <w:t xml:space="preserve">s not reflected in the imputed data. </w:t>
      </w:r>
      <w:r w:rsidR="00663C2A">
        <w:rPr>
          <w:rFonts w:asciiTheme="minorHAnsi" w:hAnsiTheme="minorHAnsi"/>
          <w:snapToGrid w:val="0"/>
        </w:rPr>
        <w:t>The evaluation considered that ad</w:t>
      </w:r>
      <w:r w:rsidRPr="006B343C">
        <w:rPr>
          <w:rFonts w:asciiTheme="minorHAnsi" w:hAnsiTheme="minorHAnsi"/>
          <w:snapToGrid w:val="0"/>
        </w:rPr>
        <w:t xml:space="preserve">ditional information </w:t>
      </w:r>
      <w:r w:rsidR="00663C2A">
        <w:rPr>
          <w:rFonts w:asciiTheme="minorHAnsi" w:hAnsiTheme="minorHAnsi"/>
          <w:snapToGrid w:val="0"/>
        </w:rPr>
        <w:t>would be</w:t>
      </w:r>
      <w:r w:rsidRPr="006B343C">
        <w:rPr>
          <w:rFonts w:asciiTheme="minorHAnsi" w:hAnsiTheme="minorHAnsi"/>
          <w:snapToGrid w:val="0"/>
        </w:rPr>
        <w:t xml:space="preserve"> required to understand how many patients withdrew or were discontinued by the investigator due to lack of efficacy before Week 14, and if these withdrawals, both before and after Week 14, were classified as non-responders.</w:t>
      </w:r>
      <w:bookmarkEnd w:id="45"/>
    </w:p>
    <w:p w14:paraId="3CDB293B" w14:textId="12FD0CAD" w:rsidR="007F5816" w:rsidRDefault="007F5816" w:rsidP="007F5816">
      <w:pPr>
        <w:numPr>
          <w:ilvl w:val="1"/>
          <w:numId w:val="1"/>
        </w:numPr>
        <w:spacing w:after="120"/>
        <w:rPr>
          <w:rFonts w:asciiTheme="minorHAnsi" w:hAnsiTheme="minorHAnsi"/>
          <w:snapToGrid w:val="0"/>
        </w:rPr>
      </w:pPr>
      <w:bookmarkStart w:id="46" w:name="_Ref164438280"/>
      <w:r w:rsidRPr="006B343C">
        <w:rPr>
          <w:rFonts w:asciiTheme="minorHAnsi" w:hAnsiTheme="minorHAnsi"/>
          <w:snapToGrid w:val="0"/>
        </w:rPr>
        <w:t xml:space="preserve">These issues regarding LOCF imputation were also identified by the TGA where the evaluators requested that “the sponsor apply a more comprehensive approach to imputing missing data, including imputing missing data as non-response in some analyses (rather than </w:t>
      </w:r>
      <w:r w:rsidR="007F3204" w:rsidRPr="006B343C">
        <w:rPr>
          <w:rFonts w:asciiTheme="minorHAnsi" w:hAnsiTheme="minorHAnsi"/>
          <w:snapToGrid w:val="0"/>
        </w:rPr>
        <w:t>LOCF</w:t>
      </w:r>
      <w:r w:rsidRPr="006B343C">
        <w:rPr>
          <w:rFonts w:asciiTheme="minorHAnsi" w:hAnsiTheme="minorHAnsi"/>
          <w:snapToGrid w:val="0"/>
        </w:rPr>
        <w:t>) and a jump-to-reference imputation with tipping point analysis” ( TGA Delegate’s Overview</w:t>
      </w:r>
      <w:r w:rsidR="00166273" w:rsidRPr="006B343C">
        <w:rPr>
          <w:rFonts w:asciiTheme="minorHAnsi" w:hAnsiTheme="minorHAnsi"/>
          <w:snapToGrid w:val="0"/>
        </w:rPr>
        <w:t xml:space="preserve">; paragraph </w:t>
      </w:r>
      <w:r w:rsidR="00166273" w:rsidRPr="006B343C">
        <w:rPr>
          <w:rFonts w:asciiTheme="minorHAnsi" w:hAnsiTheme="minorHAnsi"/>
          <w:snapToGrid w:val="0"/>
        </w:rPr>
        <w:fldChar w:fldCharType="begin" w:fldLock="1"/>
      </w:r>
      <w:r w:rsidR="00166273" w:rsidRPr="006B343C">
        <w:rPr>
          <w:rFonts w:asciiTheme="minorHAnsi" w:hAnsiTheme="minorHAnsi"/>
          <w:snapToGrid w:val="0"/>
        </w:rPr>
        <w:instrText xml:space="preserve"> REF _Ref166591884 \r \h </w:instrText>
      </w:r>
      <w:r w:rsidR="006B343C" w:rsidRPr="006B343C">
        <w:rPr>
          <w:rFonts w:asciiTheme="minorHAnsi" w:hAnsiTheme="minorHAnsi"/>
          <w:snapToGrid w:val="0"/>
        </w:rPr>
        <w:instrText xml:space="preserve"> \* MERGEFORMAT </w:instrText>
      </w:r>
      <w:r w:rsidR="00166273" w:rsidRPr="006B343C">
        <w:rPr>
          <w:rFonts w:asciiTheme="minorHAnsi" w:hAnsiTheme="minorHAnsi"/>
          <w:snapToGrid w:val="0"/>
        </w:rPr>
      </w:r>
      <w:r w:rsidR="00166273" w:rsidRPr="006B343C">
        <w:rPr>
          <w:rFonts w:asciiTheme="minorHAnsi" w:hAnsiTheme="minorHAnsi"/>
          <w:snapToGrid w:val="0"/>
        </w:rPr>
        <w:fldChar w:fldCharType="separate"/>
      </w:r>
      <w:r w:rsidR="00DC7CC4">
        <w:rPr>
          <w:rFonts w:asciiTheme="minorHAnsi" w:hAnsiTheme="minorHAnsi"/>
          <w:snapToGrid w:val="0"/>
        </w:rPr>
        <w:t>6.23</w:t>
      </w:r>
      <w:r w:rsidR="00166273" w:rsidRPr="006B343C">
        <w:rPr>
          <w:rFonts w:asciiTheme="minorHAnsi" w:hAnsiTheme="minorHAnsi"/>
          <w:snapToGrid w:val="0"/>
        </w:rPr>
        <w:fldChar w:fldCharType="end"/>
      </w:r>
      <w:r w:rsidRPr="006B343C">
        <w:rPr>
          <w:rFonts w:asciiTheme="minorHAnsi" w:hAnsiTheme="minorHAnsi"/>
          <w:snapToGrid w:val="0"/>
        </w:rPr>
        <w:t>).</w:t>
      </w:r>
      <w:bookmarkEnd w:id="46"/>
    </w:p>
    <w:p w14:paraId="7E4DA9EC" w14:textId="616C8BC4" w:rsidR="00B45E80" w:rsidRPr="00F55938" w:rsidRDefault="00B45E80" w:rsidP="007F5816">
      <w:pPr>
        <w:numPr>
          <w:ilvl w:val="1"/>
          <w:numId w:val="1"/>
        </w:numPr>
        <w:spacing w:after="120"/>
        <w:rPr>
          <w:rFonts w:asciiTheme="minorHAnsi" w:hAnsiTheme="minorHAnsi"/>
          <w:snapToGrid w:val="0"/>
        </w:rPr>
      </w:pPr>
      <w:r w:rsidRPr="00F55938">
        <w:rPr>
          <w:rFonts w:asciiTheme="minorHAnsi" w:hAnsiTheme="minorHAnsi"/>
          <w:snapToGrid w:val="0"/>
        </w:rPr>
        <w:t xml:space="preserve">The ESC considered the issues </w:t>
      </w:r>
      <w:r w:rsidR="004B1217" w:rsidRPr="00F55938">
        <w:rPr>
          <w:rFonts w:asciiTheme="minorHAnsi" w:hAnsiTheme="minorHAnsi"/>
          <w:snapToGrid w:val="0"/>
        </w:rPr>
        <w:t>rais</w:t>
      </w:r>
      <w:r w:rsidRPr="00F55938">
        <w:rPr>
          <w:rFonts w:asciiTheme="minorHAnsi" w:hAnsiTheme="minorHAnsi"/>
          <w:snapToGrid w:val="0"/>
        </w:rPr>
        <w:t xml:space="preserve">ed in paragraphs </w:t>
      </w:r>
      <w:r w:rsidR="004B1217" w:rsidRPr="00F55938">
        <w:rPr>
          <w:rFonts w:asciiTheme="minorHAnsi" w:hAnsiTheme="minorHAnsi"/>
          <w:snapToGrid w:val="0"/>
        </w:rPr>
        <w:fldChar w:fldCharType="begin" w:fldLock="1"/>
      </w:r>
      <w:r w:rsidR="004B1217" w:rsidRPr="00F55938">
        <w:rPr>
          <w:rFonts w:asciiTheme="minorHAnsi" w:hAnsiTheme="minorHAnsi"/>
          <w:snapToGrid w:val="0"/>
        </w:rPr>
        <w:instrText xml:space="preserve"> REF _Ref169100952 \r \h </w:instrText>
      </w:r>
      <w:r w:rsidR="00F55938">
        <w:rPr>
          <w:rFonts w:asciiTheme="minorHAnsi" w:hAnsiTheme="minorHAnsi"/>
          <w:snapToGrid w:val="0"/>
        </w:rPr>
        <w:instrText xml:space="preserve"> \* MERGEFORMAT </w:instrText>
      </w:r>
      <w:r w:rsidR="004B1217" w:rsidRPr="00F55938">
        <w:rPr>
          <w:rFonts w:asciiTheme="minorHAnsi" w:hAnsiTheme="minorHAnsi"/>
          <w:snapToGrid w:val="0"/>
        </w:rPr>
      </w:r>
      <w:r w:rsidR="004B1217" w:rsidRPr="00F55938">
        <w:rPr>
          <w:rFonts w:asciiTheme="minorHAnsi" w:hAnsiTheme="minorHAnsi"/>
          <w:snapToGrid w:val="0"/>
        </w:rPr>
        <w:fldChar w:fldCharType="separate"/>
      </w:r>
      <w:r w:rsidR="00DC7CC4">
        <w:rPr>
          <w:rFonts w:asciiTheme="minorHAnsi" w:hAnsiTheme="minorHAnsi"/>
          <w:snapToGrid w:val="0"/>
        </w:rPr>
        <w:t>6.8</w:t>
      </w:r>
      <w:r w:rsidR="004B1217" w:rsidRPr="00F55938">
        <w:rPr>
          <w:rFonts w:asciiTheme="minorHAnsi" w:hAnsiTheme="minorHAnsi"/>
          <w:snapToGrid w:val="0"/>
        </w:rPr>
        <w:fldChar w:fldCharType="end"/>
      </w:r>
      <w:r w:rsidRPr="00F55938">
        <w:rPr>
          <w:rFonts w:asciiTheme="minorHAnsi" w:hAnsiTheme="minorHAnsi"/>
          <w:snapToGrid w:val="0"/>
        </w:rPr>
        <w:fldChar w:fldCharType="begin" w:fldLock="1"/>
      </w:r>
      <w:r w:rsidR="00D67841" w:rsidRPr="00F55938">
        <w:rPr>
          <w:rFonts w:asciiTheme="minorHAnsi" w:hAnsiTheme="minorHAnsi"/>
          <w:snapToGrid w:val="0"/>
        </w:rPr>
        <w:instrText>–</w:instrText>
      </w:r>
      <w:r w:rsidRPr="00F55938">
        <w:rPr>
          <w:rFonts w:asciiTheme="minorHAnsi" w:hAnsiTheme="minorHAnsi"/>
          <w:snapToGrid w:val="0"/>
        </w:rPr>
        <w:instrText xml:space="preserve">REF _Ref169100952 \r \h </w:instrText>
      </w:r>
      <w:r w:rsidRPr="00F55938">
        <w:rPr>
          <w:rFonts w:asciiTheme="minorHAnsi" w:hAnsiTheme="minorHAnsi"/>
          <w:snapToGrid w:val="0"/>
        </w:rPr>
        <w:fldChar w:fldCharType="separate"/>
      </w:r>
      <w:r w:rsidR="00152D11" w:rsidRPr="00F55938">
        <w:rPr>
          <w:rFonts w:asciiTheme="minorHAnsi" w:hAnsiTheme="minorHAnsi"/>
          <w:snapToGrid w:val="0"/>
        </w:rPr>
        <w:t>6.5</w:t>
      </w:r>
      <w:r w:rsidRPr="00F55938">
        <w:rPr>
          <w:rFonts w:asciiTheme="minorHAnsi" w:hAnsiTheme="minorHAnsi"/>
          <w:snapToGrid w:val="0"/>
        </w:rPr>
        <w:fldChar w:fldCharType="end"/>
      </w:r>
      <w:r w:rsidRPr="00F55938">
        <w:rPr>
          <w:rFonts w:asciiTheme="minorHAnsi" w:hAnsiTheme="minorHAnsi"/>
          <w:snapToGrid w:val="0"/>
        </w:rPr>
        <w:t xml:space="preserve"> </w:t>
      </w:r>
      <w:r w:rsidR="00AD784A">
        <w:rPr>
          <w:rFonts w:asciiTheme="minorHAnsi" w:hAnsiTheme="minorHAnsi"/>
          <w:snapToGrid w:val="0"/>
        </w:rPr>
        <w:t>–</w:t>
      </w:r>
      <w:r w:rsidRPr="00F55938">
        <w:rPr>
          <w:rFonts w:asciiTheme="minorHAnsi" w:hAnsiTheme="minorHAnsi"/>
          <w:snapToGrid w:val="0"/>
        </w:rPr>
        <w:t xml:space="preserve"> </w:t>
      </w:r>
      <w:r w:rsidRPr="00F55938">
        <w:rPr>
          <w:rFonts w:asciiTheme="minorHAnsi" w:hAnsiTheme="minorHAnsi"/>
          <w:snapToGrid w:val="0"/>
        </w:rPr>
        <w:fldChar w:fldCharType="begin" w:fldLock="1"/>
      </w:r>
      <w:r w:rsidRPr="00F55938">
        <w:rPr>
          <w:rFonts w:asciiTheme="minorHAnsi" w:hAnsiTheme="minorHAnsi"/>
          <w:snapToGrid w:val="0"/>
        </w:rPr>
        <w:instrText xml:space="preserve"> REF _Ref164438280 \r \h </w:instrText>
      </w:r>
      <w:r w:rsidR="00F55938">
        <w:rPr>
          <w:rFonts w:asciiTheme="minorHAnsi" w:hAnsiTheme="minorHAnsi"/>
          <w:snapToGrid w:val="0"/>
        </w:rPr>
        <w:instrText xml:space="preserve"> \* MERGEFORMAT </w:instrText>
      </w:r>
      <w:r w:rsidRPr="00F55938">
        <w:rPr>
          <w:rFonts w:asciiTheme="minorHAnsi" w:hAnsiTheme="minorHAnsi"/>
          <w:snapToGrid w:val="0"/>
        </w:rPr>
      </w:r>
      <w:r w:rsidRPr="00F55938">
        <w:rPr>
          <w:rFonts w:asciiTheme="minorHAnsi" w:hAnsiTheme="minorHAnsi"/>
          <w:snapToGrid w:val="0"/>
        </w:rPr>
        <w:fldChar w:fldCharType="separate"/>
      </w:r>
      <w:r w:rsidR="00DC7CC4">
        <w:rPr>
          <w:rFonts w:asciiTheme="minorHAnsi" w:hAnsiTheme="minorHAnsi"/>
          <w:snapToGrid w:val="0"/>
        </w:rPr>
        <w:t>6.11</w:t>
      </w:r>
      <w:r w:rsidRPr="00F55938">
        <w:rPr>
          <w:rFonts w:asciiTheme="minorHAnsi" w:hAnsiTheme="minorHAnsi"/>
          <w:snapToGrid w:val="0"/>
        </w:rPr>
        <w:fldChar w:fldCharType="end"/>
      </w:r>
      <w:r w:rsidRPr="00F55938">
        <w:rPr>
          <w:rFonts w:asciiTheme="minorHAnsi" w:hAnsiTheme="minorHAnsi"/>
          <w:snapToGrid w:val="0"/>
        </w:rPr>
        <w:t xml:space="preserve"> were substantial sources of </w:t>
      </w:r>
      <w:r w:rsidR="00D531E2" w:rsidRPr="00F55938">
        <w:rPr>
          <w:rFonts w:asciiTheme="minorHAnsi" w:hAnsiTheme="minorHAnsi"/>
          <w:snapToGrid w:val="0"/>
        </w:rPr>
        <w:t xml:space="preserve">uncertainty when interpreting the outcomes of the EARNEST trial, however acknowledged the challenges in generating robust randomised controlled trial evidence in the context of the rarity of chronic pouchitis. </w:t>
      </w:r>
    </w:p>
    <w:p w14:paraId="3EC98317" w14:textId="737158B8" w:rsidR="007F5816" w:rsidRPr="006B343C" w:rsidRDefault="007F5816" w:rsidP="007F5816">
      <w:pPr>
        <w:numPr>
          <w:ilvl w:val="1"/>
          <w:numId w:val="1"/>
        </w:numPr>
        <w:spacing w:after="120"/>
        <w:rPr>
          <w:rFonts w:cs="Calibri"/>
          <w:snapToGrid w:val="0"/>
        </w:rPr>
      </w:pPr>
      <w:r w:rsidRPr="006B343C">
        <w:rPr>
          <w:rFonts w:asciiTheme="minorHAnsi" w:hAnsiTheme="minorHAnsi"/>
          <w:snapToGrid w:val="0"/>
        </w:rPr>
        <w:t>The primary efficacy outcome of the EARNEST trial was mPDAI</w:t>
      </w:r>
      <w:r w:rsidR="00D57A92" w:rsidRPr="006B343C">
        <w:rPr>
          <w:rFonts w:asciiTheme="minorHAnsi" w:hAnsiTheme="minorHAnsi"/>
          <w:snapToGrid w:val="0"/>
        </w:rPr>
        <w:t>-defined</w:t>
      </w:r>
      <w:r w:rsidRPr="006B343C">
        <w:rPr>
          <w:rFonts w:asciiTheme="minorHAnsi" w:hAnsiTheme="minorHAnsi"/>
          <w:snapToGrid w:val="0"/>
        </w:rPr>
        <w:t xml:space="preserve"> clinical remission at Week 14 defined as an mPDAI total score &lt;5 (considered quiescent disease) with a ≥2 point reduction from baseline. </w:t>
      </w:r>
    </w:p>
    <w:p w14:paraId="64E5A70F" w14:textId="5AECBDAC"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The submission stated that there is no established minimally clinically important difference (MCID) </w:t>
      </w:r>
      <w:r w:rsidR="00513151">
        <w:rPr>
          <w:rFonts w:asciiTheme="minorHAnsi" w:hAnsiTheme="minorHAnsi"/>
          <w:snapToGrid w:val="0"/>
        </w:rPr>
        <w:t xml:space="preserve">for mPDAI </w:t>
      </w:r>
      <w:r w:rsidRPr="006B343C">
        <w:rPr>
          <w:rFonts w:asciiTheme="minorHAnsi" w:hAnsiTheme="minorHAnsi"/>
          <w:snapToGrid w:val="0"/>
        </w:rPr>
        <w:t xml:space="preserve">but applied an assumed </w:t>
      </w:r>
      <w:r w:rsidR="0037046A" w:rsidRPr="006B343C">
        <w:rPr>
          <w:rFonts w:asciiTheme="minorHAnsi" w:hAnsiTheme="minorHAnsi"/>
          <w:snapToGrid w:val="0"/>
        </w:rPr>
        <w:t>treatment difference</w:t>
      </w:r>
      <w:r w:rsidRPr="006B343C">
        <w:rPr>
          <w:rFonts w:asciiTheme="minorHAnsi" w:hAnsiTheme="minorHAnsi"/>
          <w:snapToGrid w:val="0"/>
        </w:rPr>
        <w:t xml:space="preserve"> effect size of </w:t>
      </w:r>
      <w:r w:rsidR="0037046A" w:rsidRPr="006B343C">
        <w:rPr>
          <w:rFonts w:asciiTheme="minorHAnsi" w:hAnsiTheme="minorHAnsi"/>
          <w:snapToGrid w:val="0"/>
        </w:rPr>
        <w:t xml:space="preserve">at least </w:t>
      </w:r>
      <w:r w:rsidRPr="006B343C">
        <w:rPr>
          <w:rFonts w:asciiTheme="minorHAnsi" w:hAnsiTheme="minorHAnsi"/>
          <w:snapToGrid w:val="0"/>
        </w:rPr>
        <w:t>25</w:t>
      </w:r>
      <w:r w:rsidR="0037046A" w:rsidRPr="006B343C">
        <w:rPr>
          <w:rFonts w:asciiTheme="minorHAnsi" w:hAnsiTheme="minorHAnsi"/>
          <w:snapToGrid w:val="0"/>
        </w:rPr>
        <w:t xml:space="preserve"> percentage point </w:t>
      </w:r>
      <w:r w:rsidRPr="006B343C">
        <w:rPr>
          <w:rFonts w:asciiTheme="minorHAnsi" w:hAnsiTheme="minorHAnsi"/>
          <w:snapToGrid w:val="0"/>
        </w:rPr>
        <w:t>to be a “clinically significant” for the mPDAI at Week 14 for sample size calculations (described in the statistical analysis plan (SAP) of the EARNEST trial). T</w:t>
      </w:r>
      <w:r w:rsidR="001B5DF4" w:rsidRPr="006B343C">
        <w:rPr>
          <w:rFonts w:asciiTheme="minorHAnsi" w:hAnsiTheme="minorHAnsi"/>
          <w:snapToGrid w:val="0"/>
        </w:rPr>
        <w:t>he rational</w:t>
      </w:r>
      <w:r w:rsidRPr="006B343C">
        <w:rPr>
          <w:rFonts w:asciiTheme="minorHAnsi" w:hAnsiTheme="minorHAnsi"/>
          <w:snapToGrid w:val="0"/>
        </w:rPr>
        <w:t>e</w:t>
      </w:r>
      <w:r w:rsidR="001B5DF4" w:rsidRPr="006B343C">
        <w:rPr>
          <w:rFonts w:asciiTheme="minorHAnsi" w:hAnsiTheme="minorHAnsi"/>
          <w:snapToGrid w:val="0"/>
        </w:rPr>
        <w:t xml:space="preserve"> for selecting this was not adequately justified nor validated.</w:t>
      </w:r>
      <w:r w:rsidRPr="006B343C">
        <w:rPr>
          <w:rFonts w:asciiTheme="minorHAnsi" w:hAnsiTheme="minorHAnsi"/>
          <w:snapToGrid w:val="0"/>
        </w:rPr>
        <w:t xml:space="preserve"> </w:t>
      </w:r>
    </w:p>
    <w:p w14:paraId="5946C962" w14:textId="1895B76A" w:rsidR="007F5816" w:rsidRPr="006B343C" w:rsidRDefault="007F5816" w:rsidP="007F5816">
      <w:pPr>
        <w:numPr>
          <w:ilvl w:val="1"/>
          <w:numId w:val="1"/>
        </w:numPr>
        <w:spacing w:after="120"/>
        <w:rPr>
          <w:rFonts w:asciiTheme="minorHAnsi" w:hAnsiTheme="minorHAnsi"/>
          <w:snapToGrid w:val="0"/>
        </w:rPr>
      </w:pPr>
      <w:bookmarkStart w:id="47" w:name="_Ref166743057"/>
      <w:bookmarkStart w:id="48" w:name="_Ref164242780"/>
      <w:r w:rsidRPr="006B343C">
        <w:rPr>
          <w:rFonts w:asciiTheme="minorHAnsi" w:hAnsiTheme="minorHAnsi"/>
          <w:snapToGrid w:val="0"/>
        </w:rPr>
        <w:t xml:space="preserve">The submission included several secondary efficacy outcomes, including mPDAI clinical remission at Week 34, changes from baseline in PDAI total score and its clinical, endoscopic, and histologic sub-scores, as well as changes from baseline in IBDQ score. The IBDQ instrument is a validated tool for inflammatory bowel disease (not pouchitis). </w:t>
      </w:r>
      <w:r w:rsidR="00A43349" w:rsidRPr="006B343C">
        <w:rPr>
          <w:rFonts w:asciiTheme="minorHAnsi" w:hAnsiTheme="minorHAnsi"/>
          <w:snapToGrid w:val="0"/>
        </w:rPr>
        <w:t>Secondary outcomes were not controlled for multiplicity and c</w:t>
      </w:r>
      <w:r w:rsidRPr="006B343C">
        <w:rPr>
          <w:rFonts w:asciiTheme="minorHAnsi" w:hAnsiTheme="minorHAnsi"/>
          <w:snapToGrid w:val="0"/>
        </w:rPr>
        <w:t xml:space="preserve">oncerns were raised </w:t>
      </w:r>
      <w:r w:rsidR="009C2B09">
        <w:rPr>
          <w:rFonts w:asciiTheme="minorHAnsi" w:hAnsiTheme="minorHAnsi"/>
          <w:snapToGrid w:val="0"/>
        </w:rPr>
        <w:t>in</w:t>
      </w:r>
      <w:r w:rsidRPr="006B343C">
        <w:rPr>
          <w:rFonts w:asciiTheme="minorHAnsi" w:hAnsiTheme="minorHAnsi"/>
          <w:snapToGrid w:val="0"/>
        </w:rPr>
        <w:t xml:space="preserve"> the TGA Delegate’s </w:t>
      </w:r>
      <w:r w:rsidR="009C2B09">
        <w:rPr>
          <w:rFonts w:asciiTheme="minorHAnsi" w:hAnsiTheme="minorHAnsi"/>
          <w:snapToGrid w:val="0"/>
        </w:rPr>
        <w:t>O</w:t>
      </w:r>
      <w:r w:rsidRPr="006B343C">
        <w:rPr>
          <w:rFonts w:asciiTheme="minorHAnsi" w:hAnsiTheme="minorHAnsi"/>
          <w:snapToGrid w:val="0"/>
        </w:rPr>
        <w:t xml:space="preserve">verview regarding </w:t>
      </w:r>
      <w:r w:rsidR="00A43349" w:rsidRPr="006B343C">
        <w:rPr>
          <w:rFonts w:asciiTheme="minorHAnsi" w:hAnsiTheme="minorHAnsi"/>
          <w:snapToGrid w:val="0"/>
        </w:rPr>
        <w:t xml:space="preserve">the </w:t>
      </w:r>
      <w:r w:rsidRPr="006B343C">
        <w:rPr>
          <w:rFonts w:asciiTheme="minorHAnsi" w:hAnsiTheme="minorHAnsi"/>
          <w:snapToGrid w:val="0"/>
        </w:rPr>
        <w:t>reliab</w:t>
      </w:r>
      <w:r w:rsidR="008D5405" w:rsidRPr="006B343C">
        <w:rPr>
          <w:rFonts w:asciiTheme="minorHAnsi" w:hAnsiTheme="minorHAnsi"/>
          <w:snapToGrid w:val="0"/>
        </w:rPr>
        <w:t xml:space="preserve">ility of these endpoints </w:t>
      </w:r>
      <w:r w:rsidRPr="006B343C">
        <w:rPr>
          <w:rFonts w:asciiTheme="minorHAnsi" w:hAnsiTheme="minorHAnsi"/>
          <w:snapToGrid w:val="0"/>
        </w:rPr>
        <w:t xml:space="preserve">(paragraph </w:t>
      </w:r>
      <w:r w:rsidRPr="006B343C">
        <w:rPr>
          <w:rFonts w:asciiTheme="minorHAnsi" w:hAnsiTheme="minorHAnsi"/>
          <w:snapToGrid w:val="0"/>
        </w:rPr>
        <w:fldChar w:fldCharType="begin" w:fldLock="1"/>
      </w:r>
      <w:r w:rsidRPr="006B343C">
        <w:rPr>
          <w:rFonts w:asciiTheme="minorHAnsi" w:hAnsiTheme="minorHAnsi"/>
          <w:snapToGrid w:val="0"/>
        </w:rPr>
        <w:instrText xml:space="preserve"> REF _Ref164663607 \r \h </w:instrText>
      </w:r>
      <w:r w:rsidR="006B343C" w:rsidRPr="006B343C">
        <w:rPr>
          <w:rFonts w:asciiTheme="minorHAnsi" w:hAnsiTheme="minorHAnsi"/>
          <w:snapToGrid w:val="0"/>
        </w:rPr>
        <w:instrText xml:space="preserve"> \* MERGEFORMAT </w:instrText>
      </w:r>
      <w:r w:rsidRPr="006B343C">
        <w:rPr>
          <w:rFonts w:asciiTheme="minorHAnsi" w:hAnsiTheme="minorHAnsi"/>
          <w:snapToGrid w:val="0"/>
        </w:rPr>
      </w:r>
      <w:r w:rsidRPr="006B343C">
        <w:rPr>
          <w:rFonts w:asciiTheme="minorHAnsi" w:hAnsiTheme="minorHAnsi"/>
          <w:snapToGrid w:val="0"/>
        </w:rPr>
        <w:fldChar w:fldCharType="separate"/>
      </w:r>
      <w:r w:rsidR="00DC7CC4">
        <w:rPr>
          <w:rFonts w:asciiTheme="minorHAnsi" w:hAnsiTheme="minorHAnsi"/>
          <w:snapToGrid w:val="0"/>
        </w:rPr>
        <w:t>2.3</w:t>
      </w:r>
      <w:r w:rsidRPr="006B343C">
        <w:rPr>
          <w:rFonts w:asciiTheme="minorHAnsi" w:hAnsiTheme="minorHAnsi"/>
          <w:snapToGrid w:val="0"/>
        </w:rPr>
        <w:fldChar w:fldCharType="end"/>
      </w:r>
      <w:r w:rsidRPr="006B343C">
        <w:rPr>
          <w:rFonts w:asciiTheme="minorHAnsi" w:hAnsiTheme="minorHAnsi"/>
          <w:snapToGrid w:val="0"/>
        </w:rPr>
        <w:t>).</w:t>
      </w:r>
      <w:bookmarkEnd w:id="47"/>
      <w:r w:rsidRPr="006B343C">
        <w:rPr>
          <w:rFonts w:asciiTheme="minorHAnsi" w:hAnsiTheme="minorHAnsi"/>
          <w:snapToGrid w:val="0"/>
        </w:rPr>
        <w:t xml:space="preserve"> </w:t>
      </w:r>
    </w:p>
    <w:bookmarkEnd w:id="48"/>
    <w:p w14:paraId="0BA893C4" w14:textId="21489336"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All patients randomised into the study had prior medications for treating pouchitis initiated post-colectomy. 94.1% of patients in the VEDO + SOC group had prior antibiotic treatment with ciprofloxacin compared to 82.4% of patients in the PBO + SOC group. 72.5% of patients in the VEDO + SOC group had prior antibiotic treatment with metronidazole, compared to 64.7% of patients in the PBO + SOC group. Higher prior antibiotic usage in the VEDO + SOC arm could favour VEDO + SOC</w:t>
      </w:r>
      <w:r w:rsidR="000F5D89" w:rsidRPr="006B343C">
        <w:rPr>
          <w:rFonts w:asciiTheme="minorHAnsi" w:hAnsiTheme="minorHAnsi"/>
          <w:snapToGrid w:val="0"/>
        </w:rPr>
        <w:t xml:space="preserve"> because </w:t>
      </w:r>
      <w:r w:rsidR="000F5D89" w:rsidRPr="006B343C">
        <w:rPr>
          <w:rFonts w:asciiTheme="minorHAnsi" w:hAnsiTheme="minorHAnsi"/>
          <w:snapToGrid w:val="0"/>
        </w:rPr>
        <w:lastRenderedPageBreak/>
        <w:t xml:space="preserve">patients in this arm had a higher level of </w:t>
      </w:r>
      <w:r w:rsidR="000B46DD" w:rsidRPr="006B343C">
        <w:rPr>
          <w:rFonts w:asciiTheme="minorHAnsi" w:hAnsiTheme="minorHAnsi"/>
          <w:snapToGrid w:val="0"/>
        </w:rPr>
        <w:t>pre-treatment</w:t>
      </w:r>
      <w:r w:rsidR="000F5D89" w:rsidRPr="006B343C">
        <w:rPr>
          <w:rFonts w:asciiTheme="minorHAnsi" w:hAnsiTheme="minorHAnsi"/>
          <w:snapToGrid w:val="0"/>
        </w:rPr>
        <w:t xml:space="preserve"> without a washout period before commencing investigational therapy</w:t>
      </w:r>
      <w:r w:rsidR="00AF14CC" w:rsidRPr="006B343C">
        <w:rPr>
          <w:rFonts w:asciiTheme="minorHAnsi" w:hAnsiTheme="minorHAnsi"/>
          <w:snapToGrid w:val="0"/>
        </w:rPr>
        <w:t>.</w:t>
      </w:r>
    </w:p>
    <w:p w14:paraId="5D396D8A" w14:textId="7844469F"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Concomitant medications were defined as any medications that were ongoing at or started on/after the start of study medication including medication given after Week 34, excluding the companion antibiotics that were administered from Day 1 through Week 4 per protocol. Almost all patients in both the VEDO + SOC (98.0%) and PBO + SOC (96.1%) groups were treated with a concomitant medication throughout the study, and the majority of patients were taking concomitant medication specifically for pouchitis (84.3% vs. 80.4%, respectively). </w:t>
      </w:r>
    </w:p>
    <w:p w14:paraId="7F2C2ED4" w14:textId="12D8B405"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There was a higher proportion of concomitant antibiotic usage observed in the VEDO + SOC group (58.8%) compared to the PBO + SOC group (37.3%). This was evident at both the Week 14 (22.2% vs. 20.0%, respectively) and Week 34 (21.2% vs. 12.5%) study endpoints, coinciding with the assessment of mPDAI and other secondary outcomes. The greater proportion of concomitant antibiotic including additional ciprofloxacin courses for </w:t>
      </w:r>
      <w:r w:rsidR="009C2B09">
        <w:rPr>
          <w:rFonts w:asciiTheme="minorHAnsi" w:hAnsiTheme="minorHAnsi"/>
          <w:snapToGrid w:val="0"/>
        </w:rPr>
        <w:t xml:space="preserve">the </w:t>
      </w:r>
      <w:r w:rsidRPr="006B343C">
        <w:rPr>
          <w:rFonts w:asciiTheme="minorHAnsi" w:hAnsiTheme="minorHAnsi"/>
          <w:snapToGrid w:val="0"/>
        </w:rPr>
        <w:t xml:space="preserve">management of flares in the VEDO + SOC group, particularly at Week 14 and Week 34, could potentially confound and overestimate the treatment </w:t>
      </w:r>
      <w:r w:rsidR="000D026E" w:rsidRPr="006B343C">
        <w:rPr>
          <w:rFonts w:asciiTheme="minorHAnsi" w:hAnsiTheme="minorHAnsi"/>
          <w:snapToGrid w:val="0"/>
        </w:rPr>
        <w:t>effect of vedolizumab</w:t>
      </w:r>
      <w:r w:rsidR="00B974E5" w:rsidRPr="006B343C">
        <w:rPr>
          <w:rFonts w:asciiTheme="minorHAnsi" w:hAnsiTheme="minorHAnsi"/>
          <w:snapToGrid w:val="0"/>
        </w:rPr>
        <w:t>.</w:t>
      </w:r>
      <w:r w:rsidRPr="006B343C">
        <w:rPr>
          <w:rFonts w:asciiTheme="minorHAnsi" w:hAnsiTheme="minorHAnsi"/>
          <w:snapToGrid w:val="0"/>
        </w:rPr>
        <w:t xml:space="preserve"> Therefore, the treatment effect observed in the EARNEST trial with VEDO + SOC should be interpreted</w:t>
      </w:r>
      <w:r w:rsidR="00912FE3" w:rsidRPr="006B343C">
        <w:rPr>
          <w:rFonts w:asciiTheme="minorHAnsi" w:hAnsiTheme="minorHAnsi"/>
          <w:snapToGrid w:val="0"/>
        </w:rPr>
        <w:t xml:space="preserve"> with caution,</w:t>
      </w:r>
      <w:r w:rsidRPr="006B343C">
        <w:rPr>
          <w:rFonts w:asciiTheme="minorHAnsi" w:hAnsiTheme="minorHAnsi"/>
          <w:snapToGrid w:val="0"/>
        </w:rPr>
        <w:t xml:space="preserve"> in the context of the additional doses of antibiotics beyond the four weeks of ciprofloxacin. Additionally, this affects the generalisability of the trial results to routine clinical use, where antibiotic use may be more common. The TGA Delegate’s </w:t>
      </w:r>
      <w:r w:rsidR="009C2B09">
        <w:rPr>
          <w:rFonts w:asciiTheme="minorHAnsi" w:hAnsiTheme="minorHAnsi"/>
          <w:snapToGrid w:val="0"/>
        </w:rPr>
        <w:t>O</w:t>
      </w:r>
      <w:r w:rsidRPr="006B343C">
        <w:rPr>
          <w:rFonts w:asciiTheme="minorHAnsi" w:hAnsiTheme="minorHAnsi"/>
          <w:snapToGrid w:val="0"/>
        </w:rPr>
        <w:t xml:space="preserve">verview raised similar concerns (paragraph </w:t>
      </w:r>
      <w:bookmarkStart w:id="49" w:name="_Hlt164678461"/>
      <w:r w:rsidRPr="006B343C">
        <w:rPr>
          <w:rFonts w:asciiTheme="minorHAnsi" w:hAnsiTheme="minorHAnsi"/>
          <w:snapToGrid w:val="0"/>
        </w:rPr>
        <w:fldChar w:fldCharType="begin" w:fldLock="1"/>
      </w:r>
      <w:r w:rsidRPr="006B343C">
        <w:rPr>
          <w:rFonts w:asciiTheme="minorHAnsi" w:hAnsiTheme="minorHAnsi"/>
          <w:snapToGrid w:val="0"/>
        </w:rPr>
        <w:instrText xml:space="preserve"> REF _Ref164663607 \r \h </w:instrText>
      </w:r>
      <w:r w:rsidR="006B343C" w:rsidRPr="006B343C">
        <w:rPr>
          <w:rFonts w:asciiTheme="minorHAnsi" w:hAnsiTheme="minorHAnsi"/>
          <w:snapToGrid w:val="0"/>
        </w:rPr>
        <w:instrText xml:space="preserve"> \* MERGEFORMAT </w:instrText>
      </w:r>
      <w:r w:rsidRPr="006B343C">
        <w:rPr>
          <w:rFonts w:asciiTheme="minorHAnsi" w:hAnsiTheme="minorHAnsi"/>
          <w:snapToGrid w:val="0"/>
        </w:rPr>
      </w:r>
      <w:r w:rsidRPr="006B343C">
        <w:rPr>
          <w:rFonts w:asciiTheme="minorHAnsi" w:hAnsiTheme="minorHAnsi"/>
          <w:snapToGrid w:val="0"/>
        </w:rPr>
        <w:fldChar w:fldCharType="separate"/>
      </w:r>
      <w:r w:rsidR="00DC7CC4">
        <w:rPr>
          <w:rFonts w:asciiTheme="minorHAnsi" w:hAnsiTheme="minorHAnsi"/>
          <w:snapToGrid w:val="0"/>
        </w:rPr>
        <w:t>2.3</w:t>
      </w:r>
      <w:r w:rsidRPr="006B343C">
        <w:rPr>
          <w:rFonts w:asciiTheme="minorHAnsi" w:hAnsiTheme="minorHAnsi"/>
          <w:snapToGrid w:val="0"/>
        </w:rPr>
        <w:fldChar w:fldCharType="end"/>
      </w:r>
      <w:bookmarkEnd w:id="49"/>
      <w:r w:rsidRPr="006B343C">
        <w:rPr>
          <w:rFonts w:asciiTheme="minorHAnsi" w:hAnsiTheme="minorHAnsi"/>
          <w:snapToGrid w:val="0"/>
        </w:rPr>
        <w:t xml:space="preserve">). </w:t>
      </w:r>
    </w:p>
    <w:p w14:paraId="5D0D8A34" w14:textId="77777777" w:rsidR="007F5816" w:rsidRPr="007F5816" w:rsidRDefault="007F5816" w:rsidP="003305CD">
      <w:pPr>
        <w:pStyle w:val="4-SubsectionHeading"/>
      </w:pPr>
      <w:bookmarkStart w:id="50" w:name="_Toc22897641"/>
      <w:bookmarkStart w:id="51" w:name="_Toc107927627"/>
      <w:bookmarkStart w:id="52" w:name="_Toc167264519"/>
      <w:r w:rsidRPr="007F5816">
        <w:t>Comparative effectiveness</w:t>
      </w:r>
      <w:bookmarkEnd w:id="50"/>
      <w:bookmarkEnd w:id="51"/>
      <w:bookmarkEnd w:id="52"/>
    </w:p>
    <w:p w14:paraId="6B7BCB39" w14:textId="3970D93D"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The full analysis set (FAS) population was the primary analysis set for efficacy. The FAS population was defined as all randomised participants who received at least 1 dose of the study drug medication. An intention-to-treat (ITT) analysis was not conducted</w:t>
      </w:r>
      <w:r w:rsidR="00BC1C51" w:rsidRPr="006B343C">
        <w:rPr>
          <w:rFonts w:asciiTheme="minorHAnsi" w:hAnsiTheme="minorHAnsi"/>
          <w:snapToGrid w:val="0"/>
        </w:rPr>
        <w:t>. The FAS approach</w:t>
      </w:r>
      <w:r w:rsidRPr="006B343C">
        <w:rPr>
          <w:rFonts w:asciiTheme="minorHAnsi" w:hAnsiTheme="minorHAnsi"/>
          <w:snapToGrid w:val="0"/>
        </w:rPr>
        <w:t xml:space="preserve"> appears reasonable since all randomised patients received at least 1 dose of the study medication.  </w:t>
      </w:r>
    </w:p>
    <w:p w14:paraId="07303DDA" w14:textId="19E30B2D" w:rsidR="007F5816" w:rsidRPr="006B343C" w:rsidRDefault="007F5816" w:rsidP="00A82176">
      <w:pPr>
        <w:pStyle w:val="3-BodyText"/>
      </w:pPr>
      <w:r w:rsidRPr="006B343C">
        <w:fldChar w:fldCharType="begin" w:fldLock="1"/>
      </w:r>
      <w:r w:rsidRPr="006B343C">
        <w:instrText xml:space="preserve"> REF _Ref164411156 \h </w:instrText>
      </w:r>
      <w:r w:rsidR="00A82176" w:rsidRPr="006B343C">
        <w:instrText xml:space="preserve"> \* MERGEFORMAT </w:instrText>
      </w:r>
      <w:r w:rsidRPr="006B343C">
        <w:fldChar w:fldCharType="separate"/>
      </w:r>
      <w:r w:rsidR="00DC7CC4" w:rsidRPr="00DC7CC4">
        <w:t>Table 5</w:t>
      </w:r>
      <w:r w:rsidRPr="006B343C">
        <w:fldChar w:fldCharType="end"/>
      </w:r>
      <w:r w:rsidRPr="006B343C">
        <w:t xml:space="preserve"> presents the results of the mPDAI-defined clinical remission for the primary outcome endpoint of Week 14 and secondary (and exploratory) outcomes at Week 34.</w:t>
      </w:r>
    </w:p>
    <w:p w14:paraId="60C17649" w14:textId="1DAF80DC" w:rsidR="007F5816" w:rsidRPr="006B343C" w:rsidRDefault="007F5816" w:rsidP="008E5D18">
      <w:pPr>
        <w:keepNext/>
        <w:keepLines/>
        <w:rPr>
          <w:rFonts w:ascii="Arial Narrow" w:hAnsi="Arial Narrow"/>
          <w:b/>
          <w:bCs/>
          <w:sz w:val="20"/>
          <w:szCs w:val="18"/>
        </w:rPr>
      </w:pPr>
      <w:bookmarkStart w:id="53" w:name="_Ref164411156"/>
      <w:r w:rsidRPr="006B343C">
        <w:rPr>
          <w:rFonts w:ascii="Arial Narrow" w:hAnsi="Arial Narrow"/>
          <w:b/>
          <w:bCs/>
          <w:sz w:val="20"/>
          <w:szCs w:val="18"/>
        </w:rPr>
        <w:lastRenderedPageBreak/>
        <w:t xml:space="preserve">Table </w:t>
      </w:r>
      <w:r w:rsidRPr="006B343C">
        <w:rPr>
          <w:rFonts w:ascii="Arial Narrow" w:hAnsi="Arial Narrow"/>
          <w:b/>
          <w:bCs/>
          <w:sz w:val="20"/>
          <w:szCs w:val="18"/>
        </w:rPr>
        <w:fldChar w:fldCharType="begin" w:fldLock="1"/>
      </w:r>
      <w:r w:rsidRPr="006B343C">
        <w:rPr>
          <w:rFonts w:ascii="Arial Narrow" w:hAnsi="Arial Narrow"/>
          <w:b/>
          <w:bCs/>
          <w:sz w:val="20"/>
          <w:szCs w:val="18"/>
        </w:rPr>
        <w:instrText xml:space="preserve"> SEQ Table \* ARABIC </w:instrText>
      </w:r>
      <w:r w:rsidRPr="006B343C">
        <w:rPr>
          <w:rFonts w:ascii="Arial Narrow" w:hAnsi="Arial Narrow"/>
          <w:b/>
          <w:bCs/>
          <w:sz w:val="20"/>
          <w:szCs w:val="18"/>
        </w:rPr>
        <w:fldChar w:fldCharType="separate"/>
      </w:r>
      <w:r w:rsidR="00DC7CC4">
        <w:rPr>
          <w:rFonts w:ascii="Arial Narrow" w:hAnsi="Arial Narrow"/>
          <w:b/>
          <w:bCs/>
          <w:noProof/>
          <w:sz w:val="20"/>
          <w:szCs w:val="18"/>
        </w:rPr>
        <w:t>5</w:t>
      </w:r>
      <w:r w:rsidRPr="006B343C">
        <w:rPr>
          <w:rFonts w:ascii="Arial Narrow" w:hAnsi="Arial Narrow"/>
          <w:b/>
          <w:bCs/>
          <w:sz w:val="20"/>
          <w:szCs w:val="18"/>
        </w:rPr>
        <w:fldChar w:fldCharType="end"/>
      </w:r>
      <w:bookmarkEnd w:id="53"/>
      <w:r w:rsidRPr="006B343C">
        <w:rPr>
          <w:rFonts w:ascii="Arial Narrow" w:hAnsi="Arial Narrow"/>
          <w:b/>
          <w:bCs/>
          <w:sz w:val="20"/>
          <w:szCs w:val="18"/>
        </w:rPr>
        <w:t>: mPDAI-defined remission at Week 14 and 34 in the EARNEST trial, FAS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Caption w:val="Table 5: mPDAI-defined remission at Week 14 and 34 in the EARNEST trial, FAS"/>
      </w:tblPr>
      <w:tblGrid>
        <w:gridCol w:w="1804"/>
        <w:gridCol w:w="1804"/>
        <w:gridCol w:w="1803"/>
        <w:gridCol w:w="1803"/>
        <w:gridCol w:w="1803"/>
      </w:tblGrid>
      <w:tr w:rsidR="007F5816" w:rsidRPr="006B343C" w14:paraId="61CF3469" w14:textId="77777777" w:rsidTr="006342FA">
        <w:tc>
          <w:tcPr>
            <w:tcW w:w="1000" w:type="pct"/>
            <w:tcBorders>
              <w:right w:val="single" w:sz="4" w:space="0" w:color="auto"/>
            </w:tcBorders>
          </w:tcPr>
          <w:p w14:paraId="78E3C128"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Endpoint</w:t>
            </w:r>
          </w:p>
        </w:tc>
        <w:tc>
          <w:tcPr>
            <w:tcW w:w="1000" w:type="pct"/>
            <w:tcBorders>
              <w:left w:val="single" w:sz="4" w:space="0" w:color="auto"/>
            </w:tcBorders>
          </w:tcPr>
          <w:p w14:paraId="54761849"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VEDO + SOC</w:t>
            </w:r>
            <w:r w:rsidRPr="006B343C">
              <w:rPr>
                <w:rFonts w:ascii="Arial Narrow" w:eastAsiaTheme="majorEastAsia" w:hAnsi="Arial Narrow" w:cstheme="majorBidi"/>
                <w:b/>
                <w:sz w:val="20"/>
              </w:rPr>
              <w:br/>
              <w:t>(N=51)</w:t>
            </w:r>
          </w:p>
        </w:tc>
        <w:tc>
          <w:tcPr>
            <w:tcW w:w="1000" w:type="pct"/>
            <w:tcBorders>
              <w:left w:val="single" w:sz="4" w:space="0" w:color="auto"/>
            </w:tcBorders>
          </w:tcPr>
          <w:p w14:paraId="518E92FE"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PBO + SOC</w:t>
            </w:r>
            <w:r w:rsidRPr="006B343C">
              <w:rPr>
                <w:rFonts w:ascii="Arial Narrow" w:eastAsiaTheme="majorEastAsia" w:hAnsi="Arial Narrow" w:cstheme="majorBidi"/>
                <w:b/>
                <w:sz w:val="20"/>
              </w:rPr>
              <w:br/>
              <w:t>(N=51)</w:t>
            </w:r>
          </w:p>
        </w:tc>
        <w:tc>
          <w:tcPr>
            <w:tcW w:w="1000" w:type="pct"/>
            <w:tcBorders>
              <w:left w:val="single" w:sz="4" w:space="0" w:color="auto"/>
            </w:tcBorders>
          </w:tcPr>
          <w:p w14:paraId="65A9F862"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 xml:space="preserve">Treatment difference </w:t>
            </w:r>
            <w:r w:rsidRPr="006B343C">
              <w:rPr>
                <w:rFonts w:ascii="Arial Narrow" w:eastAsiaTheme="majorEastAsia" w:hAnsi="Arial Narrow" w:cstheme="majorBidi"/>
                <w:b/>
                <w:sz w:val="20"/>
              </w:rPr>
              <w:br/>
              <w:t>(95% CI)</w:t>
            </w:r>
          </w:p>
        </w:tc>
        <w:tc>
          <w:tcPr>
            <w:tcW w:w="1000" w:type="pct"/>
            <w:tcBorders>
              <w:left w:val="single" w:sz="4" w:space="0" w:color="auto"/>
            </w:tcBorders>
          </w:tcPr>
          <w:p w14:paraId="44AAA6D6"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RR (95% CI)</w:t>
            </w:r>
          </w:p>
        </w:tc>
      </w:tr>
      <w:tr w:rsidR="007F5816" w:rsidRPr="006B343C" w14:paraId="11A9ED24" w14:textId="77777777" w:rsidTr="006342FA">
        <w:tc>
          <w:tcPr>
            <w:tcW w:w="1000" w:type="pct"/>
            <w:tcBorders>
              <w:right w:val="single" w:sz="4" w:space="0" w:color="auto"/>
            </w:tcBorders>
          </w:tcPr>
          <w:p w14:paraId="651A83B9"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mPDAI remission at Week 14</w:t>
            </w:r>
            <w:r w:rsidRPr="006B343C">
              <w:rPr>
                <w:rFonts w:ascii="Arial Narrow" w:eastAsiaTheme="majorEastAsia" w:hAnsi="Arial Narrow" w:cstheme="majorBidi"/>
                <w:b/>
                <w:sz w:val="20"/>
                <w:vertAlign w:val="superscript"/>
              </w:rPr>
              <w:t>a, d</w:t>
            </w:r>
          </w:p>
        </w:tc>
        <w:tc>
          <w:tcPr>
            <w:tcW w:w="1000" w:type="pct"/>
            <w:tcBorders>
              <w:left w:val="single" w:sz="4" w:space="0" w:color="auto"/>
            </w:tcBorders>
            <w:vAlign w:val="center"/>
          </w:tcPr>
          <w:p w14:paraId="453C3968"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16/51 (31.4)</w:t>
            </w:r>
          </w:p>
        </w:tc>
        <w:tc>
          <w:tcPr>
            <w:tcW w:w="1000" w:type="pct"/>
            <w:tcBorders>
              <w:left w:val="single" w:sz="4" w:space="0" w:color="auto"/>
            </w:tcBorders>
            <w:vAlign w:val="center"/>
          </w:tcPr>
          <w:p w14:paraId="32732585"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5/51 (9.8)</w:t>
            </w:r>
          </w:p>
        </w:tc>
        <w:tc>
          <w:tcPr>
            <w:tcW w:w="1000" w:type="pct"/>
            <w:tcBorders>
              <w:left w:val="single" w:sz="4" w:space="0" w:color="auto"/>
            </w:tcBorders>
            <w:vAlign w:val="center"/>
          </w:tcPr>
          <w:p w14:paraId="067337E3"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21.6 (4.9, 37.5)</w:t>
            </w:r>
          </w:p>
        </w:tc>
        <w:tc>
          <w:tcPr>
            <w:tcW w:w="1000" w:type="pct"/>
            <w:tcBorders>
              <w:left w:val="single" w:sz="4" w:space="0" w:color="auto"/>
            </w:tcBorders>
            <w:vAlign w:val="center"/>
          </w:tcPr>
          <w:p w14:paraId="0D33A768"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3.20 (1.27, 8.08)</w:t>
            </w:r>
          </w:p>
        </w:tc>
      </w:tr>
      <w:tr w:rsidR="007F5816" w:rsidRPr="006B343C" w14:paraId="4D783404" w14:textId="77777777" w:rsidTr="006342FA">
        <w:tc>
          <w:tcPr>
            <w:tcW w:w="1000" w:type="pct"/>
            <w:tcBorders>
              <w:right w:val="single" w:sz="4" w:space="0" w:color="auto"/>
            </w:tcBorders>
          </w:tcPr>
          <w:p w14:paraId="3EFB45EF" w14:textId="77777777" w:rsidR="007F5816" w:rsidRPr="006B343C" w:rsidRDefault="007F5816" w:rsidP="008E5D18">
            <w:pPr>
              <w:keepNext/>
              <w:jc w:val="left"/>
              <w:rPr>
                <w:rFonts w:ascii="Arial Narrow" w:eastAsiaTheme="majorEastAsia" w:hAnsi="Arial Narrow" w:cstheme="majorBidi"/>
                <w:bCs/>
                <w:sz w:val="20"/>
                <w:vertAlign w:val="superscript"/>
              </w:rPr>
            </w:pPr>
            <w:r w:rsidRPr="006B343C">
              <w:rPr>
                <w:rFonts w:ascii="Arial Narrow" w:eastAsiaTheme="majorEastAsia" w:hAnsi="Arial Narrow" w:cstheme="majorBidi"/>
                <w:bCs/>
                <w:sz w:val="20"/>
              </w:rPr>
              <w:t>mPDAI remission at Week 34</w:t>
            </w:r>
            <w:r w:rsidRPr="006B343C">
              <w:rPr>
                <w:rFonts w:ascii="Arial Narrow" w:eastAsiaTheme="majorEastAsia" w:hAnsi="Arial Narrow" w:cstheme="majorBidi"/>
                <w:bCs/>
                <w:sz w:val="20"/>
                <w:vertAlign w:val="superscript"/>
              </w:rPr>
              <w:t>b, d</w:t>
            </w:r>
          </w:p>
        </w:tc>
        <w:tc>
          <w:tcPr>
            <w:tcW w:w="1000" w:type="pct"/>
            <w:tcBorders>
              <w:left w:val="single" w:sz="4" w:space="0" w:color="auto"/>
            </w:tcBorders>
            <w:vAlign w:val="center"/>
          </w:tcPr>
          <w:p w14:paraId="48B6C315"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18/51 (35.3)</w:t>
            </w:r>
          </w:p>
        </w:tc>
        <w:tc>
          <w:tcPr>
            <w:tcW w:w="1000" w:type="pct"/>
            <w:tcBorders>
              <w:left w:val="single" w:sz="4" w:space="0" w:color="auto"/>
            </w:tcBorders>
            <w:vAlign w:val="center"/>
          </w:tcPr>
          <w:p w14:paraId="2666CDA1"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9/51 (17.6)</w:t>
            </w:r>
          </w:p>
        </w:tc>
        <w:tc>
          <w:tcPr>
            <w:tcW w:w="1000" w:type="pct"/>
            <w:tcBorders>
              <w:left w:val="single" w:sz="4" w:space="0" w:color="auto"/>
            </w:tcBorders>
            <w:vAlign w:val="center"/>
          </w:tcPr>
          <w:p w14:paraId="50EB5A86"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17.6 (0.3, 35.1)</w:t>
            </w:r>
          </w:p>
        </w:tc>
        <w:tc>
          <w:tcPr>
            <w:tcW w:w="1000" w:type="pct"/>
            <w:tcBorders>
              <w:left w:val="single" w:sz="4" w:space="0" w:color="auto"/>
            </w:tcBorders>
            <w:vAlign w:val="center"/>
          </w:tcPr>
          <w:p w14:paraId="6FFCB9FE"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2.00 (0.99, 4.03)</w:t>
            </w:r>
          </w:p>
        </w:tc>
      </w:tr>
      <w:tr w:rsidR="007F5816" w:rsidRPr="006B343C" w14:paraId="505092FC" w14:textId="77777777" w:rsidTr="006342FA">
        <w:tc>
          <w:tcPr>
            <w:tcW w:w="1000" w:type="pct"/>
            <w:tcBorders>
              <w:right w:val="single" w:sz="4" w:space="0" w:color="auto"/>
            </w:tcBorders>
          </w:tcPr>
          <w:p w14:paraId="17706947" w14:textId="13EE4DB5" w:rsidR="007F5816" w:rsidRPr="006B343C" w:rsidRDefault="007F5816" w:rsidP="008E5D18">
            <w:pPr>
              <w:keepNext/>
              <w:jc w:val="left"/>
              <w:rPr>
                <w:rFonts w:ascii="Arial Narrow" w:eastAsiaTheme="majorEastAsia" w:hAnsi="Arial Narrow" w:cstheme="majorBidi"/>
                <w:bCs/>
                <w:sz w:val="20"/>
                <w:vertAlign w:val="superscript"/>
              </w:rPr>
            </w:pPr>
            <w:r w:rsidRPr="006B343C">
              <w:rPr>
                <w:rFonts w:ascii="Arial Narrow" w:eastAsiaTheme="majorEastAsia" w:hAnsi="Arial Narrow" w:cstheme="majorBidi"/>
                <w:bCs/>
                <w:sz w:val="20"/>
              </w:rPr>
              <w:t>Sustained mPDAI remission</w:t>
            </w:r>
            <w:r w:rsidR="008F15B7" w:rsidRPr="006B343C">
              <w:rPr>
                <w:rFonts w:ascii="Arial Narrow" w:eastAsiaTheme="majorEastAsia" w:hAnsi="Arial Narrow" w:cstheme="majorBidi"/>
                <w:bCs/>
                <w:sz w:val="20"/>
              </w:rPr>
              <w:t xml:space="preserve"> </w:t>
            </w:r>
            <w:r w:rsidR="007B2A7F" w:rsidRPr="006B343C">
              <w:rPr>
                <w:rFonts w:ascii="Arial Narrow" w:eastAsiaTheme="majorEastAsia" w:hAnsi="Arial Narrow" w:cstheme="majorBidi"/>
                <w:bCs/>
                <w:sz w:val="20"/>
              </w:rPr>
              <w:t xml:space="preserve">(i.e. at both </w:t>
            </w:r>
            <w:r w:rsidR="00617371" w:rsidRPr="006B343C">
              <w:rPr>
                <w:rFonts w:ascii="Arial Narrow" w:eastAsiaTheme="majorEastAsia" w:hAnsi="Arial Narrow" w:cstheme="majorBidi"/>
                <w:bCs/>
                <w:sz w:val="20"/>
              </w:rPr>
              <w:t xml:space="preserve">Week 14 </w:t>
            </w:r>
            <w:r w:rsidR="007B2A7F" w:rsidRPr="006B343C">
              <w:rPr>
                <w:rFonts w:ascii="Arial Narrow" w:eastAsiaTheme="majorEastAsia" w:hAnsi="Arial Narrow" w:cstheme="majorBidi"/>
                <w:bCs/>
                <w:sz w:val="20"/>
              </w:rPr>
              <w:t>and</w:t>
            </w:r>
            <w:r w:rsidR="00617371" w:rsidRPr="006B343C">
              <w:rPr>
                <w:rFonts w:ascii="Arial Narrow" w:eastAsiaTheme="majorEastAsia" w:hAnsi="Arial Narrow" w:cstheme="majorBidi"/>
                <w:bCs/>
                <w:sz w:val="20"/>
              </w:rPr>
              <w:t xml:space="preserve"> 34</w:t>
            </w:r>
            <w:r w:rsidR="007B2A7F" w:rsidRPr="006B343C">
              <w:rPr>
                <w:rFonts w:ascii="Arial Narrow" w:eastAsiaTheme="majorEastAsia" w:hAnsi="Arial Narrow" w:cstheme="majorBidi"/>
                <w:bCs/>
                <w:sz w:val="20"/>
              </w:rPr>
              <w:t>)</w:t>
            </w:r>
            <w:r w:rsidRPr="006B343C">
              <w:rPr>
                <w:rFonts w:ascii="Arial Narrow" w:eastAsiaTheme="majorEastAsia" w:hAnsi="Arial Narrow" w:cstheme="majorBidi"/>
                <w:bCs/>
                <w:sz w:val="20"/>
                <w:vertAlign w:val="superscript"/>
              </w:rPr>
              <w:t>c, d</w:t>
            </w:r>
          </w:p>
        </w:tc>
        <w:tc>
          <w:tcPr>
            <w:tcW w:w="1000" w:type="pct"/>
            <w:tcBorders>
              <w:left w:val="single" w:sz="4" w:space="0" w:color="auto"/>
            </w:tcBorders>
            <w:vAlign w:val="center"/>
          </w:tcPr>
          <w:p w14:paraId="4E838AE1"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Calibri" w:hAnsi="Arial Narrow" w:cstheme="majorBidi"/>
                <w:bCs/>
                <w:sz w:val="20"/>
                <w:lang w:eastAsia="en-US"/>
              </w:rPr>
              <w:t>14/51 (27.5)</w:t>
            </w:r>
          </w:p>
        </w:tc>
        <w:tc>
          <w:tcPr>
            <w:tcW w:w="1000" w:type="pct"/>
            <w:tcBorders>
              <w:left w:val="single" w:sz="4" w:space="0" w:color="auto"/>
            </w:tcBorders>
            <w:vAlign w:val="center"/>
          </w:tcPr>
          <w:p w14:paraId="2773BB86"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Calibri" w:hAnsi="Arial Narrow" w:cstheme="majorBidi"/>
                <w:bCs/>
                <w:sz w:val="20"/>
                <w:lang w:eastAsia="en-US"/>
              </w:rPr>
              <w:t>3/51 (5.9)</w:t>
            </w:r>
          </w:p>
        </w:tc>
        <w:tc>
          <w:tcPr>
            <w:tcW w:w="1000" w:type="pct"/>
            <w:tcBorders>
              <w:left w:val="single" w:sz="4" w:space="0" w:color="auto"/>
            </w:tcBorders>
            <w:vAlign w:val="center"/>
          </w:tcPr>
          <w:p w14:paraId="1DEDB8BB"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21.6 (6.5, 37.0)</w:t>
            </w:r>
          </w:p>
        </w:tc>
        <w:tc>
          <w:tcPr>
            <w:tcW w:w="1000" w:type="pct"/>
            <w:tcBorders>
              <w:left w:val="single" w:sz="4" w:space="0" w:color="auto"/>
            </w:tcBorders>
            <w:vAlign w:val="center"/>
          </w:tcPr>
          <w:p w14:paraId="43D4A87D"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4.67 (1.43, 15.3)</w:t>
            </w:r>
          </w:p>
        </w:tc>
      </w:tr>
    </w:tbl>
    <w:p w14:paraId="3E23A3A4" w14:textId="2965FA71" w:rsidR="007F5816" w:rsidRPr="006B343C" w:rsidRDefault="007F5816" w:rsidP="008E5D18">
      <w:pPr>
        <w:keepNext/>
        <w:spacing w:after="120"/>
        <w:contextualSpacing/>
        <w:rPr>
          <w:rFonts w:ascii="Arial Narrow" w:hAnsi="Arial Narrow"/>
          <w:snapToGrid w:val="0"/>
          <w:sz w:val="18"/>
          <w:szCs w:val="22"/>
          <w:lang w:val="en-US"/>
        </w:rPr>
      </w:pPr>
      <w:r w:rsidRPr="006B343C">
        <w:rPr>
          <w:rFonts w:ascii="Arial Narrow" w:hAnsi="Arial Narrow"/>
          <w:snapToGrid w:val="0"/>
          <w:sz w:val="18"/>
          <w:szCs w:val="22"/>
          <w:lang w:val="en-US"/>
        </w:rPr>
        <w:t>Source: Table 30 of the submission and calculated during evaluation.</w:t>
      </w:r>
    </w:p>
    <w:p w14:paraId="7849991A" w14:textId="77777777" w:rsidR="007F5816" w:rsidRPr="006B343C" w:rsidRDefault="007F5816" w:rsidP="008E5D18">
      <w:pPr>
        <w:keepNext/>
        <w:spacing w:after="120"/>
        <w:contextualSpacing/>
        <w:rPr>
          <w:rFonts w:ascii="Arial Narrow" w:hAnsi="Arial Narrow"/>
          <w:snapToGrid w:val="0"/>
          <w:sz w:val="18"/>
          <w:szCs w:val="22"/>
          <w:lang w:val="en-US"/>
        </w:rPr>
      </w:pPr>
      <w:r w:rsidRPr="006B343C">
        <w:rPr>
          <w:rFonts w:ascii="Arial Narrow" w:hAnsi="Arial Narrow"/>
          <w:snapToGrid w:val="0"/>
          <w:sz w:val="18"/>
          <w:szCs w:val="22"/>
          <w:lang w:val="en-US"/>
        </w:rPr>
        <w:t>Abbreviations: CI, confidence interval; FAS, full analysis set; mPDAI, modified Pouchitis Disease Activity Index; PBO, placebo; RR, risk ratio; SOC, standard of care; VEDO, vedolizumab.</w:t>
      </w:r>
    </w:p>
    <w:p w14:paraId="3A836212" w14:textId="2B738747" w:rsidR="007F5816" w:rsidRPr="006B343C" w:rsidRDefault="007F5816" w:rsidP="008E5D18">
      <w:pPr>
        <w:keepNext/>
        <w:spacing w:after="120"/>
        <w:contextualSpacing/>
        <w:rPr>
          <w:rFonts w:ascii="Arial Narrow" w:hAnsi="Arial Narrow"/>
          <w:b/>
          <w:snapToGrid w:val="0"/>
          <w:sz w:val="18"/>
          <w:szCs w:val="22"/>
          <w:lang w:val="en-US"/>
        </w:rPr>
      </w:pPr>
      <w:r w:rsidRPr="006B343C">
        <w:rPr>
          <w:rFonts w:ascii="Arial Narrow" w:hAnsi="Arial Narrow"/>
          <w:b/>
          <w:snapToGrid w:val="0"/>
          <w:sz w:val="18"/>
          <w:szCs w:val="22"/>
          <w:lang w:val="en-US"/>
        </w:rPr>
        <w:t xml:space="preserve">Bold indicates statistically significant </w:t>
      </w:r>
      <w:r w:rsidR="00A43349" w:rsidRPr="006B343C">
        <w:rPr>
          <w:rFonts w:ascii="Arial Narrow" w:hAnsi="Arial Narrow"/>
          <w:b/>
          <w:snapToGrid w:val="0"/>
          <w:sz w:val="18"/>
          <w:szCs w:val="22"/>
          <w:lang w:val="en-US"/>
        </w:rPr>
        <w:t xml:space="preserve">primary outcome </w:t>
      </w:r>
      <w:r w:rsidRPr="006B343C">
        <w:rPr>
          <w:rFonts w:ascii="Arial Narrow" w:hAnsi="Arial Narrow"/>
          <w:b/>
          <w:snapToGrid w:val="0"/>
          <w:sz w:val="18"/>
          <w:szCs w:val="22"/>
          <w:lang w:val="en-US"/>
        </w:rPr>
        <w:t>results.</w:t>
      </w:r>
    </w:p>
    <w:p w14:paraId="5D562E78" w14:textId="77777777" w:rsidR="007F5816" w:rsidRPr="006B343C" w:rsidRDefault="007F5816" w:rsidP="008E5D18">
      <w:pPr>
        <w:keepNext/>
        <w:spacing w:after="120"/>
        <w:contextualSpacing/>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a</w:t>
      </w:r>
      <w:r w:rsidRPr="006B343C">
        <w:rPr>
          <w:rFonts w:ascii="Arial Narrow" w:hAnsi="Arial Narrow"/>
          <w:snapToGrid w:val="0"/>
          <w:sz w:val="18"/>
          <w:szCs w:val="22"/>
          <w:lang w:val="en-US"/>
        </w:rPr>
        <w:t xml:space="preserve"> Primary outcome</w:t>
      </w:r>
    </w:p>
    <w:p w14:paraId="4E419AF1" w14:textId="77777777" w:rsidR="007F5816" w:rsidRPr="006B343C" w:rsidRDefault="007F5816" w:rsidP="008E5D18">
      <w:pPr>
        <w:keepNext/>
        <w:spacing w:after="120"/>
        <w:contextualSpacing/>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b</w:t>
      </w:r>
      <w:r w:rsidRPr="006B343C">
        <w:rPr>
          <w:rFonts w:ascii="Arial Narrow" w:hAnsi="Arial Narrow"/>
          <w:snapToGrid w:val="0"/>
          <w:sz w:val="18"/>
          <w:szCs w:val="22"/>
          <w:lang w:val="en-US"/>
        </w:rPr>
        <w:t xml:space="preserve"> Secondary outcome</w:t>
      </w:r>
    </w:p>
    <w:p w14:paraId="45E1F83A" w14:textId="03A5C43D" w:rsidR="007F5816" w:rsidRPr="006B343C" w:rsidRDefault="007F5816" w:rsidP="008E5D18">
      <w:pPr>
        <w:keepNext/>
        <w:spacing w:after="120"/>
        <w:contextualSpacing/>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 xml:space="preserve">c </w:t>
      </w:r>
      <w:r w:rsidRPr="006B343C">
        <w:rPr>
          <w:rFonts w:ascii="Arial Narrow" w:hAnsi="Arial Narrow"/>
          <w:snapToGrid w:val="0"/>
          <w:sz w:val="18"/>
          <w:szCs w:val="22"/>
          <w:lang w:val="en-US"/>
        </w:rPr>
        <w:t xml:space="preserve">Additional </w:t>
      </w:r>
      <w:r w:rsidR="00F72787" w:rsidRPr="006B343C">
        <w:rPr>
          <w:rFonts w:ascii="Arial Narrow" w:hAnsi="Arial Narrow"/>
          <w:snapToGrid w:val="0"/>
          <w:sz w:val="18"/>
          <w:szCs w:val="22"/>
          <w:lang w:val="en-US"/>
        </w:rPr>
        <w:t xml:space="preserve">exploratory analysis showing the number of patients who achieved mPDAI-defined remission measured at both Weeks 14 and 34 </w:t>
      </w:r>
    </w:p>
    <w:p w14:paraId="08FC9966" w14:textId="77777777" w:rsidR="007F5816" w:rsidRPr="006B343C" w:rsidRDefault="007F5816" w:rsidP="007F5816">
      <w:pPr>
        <w:spacing w:after="120"/>
        <w:contextualSpacing/>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 xml:space="preserve">d </w:t>
      </w:r>
      <w:r w:rsidRPr="006B343C">
        <w:rPr>
          <w:rFonts w:ascii="Arial Narrow" w:hAnsi="Arial Narrow"/>
          <w:snapToGrid w:val="0"/>
          <w:sz w:val="18"/>
          <w:szCs w:val="22"/>
          <w:lang w:val="en-US"/>
        </w:rPr>
        <w:t>Outcome used in the economic model to calculate transition probabilities</w:t>
      </w:r>
    </w:p>
    <w:p w14:paraId="5E3B199D" w14:textId="77777777" w:rsidR="001412D5" w:rsidRPr="006B343C" w:rsidRDefault="001412D5" w:rsidP="007F5816">
      <w:pPr>
        <w:spacing w:after="120"/>
        <w:contextualSpacing/>
        <w:rPr>
          <w:rFonts w:ascii="Arial Narrow" w:hAnsi="Arial Narrow"/>
          <w:snapToGrid w:val="0"/>
          <w:sz w:val="18"/>
          <w:szCs w:val="22"/>
          <w:lang w:val="en-US"/>
        </w:rPr>
      </w:pPr>
    </w:p>
    <w:p w14:paraId="5D9586BD" w14:textId="091B6F65"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lang w:val="en-GB"/>
        </w:rPr>
        <w:t xml:space="preserve">At Week 14, there were more patients who had mPDAI-defined clinical remission in the VEDO + SOC group (31.4%) compared to PBO + SOC group (9.8%) with a treatment difference of 21.6 percentage points (95% CI: 4.9, 37.5). </w:t>
      </w:r>
      <w:r w:rsidRPr="006B343C">
        <w:rPr>
          <w:rFonts w:asciiTheme="minorHAnsi" w:hAnsiTheme="minorHAnsi"/>
          <w:snapToGrid w:val="0"/>
          <w:lang w:val="en-US"/>
        </w:rPr>
        <w:t>The EARNEST trial did not achieve a 25</w:t>
      </w:r>
      <w:r w:rsidR="0067164E" w:rsidRPr="006B343C">
        <w:rPr>
          <w:rFonts w:asciiTheme="minorHAnsi" w:hAnsiTheme="minorHAnsi"/>
          <w:snapToGrid w:val="0"/>
          <w:lang w:val="en-US"/>
        </w:rPr>
        <w:t xml:space="preserve"> percentage point</w:t>
      </w:r>
      <w:r w:rsidRPr="006B343C">
        <w:rPr>
          <w:rFonts w:asciiTheme="minorHAnsi" w:hAnsiTheme="minorHAnsi"/>
          <w:snapToGrid w:val="0"/>
          <w:lang w:val="en-US"/>
        </w:rPr>
        <w:t xml:space="preserve"> difference in the remission rate for the mPDAI</w:t>
      </w:r>
      <w:r w:rsidR="00C427E0" w:rsidRPr="006B343C">
        <w:rPr>
          <w:rFonts w:asciiTheme="minorHAnsi" w:hAnsiTheme="minorHAnsi"/>
          <w:snapToGrid w:val="0"/>
          <w:lang w:val="en-US"/>
        </w:rPr>
        <w:t>-defined</w:t>
      </w:r>
      <w:r w:rsidRPr="006B343C">
        <w:rPr>
          <w:rFonts w:asciiTheme="minorHAnsi" w:hAnsiTheme="minorHAnsi"/>
          <w:snapToGrid w:val="0"/>
          <w:lang w:val="en-US"/>
        </w:rPr>
        <w:t xml:space="preserve"> clinical remission at Week 14, used for the purpose of sample size calculation (albeit unvalidated). The reported 95% confidence intervals for the treatment differences reported were wide.</w:t>
      </w:r>
      <w:r w:rsidR="00CD3321" w:rsidRPr="006B343C">
        <w:rPr>
          <w:rFonts w:asciiTheme="minorHAnsi" w:hAnsiTheme="minorHAnsi"/>
          <w:snapToGrid w:val="0"/>
          <w:lang w:val="en-US"/>
        </w:rPr>
        <w:t xml:space="preserve"> </w:t>
      </w:r>
      <w:r w:rsidR="00EF4924" w:rsidRPr="006B343C">
        <w:rPr>
          <w:rFonts w:asciiTheme="minorHAnsi" w:hAnsiTheme="minorHAnsi"/>
          <w:snapToGrid w:val="0"/>
          <w:lang w:val="en-GB"/>
        </w:rPr>
        <w:t xml:space="preserve">At Week 34, the treatment difference effect decreased to </w:t>
      </w:r>
      <w:r w:rsidR="00EF4924" w:rsidRPr="006B343C">
        <w:rPr>
          <w:rFonts w:asciiTheme="minorHAnsi" w:hAnsiTheme="minorHAnsi"/>
          <w:snapToGrid w:val="0"/>
        </w:rPr>
        <w:t>17.6 percentage points (95% CI: 0.3,</w:t>
      </w:r>
      <w:r w:rsidR="006C482C" w:rsidRPr="006B343C">
        <w:rPr>
          <w:rFonts w:asciiTheme="minorHAnsi" w:hAnsiTheme="minorHAnsi"/>
          <w:snapToGrid w:val="0"/>
        </w:rPr>
        <w:t xml:space="preserve"> </w:t>
      </w:r>
      <w:r w:rsidR="00EF4924" w:rsidRPr="006B343C">
        <w:rPr>
          <w:rFonts w:asciiTheme="minorHAnsi" w:hAnsiTheme="minorHAnsi"/>
          <w:snapToGrid w:val="0"/>
        </w:rPr>
        <w:t>35.1).</w:t>
      </w:r>
    </w:p>
    <w:p w14:paraId="4C5EF2B3" w14:textId="7351BFC3" w:rsidR="007F5816" w:rsidRPr="006B343C" w:rsidRDefault="007F5816" w:rsidP="007F5816">
      <w:pPr>
        <w:numPr>
          <w:ilvl w:val="1"/>
          <w:numId w:val="1"/>
        </w:numPr>
        <w:spacing w:after="120"/>
        <w:rPr>
          <w:rFonts w:asciiTheme="minorHAnsi" w:hAnsiTheme="minorHAnsi"/>
          <w:snapToGrid w:val="0"/>
        </w:rPr>
      </w:pPr>
      <w:bookmarkStart w:id="54" w:name="_Ref166510777"/>
      <w:bookmarkStart w:id="55" w:name="_Ref166596101"/>
      <w:r w:rsidRPr="006B343C">
        <w:rPr>
          <w:rFonts w:asciiTheme="minorHAnsi" w:hAnsiTheme="minorHAnsi"/>
          <w:snapToGrid w:val="0"/>
        </w:rPr>
        <w:t xml:space="preserve">The submission included additional (exploratory) efficacy analyses based on the outcome of sustained mPDAI remission defined as mPDAI remission at both Week 14 and 34. Sustained mPDAI remission was observed in 27.5% of VEDO + SOC patients and 5.9% of PBO + SOC patients, with a 21.6 percentage point treatment difference (95% CI: 6.5, 37.0) between groups. </w:t>
      </w:r>
      <w:r w:rsidR="00472B3E" w:rsidRPr="006B343C">
        <w:rPr>
          <w:rFonts w:asciiTheme="minorHAnsi" w:hAnsiTheme="minorHAnsi"/>
          <w:snapToGrid w:val="0"/>
        </w:rPr>
        <w:t>Further</w:t>
      </w:r>
      <w:r w:rsidRPr="006B343C">
        <w:rPr>
          <w:rFonts w:asciiTheme="minorHAnsi" w:hAnsiTheme="minorHAnsi"/>
          <w:snapToGrid w:val="0"/>
        </w:rPr>
        <w:t xml:space="preserve">, at Week 34 remission was achieved by 11.4% of VEDO + SOC patients and 13.0% of PBO + SOC patients who were not in remission at Week 14. </w:t>
      </w:r>
      <w:r w:rsidR="00152D11" w:rsidRPr="00F55938">
        <w:rPr>
          <w:rFonts w:asciiTheme="minorHAnsi" w:hAnsiTheme="minorHAnsi"/>
          <w:snapToGrid w:val="0"/>
        </w:rPr>
        <w:t xml:space="preserve">The ESC considered that the outcome of ‘sustained remission’ reported in the trial may not be indicative of long-term remission as it was based solely on a patient achieving mPDAI-assessed remission at two discrete time points (Weeks 14 and 34) with no requirement for remission to be maintained between or beyond these two timepoints. </w:t>
      </w:r>
      <w:r w:rsidR="004A3C92" w:rsidRPr="00F55938">
        <w:rPr>
          <w:rFonts w:asciiTheme="minorHAnsi" w:hAnsiTheme="minorHAnsi"/>
          <w:snapToGrid w:val="0"/>
        </w:rPr>
        <w:t>Overall, t</w:t>
      </w:r>
      <w:r w:rsidRPr="00F55938">
        <w:rPr>
          <w:rFonts w:asciiTheme="minorHAnsi" w:hAnsiTheme="minorHAnsi"/>
          <w:snapToGrid w:val="0"/>
        </w:rPr>
        <w:t xml:space="preserve">here </w:t>
      </w:r>
      <w:r w:rsidR="004A3C92" w:rsidRPr="00F55938">
        <w:rPr>
          <w:rFonts w:asciiTheme="minorHAnsi" w:hAnsiTheme="minorHAnsi"/>
          <w:snapToGrid w:val="0"/>
        </w:rPr>
        <w:t>wa</w:t>
      </w:r>
      <w:r w:rsidRPr="00F55938">
        <w:rPr>
          <w:rFonts w:asciiTheme="minorHAnsi" w:hAnsiTheme="minorHAnsi"/>
          <w:snapToGrid w:val="0"/>
        </w:rPr>
        <w:t xml:space="preserve">s no evidence suggesting that prolonged VEDO + SOC treatment induces more </w:t>
      </w:r>
      <w:r w:rsidR="002237E2" w:rsidRPr="00F55938">
        <w:rPr>
          <w:rFonts w:asciiTheme="minorHAnsi" w:hAnsiTheme="minorHAnsi"/>
          <w:snapToGrid w:val="0"/>
        </w:rPr>
        <w:t xml:space="preserve">mPDAI-defined </w:t>
      </w:r>
      <w:r w:rsidRPr="00F55938">
        <w:rPr>
          <w:rFonts w:asciiTheme="minorHAnsi" w:hAnsiTheme="minorHAnsi"/>
          <w:snapToGrid w:val="0"/>
        </w:rPr>
        <w:t>remissions compared to placebo after 14 weeks.</w:t>
      </w:r>
      <w:bookmarkEnd w:id="54"/>
      <w:bookmarkEnd w:id="55"/>
    </w:p>
    <w:p w14:paraId="7191A866" w14:textId="04743D5B" w:rsidR="007F5816" w:rsidRPr="006B343C" w:rsidRDefault="007F5816" w:rsidP="00B87524">
      <w:pPr>
        <w:numPr>
          <w:ilvl w:val="1"/>
          <w:numId w:val="1"/>
        </w:numPr>
        <w:spacing w:after="120"/>
        <w:rPr>
          <w:rFonts w:asciiTheme="minorHAnsi" w:hAnsiTheme="minorHAnsi"/>
          <w:snapToGrid w:val="0"/>
        </w:rPr>
      </w:pPr>
      <w:bookmarkStart w:id="56" w:name="_Ref166591884"/>
      <w:r w:rsidRPr="006B343C">
        <w:rPr>
          <w:rFonts w:asciiTheme="minorHAnsi" w:hAnsiTheme="minorHAnsi"/>
          <w:snapToGrid w:val="0"/>
        </w:rPr>
        <w:t>The submission performed sensitivity analysis to assess the impact of study discontinuation using two methods: a full LOCF approach</w:t>
      </w:r>
      <w:r w:rsidR="00152D11">
        <w:rPr>
          <w:rFonts w:asciiTheme="minorHAnsi" w:hAnsiTheme="minorHAnsi"/>
          <w:snapToGrid w:val="0"/>
        </w:rPr>
        <w:t>;</w:t>
      </w:r>
      <w:r w:rsidRPr="006B343C">
        <w:rPr>
          <w:rFonts w:asciiTheme="minorHAnsi" w:hAnsiTheme="minorHAnsi"/>
          <w:snapToGrid w:val="0"/>
        </w:rPr>
        <w:t xml:space="preserve"> and a hybrid approach. The hybrid method imputed interim missing data (e.g., missing data at Week 14 but present at Week 34) with LOCF, while missing data after discontinuation of the study drug were imputed based on the primary reason for discontinuation, using non-</w:t>
      </w:r>
      <w:r w:rsidRPr="006B343C">
        <w:rPr>
          <w:rFonts w:asciiTheme="minorHAnsi" w:hAnsiTheme="minorHAnsi"/>
          <w:snapToGrid w:val="0"/>
        </w:rPr>
        <w:lastRenderedPageBreak/>
        <w:t xml:space="preserve">response imputation for adverse events or lack of efficacy and LOCF for other reasons. </w:t>
      </w:r>
      <w:r w:rsidR="00B81305" w:rsidRPr="006B343C">
        <w:rPr>
          <w:rFonts w:asciiTheme="minorHAnsi" w:hAnsiTheme="minorHAnsi"/>
          <w:snapToGrid w:val="0"/>
        </w:rPr>
        <w:t>The TGA Delegate’s Ov</w:t>
      </w:r>
      <w:r w:rsidR="00F53DED" w:rsidRPr="006B343C">
        <w:rPr>
          <w:rFonts w:asciiTheme="minorHAnsi" w:hAnsiTheme="minorHAnsi"/>
          <w:snapToGrid w:val="0"/>
        </w:rPr>
        <w:t>erview concluded that the statistical superiority was supported by sen</w:t>
      </w:r>
      <w:r w:rsidR="00184ECE" w:rsidRPr="006B343C">
        <w:rPr>
          <w:rFonts w:asciiTheme="minorHAnsi" w:hAnsiTheme="minorHAnsi"/>
          <w:snapToGrid w:val="0"/>
        </w:rPr>
        <w:t>sitivit</w:t>
      </w:r>
      <w:r w:rsidR="00F53DED" w:rsidRPr="006B343C">
        <w:rPr>
          <w:rFonts w:asciiTheme="minorHAnsi" w:hAnsiTheme="minorHAnsi"/>
          <w:snapToGrid w:val="0"/>
        </w:rPr>
        <w:t>y analyses</w:t>
      </w:r>
      <w:r w:rsidR="00570893" w:rsidRPr="006B343C">
        <w:rPr>
          <w:rFonts w:asciiTheme="minorHAnsi" w:hAnsiTheme="minorHAnsi"/>
          <w:snapToGrid w:val="0"/>
        </w:rPr>
        <w:t>, and numerically but not statistically</w:t>
      </w:r>
      <w:r w:rsidR="002B34F1" w:rsidRPr="006B343C">
        <w:rPr>
          <w:rFonts w:asciiTheme="minorHAnsi" w:hAnsiTheme="minorHAnsi"/>
          <w:snapToGrid w:val="0"/>
        </w:rPr>
        <w:t xml:space="preserve"> in the per-protocol set analysis</w:t>
      </w:r>
      <w:r w:rsidR="003171AE" w:rsidRPr="006B343C">
        <w:rPr>
          <w:rFonts w:asciiTheme="minorHAnsi" w:hAnsiTheme="minorHAnsi"/>
          <w:snapToGrid w:val="0"/>
        </w:rPr>
        <w:t>, where participants with missing data</w:t>
      </w:r>
      <w:r w:rsidR="00C47CA4" w:rsidRPr="006B343C">
        <w:rPr>
          <w:rFonts w:asciiTheme="minorHAnsi" w:hAnsiTheme="minorHAnsi"/>
          <w:snapToGrid w:val="0"/>
        </w:rPr>
        <w:t xml:space="preserve"> were imputed as not achieving remission (</w:t>
      </w:r>
      <w:r w:rsidR="00B87524" w:rsidRPr="006B343C">
        <w:rPr>
          <w:rFonts w:asciiTheme="minorHAnsi" w:hAnsiTheme="minorHAnsi"/>
          <w:snapToGrid w:val="0"/>
        </w:rPr>
        <w:t xml:space="preserve">TGA Delegate’s Overview). </w:t>
      </w:r>
      <w:r w:rsidR="008C30EC" w:rsidRPr="006B343C">
        <w:rPr>
          <w:rFonts w:asciiTheme="minorHAnsi" w:hAnsiTheme="minorHAnsi"/>
          <w:snapToGrid w:val="0"/>
        </w:rPr>
        <w:t>However,</w:t>
      </w:r>
      <w:r w:rsidR="002641EB">
        <w:rPr>
          <w:rFonts w:asciiTheme="minorHAnsi" w:hAnsiTheme="minorHAnsi"/>
          <w:snapToGrid w:val="0"/>
        </w:rPr>
        <w:t xml:space="preserve"> the evaluation considered: (a)</w:t>
      </w:r>
      <w:r w:rsidR="008C30EC" w:rsidRPr="006B343C">
        <w:rPr>
          <w:rFonts w:asciiTheme="minorHAnsi" w:hAnsiTheme="minorHAnsi"/>
          <w:snapToGrid w:val="0"/>
        </w:rPr>
        <w:t xml:space="preserve"> i</w:t>
      </w:r>
      <w:r w:rsidRPr="006B343C">
        <w:rPr>
          <w:rFonts w:asciiTheme="minorHAnsi" w:hAnsiTheme="minorHAnsi"/>
          <w:snapToGrid w:val="0"/>
        </w:rPr>
        <w:t xml:space="preserve">mputing all discontinuations as non-responders </w:t>
      </w:r>
      <w:r w:rsidR="00184ECE" w:rsidRPr="006B343C">
        <w:rPr>
          <w:rFonts w:asciiTheme="minorHAnsi" w:hAnsiTheme="minorHAnsi"/>
          <w:snapToGrid w:val="0"/>
        </w:rPr>
        <w:t>would be a</w:t>
      </w:r>
      <w:r w:rsidRPr="006B343C">
        <w:rPr>
          <w:rFonts w:asciiTheme="minorHAnsi" w:hAnsiTheme="minorHAnsi"/>
          <w:snapToGrid w:val="0"/>
        </w:rPr>
        <w:t xml:space="preserve"> more conservative approach</w:t>
      </w:r>
      <w:r w:rsidR="002641EB">
        <w:rPr>
          <w:rFonts w:asciiTheme="minorHAnsi" w:hAnsiTheme="minorHAnsi"/>
          <w:snapToGrid w:val="0"/>
        </w:rPr>
        <w:t>; (b)</w:t>
      </w:r>
      <w:r w:rsidR="004B1217">
        <w:rPr>
          <w:rFonts w:asciiTheme="minorHAnsi" w:hAnsiTheme="minorHAnsi"/>
          <w:snapToGrid w:val="0"/>
        </w:rPr>
        <w:t xml:space="preserve"> </w:t>
      </w:r>
      <w:r w:rsidR="008C30EC" w:rsidRPr="006B343C">
        <w:rPr>
          <w:rFonts w:asciiTheme="minorHAnsi" w:hAnsiTheme="minorHAnsi"/>
          <w:snapToGrid w:val="0"/>
        </w:rPr>
        <w:t>a</w:t>
      </w:r>
      <w:r w:rsidRPr="006B343C">
        <w:rPr>
          <w:rFonts w:asciiTheme="minorHAnsi" w:hAnsiTheme="minorHAnsi"/>
          <w:snapToGrid w:val="0"/>
        </w:rPr>
        <w:t xml:space="preserve"> sensitivity analysis imputing as per TGA Delegate’s Overview recommendations (paragraph </w:t>
      </w:r>
      <w:r w:rsidR="00CB0604" w:rsidRPr="006B343C">
        <w:rPr>
          <w:rFonts w:asciiTheme="minorHAnsi" w:hAnsiTheme="minorHAnsi"/>
          <w:snapToGrid w:val="0"/>
        </w:rPr>
        <w:fldChar w:fldCharType="begin" w:fldLock="1"/>
      </w:r>
      <w:r w:rsidR="00CB0604" w:rsidRPr="006B343C">
        <w:rPr>
          <w:rFonts w:asciiTheme="minorHAnsi" w:hAnsiTheme="minorHAnsi"/>
          <w:snapToGrid w:val="0"/>
        </w:rPr>
        <w:instrText xml:space="preserve"> REF _Ref164438280 \r \h </w:instrText>
      </w:r>
      <w:r w:rsidR="006B343C" w:rsidRPr="006B343C">
        <w:rPr>
          <w:rFonts w:asciiTheme="minorHAnsi" w:hAnsiTheme="minorHAnsi"/>
          <w:snapToGrid w:val="0"/>
        </w:rPr>
        <w:instrText xml:space="preserve"> \* MERGEFORMAT </w:instrText>
      </w:r>
      <w:r w:rsidR="00CB0604" w:rsidRPr="006B343C">
        <w:rPr>
          <w:rFonts w:asciiTheme="minorHAnsi" w:hAnsiTheme="minorHAnsi"/>
          <w:snapToGrid w:val="0"/>
        </w:rPr>
      </w:r>
      <w:r w:rsidR="00CB0604" w:rsidRPr="006B343C">
        <w:rPr>
          <w:rFonts w:asciiTheme="minorHAnsi" w:hAnsiTheme="minorHAnsi"/>
          <w:snapToGrid w:val="0"/>
        </w:rPr>
        <w:fldChar w:fldCharType="separate"/>
      </w:r>
      <w:r w:rsidR="00DC7CC4">
        <w:rPr>
          <w:rFonts w:asciiTheme="minorHAnsi" w:hAnsiTheme="minorHAnsi"/>
          <w:snapToGrid w:val="0"/>
        </w:rPr>
        <w:t>6.11</w:t>
      </w:r>
      <w:r w:rsidR="00CB0604" w:rsidRPr="006B343C">
        <w:rPr>
          <w:rFonts w:asciiTheme="minorHAnsi" w:hAnsiTheme="minorHAnsi"/>
          <w:snapToGrid w:val="0"/>
        </w:rPr>
        <w:fldChar w:fldCharType="end"/>
      </w:r>
      <w:r w:rsidRPr="006B343C">
        <w:rPr>
          <w:rFonts w:asciiTheme="minorHAnsi" w:hAnsiTheme="minorHAnsi"/>
          <w:snapToGrid w:val="0"/>
        </w:rPr>
        <w:t>) would be informative</w:t>
      </w:r>
      <w:r w:rsidR="002641EB">
        <w:rPr>
          <w:rFonts w:asciiTheme="minorHAnsi" w:hAnsiTheme="minorHAnsi"/>
          <w:snapToGrid w:val="0"/>
        </w:rPr>
        <w:t>; and (c)</w:t>
      </w:r>
      <w:r w:rsidRPr="006B343C">
        <w:rPr>
          <w:rFonts w:asciiTheme="minorHAnsi" w:hAnsiTheme="minorHAnsi"/>
          <w:snapToGrid w:val="0"/>
        </w:rPr>
        <w:t xml:space="preserve"> </w:t>
      </w:r>
      <w:r w:rsidR="002641EB">
        <w:rPr>
          <w:rFonts w:asciiTheme="minorHAnsi" w:hAnsiTheme="minorHAnsi"/>
          <w:snapToGrid w:val="0"/>
        </w:rPr>
        <w:t>g</w:t>
      </w:r>
      <w:r w:rsidRPr="006B343C">
        <w:rPr>
          <w:rFonts w:asciiTheme="minorHAnsi" w:hAnsiTheme="minorHAnsi"/>
          <w:snapToGrid w:val="0"/>
        </w:rPr>
        <w:t>iven the high rates of discontinuation (hence imputation), presenting results based on complete case analys</w:t>
      </w:r>
      <w:r w:rsidR="009C2B09">
        <w:rPr>
          <w:rFonts w:asciiTheme="minorHAnsi" w:hAnsiTheme="minorHAnsi"/>
          <w:snapToGrid w:val="0"/>
        </w:rPr>
        <w:t>e</w:t>
      </w:r>
      <w:r w:rsidRPr="006B343C">
        <w:rPr>
          <w:rFonts w:asciiTheme="minorHAnsi" w:hAnsiTheme="minorHAnsi"/>
          <w:snapToGrid w:val="0"/>
        </w:rPr>
        <w:t>s would also be informative.</w:t>
      </w:r>
      <w:bookmarkEnd w:id="56"/>
      <w:r w:rsidRPr="006B343C">
        <w:rPr>
          <w:rFonts w:asciiTheme="minorHAnsi" w:hAnsiTheme="minorHAnsi"/>
          <w:snapToGrid w:val="0"/>
        </w:rPr>
        <w:t xml:space="preserve"> </w:t>
      </w:r>
      <w:r w:rsidR="00A85618" w:rsidRPr="00F55938">
        <w:rPr>
          <w:rFonts w:asciiTheme="minorHAnsi" w:hAnsiTheme="minorHAnsi"/>
          <w:snapToGrid w:val="0"/>
        </w:rPr>
        <w:t xml:space="preserve">The PSCR </w:t>
      </w:r>
      <w:r w:rsidR="002641EB" w:rsidRPr="00F55938">
        <w:rPr>
          <w:rFonts w:asciiTheme="minorHAnsi" w:hAnsiTheme="minorHAnsi"/>
          <w:snapToGrid w:val="0"/>
        </w:rPr>
        <w:t xml:space="preserve">re-iterated the results of the </w:t>
      </w:r>
      <w:r w:rsidR="00A85618" w:rsidRPr="00F55938">
        <w:rPr>
          <w:rFonts w:asciiTheme="minorHAnsi" w:hAnsiTheme="minorHAnsi"/>
          <w:snapToGrid w:val="0"/>
        </w:rPr>
        <w:t xml:space="preserve">sensitivity analyses conducted on the per-protocol set </w:t>
      </w:r>
      <w:r w:rsidR="000B0280" w:rsidRPr="00F55938">
        <w:t xml:space="preserve">which found </w:t>
      </w:r>
      <w:r w:rsidR="000B0280" w:rsidRPr="00F55938">
        <w:rPr>
          <w:rFonts w:asciiTheme="minorHAnsi" w:hAnsiTheme="minorHAnsi"/>
          <w:snapToGrid w:val="0"/>
        </w:rPr>
        <w:t>numerically but not statistically significant increases in mPDAI-remission at Week 14</w:t>
      </w:r>
      <w:r w:rsidR="00A85618" w:rsidRPr="00F55938">
        <w:rPr>
          <w:rFonts w:asciiTheme="minorHAnsi" w:hAnsiTheme="minorHAnsi"/>
          <w:snapToGrid w:val="0"/>
        </w:rPr>
        <w:t xml:space="preserve"> </w:t>
      </w:r>
      <w:r w:rsidR="000B0280" w:rsidRPr="00F55938">
        <w:rPr>
          <w:rFonts w:asciiTheme="minorHAnsi" w:hAnsiTheme="minorHAnsi"/>
          <w:snapToGrid w:val="0"/>
        </w:rPr>
        <w:t>(</w:t>
      </w:r>
      <w:r w:rsidR="00A85618" w:rsidRPr="00F55938">
        <w:rPr>
          <w:rFonts w:asciiTheme="minorHAnsi" w:hAnsiTheme="minorHAnsi"/>
          <w:snapToGrid w:val="0"/>
        </w:rPr>
        <w:t>clinical remission rates of 32.6% (14/43) in the vedolizumab arm and 13.2% (5/38) in the placebo arm at 14 weeks, with a 19.4 percentage point difference (p=0.064)</w:t>
      </w:r>
      <w:r w:rsidR="000B0280" w:rsidRPr="00F55938">
        <w:rPr>
          <w:rFonts w:asciiTheme="minorHAnsi" w:hAnsiTheme="minorHAnsi"/>
          <w:snapToGrid w:val="0"/>
        </w:rPr>
        <w:t>)</w:t>
      </w:r>
      <w:r w:rsidR="00A85618" w:rsidRPr="00F55938">
        <w:rPr>
          <w:rFonts w:asciiTheme="minorHAnsi" w:hAnsiTheme="minorHAnsi"/>
          <w:snapToGrid w:val="0"/>
        </w:rPr>
        <w:t xml:space="preserve">. </w:t>
      </w:r>
      <w:r w:rsidR="000B0280" w:rsidRPr="00F55938">
        <w:rPr>
          <w:rFonts w:asciiTheme="minorHAnsi" w:hAnsiTheme="minorHAnsi"/>
          <w:snapToGrid w:val="0"/>
        </w:rPr>
        <w:t>T</w:t>
      </w:r>
      <w:r w:rsidR="00A85618" w:rsidRPr="00F55938">
        <w:rPr>
          <w:rFonts w:asciiTheme="minorHAnsi" w:hAnsiTheme="minorHAnsi"/>
          <w:snapToGrid w:val="0"/>
        </w:rPr>
        <w:t xml:space="preserve">he PSCR argued the results of the full analysis set </w:t>
      </w:r>
      <w:r w:rsidR="000B0280" w:rsidRPr="00F55938">
        <w:rPr>
          <w:rFonts w:asciiTheme="minorHAnsi" w:hAnsiTheme="minorHAnsi"/>
          <w:snapToGrid w:val="0"/>
        </w:rPr>
        <w:t xml:space="preserve">are supported by the per-protocol analysis. </w:t>
      </w:r>
      <w:r w:rsidR="00A85618" w:rsidRPr="00F55938">
        <w:rPr>
          <w:rFonts w:asciiTheme="minorHAnsi" w:hAnsiTheme="minorHAnsi"/>
          <w:snapToGrid w:val="0"/>
        </w:rPr>
        <w:t xml:space="preserve">  </w:t>
      </w:r>
    </w:p>
    <w:p w14:paraId="7BF6360E" w14:textId="77777777"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In an additional sensitivity analysis where </w:t>
      </w:r>
      <w:r w:rsidRPr="006B343C">
        <w:rPr>
          <w:rFonts w:asciiTheme="minorHAnsi" w:hAnsiTheme="minorHAnsi"/>
          <w:snapToGrid w:val="0"/>
          <w:lang w:val="en-US"/>
        </w:rPr>
        <w:t xml:space="preserve">patients who received concomitant antibiotics before Week 14 were imputed as non-responders, the results indicated a smaller treatment difference of 15.7 percentage points between VEDO + SOC and PBO + SOC at Week 14. </w:t>
      </w:r>
      <w:r w:rsidRPr="006B343C">
        <w:rPr>
          <w:lang w:val="en-US"/>
        </w:rPr>
        <w:t>The use of concomitant antibiotic including additional ciprofloxacin is a potential confounder of the efficacy results.</w:t>
      </w:r>
    </w:p>
    <w:p w14:paraId="1DF9FCB7" w14:textId="5A8AEB72" w:rsidR="009C2B09"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These results also raise concern that flares should be treated as an efficacy outcome rather than safety (as presented in the submission</w:t>
      </w:r>
      <w:r w:rsidR="00B85016">
        <w:rPr>
          <w:rFonts w:asciiTheme="minorHAnsi" w:hAnsiTheme="minorHAnsi"/>
          <w:snapToGrid w:val="0"/>
        </w:rPr>
        <w:t>,</w:t>
      </w:r>
      <w:r w:rsidR="00B85016" w:rsidRPr="00B85016">
        <w:rPr>
          <w:rFonts w:asciiTheme="minorHAnsi" w:hAnsiTheme="minorHAnsi"/>
          <w:snapToGrid w:val="0"/>
        </w:rPr>
        <w:t xml:space="preserve"> </w:t>
      </w:r>
      <w:r w:rsidR="00B85016">
        <w:rPr>
          <w:rFonts w:asciiTheme="minorHAnsi" w:hAnsiTheme="minorHAnsi"/>
          <w:snapToGrid w:val="0"/>
        </w:rPr>
        <w:t xml:space="preserve">refer to paragraph </w:t>
      </w:r>
      <w:r w:rsidR="00B85016">
        <w:rPr>
          <w:rFonts w:asciiTheme="minorHAnsi" w:hAnsiTheme="minorHAnsi"/>
          <w:snapToGrid w:val="0"/>
        </w:rPr>
        <w:fldChar w:fldCharType="begin" w:fldLock="1"/>
      </w:r>
      <w:r w:rsidR="00B85016">
        <w:rPr>
          <w:rFonts w:asciiTheme="minorHAnsi" w:hAnsiTheme="minorHAnsi"/>
          <w:snapToGrid w:val="0"/>
        </w:rPr>
        <w:instrText xml:space="preserve"> REF _Ref172552573 \r \h </w:instrText>
      </w:r>
      <w:r w:rsidR="00B85016">
        <w:rPr>
          <w:rFonts w:asciiTheme="minorHAnsi" w:hAnsiTheme="minorHAnsi"/>
          <w:snapToGrid w:val="0"/>
        </w:rPr>
      </w:r>
      <w:r w:rsidR="00B85016">
        <w:rPr>
          <w:rFonts w:asciiTheme="minorHAnsi" w:hAnsiTheme="minorHAnsi"/>
          <w:snapToGrid w:val="0"/>
        </w:rPr>
        <w:fldChar w:fldCharType="separate"/>
      </w:r>
      <w:r w:rsidR="00DC7CC4">
        <w:rPr>
          <w:rFonts w:asciiTheme="minorHAnsi" w:hAnsiTheme="minorHAnsi"/>
          <w:snapToGrid w:val="0"/>
        </w:rPr>
        <w:t>6.34</w:t>
      </w:r>
      <w:r w:rsidR="00B85016">
        <w:rPr>
          <w:rFonts w:asciiTheme="minorHAnsi" w:hAnsiTheme="minorHAnsi"/>
          <w:snapToGrid w:val="0"/>
        </w:rPr>
        <w:fldChar w:fldCharType="end"/>
      </w:r>
      <w:r w:rsidRPr="006B343C">
        <w:rPr>
          <w:rFonts w:asciiTheme="minorHAnsi" w:hAnsiTheme="minorHAnsi"/>
          <w:snapToGrid w:val="0"/>
        </w:rPr>
        <w:t>).</w:t>
      </w:r>
      <w:r w:rsidR="00714323" w:rsidRPr="006B343C">
        <w:rPr>
          <w:rFonts w:asciiTheme="minorHAnsi" w:hAnsiTheme="minorHAnsi"/>
          <w:snapToGrid w:val="0"/>
        </w:rPr>
        <w:t xml:space="preserve"> </w:t>
      </w:r>
      <w:r w:rsidR="008B2993" w:rsidRPr="006B343C">
        <w:rPr>
          <w:rFonts w:asciiTheme="minorHAnsi" w:hAnsiTheme="minorHAnsi"/>
          <w:snapToGrid w:val="0"/>
        </w:rPr>
        <w:t>T</w:t>
      </w:r>
      <w:r w:rsidR="00714323" w:rsidRPr="006B343C">
        <w:rPr>
          <w:rFonts w:asciiTheme="minorHAnsi" w:hAnsiTheme="minorHAnsi"/>
          <w:snapToGrid w:val="0"/>
        </w:rPr>
        <w:t>he trial indicate</w:t>
      </w:r>
      <w:r w:rsidR="00D149C5" w:rsidRPr="006B343C">
        <w:rPr>
          <w:rFonts w:asciiTheme="minorHAnsi" w:hAnsiTheme="minorHAnsi"/>
          <w:snapToGrid w:val="0"/>
        </w:rPr>
        <w:t>d</w:t>
      </w:r>
      <w:r w:rsidR="00714323" w:rsidRPr="006B343C">
        <w:rPr>
          <w:rFonts w:asciiTheme="minorHAnsi" w:hAnsiTheme="minorHAnsi"/>
          <w:snapToGrid w:val="0"/>
        </w:rPr>
        <w:t xml:space="preserve"> that flares are associated with worsening pouchitis symptoms and include patient-perceived clinical symptoms of the disease, such as faecal urgency and abdominal cramps. Therefore, patients might perceive flares as being related to their disease rather than as a side effect of the treatment. </w:t>
      </w:r>
    </w:p>
    <w:p w14:paraId="109DED76" w14:textId="0BA74DBF" w:rsidR="007F5816" w:rsidRPr="006B343C" w:rsidRDefault="007F5816" w:rsidP="007F5816">
      <w:pPr>
        <w:numPr>
          <w:ilvl w:val="1"/>
          <w:numId w:val="1"/>
        </w:numPr>
        <w:spacing w:after="120"/>
        <w:rPr>
          <w:rFonts w:asciiTheme="minorHAnsi" w:hAnsiTheme="minorHAnsi"/>
          <w:snapToGrid w:val="0"/>
        </w:rPr>
      </w:pPr>
      <w:r w:rsidRPr="009C2B09">
        <w:rPr>
          <w:rFonts w:asciiTheme="minorHAnsi" w:eastAsia="Calibri" w:hAnsiTheme="minorHAnsi"/>
          <w:snapToGrid w:val="0"/>
        </w:rPr>
        <w:fldChar w:fldCharType="begin" w:fldLock="1"/>
      </w:r>
      <w:r w:rsidRPr="009C2B09">
        <w:rPr>
          <w:rFonts w:asciiTheme="minorHAnsi" w:eastAsia="Calibri" w:hAnsiTheme="minorHAnsi"/>
          <w:snapToGrid w:val="0"/>
        </w:rPr>
        <w:instrText xml:space="preserve"> REF _Ref164411186 \h </w:instrText>
      </w:r>
      <w:r w:rsidR="00474F1C" w:rsidRPr="009C2B09">
        <w:rPr>
          <w:rFonts w:asciiTheme="minorHAnsi" w:eastAsia="Calibri" w:hAnsiTheme="minorHAnsi"/>
          <w:snapToGrid w:val="0"/>
        </w:rPr>
        <w:instrText xml:space="preserve"> \* MERGEFORMAT </w:instrText>
      </w:r>
      <w:r w:rsidRPr="009C2B09">
        <w:rPr>
          <w:rFonts w:asciiTheme="minorHAnsi" w:eastAsia="Calibri" w:hAnsiTheme="minorHAnsi"/>
          <w:snapToGrid w:val="0"/>
        </w:rPr>
      </w:r>
      <w:r w:rsidRPr="009C2B09">
        <w:rPr>
          <w:rFonts w:asciiTheme="minorHAnsi" w:eastAsia="Calibri" w:hAnsiTheme="minorHAnsi"/>
          <w:snapToGrid w:val="0"/>
        </w:rPr>
        <w:fldChar w:fldCharType="separate"/>
      </w:r>
      <w:r w:rsidR="00DC7CC4" w:rsidRPr="00DC7CC4">
        <w:rPr>
          <w:rFonts w:asciiTheme="minorHAnsi" w:eastAsia="Calibri" w:hAnsiTheme="minorHAnsi"/>
          <w:snapToGrid w:val="0"/>
        </w:rPr>
        <w:t>Table 6</w:t>
      </w:r>
      <w:r w:rsidRPr="009C2B09">
        <w:rPr>
          <w:rFonts w:asciiTheme="minorHAnsi" w:eastAsia="Calibri" w:hAnsiTheme="minorHAnsi"/>
          <w:snapToGrid w:val="0"/>
        </w:rPr>
        <w:fldChar w:fldCharType="end"/>
      </w:r>
      <w:r w:rsidRPr="009C2B09">
        <w:rPr>
          <w:rFonts w:asciiTheme="minorHAnsi" w:eastAsia="Calibri" w:hAnsiTheme="minorHAnsi"/>
          <w:snapToGrid w:val="0"/>
        </w:rPr>
        <w:t xml:space="preserve"> pr</w:t>
      </w:r>
      <w:r w:rsidRPr="006B343C">
        <w:rPr>
          <w:rFonts w:asciiTheme="minorHAnsi" w:hAnsiTheme="minorHAnsi"/>
          <w:snapToGrid w:val="0"/>
        </w:rPr>
        <w:t>esents the</w:t>
      </w:r>
      <w:r w:rsidRPr="006B343C">
        <w:rPr>
          <w:rFonts w:asciiTheme="minorHAnsi" w:eastAsia="Calibri" w:hAnsiTheme="minorHAnsi"/>
          <w:snapToGrid w:val="0"/>
        </w:rPr>
        <w:t xml:space="preserve"> secondary efficacy outcomes in the EARNEST trial.</w:t>
      </w:r>
    </w:p>
    <w:p w14:paraId="583203F0" w14:textId="77777777" w:rsidR="00561519" w:rsidRDefault="00561519" w:rsidP="008E5D18">
      <w:pPr>
        <w:keepNext/>
        <w:keepLines/>
        <w:rPr>
          <w:rFonts w:ascii="Arial Narrow" w:hAnsi="Arial Narrow"/>
          <w:b/>
          <w:bCs/>
          <w:sz w:val="20"/>
          <w:szCs w:val="18"/>
        </w:rPr>
      </w:pPr>
      <w:bookmarkStart w:id="57" w:name="_Ref164411186"/>
      <w:bookmarkStart w:id="58" w:name="_Ref164678698"/>
      <w:r>
        <w:rPr>
          <w:rFonts w:ascii="Arial Narrow" w:hAnsi="Arial Narrow"/>
          <w:b/>
          <w:bCs/>
          <w:sz w:val="20"/>
          <w:szCs w:val="18"/>
        </w:rPr>
        <w:br w:type="page"/>
      </w:r>
    </w:p>
    <w:p w14:paraId="15AB8829" w14:textId="483945A7" w:rsidR="007F5816" w:rsidRPr="006B343C" w:rsidRDefault="007F5816" w:rsidP="008E5D18">
      <w:pPr>
        <w:keepNext/>
        <w:keepLines/>
        <w:rPr>
          <w:rFonts w:ascii="Arial Narrow" w:hAnsi="Arial Narrow"/>
          <w:b/>
          <w:bCs/>
          <w:sz w:val="20"/>
          <w:szCs w:val="18"/>
        </w:rPr>
      </w:pPr>
      <w:r w:rsidRPr="006B343C">
        <w:rPr>
          <w:rFonts w:ascii="Arial Narrow" w:hAnsi="Arial Narrow"/>
          <w:b/>
          <w:bCs/>
          <w:sz w:val="20"/>
          <w:szCs w:val="18"/>
        </w:rPr>
        <w:lastRenderedPageBreak/>
        <w:t xml:space="preserve">Table </w:t>
      </w:r>
      <w:r w:rsidRPr="006B343C">
        <w:rPr>
          <w:rFonts w:ascii="Arial Narrow" w:hAnsi="Arial Narrow"/>
          <w:b/>
          <w:bCs/>
          <w:sz w:val="20"/>
          <w:szCs w:val="18"/>
        </w:rPr>
        <w:fldChar w:fldCharType="begin" w:fldLock="1"/>
      </w:r>
      <w:r w:rsidRPr="006B343C">
        <w:rPr>
          <w:rFonts w:ascii="Arial Narrow" w:hAnsi="Arial Narrow"/>
          <w:b/>
          <w:bCs/>
          <w:sz w:val="20"/>
          <w:szCs w:val="18"/>
        </w:rPr>
        <w:instrText xml:space="preserve"> SEQ Table \* ARABIC </w:instrText>
      </w:r>
      <w:r w:rsidRPr="006B343C">
        <w:rPr>
          <w:rFonts w:ascii="Arial Narrow" w:hAnsi="Arial Narrow"/>
          <w:b/>
          <w:bCs/>
          <w:sz w:val="20"/>
          <w:szCs w:val="18"/>
        </w:rPr>
        <w:fldChar w:fldCharType="separate"/>
      </w:r>
      <w:r w:rsidR="00DC7CC4">
        <w:rPr>
          <w:rFonts w:ascii="Arial Narrow" w:hAnsi="Arial Narrow"/>
          <w:b/>
          <w:bCs/>
          <w:noProof/>
          <w:sz w:val="20"/>
          <w:szCs w:val="18"/>
        </w:rPr>
        <w:t>6</w:t>
      </w:r>
      <w:r w:rsidRPr="006B343C">
        <w:rPr>
          <w:rFonts w:ascii="Arial Narrow" w:hAnsi="Arial Narrow"/>
          <w:b/>
          <w:bCs/>
          <w:sz w:val="20"/>
          <w:szCs w:val="18"/>
        </w:rPr>
        <w:fldChar w:fldCharType="end"/>
      </w:r>
      <w:bookmarkEnd w:id="57"/>
      <w:bookmarkEnd w:id="58"/>
      <w:r w:rsidRPr="006B343C">
        <w:rPr>
          <w:rFonts w:ascii="Arial Narrow" w:hAnsi="Arial Narrow"/>
          <w:b/>
          <w:bCs/>
          <w:sz w:val="20"/>
          <w:szCs w:val="18"/>
        </w:rPr>
        <w:t>: Secondary outcomes in the EARNEST trial, FAS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Table 6: Secondary outcomes in the EARNEST trial, FAS"/>
      </w:tblPr>
      <w:tblGrid>
        <w:gridCol w:w="1691"/>
        <w:gridCol w:w="1562"/>
        <w:gridCol w:w="1138"/>
        <w:gridCol w:w="424"/>
        <w:gridCol w:w="2105"/>
        <w:gridCol w:w="2097"/>
      </w:tblGrid>
      <w:tr w:rsidR="007F5816" w:rsidRPr="006B343C" w14:paraId="095DEE41" w14:textId="77777777" w:rsidTr="00727B98">
        <w:tc>
          <w:tcPr>
            <w:tcW w:w="938" w:type="pct"/>
            <w:tcBorders>
              <w:right w:val="single" w:sz="4" w:space="0" w:color="auto"/>
            </w:tcBorders>
          </w:tcPr>
          <w:p w14:paraId="70933A86"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Endpoint</w:t>
            </w:r>
          </w:p>
        </w:tc>
        <w:tc>
          <w:tcPr>
            <w:tcW w:w="866" w:type="pct"/>
            <w:tcBorders>
              <w:left w:val="single" w:sz="4" w:space="0" w:color="auto"/>
            </w:tcBorders>
          </w:tcPr>
          <w:p w14:paraId="5B391845"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VEDO + SOC</w:t>
            </w:r>
            <w:r w:rsidRPr="006B343C">
              <w:rPr>
                <w:rFonts w:ascii="Arial Narrow" w:eastAsiaTheme="majorEastAsia" w:hAnsi="Arial Narrow" w:cstheme="majorBidi"/>
                <w:b/>
                <w:sz w:val="20"/>
              </w:rPr>
              <w:br/>
              <w:t>n/N (%)</w:t>
            </w:r>
          </w:p>
        </w:tc>
        <w:tc>
          <w:tcPr>
            <w:tcW w:w="866" w:type="pct"/>
            <w:gridSpan w:val="2"/>
            <w:tcBorders>
              <w:left w:val="single" w:sz="4" w:space="0" w:color="auto"/>
            </w:tcBorders>
          </w:tcPr>
          <w:p w14:paraId="3864F6FE"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PBO + SOC</w:t>
            </w:r>
            <w:r w:rsidRPr="006B343C">
              <w:rPr>
                <w:rFonts w:ascii="Arial Narrow" w:eastAsiaTheme="majorEastAsia" w:hAnsi="Arial Narrow" w:cstheme="majorBidi"/>
                <w:b/>
                <w:sz w:val="20"/>
              </w:rPr>
              <w:br/>
              <w:t>n/N (%)</w:t>
            </w:r>
          </w:p>
        </w:tc>
        <w:tc>
          <w:tcPr>
            <w:tcW w:w="1167" w:type="pct"/>
            <w:tcBorders>
              <w:left w:val="single" w:sz="4" w:space="0" w:color="auto"/>
            </w:tcBorders>
          </w:tcPr>
          <w:p w14:paraId="146445A5"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 xml:space="preserve">Treatment difference </w:t>
            </w:r>
            <w:r w:rsidRPr="006B343C">
              <w:rPr>
                <w:rFonts w:ascii="Arial Narrow" w:eastAsiaTheme="majorEastAsia" w:hAnsi="Arial Narrow" w:cstheme="majorBidi"/>
                <w:b/>
                <w:sz w:val="20"/>
              </w:rPr>
              <w:br/>
              <w:t>(95% CI)</w:t>
            </w:r>
          </w:p>
        </w:tc>
        <w:tc>
          <w:tcPr>
            <w:tcW w:w="1163" w:type="pct"/>
            <w:tcBorders>
              <w:left w:val="single" w:sz="4" w:space="0" w:color="auto"/>
            </w:tcBorders>
          </w:tcPr>
          <w:p w14:paraId="65D07679"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RR (95% CI)</w:t>
            </w:r>
          </w:p>
        </w:tc>
      </w:tr>
      <w:tr w:rsidR="00C71065" w:rsidRPr="006B343C" w14:paraId="21597A3E" w14:textId="77777777" w:rsidTr="00C71065">
        <w:tc>
          <w:tcPr>
            <w:tcW w:w="5000" w:type="pct"/>
            <w:gridSpan w:val="6"/>
            <w:shd w:val="clear" w:color="auto" w:fill="BFBFBF" w:themeFill="background1" w:themeFillShade="BF"/>
          </w:tcPr>
          <w:p w14:paraId="64D6D941" w14:textId="1FA50388" w:rsidR="00C71065" w:rsidRPr="006B343C" w:rsidRDefault="00C71065"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CATEGORISED OUTCOMES</w:t>
            </w:r>
          </w:p>
        </w:tc>
      </w:tr>
      <w:tr w:rsidR="007F5816" w:rsidRPr="006B343C" w14:paraId="0E9B1633" w14:textId="77777777">
        <w:tc>
          <w:tcPr>
            <w:tcW w:w="5000" w:type="pct"/>
            <w:gridSpan w:val="6"/>
          </w:tcPr>
          <w:p w14:paraId="7389F579" w14:textId="528C0DC9"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
                <w:sz w:val="20"/>
              </w:rPr>
              <w:t>PDAI</w:t>
            </w:r>
            <w:r w:rsidR="00D815DD" w:rsidRPr="006B343C">
              <w:rPr>
                <w:rFonts w:ascii="Arial Narrow" w:eastAsiaTheme="majorEastAsia" w:hAnsi="Arial Narrow" w:cstheme="majorBidi"/>
                <w:b/>
                <w:sz w:val="20"/>
              </w:rPr>
              <w:t>-defined</w:t>
            </w:r>
            <w:r w:rsidRPr="006B343C">
              <w:rPr>
                <w:rFonts w:ascii="Arial Narrow" w:eastAsiaTheme="majorEastAsia" w:hAnsi="Arial Narrow" w:cstheme="majorBidi"/>
                <w:b/>
                <w:sz w:val="20"/>
              </w:rPr>
              <w:t xml:space="preserve"> clinical remission</w:t>
            </w:r>
          </w:p>
        </w:tc>
      </w:tr>
      <w:tr w:rsidR="007F5816" w:rsidRPr="006B343C" w14:paraId="003712C0" w14:textId="77777777" w:rsidTr="00727B98">
        <w:tc>
          <w:tcPr>
            <w:tcW w:w="938" w:type="pct"/>
            <w:tcBorders>
              <w:right w:val="single" w:sz="4" w:space="0" w:color="auto"/>
            </w:tcBorders>
          </w:tcPr>
          <w:p w14:paraId="6EAF6416" w14:textId="4EE6F22B" w:rsidR="007F5816" w:rsidRPr="006B343C" w:rsidRDefault="007F5816" w:rsidP="008E5D18">
            <w:pPr>
              <w:keepNext/>
              <w:jc w:val="left"/>
              <w:rPr>
                <w:rFonts w:ascii="Arial Narrow" w:eastAsiaTheme="majorEastAsia" w:hAnsi="Arial Narrow" w:cstheme="majorBidi"/>
                <w:b/>
                <w:sz w:val="20"/>
                <w:vertAlign w:val="superscript"/>
              </w:rPr>
            </w:pPr>
            <w:r w:rsidRPr="006B343C">
              <w:rPr>
                <w:rFonts w:ascii="Arial Narrow" w:eastAsiaTheme="majorEastAsia" w:hAnsi="Arial Narrow" w:cstheme="majorBidi"/>
                <w:b/>
                <w:sz w:val="20"/>
              </w:rPr>
              <w:t>Week 14</w:t>
            </w:r>
          </w:p>
        </w:tc>
        <w:tc>
          <w:tcPr>
            <w:tcW w:w="866" w:type="pct"/>
            <w:tcBorders>
              <w:left w:val="single" w:sz="4" w:space="0" w:color="auto"/>
            </w:tcBorders>
          </w:tcPr>
          <w:p w14:paraId="599F9DB8"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18/51 (35.3)</w:t>
            </w:r>
          </w:p>
        </w:tc>
        <w:tc>
          <w:tcPr>
            <w:tcW w:w="866" w:type="pct"/>
            <w:gridSpan w:val="2"/>
            <w:tcBorders>
              <w:left w:val="single" w:sz="4" w:space="0" w:color="auto"/>
            </w:tcBorders>
          </w:tcPr>
          <w:p w14:paraId="5B729441"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5/51 (9.8)</w:t>
            </w:r>
          </w:p>
        </w:tc>
        <w:tc>
          <w:tcPr>
            <w:tcW w:w="1167" w:type="pct"/>
            <w:tcBorders>
              <w:left w:val="single" w:sz="4" w:space="0" w:color="auto"/>
            </w:tcBorders>
          </w:tcPr>
          <w:p w14:paraId="55AE577B"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25.5 (8.0, 41.4)</w:t>
            </w:r>
          </w:p>
        </w:tc>
        <w:tc>
          <w:tcPr>
            <w:tcW w:w="1163" w:type="pct"/>
            <w:tcBorders>
              <w:left w:val="single" w:sz="4" w:space="0" w:color="auto"/>
            </w:tcBorders>
          </w:tcPr>
          <w:p w14:paraId="1C5EE9AB"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3.60 (1.45, 8.96)</w:t>
            </w:r>
          </w:p>
        </w:tc>
      </w:tr>
      <w:tr w:rsidR="007F5816" w:rsidRPr="006B343C" w14:paraId="3330BC06" w14:textId="77777777" w:rsidTr="00727B98">
        <w:tc>
          <w:tcPr>
            <w:tcW w:w="938" w:type="pct"/>
            <w:tcBorders>
              <w:right w:val="single" w:sz="4" w:space="0" w:color="auto"/>
            </w:tcBorders>
          </w:tcPr>
          <w:p w14:paraId="5BD70A1E" w14:textId="0CE54D97" w:rsidR="007F5816" w:rsidRPr="006B343C" w:rsidRDefault="007F5816" w:rsidP="008E5D18">
            <w:pPr>
              <w:keepNext/>
              <w:jc w:val="left"/>
              <w:rPr>
                <w:rFonts w:ascii="Arial Narrow" w:eastAsiaTheme="majorEastAsia" w:hAnsi="Arial Narrow" w:cstheme="majorBidi"/>
                <w:b/>
                <w:sz w:val="20"/>
                <w:vertAlign w:val="superscript"/>
              </w:rPr>
            </w:pPr>
            <w:r w:rsidRPr="006B343C">
              <w:rPr>
                <w:rFonts w:ascii="Arial Narrow" w:eastAsiaTheme="majorEastAsia" w:hAnsi="Arial Narrow" w:cstheme="majorBidi"/>
                <w:b/>
                <w:sz w:val="20"/>
              </w:rPr>
              <w:t>Week 34</w:t>
            </w:r>
          </w:p>
        </w:tc>
        <w:tc>
          <w:tcPr>
            <w:tcW w:w="866" w:type="pct"/>
            <w:tcBorders>
              <w:left w:val="single" w:sz="4" w:space="0" w:color="auto"/>
            </w:tcBorders>
          </w:tcPr>
          <w:p w14:paraId="63AC0DD8"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19/51 (37.2)</w:t>
            </w:r>
          </w:p>
        </w:tc>
        <w:tc>
          <w:tcPr>
            <w:tcW w:w="866" w:type="pct"/>
            <w:gridSpan w:val="2"/>
            <w:tcBorders>
              <w:left w:val="single" w:sz="4" w:space="0" w:color="auto"/>
            </w:tcBorders>
          </w:tcPr>
          <w:p w14:paraId="5A9C03BD"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9/51 (17.6)</w:t>
            </w:r>
          </w:p>
        </w:tc>
        <w:tc>
          <w:tcPr>
            <w:tcW w:w="1167" w:type="pct"/>
            <w:tcBorders>
              <w:left w:val="single" w:sz="4" w:space="0" w:color="auto"/>
            </w:tcBorders>
          </w:tcPr>
          <w:p w14:paraId="2E48558F"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19.6 (1.9, 37.0)</w:t>
            </w:r>
          </w:p>
        </w:tc>
        <w:tc>
          <w:tcPr>
            <w:tcW w:w="1163" w:type="pct"/>
            <w:tcBorders>
              <w:left w:val="single" w:sz="4" w:space="0" w:color="auto"/>
            </w:tcBorders>
          </w:tcPr>
          <w:p w14:paraId="28071802"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2.11 (1.06, 4.22)</w:t>
            </w:r>
          </w:p>
        </w:tc>
      </w:tr>
      <w:tr w:rsidR="007F5816" w:rsidRPr="006B343C" w14:paraId="69658D33" w14:textId="77777777" w:rsidTr="00727B98">
        <w:tc>
          <w:tcPr>
            <w:tcW w:w="938" w:type="pct"/>
            <w:tcBorders>
              <w:right w:val="single" w:sz="4" w:space="0" w:color="auto"/>
            </w:tcBorders>
          </w:tcPr>
          <w:p w14:paraId="6FAA0DF7" w14:textId="53DE57E5" w:rsidR="007F5816" w:rsidRPr="006B343C" w:rsidRDefault="007F5816" w:rsidP="008E5D18">
            <w:pPr>
              <w:keepNext/>
              <w:jc w:val="left"/>
              <w:rPr>
                <w:rFonts w:ascii="Arial Narrow" w:eastAsiaTheme="majorEastAsia" w:hAnsi="Arial Narrow" w:cstheme="majorBidi"/>
                <w:b/>
                <w:sz w:val="20"/>
                <w:vertAlign w:val="superscript"/>
              </w:rPr>
            </w:pPr>
            <w:r w:rsidRPr="006B343C">
              <w:rPr>
                <w:rFonts w:ascii="Arial Narrow" w:eastAsiaTheme="majorEastAsia" w:hAnsi="Arial Narrow" w:cstheme="majorBidi"/>
                <w:b/>
                <w:sz w:val="20"/>
              </w:rPr>
              <w:t xml:space="preserve">Sustained PDAI remission </w:t>
            </w:r>
            <w:r w:rsidRPr="006B343C">
              <w:rPr>
                <w:rFonts w:ascii="Arial Narrow" w:eastAsiaTheme="majorEastAsia" w:hAnsi="Arial Narrow" w:cstheme="majorBidi"/>
                <w:b/>
                <w:sz w:val="20"/>
                <w:vertAlign w:val="superscript"/>
              </w:rPr>
              <w:t>a, b</w:t>
            </w:r>
          </w:p>
        </w:tc>
        <w:tc>
          <w:tcPr>
            <w:tcW w:w="866" w:type="pct"/>
            <w:tcBorders>
              <w:left w:val="single" w:sz="4" w:space="0" w:color="auto"/>
            </w:tcBorders>
            <w:vAlign w:val="center"/>
          </w:tcPr>
          <w:p w14:paraId="69E6AA20"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Theme="majorEastAsia" w:hAnsi="Arial Narrow" w:cstheme="majorBidi"/>
                <w:b/>
                <w:sz w:val="20"/>
                <w:lang w:eastAsia="en-US"/>
              </w:rPr>
              <w:t>16/51 (31.4)</w:t>
            </w:r>
          </w:p>
        </w:tc>
        <w:tc>
          <w:tcPr>
            <w:tcW w:w="866" w:type="pct"/>
            <w:gridSpan w:val="2"/>
            <w:tcBorders>
              <w:left w:val="single" w:sz="4" w:space="0" w:color="auto"/>
            </w:tcBorders>
            <w:vAlign w:val="center"/>
          </w:tcPr>
          <w:p w14:paraId="51196EF5"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Theme="majorEastAsia" w:hAnsi="Arial Narrow" w:cstheme="majorBidi"/>
                <w:b/>
                <w:sz w:val="20"/>
                <w:lang w:eastAsia="en-US"/>
              </w:rPr>
              <w:t>4/51 (7.8)</w:t>
            </w:r>
          </w:p>
        </w:tc>
        <w:tc>
          <w:tcPr>
            <w:tcW w:w="1167" w:type="pct"/>
            <w:tcBorders>
              <w:left w:val="single" w:sz="4" w:space="0" w:color="auto"/>
            </w:tcBorders>
            <w:vAlign w:val="center"/>
          </w:tcPr>
          <w:p w14:paraId="57C284F8"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23.5 (8.0, 38.8)</w:t>
            </w:r>
          </w:p>
        </w:tc>
        <w:tc>
          <w:tcPr>
            <w:tcW w:w="1163" w:type="pct"/>
            <w:tcBorders>
              <w:left w:val="single" w:sz="4" w:space="0" w:color="auto"/>
            </w:tcBorders>
            <w:vAlign w:val="center"/>
          </w:tcPr>
          <w:p w14:paraId="5C74015F"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4.00 (1.44, 11.1)</w:t>
            </w:r>
          </w:p>
        </w:tc>
      </w:tr>
      <w:tr w:rsidR="007F5816" w:rsidRPr="006B343C" w14:paraId="6BB044D0" w14:textId="77777777">
        <w:tc>
          <w:tcPr>
            <w:tcW w:w="5000" w:type="pct"/>
            <w:gridSpan w:val="6"/>
          </w:tcPr>
          <w:p w14:paraId="77E6C8BF" w14:textId="1CF06874"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
                <w:sz w:val="20"/>
              </w:rPr>
              <w:t>Partial mPDAI</w:t>
            </w:r>
            <w:r w:rsidR="00D815DD" w:rsidRPr="006B343C">
              <w:rPr>
                <w:rFonts w:ascii="Arial Narrow" w:eastAsiaTheme="majorEastAsia" w:hAnsi="Arial Narrow" w:cstheme="majorBidi"/>
                <w:b/>
                <w:sz w:val="20"/>
              </w:rPr>
              <w:t>-defined</w:t>
            </w:r>
            <w:r w:rsidRPr="006B343C">
              <w:rPr>
                <w:rFonts w:ascii="Arial Narrow" w:eastAsiaTheme="majorEastAsia" w:hAnsi="Arial Narrow" w:cstheme="majorBidi"/>
                <w:b/>
                <w:sz w:val="20"/>
              </w:rPr>
              <w:t xml:space="preserve"> response</w:t>
            </w:r>
          </w:p>
        </w:tc>
      </w:tr>
      <w:tr w:rsidR="007F5816" w:rsidRPr="006B343C" w14:paraId="19A2213E" w14:textId="77777777" w:rsidTr="00727B98">
        <w:tc>
          <w:tcPr>
            <w:tcW w:w="938" w:type="pct"/>
            <w:tcBorders>
              <w:right w:val="single" w:sz="4" w:space="0" w:color="auto"/>
            </w:tcBorders>
          </w:tcPr>
          <w:p w14:paraId="644CE276" w14:textId="77777777" w:rsidR="007F5816" w:rsidRPr="006B343C" w:rsidRDefault="007F5816" w:rsidP="008E5D18">
            <w:pPr>
              <w:keepNext/>
              <w:jc w:val="left"/>
              <w:rPr>
                <w:rFonts w:ascii="Arial Narrow" w:eastAsiaTheme="majorEastAsia" w:hAnsi="Arial Narrow" w:cstheme="majorBidi"/>
                <w:b/>
                <w:sz w:val="20"/>
                <w:vertAlign w:val="superscript"/>
              </w:rPr>
            </w:pPr>
            <w:r w:rsidRPr="006B343C">
              <w:rPr>
                <w:rFonts w:ascii="Arial Narrow" w:eastAsiaTheme="majorEastAsia" w:hAnsi="Arial Narrow" w:cstheme="majorBidi"/>
                <w:b/>
                <w:sz w:val="20"/>
              </w:rPr>
              <w:t>Week 14</w:t>
            </w:r>
            <w:r w:rsidRPr="006B343C">
              <w:rPr>
                <w:rFonts w:ascii="Arial Narrow" w:eastAsiaTheme="majorEastAsia" w:hAnsi="Arial Narrow" w:cstheme="majorBidi"/>
                <w:b/>
                <w:sz w:val="20"/>
                <w:vertAlign w:val="superscript"/>
              </w:rPr>
              <w:t>a</w:t>
            </w:r>
          </w:p>
        </w:tc>
        <w:tc>
          <w:tcPr>
            <w:tcW w:w="866" w:type="pct"/>
            <w:tcBorders>
              <w:left w:val="single" w:sz="4" w:space="0" w:color="auto"/>
            </w:tcBorders>
          </w:tcPr>
          <w:p w14:paraId="7498AF4B"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32/51 (62.7)</w:t>
            </w:r>
          </w:p>
        </w:tc>
        <w:tc>
          <w:tcPr>
            <w:tcW w:w="866" w:type="pct"/>
            <w:gridSpan w:val="2"/>
            <w:tcBorders>
              <w:left w:val="single" w:sz="4" w:space="0" w:color="auto"/>
            </w:tcBorders>
          </w:tcPr>
          <w:p w14:paraId="2089B5B4"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17/51 (33.3)</w:t>
            </w:r>
          </w:p>
        </w:tc>
        <w:tc>
          <w:tcPr>
            <w:tcW w:w="1167" w:type="pct"/>
            <w:tcBorders>
              <w:left w:val="single" w:sz="4" w:space="0" w:color="auto"/>
            </w:tcBorders>
          </w:tcPr>
          <w:p w14:paraId="5E0C6BC4"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29.4 (8.0, 47.6)</w:t>
            </w:r>
          </w:p>
        </w:tc>
        <w:tc>
          <w:tcPr>
            <w:tcW w:w="1163" w:type="pct"/>
            <w:tcBorders>
              <w:left w:val="single" w:sz="4" w:space="0" w:color="auto"/>
            </w:tcBorders>
          </w:tcPr>
          <w:p w14:paraId="1D8F32F2"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1.88 (1.21, 2.93)</w:t>
            </w:r>
          </w:p>
        </w:tc>
      </w:tr>
      <w:tr w:rsidR="007F5816" w:rsidRPr="006B343C" w14:paraId="7DE05AFA" w14:textId="77777777" w:rsidTr="00727B98">
        <w:tc>
          <w:tcPr>
            <w:tcW w:w="938" w:type="pct"/>
            <w:tcBorders>
              <w:right w:val="single" w:sz="4" w:space="0" w:color="auto"/>
            </w:tcBorders>
          </w:tcPr>
          <w:p w14:paraId="7BE20B41" w14:textId="77777777" w:rsidR="007F5816" w:rsidRPr="006B343C" w:rsidRDefault="007F5816" w:rsidP="008E5D18">
            <w:pPr>
              <w:keepNext/>
              <w:jc w:val="left"/>
              <w:rPr>
                <w:rFonts w:ascii="Arial Narrow" w:eastAsiaTheme="majorEastAsia" w:hAnsi="Arial Narrow" w:cstheme="majorBidi"/>
                <w:b/>
                <w:sz w:val="20"/>
                <w:vertAlign w:val="superscript"/>
              </w:rPr>
            </w:pPr>
            <w:r w:rsidRPr="006B343C">
              <w:rPr>
                <w:rFonts w:ascii="Arial Narrow" w:eastAsiaTheme="majorEastAsia" w:hAnsi="Arial Narrow" w:cstheme="majorBidi"/>
                <w:b/>
                <w:sz w:val="20"/>
              </w:rPr>
              <w:t>Week 34</w:t>
            </w:r>
            <w:r w:rsidRPr="006B343C">
              <w:rPr>
                <w:rFonts w:ascii="Arial Narrow" w:eastAsiaTheme="majorEastAsia" w:hAnsi="Arial Narrow" w:cstheme="majorBidi"/>
                <w:b/>
                <w:sz w:val="20"/>
                <w:vertAlign w:val="superscript"/>
              </w:rPr>
              <w:t>a</w:t>
            </w:r>
          </w:p>
        </w:tc>
        <w:tc>
          <w:tcPr>
            <w:tcW w:w="866" w:type="pct"/>
            <w:tcBorders>
              <w:left w:val="single" w:sz="4" w:space="0" w:color="auto"/>
            </w:tcBorders>
          </w:tcPr>
          <w:p w14:paraId="29D6C49C"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26/51 (51.0)</w:t>
            </w:r>
          </w:p>
        </w:tc>
        <w:tc>
          <w:tcPr>
            <w:tcW w:w="866" w:type="pct"/>
            <w:gridSpan w:val="2"/>
            <w:tcBorders>
              <w:left w:val="single" w:sz="4" w:space="0" w:color="auto"/>
            </w:tcBorders>
          </w:tcPr>
          <w:p w14:paraId="2F416239"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15/51 (29.4)</w:t>
            </w:r>
          </w:p>
        </w:tc>
        <w:tc>
          <w:tcPr>
            <w:tcW w:w="1167" w:type="pct"/>
            <w:tcBorders>
              <w:left w:val="single" w:sz="4" w:space="0" w:color="auto"/>
            </w:tcBorders>
          </w:tcPr>
          <w:p w14:paraId="7A61FE78"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21.6 (1.9, 39.8)</w:t>
            </w:r>
          </w:p>
        </w:tc>
        <w:tc>
          <w:tcPr>
            <w:tcW w:w="1163" w:type="pct"/>
            <w:tcBorders>
              <w:left w:val="single" w:sz="4" w:space="0" w:color="auto"/>
            </w:tcBorders>
          </w:tcPr>
          <w:p w14:paraId="1C6C32AA"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1.73 (1.05, 2.87)</w:t>
            </w:r>
          </w:p>
        </w:tc>
      </w:tr>
      <w:tr w:rsidR="007F5816" w:rsidRPr="006B343C" w14:paraId="16E50585" w14:textId="77777777">
        <w:tc>
          <w:tcPr>
            <w:tcW w:w="5000" w:type="pct"/>
            <w:gridSpan w:val="6"/>
          </w:tcPr>
          <w:p w14:paraId="230F2401"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IBDQ remission</w:t>
            </w:r>
          </w:p>
        </w:tc>
      </w:tr>
      <w:tr w:rsidR="007F5816" w:rsidRPr="006B343C" w14:paraId="3F097341" w14:textId="77777777" w:rsidTr="00727B98">
        <w:tc>
          <w:tcPr>
            <w:tcW w:w="938" w:type="pct"/>
            <w:tcBorders>
              <w:right w:val="single" w:sz="4" w:space="0" w:color="auto"/>
            </w:tcBorders>
            <w:vAlign w:val="center"/>
          </w:tcPr>
          <w:p w14:paraId="6B1179E8" w14:textId="77777777" w:rsidR="007F5816" w:rsidRPr="006B343C" w:rsidRDefault="007F5816" w:rsidP="008E5D18">
            <w:pPr>
              <w:keepNext/>
              <w:jc w:val="left"/>
              <w:rPr>
                <w:rFonts w:ascii="Arial Narrow" w:eastAsiaTheme="majorEastAsia" w:hAnsi="Arial Narrow" w:cstheme="majorBidi"/>
                <w:bCs/>
                <w:sz w:val="20"/>
                <w:vertAlign w:val="superscript"/>
              </w:rPr>
            </w:pPr>
            <w:r w:rsidRPr="006B343C">
              <w:rPr>
                <w:rFonts w:ascii="Arial Narrow" w:eastAsiaTheme="majorEastAsia" w:hAnsi="Arial Narrow" w:cstheme="majorBidi"/>
                <w:bCs/>
                <w:sz w:val="20"/>
              </w:rPr>
              <w:t>Week 14</w:t>
            </w:r>
          </w:p>
        </w:tc>
        <w:tc>
          <w:tcPr>
            <w:tcW w:w="866" w:type="pct"/>
            <w:tcBorders>
              <w:left w:val="single" w:sz="4" w:space="0" w:color="auto"/>
            </w:tcBorders>
            <w:vAlign w:val="center"/>
          </w:tcPr>
          <w:p w14:paraId="187EBB22"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lang w:eastAsia="en-US"/>
              </w:rPr>
              <w:t>20/51 (39.2)</w:t>
            </w:r>
          </w:p>
        </w:tc>
        <w:tc>
          <w:tcPr>
            <w:tcW w:w="866" w:type="pct"/>
            <w:gridSpan w:val="2"/>
            <w:tcBorders>
              <w:left w:val="single" w:sz="4" w:space="0" w:color="auto"/>
            </w:tcBorders>
            <w:vAlign w:val="center"/>
          </w:tcPr>
          <w:p w14:paraId="50DDD8F3"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lang w:eastAsia="en-US"/>
              </w:rPr>
              <w:t>16/51 (31.4)</w:t>
            </w:r>
          </w:p>
        </w:tc>
        <w:tc>
          <w:tcPr>
            <w:tcW w:w="1167" w:type="pct"/>
            <w:tcBorders>
              <w:left w:val="single" w:sz="4" w:space="0" w:color="auto"/>
            </w:tcBorders>
          </w:tcPr>
          <w:p w14:paraId="69D8B4B2"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Calibri" w:hAnsi="Arial Narrow" w:cstheme="majorBidi"/>
                <w:bCs/>
                <w:sz w:val="20"/>
                <w:lang w:eastAsia="en-US"/>
              </w:rPr>
              <w:t>7.8 (-11.0, 26.3)</w:t>
            </w:r>
          </w:p>
        </w:tc>
        <w:tc>
          <w:tcPr>
            <w:tcW w:w="1163" w:type="pct"/>
            <w:tcBorders>
              <w:left w:val="single" w:sz="4" w:space="0" w:color="auto"/>
            </w:tcBorders>
          </w:tcPr>
          <w:p w14:paraId="39990960"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1.25 (0.74, 2.12)</w:t>
            </w:r>
          </w:p>
        </w:tc>
      </w:tr>
      <w:tr w:rsidR="007F5816" w:rsidRPr="006B343C" w14:paraId="7A939317" w14:textId="77777777" w:rsidTr="00727B98">
        <w:tc>
          <w:tcPr>
            <w:tcW w:w="938" w:type="pct"/>
            <w:tcBorders>
              <w:right w:val="single" w:sz="4" w:space="0" w:color="auto"/>
            </w:tcBorders>
          </w:tcPr>
          <w:p w14:paraId="6897541C" w14:textId="77777777" w:rsidR="007F5816" w:rsidRPr="006B343C" w:rsidRDefault="007F5816" w:rsidP="008E5D18">
            <w:pPr>
              <w:keepNext/>
              <w:jc w:val="left"/>
              <w:rPr>
                <w:rFonts w:ascii="Arial Narrow" w:eastAsiaTheme="majorEastAsia" w:hAnsi="Arial Narrow" w:cstheme="majorBidi"/>
                <w:b/>
                <w:sz w:val="20"/>
                <w:vertAlign w:val="superscript"/>
              </w:rPr>
            </w:pPr>
            <w:r w:rsidRPr="006B343C">
              <w:rPr>
                <w:rFonts w:ascii="Arial Narrow" w:eastAsiaTheme="majorEastAsia" w:hAnsi="Arial Narrow" w:cstheme="majorBidi"/>
                <w:b/>
                <w:sz w:val="20"/>
              </w:rPr>
              <w:t>Week 34</w:t>
            </w:r>
          </w:p>
        </w:tc>
        <w:tc>
          <w:tcPr>
            <w:tcW w:w="866" w:type="pct"/>
            <w:tcBorders>
              <w:left w:val="single" w:sz="4" w:space="0" w:color="auto"/>
            </w:tcBorders>
          </w:tcPr>
          <w:p w14:paraId="1082ABAA"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Calibri" w:hAnsi="Arial Narrow" w:cstheme="majorBidi"/>
                <w:b/>
                <w:sz w:val="20"/>
                <w:lang w:eastAsia="en-US"/>
              </w:rPr>
              <w:t>22/51 (43.1)</w:t>
            </w:r>
          </w:p>
        </w:tc>
        <w:tc>
          <w:tcPr>
            <w:tcW w:w="866" w:type="pct"/>
            <w:gridSpan w:val="2"/>
            <w:tcBorders>
              <w:left w:val="single" w:sz="4" w:space="0" w:color="auto"/>
            </w:tcBorders>
          </w:tcPr>
          <w:p w14:paraId="0000450B"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Calibri" w:hAnsi="Arial Narrow" w:cstheme="majorBidi"/>
                <w:b/>
                <w:sz w:val="20"/>
                <w:lang w:eastAsia="en-US"/>
              </w:rPr>
              <w:t>10/51 (19.6)</w:t>
            </w:r>
          </w:p>
        </w:tc>
        <w:tc>
          <w:tcPr>
            <w:tcW w:w="1167" w:type="pct"/>
            <w:tcBorders>
              <w:left w:val="single" w:sz="4" w:space="0" w:color="auto"/>
            </w:tcBorders>
          </w:tcPr>
          <w:p w14:paraId="256577E3"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23.5 (4.9, 40.7)</w:t>
            </w:r>
          </w:p>
        </w:tc>
        <w:tc>
          <w:tcPr>
            <w:tcW w:w="1163" w:type="pct"/>
            <w:tcBorders>
              <w:left w:val="single" w:sz="4" w:space="0" w:color="auto"/>
            </w:tcBorders>
          </w:tcPr>
          <w:p w14:paraId="40B4FE7B"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2.20 (1.16, 4.17)</w:t>
            </w:r>
          </w:p>
        </w:tc>
      </w:tr>
      <w:tr w:rsidR="007F5816" w:rsidRPr="006B343C" w14:paraId="3EA99D7E" w14:textId="77777777">
        <w:tc>
          <w:tcPr>
            <w:tcW w:w="5000" w:type="pct"/>
            <w:gridSpan w:val="6"/>
          </w:tcPr>
          <w:p w14:paraId="0A7ED477"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Calibri" w:hAnsi="Arial Narrow" w:cstheme="majorBidi"/>
                <w:b/>
                <w:sz w:val="20"/>
                <w:lang w:eastAsia="en-US"/>
              </w:rPr>
              <w:t>Clinically meaningful improvement in IBDQ</w:t>
            </w:r>
          </w:p>
        </w:tc>
      </w:tr>
      <w:tr w:rsidR="007F5816" w:rsidRPr="006B343C" w14:paraId="14E5F886" w14:textId="77777777" w:rsidTr="00727B98">
        <w:tc>
          <w:tcPr>
            <w:tcW w:w="938" w:type="pct"/>
            <w:tcBorders>
              <w:right w:val="single" w:sz="4" w:space="0" w:color="auto"/>
            </w:tcBorders>
          </w:tcPr>
          <w:p w14:paraId="0C0BB076"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14</w:t>
            </w:r>
          </w:p>
        </w:tc>
        <w:tc>
          <w:tcPr>
            <w:tcW w:w="866" w:type="pct"/>
            <w:tcBorders>
              <w:left w:val="single" w:sz="4" w:space="0" w:color="auto"/>
            </w:tcBorders>
            <w:vAlign w:val="center"/>
          </w:tcPr>
          <w:p w14:paraId="377D4F7F"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lang w:eastAsia="en-US"/>
              </w:rPr>
              <w:t>25/51 (49.0)</w:t>
            </w:r>
          </w:p>
        </w:tc>
        <w:tc>
          <w:tcPr>
            <w:tcW w:w="866" w:type="pct"/>
            <w:gridSpan w:val="2"/>
            <w:tcBorders>
              <w:left w:val="single" w:sz="4" w:space="0" w:color="auto"/>
            </w:tcBorders>
            <w:vAlign w:val="center"/>
          </w:tcPr>
          <w:p w14:paraId="5D5F908E"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lang w:eastAsia="en-US"/>
              </w:rPr>
              <w:t>25/51 (49.0)</w:t>
            </w:r>
          </w:p>
        </w:tc>
        <w:tc>
          <w:tcPr>
            <w:tcW w:w="1167" w:type="pct"/>
            <w:tcBorders>
              <w:left w:val="single" w:sz="4" w:space="0" w:color="auto"/>
            </w:tcBorders>
            <w:vAlign w:val="center"/>
          </w:tcPr>
          <w:p w14:paraId="36397420"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Calibri" w:hAnsi="Arial Narrow" w:cstheme="majorBidi"/>
                <w:bCs/>
                <w:sz w:val="20"/>
                <w:lang w:eastAsia="en-US"/>
              </w:rPr>
              <w:t>0.0 (-20.1, 20.1)</w:t>
            </w:r>
          </w:p>
        </w:tc>
        <w:tc>
          <w:tcPr>
            <w:tcW w:w="1163" w:type="pct"/>
            <w:tcBorders>
              <w:left w:val="single" w:sz="4" w:space="0" w:color="auto"/>
            </w:tcBorders>
            <w:vAlign w:val="center"/>
          </w:tcPr>
          <w:p w14:paraId="5528AF9D"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1.00 (0.67, 1.49)</w:t>
            </w:r>
          </w:p>
        </w:tc>
      </w:tr>
      <w:tr w:rsidR="007F5816" w:rsidRPr="006B343C" w14:paraId="0ED462B3" w14:textId="77777777" w:rsidTr="00727B98">
        <w:tc>
          <w:tcPr>
            <w:tcW w:w="938" w:type="pct"/>
            <w:tcBorders>
              <w:right w:val="single" w:sz="4" w:space="0" w:color="auto"/>
            </w:tcBorders>
          </w:tcPr>
          <w:p w14:paraId="557BE207"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34</w:t>
            </w:r>
          </w:p>
        </w:tc>
        <w:tc>
          <w:tcPr>
            <w:tcW w:w="866" w:type="pct"/>
            <w:tcBorders>
              <w:left w:val="single" w:sz="4" w:space="0" w:color="auto"/>
            </w:tcBorders>
            <w:vAlign w:val="center"/>
          </w:tcPr>
          <w:p w14:paraId="0C9B0CF9"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lang w:eastAsia="en-US"/>
              </w:rPr>
              <w:t>23/51 (45.1)</w:t>
            </w:r>
          </w:p>
        </w:tc>
        <w:tc>
          <w:tcPr>
            <w:tcW w:w="866" w:type="pct"/>
            <w:gridSpan w:val="2"/>
            <w:tcBorders>
              <w:left w:val="single" w:sz="4" w:space="0" w:color="auto"/>
            </w:tcBorders>
            <w:vAlign w:val="center"/>
          </w:tcPr>
          <w:p w14:paraId="334D6B8C"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lang w:eastAsia="en-US"/>
              </w:rPr>
              <w:t>18/51 (35.3)</w:t>
            </w:r>
          </w:p>
        </w:tc>
        <w:tc>
          <w:tcPr>
            <w:tcW w:w="1167" w:type="pct"/>
            <w:tcBorders>
              <w:left w:val="single" w:sz="4" w:space="0" w:color="auto"/>
            </w:tcBorders>
            <w:vAlign w:val="center"/>
          </w:tcPr>
          <w:p w14:paraId="3C23B173"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Calibri" w:hAnsi="Arial Narrow" w:cstheme="majorBidi"/>
                <w:bCs/>
                <w:sz w:val="20"/>
                <w:lang w:eastAsia="en-US"/>
              </w:rPr>
              <w:t>9.8 (-9.6, 28.7)</w:t>
            </w:r>
          </w:p>
        </w:tc>
        <w:tc>
          <w:tcPr>
            <w:tcW w:w="1163" w:type="pct"/>
            <w:tcBorders>
              <w:left w:val="single" w:sz="4" w:space="0" w:color="auto"/>
            </w:tcBorders>
            <w:vAlign w:val="center"/>
          </w:tcPr>
          <w:p w14:paraId="405B6F94"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1.28 (0.79, 2.06)</w:t>
            </w:r>
          </w:p>
        </w:tc>
      </w:tr>
      <w:tr w:rsidR="002F1249" w:rsidRPr="006B343C" w14:paraId="1DE914D4" w14:textId="77777777" w:rsidTr="00727B98">
        <w:tc>
          <w:tcPr>
            <w:tcW w:w="5000" w:type="pct"/>
            <w:gridSpan w:val="6"/>
            <w:shd w:val="clear" w:color="auto" w:fill="BFBFBF" w:themeFill="background1" w:themeFillShade="BF"/>
          </w:tcPr>
          <w:p w14:paraId="47E456F7" w14:textId="33D2DEC2" w:rsidR="002F1249" w:rsidRPr="006B343C" w:rsidRDefault="002F1249"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
                <w:sz w:val="20"/>
              </w:rPr>
              <w:t>OUTCOMES BASED ON RAW SCORES</w:t>
            </w:r>
          </w:p>
        </w:tc>
      </w:tr>
      <w:tr w:rsidR="007F5816" w:rsidRPr="006B343C" w14:paraId="05FBE466" w14:textId="77777777" w:rsidTr="002F1249">
        <w:tc>
          <w:tcPr>
            <w:tcW w:w="938" w:type="pct"/>
            <w:tcBorders>
              <w:right w:val="single" w:sz="4" w:space="0" w:color="auto"/>
            </w:tcBorders>
          </w:tcPr>
          <w:p w14:paraId="04DB3004"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Endpoint</w:t>
            </w:r>
          </w:p>
        </w:tc>
        <w:tc>
          <w:tcPr>
            <w:tcW w:w="1497" w:type="pct"/>
            <w:gridSpan w:val="2"/>
            <w:tcBorders>
              <w:left w:val="single" w:sz="4" w:space="0" w:color="auto"/>
            </w:tcBorders>
          </w:tcPr>
          <w:p w14:paraId="67CDCBC3"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
                <w:sz w:val="20"/>
              </w:rPr>
              <w:t>VEDO + SOC (N=51), mean change from baseline (SD)</w:t>
            </w:r>
          </w:p>
        </w:tc>
        <w:tc>
          <w:tcPr>
            <w:tcW w:w="1402" w:type="pct"/>
            <w:gridSpan w:val="2"/>
            <w:tcBorders>
              <w:left w:val="single" w:sz="4" w:space="0" w:color="auto"/>
            </w:tcBorders>
          </w:tcPr>
          <w:p w14:paraId="5D0EEE86" w14:textId="77777777" w:rsidR="007F5816" w:rsidRPr="006B343C" w:rsidRDefault="007F5816" w:rsidP="008E5D18">
            <w:pPr>
              <w:keepNext/>
              <w:jc w:val="center"/>
              <w:rPr>
                <w:rFonts w:ascii="Arial Narrow" w:eastAsiaTheme="majorEastAsia" w:hAnsi="Arial Narrow" w:cstheme="majorBidi"/>
                <w:bCs/>
                <w:sz w:val="20"/>
              </w:rPr>
            </w:pPr>
            <w:r w:rsidRPr="006B343C">
              <w:rPr>
                <w:rFonts w:ascii="Arial Narrow" w:eastAsiaTheme="majorEastAsia" w:hAnsi="Arial Narrow" w:cstheme="majorBidi"/>
                <w:b/>
                <w:sz w:val="20"/>
              </w:rPr>
              <w:t>PBO + SOC (N=51), mean change from baseline (SD)</w:t>
            </w:r>
          </w:p>
        </w:tc>
        <w:tc>
          <w:tcPr>
            <w:tcW w:w="1163" w:type="pct"/>
            <w:tcBorders>
              <w:left w:val="single" w:sz="4" w:space="0" w:color="auto"/>
            </w:tcBorders>
          </w:tcPr>
          <w:p w14:paraId="20E18018"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 xml:space="preserve">Mean change difference </w:t>
            </w:r>
            <w:r w:rsidRPr="006B343C">
              <w:rPr>
                <w:rFonts w:ascii="Arial Narrow" w:eastAsiaTheme="majorEastAsia" w:hAnsi="Arial Narrow" w:cstheme="majorBidi"/>
                <w:b/>
                <w:sz w:val="20"/>
              </w:rPr>
              <w:br/>
              <w:t>(95% CI)</w:t>
            </w:r>
          </w:p>
        </w:tc>
      </w:tr>
      <w:tr w:rsidR="007F5816" w:rsidRPr="006B343C" w14:paraId="646E64D0" w14:textId="77777777">
        <w:tc>
          <w:tcPr>
            <w:tcW w:w="5000" w:type="pct"/>
            <w:gridSpan w:val="6"/>
          </w:tcPr>
          <w:p w14:paraId="2B75E211" w14:textId="77777777" w:rsidR="007F5816" w:rsidRPr="006B343C" w:rsidRDefault="007F5816" w:rsidP="008E5D18">
            <w:pPr>
              <w:keepNext/>
              <w:keepLines/>
              <w:suppressLineNumbers/>
              <w:spacing w:after="20"/>
              <w:jc w:val="left"/>
              <w:textboxTightWrap w:val="allLines"/>
              <w:rPr>
                <w:rFonts w:ascii="Arial Narrow" w:eastAsia="Calibri" w:hAnsi="Arial Narrow"/>
                <w:sz w:val="20"/>
                <w:lang w:eastAsia="en-US"/>
              </w:rPr>
            </w:pPr>
            <w:r w:rsidRPr="006B343C">
              <w:rPr>
                <w:rFonts w:ascii="Arial Narrow" w:hAnsi="Arial Narrow"/>
                <w:b/>
                <w:bCs/>
                <w:sz w:val="20"/>
                <w:lang w:eastAsia="en-GB"/>
              </w:rPr>
              <w:t>Change from baseline in mPDAI Total score</w:t>
            </w:r>
          </w:p>
        </w:tc>
      </w:tr>
      <w:tr w:rsidR="007F5816" w:rsidRPr="006B343C" w14:paraId="37F23D53" w14:textId="77777777" w:rsidTr="002F1249">
        <w:tc>
          <w:tcPr>
            <w:tcW w:w="938" w:type="pct"/>
            <w:tcBorders>
              <w:right w:val="single" w:sz="4" w:space="0" w:color="auto"/>
            </w:tcBorders>
          </w:tcPr>
          <w:p w14:paraId="7A1E7A11"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Week 14</w:t>
            </w:r>
          </w:p>
        </w:tc>
        <w:tc>
          <w:tcPr>
            <w:tcW w:w="1497" w:type="pct"/>
            <w:gridSpan w:val="2"/>
            <w:tcBorders>
              <w:left w:val="single" w:sz="4" w:space="0" w:color="auto"/>
            </w:tcBorders>
          </w:tcPr>
          <w:p w14:paraId="7E3DDDB3"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Calibri" w:hAnsi="Arial Narrow" w:cstheme="majorBidi"/>
                <w:b/>
                <w:sz w:val="20"/>
                <w:lang w:eastAsia="en-US"/>
              </w:rPr>
              <w:t>-2.7 (2.6)</w:t>
            </w:r>
          </w:p>
        </w:tc>
        <w:tc>
          <w:tcPr>
            <w:tcW w:w="1402" w:type="pct"/>
            <w:gridSpan w:val="2"/>
            <w:tcBorders>
              <w:left w:val="single" w:sz="4" w:space="0" w:color="auto"/>
            </w:tcBorders>
          </w:tcPr>
          <w:p w14:paraId="266F223A"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-1.3 (1.8)</w:t>
            </w:r>
          </w:p>
        </w:tc>
        <w:tc>
          <w:tcPr>
            <w:tcW w:w="1163" w:type="pct"/>
            <w:tcBorders>
              <w:left w:val="single" w:sz="4" w:space="0" w:color="auto"/>
            </w:tcBorders>
          </w:tcPr>
          <w:p w14:paraId="1080CAD6" w14:textId="77777777" w:rsidR="007F5816" w:rsidRPr="006B343C" w:rsidRDefault="007F5816" w:rsidP="008E5D18">
            <w:pPr>
              <w:keepNext/>
              <w:keepLines/>
              <w:suppressLineNumbers/>
              <w:spacing w:after="20"/>
              <w:jc w:val="center"/>
              <w:textboxTightWrap w:val="allLines"/>
              <w:rPr>
                <w:rFonts w:ascii="Arial Narrow" w:eastAsia="Calibri" w:hAnsi="Arial Narrow"/>
                <w:b/>
                <w:sz w:val="20"/>
                <w:lang w:eastAsia="en-US"/>
              </w:rPr>
            </w:pPr>
            <w:r w:rsidRPr="006B343C">
              <w:rPr>
                <w:rFonts w:ascii="Arial Narrow" w:eastAsia="Calibri" w:hAnsi="Arial Narrow"/>
                <w:b/>
                <w:sz w:val="20"/>
                <w:lang w:eastAsia="en-US"/>
              </w:rPr>
              <w:t>-1.4 (-2.3, -0.5)</w:t>
            </w:r>
          </w:p>
        </w:tc>
      </w:tr>
      <w:tr w:rsidR="007F5816" w:rsidRPr="006B343C" w14:paraId="4B415D1E" w14:textId="77777777" w:rsidTr="002F1249">
        <w:tc>
          <w:tcPr>
            <w:tcW w:w="938" w:type="pct"/>
            <w:tcBorders>
              <w:right w:val="single" w:sz="4" w:space="0" w:color="auto"/>
            </w:tcBorders>
          </w:tcPr>
          <w:p w14:paraId="63275ADD"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Week 34</w:t>
            </w:r>
          </w:p>
        </w:tc>
        <w:tc>
          <w:tcPr>
            <w:tcW w:w="1497" w:type="pct"/>
            <w:gridSpan w:val="2"/>
            <w:tcBorders>
              <w:left w:val="single" w:sz="4" w:space="0" w:color="auto"/>
            </w:tcBorders>
          </w:tcPr>
          <w:p w14:paraId="77D5B596"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Calibri" w:hAnsi="Arial Narrow" w:cstheme="majorBidi"/>
                <w:b/>
                <w:sz w:val="20"/>
                <w:lang w:eastAsia="en-US"/>
              </w:rPr>
              <w:t>-3.5 (2.9)</w:t>
            </w:r>
          </w:p>
        </w:tc>
        <w:tc>
          <w:tcPr>
            <w:tcW w:w="1402" w:type="pct"/>
            <w:gridSpan w:val="2"/>
            <w:tcBorders>
              <w:left w:val="single" w:sz="4" w:space="0" w:color="auto"/>
            </w:tcBorders>
          </w:tcPr>
          <w:p w14:paraId="5CA42B82" w14:textId="77777777" w:rsidR="007F5816" w:rsidRPr="006B343C" w:rsidRDefault="007F5816" w:rsidP="008E5D18">
            <w:pPr>
              <w:keepNext/>
              <w:jc w:val="center"/>
              <w:rPr>
                <w:rFonts w:ascii="Arial Narrow" w:eastAsiaTheme="majorEastAsia" w:hAnsi="Arial Narrow" w:cstheme="majorBidi"/>
                <w:b/>
                <w:sz w:val="20"/>
              </w:rPr>
            </w:pPr>
            <w:r w:rsidRPr="006B343C">
              <w:rPr>
                <w:rFonts w:ascii="Arial Narrow" w:eastAsia="Calibri" w:hAnsi="Arial Narrow" w:cstheme="majorBidi"/>
                <w:b/>
                <w:sz w:val="20"/>
                <w:lang w:eastAsia="en-US"/>
              </w:rPr>
              <w:t>-2.0 (2.4)</w:t>
            </w:r>
          </w:p>
        </w:tc>
        <w:tc>
          <w:tcPr>
            <w:tcW w:w="1163" w:type="pct"/>
            <w:tcBorders>
              <w:left w:val="single" w:sz="4" w:space="0" w:color="auto"/>
            </w:tcBorders>
          </w:tcPr>
          <w:p w14:paraId="21260959" w14:textId="77777777" w:rsidR="007F5816" w:rsidRPr="006B343C" w:rsidRDefault="007F5816" w:rsidP="008E5D18">
            <w:pPr>
              <w:keepNext/>
              <w:keepLines/>
              <w:suppressLineNumbers/>
              <w:spacing w:after="20"/>
              <w:jc w:val="center"/>
              <w:textboxTightWrap w:val="allLines"/>
              <w:rPr>
                <w:rFonts w:ascii="Arial Narrow" w:eastAsia="Calibri" w:hAnsi="Arial Narrow"/>
                <w:b/>
                <w:sz w:val="20"/>
                <w:lang w:eastAsia="en-US"/>
              </w:rPr>
            </w:pPr>
            <w:r w:rsidRPr="006B343C">
              <w:rPr>
                <w:rFonts w:ascii="Arial Narrow" w:eastAsia="Calibri" w:hAnsi="Arial Narrow"/>
                <w:b/>
                <w:sz w:val="20"/>
                <w:lang w:eastAsia="en-US"/>
              </w:rPr>
              <w:t>-1.5 (-2.8, -0.2)</w:t>
            </w:r>
          </w:p>
        </w:tc>
      </w:tr>
      <w:tr w:rsidR="007F5816" w:rsidRPr="006B343C" w14:paraId="41444185" w14:textId="77777777">
        <w:tc>
          <w:tcPr>
            <w:tcW w:w="5000" w:type="pct"/>
            <w:gridSpan w:val="6"/>
          </w:tcPr>
          <w:p w14:paraId="259E342C" w14:textId="77777777" w:rsidR="007F5816" w:rsidRPr="006B343C" w:rsidRDefault="007F5816" w:rsidP="008E5D18">
            <w:pPr>
              <w:keepNext/>
              <w:keepLines/>
              <w:suppressLineNumbers/>
              <w:spacing w:after="20"/>
              <w:jc w:val="left"/>
              <w:textboxTightWrap w:val="allLines"/>
              <w:rPr>
                <w:rFonts w:ascii="Arial Narrow" w:eastAsia="Calibri" w:hAnsi="Arial Narrow"/>
                <w:sz w:val="20"/>
                <w:lang w:eastAsia="en-US"/>
              </w:rPr>
            </w:pPr>
            <w:r w:rsidRPr="006B343C">
              <w:rPr>
                <w:rFonts w:ascii="Arial Narrow" w:hAnsi="Arial Narrow"/>
                <w:b/>
                <w:bCs/>
                <w:sz w:val="20"/>
                <w:lang w:eastAsia="en-GB"/>
              </w:rPr>
              <w:t>Change from baseline in PDAI Total score</w:t>
            </w:r>
          </w:p>
        </w:tc>
      </w:tr>
      <w:tr w:rsidR="007F5816" w:rsidRPr="006B343C" w14:paraId="195F3D5B" w14:textId="77777777" w:rsidTr="002F1249">
        <w:tc>
          <w:tcPr>
            <w:tcW w:w="938" w:type="pct"/>
            <w:tcBorders>
              <w:right w:val="single" w:sz="4" w:space="0" w:color="auto"/>
            </w:tcBorders>
          </w:tcPr>
          <w:p w14:paraId="7292545E"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Week 14</w:t>
            </w:r>
          </w:p>
        </w:tc>
        <w:tc>
          <w:tcPr>
            <w:tcW w:w="1497" w:type="pct"/>
            <w:gridSpan w:val="2"/>
            <w:tcBorders>
              <w:left w:val="single" w:sz="4" w:space="0" w:color="auto"/>
            </w:tcBorders>
          </w:tcPr>
          <w:p w14:paraId="72BB9E2B"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Theme="majorEastAsia" w:hAnsi="Arial Narrow" w:cstheme="majorBidi"/>
                <w:b/>
                <w:sz w:val="20"/>
              </w:rPr>
              <w:t>-3.1 (3.9)</w:t>
            </w:r>
          </w:p>
        </w:tc>
        <w:tc>
          <w:tcPr>
            <w:tcW w:w="1402" w:type="pct"/>
            <w:gridSpan w:val="2"/>
            <w:tcBorders>
              <w:left w:val="single" w:sz="4" w:space="0" w:color="auto"/>
            </w:tcBorders>
          </w:tcPr>
          <w:p w14:paraId="22AFD9EC"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Theme="majorEastAsia" w:hAnsi="Arial Narrow" w:cstheme="majorBidi"/>
                <w:b/>
                <w:sz w:val="20"/>
              </w:rPr>
              <w:t>-1.4 (2.7)</w:t>
            </w:r>
          </w:p>
        </w:tc>
        <w:tc>
          <w:tcPr>
            <w:tcW w:w="1163" w:type="pct"/>
            <w:tcBorders>
              <w:left w:val="single" w:sz="4" w:space="0" w:color="auto"/>
            </w:tcBorders>
          </w:tcPr>
          <w:p w14:paraId="4F4807C7" w14:textId="77777777" w:rsidR="007F5816" w:rsidRPr="006B343C" w:rsidRDefault="007F5816" w:rsidP="008E5D18">
            <w:pPr>
              <w:keepNext/>
              <w:keepLines/>
              <w:suppressLineNumbers/>
              <w:spacing w:after="20"/>
              <w:jc w:val="center"/>
              <w:textboxTightWrap w:val="allLines"/>
              <w:rPr>
                <w:rFonts w:ascii="Arial Narrow" w:eastAsia="Calibri" w:hAnsi="Arial Narrow"/>
                <w:b/>
                <w:sz w:val="20"/>
                <w:lang w:eastAsia="en-US"/>
              </w:rPr>
            </w:pPr>
            <w:r w:rsidRPr="006B343C">
              <w:rPr>
                <w:rFonts w:ascii="Arial Narrow" w:eastAsia="Calibri" w:hAnsi="Arial Narrow"/>
                <w:b/>
                <w:sz w:val="20"/>
                <w:lang w:eastAsia="en-US"/>
              </w:rPr>
              <w:t>-1.7 (-3.2, -0.3)</w:t>
            </w:r>
          </w:p>
        </w:tc>
      </w:tr>
      <w:tr w:rsidR="007F5816" w:rsidRPr="006B343C" w14:paraId="5B42A8B7" w14:textId="77777777" w:rsidTr="002F1249">
        <w:tc>
          <w:tcPr>
            <w:tcW w:w="938" w:type="pct"/>
            <w:tcBorders>
              <w:right w:val="single" w:sz="4" w:space="0" w:color="auto"/>
            </w:tcBorders>
          </w:tcPr>
          <w:p w14:paraId="75C17A49"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34</w:t>
            </w:r>
          </w:p>
        </w:tc>
        <w:tc>
          <w:tcPr>
            <w:tcW w:w="1497" w:type="pct"/>
            <w:gridSpan w:val="2"/>
            <w:tcBorders>
              <w:left w:val="single" w:sz="4" w:space="0" w:color="auto"/>
            </w:tcBorders>
          </w:tcPr>
          <w:p w14:paraId="1A7D457F"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-3.9 (4.2)</w:t>
            </w:r>
          </w:p>
        </w:tc>
        <w:tc>
          <w:tcPr>
            <w:tcW w:w="1402" w:type="pct"/>
            <w:gridSpan w:val="2"/>
            <w:tcBorders>
              <w:left w:val="single" w:sz="4" w:space="0" w:color="auto"/>
            </w:tcBorders>
          </w:tcPr>
          <w:p w14:paraId="52DFE018"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-2.1 (3.5)</w:t>
            </w:r>
          </w:p>
        </w:tc>
        <w:tc>
          <w:tcPr>
            <w:tcW w:w="1163" w:type="pct"/>
            <w:tcBorders>
              <w:left w:val="single" w:sz="4" w:space="0" w:color="auto"/>
            </w:tcBorders>
          </w:tcPr>
          <w:p w14:paraId="71A4D314" w14:textId="77777777" w:rsidR="007F5816" w:rsidRPr="006B343C" w:rsidRDefault="007F5816" w:rsidP="008E5D18">
            <w:pPr>
              <w:keepNext/>
              <w:keepLines/>
              <w:suppressLineNumbers/>
              <w:spacing w:after="20"/>
              <w:jc w:val="center"/>
              <w:textboxTightWrap w:val="allLines"/>
              <w:rPr>
                <w:rFonts w:ascii="Arial Narrow" w:eastAsia="Calibri" w:hAnsi="Arial Narrow"/>
                <w:sz w:val="20"/>
                <w:lang w:eastAsia="en-US"/>
              </w:rPr>
            </w:pPr>
            <w:r w:rsidRPr="006B343C">
              <w:rPr>
                <w:rFonts w:ascii="Arial Narrow" w:eastAsia="Calibri" w:hAnsi="Arial Narrow"/>
                <w:sz w:val="20"/>
                <w:lang w:eastAsia="en-US"/>
              </w:rPr>
              <w:t>-1.7 (-3.7, 0.2)</w:t>
            </w:r>
          </w:p>
        </w:tc>
      </w:tr>
      <w:tr w:rsidR="00B0269C" w:rsidRPr="006B343C" w14:paraId="21EDC01B" w14:textId="77777777" w:rsidTr="00B0269C">
        <w:tc>
          <w:tcPr>
            <w:tcW w:w="5000" w:type="pct"/>
            <w:gridSpan w:val="6"/>
            <w:shd w:val="clear" w:color="auto" w:fill="BFBFBF" w:themeFill="background1" w:themeFillShade="BF"/>
          </w:tcPr>
          <w:p w14:paraId="13A45216" w14:textId="7B127B88" w:rsidR="00B0269C" w:rsidRPr="006B343C" w:rsidRDefault="00B0269C" w:rsidP="008E5D18">
            <w:pPr>
              <w:keepNext/>
              <w:keepLines/>
              <w:suppressLineNumbers/>
              <w:spacing w:after="20"/>
              <w:jc w:val="left"/>
              <w:textboxTightWrap w:val="allLines"/>
              <w:rPr>
                <w:rFonts w:ascii="Arial Narrow" w:eastAsia="Calibri" w:hAnsi="Arial Narrow"/>
                <w:b/>
                <w:sz w:val="20"/>
                <w:lang w:eastAsia="en-US"/>
              </w:rPr>
            </w:pPr>
            <w:r w:rsidRPr="006B343C">
              <w:rPr>
                <w:rFonts w:ascii="Arial Narrow" w:eastAsiaTheme="majorEastAsia" w:hAnsi="Arial Narrow" w:cstheme="majorBidi"/>
                <w:b/>
                <w:sz w:val="20"/>
              </w:rPr>
              <w:t>RAW SCORES</w:t>
            </w:r>
          </w:p>
        </w:tc>
      </w:tr>
      <w:tr w:rsidR="007F5816" w:rsidRPr="006B343C" w14:paraId="29DB21AF" w14:textId="77777777">
        <w:tc>
          <w:tcPr>
            <w:tcW w:w="5000" w:type="pct"/>
            <w:gridSpan w:val="6"/>
          </w:tcPr>
          <w:p w14:paraId="274F5776" w14:textId="77777777" w:rsidR="007F5816" w:rsidRPr="006B343C" w:rsidRDefault="007F5816" w:rsidP="008E5D18">
            <w:pPr>
              <w:keepNext/>
              <w:keepLines/>
              <w:suppressLineNumbers/>
              <w:spacing w:after="20"/>
              <w:jc w:val="left"/>
              <w:textboxTightWrap w:val="allLines"/>
              <w:rPr>
                <w:rFonts w:ascii="Arial Narrow" w:hAnsi="Arial Narrow"/>
                <w:sz w:val="20"/>
                <w:lang w:eastAsia="en-GB"/>
              </w:rPr>
            </w:pPr>
            <w:r w:rsidRPr="006B343C">
              <w:rPr>
                <w:rFonts w:ascii="Arial Narrow" w:hAnsi="Arial Narrow"/>
                <w:b/>
                <w:sz w:val="20"/>
                <w:lang w:eastAsia="en-GB"/>
              </w:rPr>
              <w:t xml:space="preserve">Change from baseline in PDAI </w:t>
            </w:r>
            <w:r w:rsidRPr="006B343C">
              <w:rPr>
                <w:rFonts w:ascii="Arial Narrow" w:hAnsi="Arial Narrow"/>
                <w:b/>
                <w:bCs/>
                <w:sz w:val="20"/>
                <w:lang w:eastAsia="en-GB"/>
              </w:rPr>
              <w:t>clinical</w:t>
            </w:r>
            <w:r w:rsidRPr="006B343C">
              <w:rPr>
                <w:rFonts w:ascii="Arial Narrow" w:hAnsi="Arial Narrow"/>
                <w:b/>
                <w:sz w:val="20"/>
                <w:lang w:eastAsia="en-GB"/>
              </w:rPr>
              <w:t xml:space="preserve"> sub</w:t>
            </w:r>
            <w:r w:rsidRPr="006B343C">
              <w:rPr>
                <w:rFonts w:ascii="Arial Narrow" w:hAnsi="Arial Narrow"/>
                <w:b/>
                <w:bCs/>
                <w:sz w:val="20"/>
                <w:lang w:eastAsia="en-GB"/>
              </w:rPr>
              <w:t>-</w:t>
            </w:r>
            <w:r w:rsidRPr="006B343C">
              <w:rPr>
                <w:rFonts w:ascii="Arial Narrow" w:hAnsi="Arial Narrow"/>
                <w:b/>
                <w:sz w:val="20"/>
                <w:lang w:eastAsia="en-GB"/>
              </w:rPr>
              <w:t>score</w:t>
            </w:r>
          </w:p>
        </w:tc>
      </w:tr>
      <w:tr w:rsidR="007F5816" w:rsidRPr="006B343C" w14:paraId="22B1E119" w14:textId="77777777" w:rsidTr="002F1249">
        <w:tc>
          <w:tcPr>
            <w:tcW w:w="938" w:type="pct"/>
            <w:tcBorders>
              <w:right w:val="single" w:sz="4" w:space="0" w:color="auto"/>
            </w:tcBorders>
          </w:tcPr>
          <w:p w14:paraId="56A80BEB"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14</w:t>
            </w:r>
          </w:p>
        </w:tc>
        <w:tc>
          <w:tcPr>
            <w:tcW w:w="1497" w:type="pct"/>
            <w:gridSpan w:val="2"/>
            <w:tcBorders>
              <w:left w:val="single" w:sz="4" w:space="0" w:color="auto"/>
            </w:tcBorders>
          </w:tcPr>
          <w:p w14:paraId="07DE0BF1"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rPr>
              <w:t>-1.4 (1.4)</w:t>
            </w:r>
          </w:p>
        </w:tc>
        <w:tc>
          <w:tcPr>
            <w:tcW w:w="1402" w:type="pct"/>
            <w:gridSpan w:val="2"/>
            <w:tcBorders>
              <w:left w:val="single" w:sz="4" w:space="0" w:color="auto"/>
            </w:tcBorders>
          </w:tcPr>
          <w:p w14:paraId="6C7CE0A9"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rPr>
              <w:t>-1.1 (1.1)</w:t>
            </w:r>
          </w:p>
        </w:tc>
        <w:tc>
          <w:tcPr>
            <w:tcW w:w="1163" w:type="pct"/>
            <w:tcBorders>
              <w:left w:val="single" w:sz="4" w:space="0" w:color="auto"/>
            </w:tcBorders>
          </w:tcPr>
          <w:p w14:paraId="0DC39182" w14:textId="77777777" w:rsidR="007F5816" w:rsidRPr="006B343C" w:rsidRDefault="007F5816" w:rsidP="008E5D18">
            <w:pPr>
              <w:keepNext/>
              <w:keepLines/>
              <w:suppressLineNumbers/>
              <w:spacing w:after="20"/>
              <w:jc w:val="center"/>
              <w:textboxTightWrap w:val="allLines"/>
              <w:rPr>
                <w:rFonts w:ascii="Arial Narrow" w:hAnsi="Arial Narrow"/>
                <w:sz w:val="20"/>
                <w:lang w:eastAsia="en-GB"/>
              </w:rPr>
            </w:pPr>
            <w:r w:rsidRPr="006B343C">
              <w:rPr>
                <w:rFonts w:ascii="Arial Narrow" w:hAnsi="Arial Narrow"/>
                <w:sz w:val="20"/>
                <w:lang w:eastAsia="en-GB"/>
              </w:rPr>
              <w:t>-0.3 (-0.8, 0.2)</w:t>
            </w:r>
          </w:p>
        </w:tc>
      </w:tr>
      <w:tr w:rsidR="007F5816" w:rsidRPr="006B343C" w14:paraId="7E775BE8" w14:textId="77777777" w:rsidTr="002F1249">
        <w:tc>
          <w:tcPr>
            <w:tcW w:w="938" w:type="pct"/>
            <w:tcBorders>
              <w:right w:val="single" w:sz="4" w:space="0" w:color="auto"/>
            </w:tcBorders>
          </w:tcPr>
          <w:p w14:paraId="1D1550C1"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34</w:t>
            </w:r>
          </w:p>
        </w:tc>
        <w:tc>
          <w:tcPr>
            <w:tcW w:w="1497" w:type="pct"/>
            <w:gridSpan w:val="2"/>
            <w:tcBorders>
              <w:left w:val="single" w:sz="4" w:space="0" w:color="auto"/>
            </w:tcBorders>
          </w:tcPr>
          <w:p w14:paraId="55C7B954"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rPr>
              <w:t>-1.7 (1.6)</w:t>
            </w:r>
          </w:p>
        </w:tc>
        <w:tc>
          <w:tcPr>
            <w:tcW w:w="1402" w:type="pct"/>
            <w:gridSpan w:val="2"/>
            <w:tcBorders>
              <w:left w:val="single" w:sz="4" w:space="0" w:color="auto"/>
            </w:tcBorders>
          </w:tcPr>
          <w:p w14:paraId="6A1DB4B6"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rPr>
              <w:t>-1.2 (1.2)</w:t>
            </w:r>
          </w:p>
        </w:tc>
        <w:tc>
          <w:tcPr>
            <w:tcW w:w="1163" w:type="pct"/>
            <w:tcBorders>
              <w:left w:val="single" w:sz="4" w:space="0" w:color="auto"/>
            </w:tcBorders>
          </w:tcPr>
          <w:p w14:paraId="10AAAB39" w14:textId="77777777" w:rsidR="007F5816" w:rsidRPr="006B343C" w:rsidRDefault="007F5816" w:rsidP="008E5D18">
            <w:pPr>
              <w:keepNext/>
              <w:keepLines/>
              <w:suppressLineNumbers/>
              <w:spacing w:after="20"/>
              <w:jc w:val="center"/>
              <w:textboxTightWrap w:val="allLines"/>
              <w:rPr>
                <w:rFonts w:ascii="Arial Narrow" w:hAnsi="Arial Narrow"/>
                <w:sz w:val="20"/>
                <w:lang w:eastAsia="en-GB"/>
              </w:rPr>
            </w:pPr>
            <w:r w:rsidRPr="006B343C">
              <w:rPr>
                <w:rFonts w:ascii="Arial Narrow" w:hAnsi="Arial Narrow"/>
                <w:sz w:val="20"/>
                <w:lang w:eastAsia="en-GB"/>
              </w:rPr>
              <w:t>-0.5 (-1.2, 0.2)</w:t>
            </w:r>
          </w:p>
        </w:tc>
      </w:tr>
      <w:tr w:rsidR="007F5816" w:rsidRPr="006B343C" w14:paraId="5FBC61B5" w14:textId="77777777">
        <w:tc>
          <w:tcPr>
            <w:tcW w:w="5000" w:type="pct"/>
            <w:gridSpan w:val="6"/>
          </w:tcPr>
          <w:p w14:paraId="440DC7F2" w14:textId="77777777" w:rsidR="007F5816" w:rsidRPr="006B343C" w:rsidRDefault="007F5816" w:rsidP="008E5D18">
            <w:pPr>
              <w:keepNext/>
              <w:keepLines/>
              <w:suppressLineNumbers/>
              <w:spacing w:after="20"/>
              <w:jc w:val="left"/>
              <w:textboxTightWrap w:val="allLines"/>
              <w:rPr>
                <w:rFonts w:ascii="Arial Narrow" w:hAnsi="Arial Narrow"/>
                <w:sz w:val="20"/>
                <w:lang w:eastAsia="en-GB"/>
              </w:rPr>
            </w:pPr>
            <w:r w:rsidRPr="006B343C">
              <w:rPr>
                <w:rFonts w:ascii="Arial Narrow" w:hAnsi="Arial Narrow"/>
                <w:b/>
                <w:sz w:val="20"/>
                <w:lang w:eastAsia="en-GB"/>
              </w:rPr>
              <w:t xml:space="preserve">Change from baseline in PDAI </w:t>
            </w:r>
            <w:r w:rsidRPr="006B343C">
              <w:rPr>
                <w:rFonts w:ascii="Arial Narrow" w:hAnsi="Arial Narrow"/>
                <w:b/>
                <w:bCs/>
                <w:sz w:val="20"/>
                <w:lang w:eastAsia="en-GB"/>
              </w:rPr>
              <w:t>endoscopic</w:t>
            </w:r>
            <w:r w:rsidRPr="006B343C">
              <w:rPr>
                <w:rFonts w:ascii="Arial Narrow" w:hAnsi="Arial Narrow"/>
                <w:b/>
                <w:sz w:val="20"/>
                <w:lang w:eastAsia="en-GB"/>
              </w:rPr>
              <w:t xml:space="preserve"> sub</w:t>
            </w:r>
            <w:r w:rsidRPr="006B343C">
              <w:rPr>
                <w:rFonts w:ascii="Arial Narrow" w:hAnsi="Arial Narrow"/>
                <w:b/>
                <w:bCs/>
                <w:sz w:val="20"/>
                <w:lang w:eastAsia="en-GB"/>
              </w:rPr>
              <w:t>-</w:t>
            </w:r>
            <w:r w:rsidRPr="006B343C">
              <w:rPr>
                <w:rFonts w:ascii="Arial Narrow" w:hAnsi="Arial Narrow"/>
                <w:b/>
                <w:sz w:val="20"/>
                <w:lang w:eastAsia="en-GB"/>
              </w:rPr>
              <w:t>score</w:t>
            </w:r>
          </w:p>
        </w:tc>
      </w:tr>
      <w:tr w:rsidR="007F5816" w:rsidRPr="006B343C" w14:paraId="7A581A79" w14:textId="77777777" w:rsidTr="002F1249">
        <w:tc>
          <w:tcPr>
            <w:tcW w:w="938" w:type="pct"/>
            <w:tcBorders>
              <w:right w:val="single" w:sz="4" w:space="0" w:color="auto"/>
            </w:tcBorders>
          </w:tcPr>
          <w:p w14:paraId="58FD51F1" w14:textId="77777777" w:rsidR="007F5816" w:rsidRPr="006B343C" w:rsidRDefault="007F5816" w:rsidP="008E5D18">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Week 14</w:t>
            </w:r>
          </w:p>
        </w:tc>
        <w:tc>
          <w:tcPr>
            <w:tcW w:w="1497" w:type="pct"/>
            <w:gridSpan w:val="2"/>
            <w:tcBorders>
              <w:left w:val="single" w:sz="4" w:space="0" w:color="auto"/>
            </w:tcBorders>
          </w:tcPr>
          <w:p w14:paraId="093D67B1"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Calibri" w:hAnsi="Arial Narrow" w:cstheme="majorBidi"/>
                <w:b/>
                <w:sz w:val="20"/>
              </w:rPr>
              <w:t>-1.2 (1.6)</w:t>
            </w:r>
          </w:p>
        </w:tc>
        <w:tc>
          <w:tcPr>
            <w:tcW w:w="1402" w:type="pct"/>
            <w:gridSpan w:val="2"/>
            <w:tcBorders>
              <w:left w:val="single" w:sz="4" w:space="0" w:color="auto"/>
            </w:tcBorders>
          </w:tcPr>
          <w:p w14:paraId="13BF9C50" w14:textId="77777777" w:rsidR="007F5816" w:rsidRPr="006B343C" w:rsidRDefault="007F5816" w:rsidP="008E5D18">
            <w:pPr>
              <w:keepNext/>
              <w:jc w:val="center"/>
              <w:rPr>
                <w:rFonts w:ascii="Arial Narrow" w:eastAsia="Calibri" w:hAnsi="Arial Narrow" w:cstheme="majorBidi"/>
                <w:b/>
                <w:sz w:val="20"/>
                <w:lang w:eastAsia="en-US"/>
              </w:rPr>
            </w:pPr>
            <w:r w:rsidRPr="006B343C">
              <w:rPr>
                <w:rFonts w:ascii="Arial Narrow" w:eastAsia="Calibri" w:hAnsi="Arial Narrow" w:cstheme="majorBidi"/>
                <w:b/>
                <w:sz w:val="20"/>
              </w:rPr>
              <w:t>-0.1 (1.2)</w:t>
            </w:r>
          </w:p>
        </w:tc>
        <w:tc>
          <w:tcPr>
            <w:tcW w:w="1163" w:type="pct"/>
            <w:tcBorders>
              <w:left w:val="single" w:sz="4" w:space="0" w:color="auto"/>
            </w:tcBorders>
          </w:tcPr>
          <w:p w14:paraId="38DC6694" w14:textId="77777777" w:rsidR="007F5816" w:rsidRPr="006B343C" w:rsidRDefault="007F5816" w:rsidP="008E5D18">
            <w:pPr>
              <w:keepNext/>
              <w:keepLines/>
              <w:suppressLineNumbers/>
              <w:spacing w:after="20"/>
              <w:jc w:val="center"/>
              <w:textboxTightWrap w:val="allLines"/>
              <w:rPr>
                <w:rFonts w:ascii="Arial Narrow" w:hAnsi="Arial Narrow"/>
                <w:b/>
                <w:sz w:val="20"/>
                <w:lang w:eastAsia="en-GB"/>
              </w:rPr>
            </w:pPr>
            <w:r w:rsidRPr="006B343C">
              <w:rPr>
                <w:rFonts w:ascii="Arial Narrow" w:hAnsi="Arial Narrow"/>
                <w:b/>
                <w:sz w:val="20"/>
                <w:lang w:eastAsia="en-GB"/>
              </w:rPr>
              <w:t>-1.1 (-1.8, -0.5)</w:t>
            </w:r>
          </w:p>
        </w:tc>
      </w:tr>
      <w:tr w:rsidR="007F5816" w:rsidRPr="006B343C" w14:paraId="406316B3" w14:textId="77777777" w:rsidTr="002F1249">
        <w:tc>
          <w:tcPr>
            <w:tcW w:w="938" w:type="pct"/>
            <w:tcBorders>
              <w:right w:val="single" w:sz="4" w:space="0" w:color="auto"/>
            </w:tcBorders>
          </w:tcPr>
          <w:p w14:paraId="20FC8494"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34</w:t>
            </w:r>
          </w:p>
        </w:tc>
        <w:tc>
          <w:tcPr>
            <w:tcW w:w="1497" w:type="pct"/>
            <w:gridSpan w:val="2"/>
            <w:tcBorders>
              <w:left w:val="single" w:sz="4" w:space="0" w:color="auto"/>
            </w:tcBorders>
          </w:tcPr>
          <w:p w14:paraId="1276D58B"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rPr>
              <w:t>-1.7 (2.1)</w:t>
            </w:r>
          </w:p>
        </w:tc>
        <w:tc>
          <w:tcPr>
            <w:tcW w:w="1402" w:type="pct"/>
            <w:gridSpan w:val="2"/>
            <w:tcBorders>
              <w:left w:val="single" w:sz="4" w:space="0" w:color="auto"/>
            </w:tcBorders>
          </w:tcPr>
          <w:p w14:paraId="73EAFCAD"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rPr>
              <w:t>-0.9 (1.9)</w:t>
            </w:r>
          </w:p>
        </w:tc>
        <w:tc>
          <w:tcPr>
            <w:tcW w:w="1163" w:type="pct"/>
            <w:tcBorders>
              <w:left w:val="single" w:sz="4" w:space="0" w:color="auto"/>
            </w:tcBorders>
          </w:tcPr>
          <w:p w14:paraId="18EC681E" w14:textId="77777777" w:rsidR="007F5816" w:rsidRPr="006B343C" w:rsidRDefault="007F5816" w:rsidP="008E5D18">
            <w:pPr>
              <w:keepNext/>
              <w:keepLines/>
              <w:suppressLineNumbers/>
              <w:spacing w:after="20"/>
              <w:jc w:val="center"/>
              <w:textboxTightWrap w:val="allLines"/>
              <w:rPr>
                <w:rFonts w:ascii="Arial Narrow" w:hAnsi="Arial Narrow"/>
                <w:sz w:val="20"/>
                <w:lang w:eastAsia="en-GB"/>
              </w:rPr>
            </w:pPr>
            <w:r w:rsidRPr="006B343C">
              <w:rPr>
                <w:rFonts w:ascii="Arial Narrow" w:hAnsi="Arial Narrow"/>
                <w:sz w:val="20"/>
                <w:lang w:eastAsia="en-GB"/>
              </w:rPr>
              <w:t>-0.8 (-1.8, 0.2)</w:t>
            </w:r>
          </w:p>
        </w:tc>
      </w:tr>
      <w:tr w:rsidR="007F5816" w:rsidRPr="006B343C" w14:paraId="77FC5CEB" w14:textId="77777777">
        <w:tc>
          <w:tcPr>
            <w:tcW w:w="5000" w:type="pct"/>
            <w:gridSpan w:val="6"/>
          </w:tcPr>
          <w:p w14:paraId="346A95AA" w14:textId="77777777" w:rsidR="007F5816" w:rsidRPr="006B343C" w:rsidRDefault="007F5816" w:rsidP="008E5D18">
            <w:pPr>
              <w:keepNext/>
              <w:keepLines/>
              <w:suppressLineNumbers/>
              <w:spacing w:after="20"/>
              <w:jc w:val="left"/>
              <w:textboxTightWrap w:val="allLines"/>
              <w:rPr>
                <w:rFonts w:ascii="Arial Narrow" w:hAnsi="Arial Narrow"/>
                <w:sz w:val="20"/>
                <w:lang w:eastAsia="en-GB"/>
              </w:rPr>
            </w:pPr>
            <w:r w:rsidRPr="006B343C">
              <w:rPr>
                <w:rFonts w:ascii="Arial Narrow" w:hAnsi="Arial Narrow"/>
                <w:b/>
                <w:sz w:val="20"/>
                <w:lang w:eastAsia="en-GB"/>
              </w:rPr>
              <w:t xml:space="preserve">Change from baseline in PDAI </w:t>
            </w:r>
            <w:r w:rsidRPr="006B343C">
              <w:rPr>
                <w:rFonts w:ascii="Arial Narrow" w:hAnsi="Arial Narrow"/>
                <w:b/>
                <w:bCs/>
                <w:sz w:val="20"/>
                <w:lang w:eastAsia="en-GB"/>
              </w:rPr>
              <w:t>histologic</w:t>
            </w:r>
            <w:r w:rsidRPr="006B343C">
              <w:rPr>
                <w:rFonts w:ascii="Arial Narrow" w:hAnsi="Arial Narrow"/>
                <w:b/>
                <w:sz w:val="20"/>
                <w:lang w:eastAsia="en-GB"/>
              </w:rPr>
              <w:t xml:space="preserve"> sub</w:t>
            </w:r>
            <w:r w:rsidRPr="006B343C">
              <w:rPr>
                <w:rFonts w:ascii="Arial Narrow" w:hAnsi="Arial Narrow"/>
                <w:b/>
                <w:bCs/>
                <w:sz w:val="20"/>
                <w:lang w:eastAsia="en-GB"/>
              </w:rPr>
              <w:t>-</w:t>
            </w:r>
            <w:r w:rsidRPr="006B343C">
              <w:rPr>
                <w:rFonts w:ascii="Arial Narrow" w:hAnsi="Arial Narrow"/>
                <w:b/>
                <w:sz w:val="20"/>
                <w:lang w:eastAsia="en-GB"/>
              </w:rPr>
              <w:t>score</w:t>
            </w:r>
          </w:p>
        </w:tc>
      </w:tr>
      <w:tr w:rsidR="007F5816" w:rsidRPr="006B343C" w14:paraId="19104C9F" w14:textId="77777777" w:rsidTr="002F1249">
        <w:tc>
          <w:tcPr>
            <w:tcW w:w="938" w:type="pct"/>
            <w:tcBorders>
              <w:right w:val="single" w:sz="4" w:space="0" w:color="auto"/>
            </w:tcBorders>
          </w:tcPr>
          <w:p w14:paraId="27858C1F"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14</w:t>
            </w:r>
          </w:p>
        </w:tc>
        <w:tc>
          <w:tcPr>
            <w:tcW w:w="1497" w:type="pct"/>
            <w:gridSpan w:val="2"/>
            <w:tcBorders>
              <w:left w:val="single" w:sz="4" w:space="0" w:color="auto"/>
            </w:tcBorders>
          </w:tcPr>
          <w:p w14:paraId="495D58B4"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lang w:eastAsia="en-US"/>
              </w:rPr>
              <w:t>-0.5 (2.1)</w:t>
            </w:r>
          </w:p>
        </w:tc>
        <w:tc>
          <w:tcPr>
            <w:tcW w:w="1402" w:type="pct"/>
            <w:gridSpan w:val="2"/>
            <w:tcBorders>
              <w:left w:val="single" w:sz="4" w:space="0" w:color="auto"/>
            </w:tcBorders>
          </w:tcPr>
          <w:p w14:paraId="1D20CA42"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rPr>
              <w:t>-0.1 (1.5)</w:t>
            </w:r>
          </w:p>
        </w:tc>
        <w:tc>
          <w:tcPr>
            <w:tcW w:w="1163" w:type="pct"/>
            <w:tcBorders>
              <w:left w:val="single" w:sz="4" w:space="0" w:color="auto"/>
            </w:tcBorders>
          </w:tcPr>
          <w:p w14:paraId="0DFC09CA" w14:textId="77777777" w:rsidR="007F5816" w:rsidRPr="006B343C" w:rsidRDefault="007F5816" w:rsidP="008E5D18">
            <w:pPr>
              <w:keepNext/>
              <w:keepLines/>
              <w:suppressLineNumbers/>
              <w:spacing w:after="20"/>
              <w:jc w:val="center"/>
              <w:textboxTightWrap w:val="allLines"/>
              <w:rPr>
                <w:rFonts w:ascii="Arial Narrow" w:hAnsi="Arial Narrow"/>
                <w:sz w:val="20"/>
                <w:lang w:eastAsia="en-GB"/>
              </w:rPr>
            </w:pPr>
            <w:r w:rsidRPr="006B343C">
              <w:rPr>
                <w:rFonts w:ascii="Arial Narrow" w:hAnsi="Arial Narrow"/>
                <w:sz w:val="20"/>
                <w:lang w:eastAsia="en-GB"/>
              </w:rPr>
              <w:t>-0.4 (-1.1, 0.4)</w:t>
            </w:r>
          </w:p>
        </w:tc>
      </w:tr>
      <w:tr w:rsidR="007F5816" w:rsidRPr="006B343C" w14:paraId="1D0C463F" w14:textId="77777777" w:rsidTr="002F1249">
        <w:tc>
          <w:tcPr>
            <w:tcW w:w="938" w:type="pct"/>
            <w:tcBorders>
              <w:right w:val="single" w:sz="4" w:space="0" w:color="auto"/>
            </w:tcBorders>
          </w:tcPr>
          <w:p w14:paraId="2158391E"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34</w:t>
            </w:r>
          </w:p>
        </w:tc>
        <w:tc>
          <w:tcPr>
            <w:tcW w:w="1497" w:type="pct"/>
            <w:gridSpan w:val="2"/>
            <w:tcBorders>
              <w:left w:val="single" w:sz="4" w:space="0" w:color="auto"/>
            </w:tcBorders>
          </w:tcPr>
          <w:p w14:paraId="50940711"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lang w:eastAsia="en-US"/>
              </w:rPr>
              <w:t>-0.4 (1.9)</w:t>
            </w:r>
          </w:p>
        </w:tc>
        <w:tc>
          <w:tcPr>
            <w:tcW w:w="1402" w:type="pct"/>
            <w:gridSpan w:val="2"/>
            <w:tcBorders>
              <w:left w:val="single" w:sz="4" w:space="0" w:color="auto"/>
            </w:tcBorders>
          </w:tcPr>
          <w:p w14:paraId="59E008D7"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Calibri" w:hAnsi="Arial Narrow" w:cstheme="majorBidi"/>
                <w:bCs/>
                <w:sz w:val="20"/>
              </w:rPr>
              <w:t>-0.1 (1.6)</w:t>
            </w:r>
          </w:p>
        </w:tc>
        <w:tc>
          <w:tcPr>
            <w:tcW w:w="1163" w:type="pct"/>
            <w:tcBorders>
              <w:left w:val="single" w:sz="4" w:space="0" w:color="auto"/>
            </w:tcBorders>
          </w:tcPr>
          <w:p w14:paraId="02C00F01" w14:textId="77777777" w:rsidR="007F5816" w:rsidRPr="006B343C" w:rsidRDefault="007F5816" w:rsidP="008E5D18">
            <w:pPr>
              <w:keepNext/>
              <w:keepLines/>
              <w:suppressLineNumbers/>
              <w:spacing w:after="20"/>
              <w:jc w:val="center"/>
              <w:textboxTightWrap w:val="allLines"/>
              <w:rPr>
                <w:rFonts w:ascii="Arial Narrow" w:hAnsi="Arial Narrow"/>
                <w:sz w:val="20"/>
                <w:lang w:eastAsia="en-GB"/>
              </w:rPr>
            </w:pPr>
            <w:r w:rsidRPr="006B343C">
              <w:rPr>
                <w:rFonts w:ascii="Arial Narrow" w:hAnsi="Arial Narrow"/>
                <w:sz w:val="20"/>
                <w:lang w:eastAsia="en-GB"/>
              </w:rPr>
              <w:t>-0.3 (-1.2, 0.6)</w:t>
            </w:r>
          </w:p>
        </w:tc>
      </w:tr>
      <w:tr w:rsidR="007F5816" w:rsidRPr="006B343C" w14:paraId="586C4D4E" w14:textId="77777777">
        <w:tc>
          <w:tcPr>
            <w:tcW w:w="5000" w:type="pct"/>
            <w:gridSpan w:val="6"/>
          </w:tcPr>
          <w:p w14:paraId="7AEFB128" w14:textId="77777777" w:rsidR="007F5816" w:rsidRPr="006B343C" w:rsidRDefault="007F5816" w:rsidP="008E5D18">
            <w:pPr>
              <w:keepNext/>
              <w:keepLines/>
              <w:suppressLineNumbers/>
              <w:spacing w:after="20"/>
              <w:jc w:val="left"/>
              <w:textboxTightWrap w:val="allLines"/>
              <w:rPr>
                <w:rFonts w:ascii="Arial Narrow" w:eastAsia="Calibri" w:hAnsi="Arial Narrow"/>
                <w:b/>
                <w:bCs/>
                <w:sz w:val="20"/>
                <w:lang w:eastAsia="en-US"/>
              </w:rPr>
            </w:pPr>
            <w:r w:rsidRPr="006B343C">
              <w:rPr>
                <w:rFonts w:ascii="Arial Narrow" w:hAnsi="Arial Narrow"/>
                <w:b/>
                <w:bCs/>
                <w:sz w:val="20"/>
                <w:lang w:eastAsia="en-GB"/>
              </w:rPr>
              <w:t>Change from baseline in IBDQ score</w:t>
            </w:r>
          </w:p>
        </w:tc>
      </w:tr>
      <w:tr w:rsidR="007F5816" w:rsidRPr="006B343C" w14:paraId="676A7EF5" w14:textId="77777777" w:rsidTr="002F1249">
        <w:tc>
          <w:tcPr>
            <w:tcW w:w="938" w:type="pct"/>
            <w:tcBorders>
              <w:right w:val="single" w:sz="4" w:space="0" w:color="auto"/>
            </w:tcBorders>
          </w:tcPr>
          <w:p w14:paraId="4DDE9A41"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14</w:t>
            </w:r>
          </w:p>
        </w:tc>
        <w:tc>
          <w:tcPr>
            <w:tcW w:w="1497" w:type="pct"/>
            <w:gridSpan w:val="2"/>
            <w:tcBorders>
              <w:left w:val="single" w:sz="4" w:space="0" w:color="auto"/>
            </w:tcBorders>
          </w:tcPr>
          <w:p w14:paraId="6FD07F2F"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21.1 (29.0)</w:t>
            </w:r>
          </w:p>
        </w:tc>
        <w:tc>
          <w:tcPr>
            <w:tcW w:w="1402" w:type="pct"/>
            <w:gridSpan w:val="2"/>
            <w:tcBorders>
              <w:left w:val="single" w:sz="4" w:space="0" w:color="auto"/>
            </w:tcBorders>
          </w:tcPr>
          <w:p w14:paraId="2CAC2A88"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16.7 (27.0)</w:t>
            </w:r>
          </w:p>
        </w:tc>
        <w:tc>
          <w:tcPr>
            <w:tcW w:w="1163" w:type="pct"/>
            <w:tcBorders>
              <w:left w:val="single" w:sz="4" w:space="0" w:color="auto"/>
            </w:tcBorders>
          </w:tcPr>
          <w:p w14:paraId="63E87201" w14:textId="77777777" w:rsidR="007F5816" w:rsidRPr="006B343C" w:rsidRDefault="007F5816" w:rsidP="008E5D18">
            <w:pPr>
              <w:keepNext/>
              <w:keepLines/>
              <w:suppressLineNumbers/>
              <w:spacing w:after="20"/>
              <w:jc w:val="center"/>
              <w:textboxTightWrap w:val="allLines"/>
              <w:rPr>
                <w:rFonts w:ascii="Arial Narrow" w:hAnsi="Arial Narrow"/>
                <w:sz w:val="20"/>
                <w:lang w:eastAsia="en-GB"/>
              </w:rPr>
            </w:pPr>
            <w:r w:rsidRPr="006B343C">
              <w:rPr>
                <w:rFonts w:ascii="Arial Narrow" w:hAnsi="Arial Narrow"/>
                <w:sz w:val="20"/>
                <w:lang w:eastAsia="en-GB"/>
              </w:rPr>
              <w:t>4.4 (-7.4, 16.2)</w:t>
            </w:r>
          </w:p>
        </w:tc>
      </w:tr>
      <w:tr w:rsidR="007F5816" w:rsidRPr="006B343C" w14:paraId="5769B002" w14:textId="77777777" w:rsidTr="002F1249">
        <w:tc>
          <w:tcPr>
            <w:tcW w:w="938" w:type="pct"/>
            <w:tcBorders>
              <w:right w:val="single" w:sz="4" w:space="0" w:color="auto"/>
            </w:tcBorders>
          </w:tcPr>
          <w:p w14:paraId="7B955ABC" w14:textId="77777777" w:rsidR="007F5816" w:rsidRPr="006B343C" w:rsidRDefault="007F5816" w:rsidP="008E5D18">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34</w:t>
            </w:r>
          </w:p>
        </w:tc>
        <w:tc>
          <w:tcPr>
            <w:tcW w:w="1497" w:type="pct"/>
            <w:gridSpan w:val="2"/>
            <w:tcBorders>
              <w:left w:val="single" w:sz="4" w:space="0" w:color="auto"/>
            </w:tcBorders>
          </w:tcPr>
          <w:p w14:paraId="2BC6E76B"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33.1 (34.4)</w:t>
            </w:r>
          </w:p>
        </w:tc>
        <w:tc>
          <w:tcPr>
            <w:tcW w:w="1402" w:type="pct"/>
            <w:gridSpan w:val="2"/>
            <w:tcBorders>
              <w:left w:val="single" w:sz="4" w:space="0" w:color="auto"/>
            </w:tcBorders>
          </w:tcPr>
          <w:p w14:paraId="08A8B6F0"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23.1 (21.6)</w:t>
            </w:r>
          </w:p>
        </w:tc>
        <w:tc>
          <w:tcPr>
            <w:tcW w:w="1163" w:type="pct"/>
            <w:tcBorders>
              <w:left w:val="single" w:sz="4" w:space="0" w:color="auto"/>
            </w:tcBorders>
          </w:tcPr>
          <w:p w14:paraId="4B7EB81B" w14:textId="77777777" w:rsidR="007F5816" w:rsidRPr="006B343C" w:rsidRDefault="007F5816" w:rsidP="008E5D18">
            <w:pPr>
              <w:keepNext/>
              <w:keepLines/>
              <w:suppressLineNumbers/>
              <w:spacing w:after="20"/>
              <w:jc w:val="center"/>
              <w:textboxTightWrap w:val="allLines"/>
              <w:rPr>
                <w:rFonts w:ascii="Arial Narrow" w:hAnsi="Arial Narrow"/>
                <w:sz w:val="20"/>
                <w:lang w:eastAsia="en-GB"/>
              </w:rPr>
            </w:pPr>
            <w:r w:rsidRPr="006B343C">
              <w:rPr>
                <w:rFonts w:ascii="Arial Narrow" w:hAnsi="Arial Narrow"/>
                <w:sz w:val="20"/>
                <w:lang w:eastAsia="en-GB"/>
              </w:rPr>
              <w:t>9.9 (-4.8, 24.6)</w:t>
            </w:r>
          </w:p>
        </w:tc>
      </w:tr>
      <w:tr w:rsidR="007F5816" w:rsidRPr="006B343C" w14:paraId="5FA8BA1C" w14:textId="77777777">
        <w:tc>
          <w:tcPr>
            <w:tcW w:w="5000" w:type="pct"/>
            <w:gridSpan w:val="6"/>
          </w:tcPr>
          <w:p w14:paraId="0C923284" w14:textId="77777777" w:rsidR="007F5816" w:rsidRPr="006B343C" w:rsidRDefault="007F5816" w:rsidP="008E5D18">
            <w:pPr>
              <w:keepNext/>
              <w:keepLines/>
              <w:suppressLineNumbers/>
              <w:spacing w:after="20"/>
              <w:jc w:val="left"/>
              <w:textboxTightWrap w:val="allLines"/>
              <w:rPr>
                <w:rFonts w:ascii="Arial Narrow" w:eastAsia="Calibri" w:hAnsi="Arial Narrow"/>
                <w:b/>
                <w:bCs/>
                <w:sz w:val="20"/>
                <w:lang w:eastAsia="en-US"/>
              </w:rPr>
            </w:pPr>
            <w:r w:rsidRPr="006B343C">
              <w:rPr>
                <w:rFonts w:ascii="Arial Narrow" w:hAnsi="Arial Narrow"/>
                <w:b/>
                <w:bCs/>
                <w:sz w:val="20"/>
                <w:lang w:eastAsia="en-GB"/>
              </w:rPr>
              <w:t>Change in CGQL Fazio score</w:t>
            </w:r>
          </w:p>
        </w:tc>
      </w:tr>
      <w:tr w:rsidR="007F5816" w:rsidRPr="006B343C" w14:paraId="32FE0605" w14:textId="77777777" w:rsidTr="002F1249">
        <w:tc>
          <w:tcPr>
            <w:tcW w:w="938" w:type="pct"/>
            <w:tcBorders>
              <w:right w:val="single" w:sz="4" w:space="0" w:color="auto"/>
            </w:tcBorders>
            <w:vAlign w:val="center"/>
          </w:tcPr>
          <w:p w14:paraId="66F89AF0" w14:textId="77777777" w:rsidR="007F5816" w:rsidRPr="006B343C" w:rsidRDefault="007F5816" w:rsidP="008E5D18">
            <w:pPr>
              <w:keepNext/>
              <w:jc w:val="left"/>
              <w:rPr>
                <w:rFonts w:ascii="Arial Narrow" w:eastAsiaTheme="majorEastAsia" w:hAnsi="Arial Narrow" w:cstheme="majorBidi"/>
                <w:bCs/>
                <w:sz w:val="20"/>
                <w:vertAlign w:val="superscript"/>
              </w:rPr>
            </w:pPr>
            <w:r w:rsidRPr="006B343C">
              <w:rPr>
                <w:rFonts w:ascii="Arial Narrow" w:eastAsiaTheme="majorEastAsia" w:hAnsi="Arial Narrow" w:cstheme="majorBidi"/>
                <w:bCs/>
                <w:sz w:val="20"/>
              </w:rPr>
              <w:t>Week 14</w:t>
            </w:r>
          </w:p>
        </w:tc>
        <w:tc>
          <w:tcPr>
            <w:tcW w:w="1497" w:type="pct"/>
            <w:gridSpan w:val="2"/>
            <w:tcBorders>
              <w:left w:val="single" w:sz="4" w:space="0" w:color="auto"/>
            </w:tcBorders>
            <w:vAlign w:val="center"/>
          </w:tcPr>
          <w:p w14:paraId="6A5CD010"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0.11 (0.17)</w:t>
            </w:r>
          </w:p>
        </w:tc>
        <w:tc>
          <w:tcPr>
            <w:tcW w:w="1402" w:type="pct"/>
            <w:gridSpan w:val="2"/>
            <w:tcBorders>
              <w:left w:val="single" w:sz="4" w:space="0" w:color="auto"/>
            </w:tcBorders>
            <w:vAlign w:val="center"/>
          </w:tcPr>
          <w:p w14:paraId="05A6DEB7"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0.07 (0.16)</w:t>
            </w:r>
          </w:p>
        </w:tc>
        <w:tc>
          <w:tcPr>
            <w:tcW w:w="1163" w:type="pct"/>
            <w:tcBorders>
              <w:left w:val="single" w:sz="4" w:space="0" w:color="auto"/>
            </w:tcBorders>
          </w:tcPr>
          <w:p w14:paraId="6DBAD158" w14:textId="77777777" w:rsidR="007F5816" w:rsidRPr="006B343C" w:rsidRDefault="007F5816" w:rsidP="008E5D18">
            <w:pPr>
              <w:keepNext/>
              <w:keepLines/>
              <w:suppressLineNumbers/>
              <w:spacing w:after="20"/>
              <w:jc w:val="center"/>
              <w:textboxTightWrap w:val="allLines"/>
              <w:rPr>
                <w:rFonts w:ascii="Arial Narrow" w:hAnsi="Arial Narrow"/>
                <w:sz w:val="20"/>
                <w:lang w:eastAsia="en-GB"/>
              </w:rPr>
            </w:pPr>
            <w:r w:rsidRPr="006B343C">
              <w:rPr>
                <w:rFonts w:ascii="Arial Narrow" w:hAnsi="Arial Narrow"/>
                <w:sz w:val="20"/>
                <w:lang w:eastAsia="en-GB"/>
              </w:rPr>
              <w:t>0.04 (-0.03, 0.11)</w:t>
            </w:r>
          </w:p>
        </w:tc>
      </w:tr>
      <w:tr w:rsidR="007F5816" w:rsidRPr="006B343C" w14:paraId="59C71342" w14:textId="77777777" w:rsidTr="002F1249">
        <w:tc>
          <w:tcPr>
            <w:tcW w:w="938" w:type="pct"/>
            <w:tcBorders>
              <w:right w:val="single" w:sz="4" w:space="0" w:color="auto"/>
            </w:tcBorders>
            <w:vAlign w:val="center"/>
          </w:tcPr>
          <w:p w14:paraId="5639BAC4" w14:textId="77777777" w:rsidR="007F5816" w:rsidRPr="006B343C" w:rsidRDefault="007F5816" w:rsidP="008E5D18">
            <w:pPr>
              <w:keepNext/>
              <w:jc w:val="left"/>
              <w:rPr>
                <w:rFonts w:ascii="Arial Narrow" w:eastAsiaTheme="majorEastAsia" w:hAnsi="Arial Narrow" w:cstheme="majorBidi"/>
                <w:bCs/>
                <w:sz w:val="20"/>
                <w:vertAlign w:val="superscript"/>
              </w:rPr>
            </w:pPr>
            <w:r w:rsidRPr="006B343C">
              <w:rPr>
                <w:rFonts w:ascii="Arial Narrow" w:eastAsiaTheme="majorEastAsia" w:hAnsi="Arial Narrow" w:cstheme="majorBidi"/>
                <w:bCs/>
                <w:sz w:val="20"/>
              </w:rPr>
              <w:t>Week 34</w:t>
            </w:r>
          </w:p>
        </w:tc>
        <w:tc>
          <w:tcPr>
            <w:tcW w:w="1497" w:type="pct"/>
            <w:gridSpan w:val="2"/>
            <w:tcBorders>
              <w:left w:val="single" w:sz="4" w:space="0" w:color="auto"/>
            </w:tcBorders>
            <w:vAlign w:val="center"/>
          </w:tcPr>
          <w:p w14:paraId="7FBEDFF2"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0.13 (0.18)</w:t>
            </w:r>
          </w:p>
        </w:tc>
        <w:tc>
          <w:tcPr>
            <w:tcW w:w="1402" w:type="pct"/>
            <w:gridSpan w:val="2"/>
            <w:tcBorders>
              <w:left w:val="single" w:sz="4" w:space="0" w:color="auto"/>
            </w:tcBorders>
            <w:vAlign w:val="center"/>
          </w:tcPr>
          <w:p w14:paraId="58A23296" w14:textId="77777777" w:rsidR="007F5816" w:rsidRPr="006B343C" w:rsidRDefault="007F5816" w:rsidP="008E5D18">
            <w:pPr>
              <w:keepNext/>
              <w:jc w:val="center"/>
              <w:rPr>
                <w:rFonts w:ascii="Arial Narrow" w:eastAsia="Calibri" w:hAnsi="Arial Narrow" w:cstheme="majorBidi"/>
                <w:bCs/>
                <w:sz w:val="20"/>
                <w:lang w:eastAsia="en-US"/>
              </w:rPr>
            </w:pPr>
            <w:r w:rsidRPr="006B343C">
              <w:rPr>
                <w:rFonts w:ascii="Arial Narrow" w:eastAsiaTheme="majorEastAsia" w:hAnsi="Arial Narrow" w:cstheme="majorBidi"/>
                <w:bCs/>
                <w:sz w:val="20"/>
              </w:rPr>
              <w:t>0.10 (0.14)</w:t>
            </w:r>
          </w:p>
        </w:tc>
        <w:tc>
          <w:tcPr>
            <w:tcW w:w="1163" w:type="pct"/>
            <w:tcBorders>
              <w:left w:val="single" w:sz="4" w:space="0" w:color="auto"/>
            </w:tcBorders>
          </w:tcPr>
          <w:p w14:paraId="617B7F14" w14:textId="77777777" w:rsidR="007F5816" w:rsidRPr="006B343C" w:rsidRDefault="007F5816" w:rsidP="008E5D18">
            <w:pPr>
              <w:keepNext/>
              <w:keepLines/>
              <w:suppressLineNumbers/>
              <w:spacing w:after="20"/>
              <w:jc w:val="center"/>
              <w:textboxTightWrap w:val="allLines"/>
              <w:rPr>
                <w:rFonts w:ascii="Arial Narrow" w:eastAsia="Calibri" w:hAnsi="Arial Narrow"/>
                <w:sz w:val="20"/>
                <w:lang w:eastAsia="en-US"/>
              </w:rPr>
            </w:pPr>
            <w:r w:rsidRPr="006B343C">
              <w:rPr>
                <w:rFonts w:ascii="Arial Narrow" w:eastAsia="Calibri" w:hAnsi="Arial Narrow"/>
                <w:sz w:val="20"/>
                <w:lang w:eastAsia="en-US"/>
              </w:rPr>
              <w:t>0.03 (-0.05, 0.11)</w:t>
            </w:r>
          </w:p>
        </w:tc>
      </w:tr>
    </w:tbl>
    <w:p w14:paraId="453AA185" w14:textId="7A6281DB" w:rsidR="007F5816" w:rsidRPr="006B343C" w:rsidRDefault="007F5816" w:rsidP="008E5D18">
      <w:pPr>
        <w:keepNext/>
        <w:spacing w:after="120"/>
        <w:contextualSpacing/>
        <w:rPr>
          <w:rFonts w:ascii="Arial Narrow" w:hAnsi="Arial Narrow"/>
          <w:snapToGrid w:val="0"/>
          <w:sz w:val="18"/>
          <w:szCs w:val="22"/>
          <w:lang w:val="en-US"/>
        </w:rPr>
      </w:pPr>
      <w:r w:rsidRPr="006B343C">
        <w:rPr>
          <w:rFonts w:ascii="Arial Narrow" w:hAnsi="Arial Narrow"/>
          <w:snapToGrid w:val="0"/>
          <w:sz w:val="18"/>
          <w:szCs w:val="22"/>
          <w:lang w:val="en-US"/>
        </w:rPr>
        <w:t>Source: Table 31, p57; Table 32; Table 33, p58; Table 34, p59; Table 35, p59; Table 36, p61, Table 37, p62; Table 38, p62; Table 39, p63 of the submission and calculated during evaluation.</w:t>
      </w:r>
    </w:p>
    <w:p w14:paraId="75533D49" w14:textId="61E5A82A" w:rsidR="007F5816" w:rsidRPr="006B343C" w:rsidRDefault="007F5816" w:rsidP="008E5D18">
      <w:pPr>
        <w:keepNext/>
        <w:spacing w:after="120"/>
        <w:contextualSpacing/>
        <w:rPr>
          <w:rFonts w:ascii="Arial Narrow" w:hAnsi="Arial Narrow"/>
          <w:snapToGrid w:val="0"/>
          <w:sz w:val="18"/>
          <w:szCs w:val="22"/>
          <w:lang w:val="en-US"/>
        </w:rPr>
      </w:pPr>
      <w:r w:rsidRPr="006B343C">
        <w:rPr>
          <w:rFonts w:ascii="Arial Narrow" w:hAnsi="Arial Narrow"/>
          <w:snapToGrid w:val="0"/>
          <w:sz w:val="18"/>
          <w:szCs w:val="22"/>
          <w:lang w:val="en-US"/>
        </w:rPr>
        <w:t xml:space="preserve">Abbreviations: CGQL, Cleveland Global Quality of Life; CI, confidence interval; </w:t>
      </w:r>
      <w:r w:rsidR="009D1773" w:rsidRPr="006B343C">
        <w:rPr>
          <w:rFonts w:ascii="Arial Narrow" w:hAnsi="Arial Narrow"/>
          <w:snapToGrid w:val="0"/>
          <w:sz w:val="18"/>
          <w:szCs w:val="22"/>
          <w:lang w:val="en-US"/>
        </w:rPr>
        <w:t xml:space="preserve">FAS, full analysis set; </w:t>
      </w:r>
      <w:r w:rsidRPr="006B343C">
        <w:rPr>
          <w:rFonts w:ascii="Arial Narrow" w:hAnsi="Arial Narrow"/>
          <w:snapToGrid w:val="0"/>
          <w:sz w:val="18"/>
          <w:szCs w:val="22"/>
          <w:lang w:val="en-US"/>
        </w:rPr>
        <w:t xml:space="preserve">IBDQ, Inflammatory Bowel Disease Questionnaire; mPDAI, modified Pouchitis Disease Activity Index; PBO, placebo; PDAI, Pouchitis Disease Activity Index; RR, risk ratio; SD, standard deviation; SOC, standard-of-care; VEDO, vedolizumab. </w:t>
      </w:r>
    </w:p>
    <w:p w14:paraId="143AF2D7" w14:textId="4CA71E4D" w:rsidR="007F5816" w:rsidRPr="006B343C" w:rsidRDefault="007F5816" w:rsidP="008E5D18">
      <w:pPr>
        <w:keepNext/>
        <w:spacing w:after="120"/>
        <w:contextualSpacing/>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a</w:t>
      </w:r>
      <w:r w:rsidRPr="006B343C">
        <w:rPr>
          <w:rFonts w:ascii="Arial Narrow" w:hAnsi="Arial Narrow"/>
          <w:snapToGrid w:val="0"/>
          <w:sz w:val="18"/>
          <w:szCs w:val="22"/>
          <w:lang w:val="en-US"/>
        </w:rPr>
        <w:t xml:space="preserve"> Outcome used in the economic model to calculate transition probabilities </w:t>
      </w:r>
    </w:p>
    <w:p w14:paraId="12CBA5B2" w14:textId="7EB10CE1" w:rsidR="005162D5" w:rsidRPr="006B343C" w:rsidRDefault="007F5816" w:rsidP="00617371">
      <w:pPr>
        <w:spacing w:after="240"/>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b</w:t>
      </w:r>
      <w:r w:rsidRPr="006B343C">
        <w:rPr>
          <w:rFonts w:ascii="Arial Narrow" w:hAnsi="Arial Narrow"/>
          <w:snapToGrid w:val="0"/>
          <w:sz w:val="18"/>
          <w:szCs w:val="22"/>
          <w:lang w:val="en-US"/>
        </w:rPr>
        <w:t xml:space="preserve"> Additional </w:t>
      </w:r>
      <w:r w:rsidR="008F15B7" w:rsidRPr="006B343C">
        <w:rPr>
          <w:rFonts w:ascii="Arial Narrow" w:hAnsi="Arial Narrow"/>
          <w:snapToGrid w:val="0"/>
          <w:sz w:val="18"/>
          <w:szCs w:val="22"/>
          <w:lang w:val="en-US"/>
        </w:rPr>
        <w:t xml:space="preserve">exploratory analysis showing the number of patients who achieved PDAI-defined remission measured at both Weeks 14 and 34 </w:t>
      </w:r>
    </w:p>
    <w:p w14:paraId="261BFF56" w14:textId="043B6A50" w:rsidR="00F45A79" w:rsidRPr="006B343C" w:rsidRDefault="007F5816">
      <w:pPr>
        <w:numPr>
          <w:ilvl w:val="1"/>
          <w:numId w:val="1"/>
        </w:numPr>
        <w:spacing w:after="120"/>
        <w:rPr>
          <w:rFonts w:asciiTheme="minorHAnsi" w:hAnsiTheme="minorHAnsi"/>
          <w:snapToGrid w:val="0"/>
          <w:color w:val="000000"/>
          <w:shd w:val="clear" w:color="auto" w:fill="FFFFFF"/>
        </w:rPr>
      </w:pPr>
      <w:r w:rsidRPr="006B343C">
        <w:rPr>
          <w:rFonts w:asciiTheme="minorHAnsi" w:hAnsiTheme="minorHAnsi"/>
          <w:snapToGrid w:val="0"/>
          <w:color w:val="000000"/>
          <w:shd w:val="clear" w:color="auto" w:fill="FFFFFF"/>
        </w:rPr>
        <w:lastRenderedPageBreak/>
        <w:t xml:space="preserve">There were </w:t>
      </w:r>
      <w:r w:rsidR="00FE1600" w:rsidRPr="006B343C">
        <w:rPr>
          <w:rFonts w:asciiTheme="minorHAnsi" w:hAnsiTheme="minorHAnsi"/>
          <w:snapToGrid w:val="0"/>
          <w:color w:val="000000"/>
          <w:shd w:val="clear" w:color="auto" w:fill="FFFFFF"/>
        </w:rPr>
        <w:t>higher proportions of patients</w:t>
      </w:r>
      <w:r w:rsidRPr="006B343C">
        <w:rPr>
          <w:rFonts w:asciiTheme="minorHAnsi" w:hAnsiTheme="minorHAnsi"/>
          <w:snapToGrid w:val="0"/>
          <w:color w:val="000000"/>
          <w:shd w:val="clear" w:color="auto" w:fill="FFFFFF"/>
        </w:rPr>
        <w:t xml:space="preserve"> for</w:t>
      </w:r>
      <w:r w:rsidR="00523A19" w:rsidRPr="006B343C">
        <w:rPr>
          <w:rFonts w:asciiTheme="minorHAnsi" w:hAnsiTheme="minorHAnsi"/>
          <w:snapToGrid w:val="0"/>
          <w:color w:val="000000"/>
          <w:shd w:val="clear" w:color="auto" w:fill="FFFFFF"/>
        </w:rPr>
        <w:t xml:space="preserve"> categorised outcomes such as PDAI-defined remission (at Week 14 and 34), partial mPDAI</w:t>
      </w:r>
      <w:r w:rsidR="006F59CE" w:rsidRPr="006B343C">
        <w:rPr>
          <w:rFonts w:asciiTheme="minorHAnsi" w:hAnsiTheme="minorHAnsi"/>
          <w:snapToGrid w:val="0"/>
          <w:color w:val="000000"/>
          <w:shd w:val="clear" w:color="auto" w:fill="FFFFFF"/>
        </w:rPr>
        <w:t xml:space="preserve">-defined </w:t>
      </w:r>
      <w:r w:rsidR="00523A19" w:rsidRPr="006B343C">
        <w:rPr>
          <w:rFonts w:asciiTheme="minorHAnsi" w:hAnsiTheme="minorHAnsi"/>
          <w:snapToGrid w:val="0"/>
          <w:color w:val="000000"/>
          <w:shd w:val="clear" w:color="auto" w:fill="FFFFFF"/>
        </w:rPr>
        <w:t>response (at Week 14 and 34),</w:t>
      </w:r>
      <w:r w:rsidR="006F59CE" w:rsidRPr="006B343C">
        <w:rPr>
          <w:rFonts w:asciiTheme="minorHAnsi" w:hAnsiTheme="minorHAnsi"/>
          <w:snapToGrid w:val="0"/>
          <w:lang w:val="en-GB"/>
        </w:rPr>
        <w:t xml:space="preserve"> and </w:t>
      </w:r>
      <w:r w:rsidR="006F59CE" w:rsidRPr="006B343C">
        <w:rPr>
          <w:rFonts w:asciiTheme="minorHAnsi" w:hAnsiTheme="minorHAnsi"/>
          <w:snapToGrid w:val="0"/>
          <w:color w:val="000000"/>
          <w:shd w:val="clear" w:color="auto" w:fill="FFFFFF"/>
        </w:rPr>
        <w:t>IBDQ remission (at Week 34 only) in the VEDO + SOC group compared to the PBO + SOC group.</w:t>
      </w:r>
      <w:r w:rsidR="00055153" w:rsidRPr="006B343C">
        <w:rPr>
          <w:rFonts w:asciiTheme="minorHAnsi" w:hAnsiTheme="minorHAnsi"/>
          <w:snapToGrid w:val="0"/>
          <w:color w:val="000000"/>
          <w:shd w:val="clear" w:color="auto" w:fill="FFFFFF"/>
        </w:rPr>
        <w:t xml:space="preserve"> S</w:t>
      </w:r>
      <w:r w:rsidR="00AB12B7" w:rsidRPr="006B343C">
        <w:rPr>
          <w:rFonts w:asciiTheme="minorHAnsi" w:hAnsiTheme="minorHAnsi"/>
          <w:snapToGrid w:val="0"/>
          <w:color w:val="000000"/>
          <w:shd w:val="clear" w:color="auto" w:fill="FFFFFF"/>
        </w:rPr>
        <w:t>tatistically s</w:t>
      </w:r>
      <w:r w:rsidR="00055153" w:rsidRPr="006B343C">
        <w:rPr>
          <w:rFonts w:asciiTheme="minorHAnsi" w:hAnsiTheme="minorHAnsi"/>
          <w:snapToGrid w:val="0"/>
          <w:color w:val="000000"/>
          <w:shd w:val="clear" w:color="auto" w:fill="FFFFFF"/>
        </w:rPr>
        <w:t xml:space="preserve">ignificant changes were also observed for </w:t>
      </w:r>
      <w:r w:rsidR="0075444C" w:rsidRPr="006B343C">
        <w:rPr>
          <w:rFonts w:asciiTheme="minorHAnsi" w:hAnsiTheme="minorHAnsi"/>
          <w:snapToGrid w:val="0"/>
          <w:color w:val="000000"/>
          <w:shd w:val="clear" w:color="auto" w:fill="FFFFFF"/>
        </w:rPr>
        <w:t>outcomes based on raw scores or raw scores</w:t>
      </w:r>
      <w:r w:rsidR="00696350" w:rsidRPr="006B343C">
        <w:rPr>
          <w:rFonts w:asciiTheme="minorHAnsi" w:hAnsiTheme="minorHAnsi"/>
          <w:snapToGrid w:val="0"/>
          <w:color w:val="000000"/>
          <w:shd w:val="clear" w:color="auto" w:fill="FFFFFF"/>
        </w:rPr>
        <w:t xml:space="preserve"> such as </w:t>
      </w:r>
      <w:r w:rsidRPr="006B343C">
        <w:rPr>
          <w:rFonts w:asciiTheme="minorHAnsi" w:hAnsiTheme="minorHAnsi"/>
          <w:snapToGrid w:val="0"/>
          <w:color w:val="000000"/>
          <w:shd w:val="clear" w:color="auto" w:fill="FFFFFF"/>
        </w:rPr>
        <w:t xml:space="preserve">change from baseline in mPDAI total score (at Week 14 and 34), change from baseline in PDAI total score (at Week 14 only), change from baseline in PDAI endoscopic sub-score (at Week 14 only). The trial reported a hazard ratio for achieving PDAI remission by Week 34 of 3.95 times higher in the VEDO + SOC group than in the PBO + SOC group (95% CI: 1.7, 9.4). </w:t>
      </w:r>
      <w:r w:rsidR="00A2689A" w:rsidRPr="006B343C">
        <w:rPr>
          <w:rFonts w:asciiTheme="minorHAnsi" w:hAnsiTheme="minorHAnsi"/>
          <w:snapToGrid w:val="0"/>
          <w:color w:val="000000"/>
          <w:shd w:val="clear" w:color="auto" w:fill="FFFFFF"/>
        </w:rPr>
        <w:t xml:space="preserve">These results should be interpreted with caution given the validity issues of the mPDAI, PDAI and IBDQ instruments and the arbitrary and unvalidated definitions for clinical remission </w:t>
      </w:r>
      <w:r w:rsidR="008E179E" w:rsidRPr="006B343C">
        <w:rPr>
          <w:rFonts w:asciiTheme="minorHAnsi" w:hAnsiTheme="minorHAnsi"/>
          <w:snapToGrid w:val="0"/>
          <w:color w:val="000000"/>
          <w:shd w:val="clear" w:color="auto" w:fill="FFFFFF"/>
        </w:rPr>
        <w:t xml:space="preserve">and response </w:t>
      </w:r>
      <w:r w:rsidR="00A2689A" w:rsidRPr="006B343C">
        <w:rPr>
          <w:rFonts w:asciiTheme="minorHAnsi" w:hAnsiTheme="minorHAnsi"/>
          <w:snapToGrid w:val="0"/>
          <w:color w:val="000000"/>
          <w:shd w:val="clear" w:color="auto" w:fill="FFFFFF"/>
        </w:rPr>
        <w:t>cut-off (paragraph</w:t>
      </w:r>
      <w:r w:rsidR="00C26EF3">
        <w:rPr>
          <w:rFonts w:asciiTheme="minorHAnsi" w:hAnsiTheme="minorHAnsi"/>
          <w:snapToGrid w:val="0"/>
          <w:color w:val="000000"/>
          <w:shd w:val="clear" w:color="auto" w:fill="FFFFFF"/>
        </w:rPr>
        <w:t xml:space="preserve">s </w:t>
      </w:r>
      <w:r w:rsidR="00C26EF3">
        <w:rPr>
          <w:rFonts w:asciiTheme="minorHAnsi" w:hAnsiTheme="minorHAnsi"/>
          <w:snapToGrid w:val="0"/>
          <w:color w:val="000000"/>
          <w:shd w:val="clear" w:color="auto" w:fill="FFFFFF"/>
        </w:rPr>
        <w:fldChar w:fldCharType="begin" w:fldLock="1"/>
      </w:r>
      <w:r w:rsidR="00C26EF3">
        <w:rPr>
          <w:rFonts w:asciiTheme="minorHAnsi" w:hAnsiTheme="minorHAnsi"/>
          <w:snapToGrid w:val="0"/>
          <w:color w:val="000000"/>
          <w:shd w:val="clear" w:color="auto" w:fill="FFFFFF"/>
        </w:rPr>
        <w:instrText xml:space="preserve"> REF _Ref169681062 \r \h </w:instrText>
      </w:r>
      <w:r w:rsidR="00C26EF3">
        <w:rPr>
          <w:rFonts w:asciiTheme="minorHAnsi" w:hAnsiTheme="minorHAnsi"/>
          <w:snapToGrid w:val="0"/>
          <w:color w:val="000000"/>
          <w:shd w:val="clear" w:color="auto" w:fill="FFFFFF"/>
        </w:rPr>
      </w:r>
      <w:r w:rsidR="00C26EF3">
        <w:rPr>
          <w:rFonts w:asciiTheme="minorHAnsi" w:hAnsiTheme="minorHAnsi"/>
          <w:snapToGrid w:val="0"/>
          <w:color w:val="000000"/>
          <w:shd w:val="clear" w:color="auto" w:fill="FFFFFF"/>
        </w:rPr>
        <w:fldChar w:fldCharType="separate"/>
      </w:r>
      <w:r w:rsidR="00DC7CC4">
        <w:rPr>
          <w:rFonts w:asciiTheme="minorHAnsi" w:hAnsiTheme="minorHAnsi"/>
          <w:snapToGrid w:val="0"/>
          <w:color w:val="000000"/>
          <w:shd w:val="clear" w:color="auto" w:fill="FFFFFF"/>
        </w:rPr>
        <w:t>3.2</w:t>
      </w:r>
      <w:r w:rsidR="00C26EF3">
        <w:rPr>
          <w:rFonts w:asciiTheme="minorHAnsi" w:hAnsiTheme="minorHAnsi"/>
          <w:snapToGrid w:val="0"/>
          <w:color w:val="000000"/>
          <w:shd w:val="clear" w:color="auto" w:fill="FFFFFF"/>
        </w:rPr>
        <w:fldChar w:fldCharType="end"/>
      </w:r>
      <w:r w:rsidR="00C26EF3">
        <w:rPr>
          <w:rFonts w:asciiTheme="minorHAnsi" w:hAnsiTheme="minorHAnsi"/>
          <w:snapToGrid w:val="0"/>
          <w:color w:val="000000"/>
          <w:shd w:val="clear" w:color="auto" w:fill="FFFFFF"/>
        </w:rPr>
        <w:t xml:space="preserve"> and </w:t>
      </w:r>
      <w:r w:rsidR="00B804C9" w:rsidRPr="006B343C">
        <w:rPr>
          <w:rFonts w:asciiTheme="minorHAnsi" w:hAnsiTheme="minorHAnsi"/>
          <w:snapToGrid w:val="0"/>
          <w:color w:val="000000"/>
          <w:shd w:val="clear" w:color="auto" w:fill="FFFFFF"/>
        </w:rPr>
        <w:fldChar w:fldCharType="begin" w:fldLock="1"/>
      </w:r>
      <w:r w:rsidR="00B804C9" w:rsidRPr="006B343C">
        <w:rPr>
          <w:rFonts w:asciiTheme="minorHAnsi" w:hAnsiTheme="minorHAnsi"/>
          <w:snapToGrid w:val="0"/>
          <w:color w:val="000000"/>
          <w:shd w:val="clear" w:color="auto" w:fill="FFFFFF"/>
        </w:rPr>
        <w:instrText xml:space="preserve"> REF _Ref166743057 \r \h </w:instrText>
      </w:r>
      <w:r w:rsidR="006B343C" w:rsidRPr="006B343C">
        <w:rPr>
          <w:rFonts w:asciiTheme="minorHAnsi" w:hAnsiTheme="minorHAnsi"/>
          <w:snapToGrid w:val="0"/>
          <w:color w:val="000000"/>
          <w:shd w:val="clear" w:color="auto" w:fill="FFFFFF"/>
        </w:rPr>
        <w:instrText xml:space="preserve"> \* MERGEFORMAT </w:instrText>
      </w:r>
      <w:r w:rsidR="00B804C9" w:rsidRPr="006B343C">
        <w:rPr>
          <w:rFonts w:asciiTheme="minorHAnsi" w:hAnsiTheme="minorHAnsi"/>
          <w:snapToGrid w:val="0"/>
          <w:color w:val="000000"/>
          <w:shd w:val="clear" w:color="auto" w:fill="FFFFFF"/>
        </w:rPr>
      </w:r>
      <w:r w:rsidR="00B804C9" w:rsidRPr="006B343C">
        <w:rPr>
          <w:rFonts w:asciiTheme="minorHAnsi" w:hAnsiTheme="minorHAnsi"/>
          <w:snapToGrid w:val="0"/>
          <w:color w:val="000000"/>
          <w:shd w:val="clear" w:color="auto" w:fill="FFFFFF"/>
        </w:rPr>
        <w:fldChar w:fldCharType="separate"/>
      </w:r>
      <w:r w:rsidR="00DC7CC4">
        <w:rPr>
          <w:rFonts w:asciiTheme="minorHAnsi" w:hAnsiTheme="minorHAnsi"/>
          <w:snapToGrid w:val="0"/>
          <w:color w:val="000000"/>
          <w:shd w:val="clear" w:color="auto" w:fill="FFFFFF"/>
        </w:rPr>
        <w:t>6.15</w:t>
      </w:r>
      <w:r w:rsidR="00B804C9" w:rsidRPr="006B343C">
        <w:rPr>
          <w:rFonts w:asciiTheme="minorHAnsi" w:hAnsiTheme="minorHAnsi"/>
          <w:snapToGrid w:val="0"/>
          <w:color w:val="000000"/>
          <w:shd w:val="clear" w:color="auto" w:fill="FFFFFF"/>
        </w:rPr>
        <w:fldChar w:fldCharType="end"/>
      </w:r>
      <w:r w:rsidR="00A2689A" w:rsidRPr="006B343C">
        <w:rPr>
          <w:rFonts w:asciiTheme="minorHAnsi" w:hAnsiTheme="minorHAnsi"/>
          <w:snapToGrid w:val="0"/>
          <w:color w:val="000000"/>
          <w:shd w:val="clear" w:color="auto" w:fill="FFFFFF"/>
        </w:rPr>
        <w:t>).</w:t>
      </w:r>
      <w:r w:rsidR="007C1741" w:rsidRPr="006B343C">
        <w:rPr>
          <w:rFonts w:asciiTheme="minorHAnsi" w:hAnsiTheme="minorHAnsi"/>
          <w:snapToGrid w:val="0"/>
          <w:color w:val="000000"/>
          <w:shd w:val="clear" w:color="auto" w:fill="FFFFFF"/>
        </w:rPr>
        <w:t xml:space="preserve"> </w:t>
      </w:r>
    </w:p>
    <w:p w14:paraId="63135EE1" w14:textId="40438EB1" w:rsidR="00621135" w:rsidRPr="006B343C" w:rsidRDefault="002F29AE" w:rsidP="00621135">
      <w:pPr>
        <w:pStyle w:val="3-BodyText"/>
        <w:rPr>
          <w:color w:val="000000"/>
          <w:shd w:val="clear" w:color="auto" w:fill="FFFFFF"/>
        </w:rPr>
      </w:pPr>
      <w:bookmarkStart w:id="59" w:name="_Ref169633059"/>
      <w:r w:rsidRPr="006B343C">
        <w:rPr>
          <w:color w:val="000000"/>
          <w:shd w:val="clear" w:color="auto" w:fill="FFFFFF"/>
        </w:rPr>
        <w:t xml:space="preserve">The economic model used the outcome of </w:t>
      </w:r>
      <w:bookmarkStart w:id="60" w:name="_Hlk167184937"/>
      <w:r w:rsidRPr="006B343C">
        <w:rPr>
          <w:color w:val="000000"/>
          <w:shd w:val="clear" w:color="auto" w:fill="FFFFFF"/>
        </w:rPr>
        <w:t xml:space="preserve">partial mPDAI-defined response </w:t>
      </w:r>
      <w:bookmarkEnd w:id="60"/>
      <w:r w:rsidRPr="006B343C">
        <w:rPr>
          <w:color w:val="000000"/>
          <w:shd w:val="clear" w:color="auto" w:fill="FFFFFF"/>
        </w:rPr>
        <w:t xml:space="preserve">to determine the proportion of patients in the ‘response (without remission)’ health state. This was defined solely as a decrease of </w:t>
      </w:r>
      <w:r w:rsidRPr="006B343C">
        <w:t xml:space="preserve">≥ </w:t>
      </w:r>
      <w:r w:rsidRPr="006B343C">
        <w:rPr>
          <w:color w:val="000000"/>
          <w:shd w:val="clear" w:color="auto" w:fill="FFFFFF"/>
        </w:rPr>
        <w:t xml:space="preserve">2 points from the baseline mPDAI total score (while </w:t>
      </w:r>
      <w:r w:rsidR="004F1CFB" w:rsidRPr="006B343C">
        <w:rPr>
          <w:color w:val="000000"/>
          <w:shd w:val="clear" w:color="auto" w:fill="FFFFFF"/>
        </w:rPr>
        <w:t>mPDAI</w:t>
      </w:r>
      <w:r w:rsidR="0093225C" w:rsidRPr="006B343C">
        <w:rPr>
          <w:color w:val="000000"/>
          <w:shd w:val="clear" w:color="auto" w:fill="FFFFFF"/>
        </w:rPr>
        <w:t xml:space="preserve">-defined clinical remission was </w:t>
      </w:r>
      <w:r w:rsidRPr="006B343C">
        <w:rPr>
          <w:color w:val="000000"/>
          <w:shd w:val="clear" w:color="auto" w:fill="FFFFFF"/>
        </w:rPr>
        <w:t>defined as</w:t>
      </w:r>
      <w:r w:rsidR="002E3B58" w:rsidRPr="006B343C">
        <w:rPr>
          <w:color w:val="000000"/>
          <w:shd w:val="clear" w:color="auto" w:fill="FFFFFF"/>
        </w:rPr>
        <w:t xml:space="preserve"> an mPDAI score of &lt;5 and a reduction of </w:t>
      </w:r>
      <w:r w:rsidR="002E3B58" w:rsidRPr="006B343C">
        <w:t xml:space="preserve">≥ </w:t>
      </w:r>
      <w:r w:rsidR="002E3B58" w:rsidRPr="006B343C">
        <w:rPr>
          <w:color w:val="000000"/>
          <w:shd w:val="clear" w:color="auto" w:fill="FFFFFF"/>
        </w:rPr>
        <w:t xml:space="preserve">2 points in the </w:t>
      </w:r>
      <w:r w:rsidR="00E5534C" w:rsidRPr="006B343C">
        <w:rPr>
          <w:color w:val="000000"/>
          <w:shd w:val="clear" w:color="auto" w:fill="FFFFFF"/>
        </w:rPr>
        <w:t xml:space="preserve">baseline </w:t>
      </w:r>
      <w:r w:rsidR="002E3B58" w:rsidRPr="006B343C">
        <w:rPr>
          <w:color w:val="000000"/>
          <w:shd w:val="clear" w:color="auto" w:fill="FFFFFF"/>
        </w:rPr>
        <w:t>mPDAI total score</w:t>
      </w:r>
      <w:r w:rsidRPr="006B343C">
        <w:rPr>
          <w:color w:val="000000"/>
          <w:shd w:val="clear" w:color="auto" w:fill="FFFFFF"/>
        </w:rPr>
        <w:t>). At Week 14 there were 29.4% more patients with partial mPDAI-defined response in the vedolizumab arm compared with the placebo arm (</w:t>
      </w:r>
      <w:r w:rsidR="00364718" w:rsidRPr="006B343C">
        <w:rPr>
          <w:color w:val="000000"/>
          <w:shd w:val="clear" w:color="auto" w:fill="FFFFFF"/>
        </w:rPr>
        <w:t>62.7% versus 33.3%, respectively with a treatment difference of 29.4% (95% CI: 8.0, 47.6).</w:t>
      </w:r>
      <w:bookmarkEnd w:id="59"/>
      <w:r w:rsidR="00313CC8" w:rsidRPr="006B343C">
        <w:rPr>
          <w:color w:val="000000"/>
          <w:shd w:val="clear" w:color="auto" w:fill="FFFFFF"/>
        </w:rPr>
        <w:t xml:space="preserve"> </w:t>
      </w:r>
    </w:p>
    <w:p w14:paraId="1970F081" w14:textId="301C986F" w:rsidR="007F5816" w:rsidRPr="00F55938" w:rsidRDefault="007F5816" w:rsidP="007F5816">
      <w:pPr>
        <w:numPr>
          <w:ilvl w:val="1"/>
          <w:numId w:val="1"/>
        </w:numPr>
        <w:spacing w:after="120"/>
        <w:rPr>
          <w:rFonts w:asciiTheme="minorHAnsi" w:hAnsiTheme="minorHAnsi"/>
          <w:snapToGrid w:val="0"/>
          <w:color w:val="000000"/>
          <w:shd w:val="clear" w:color="auto" w:fill="FFFFFF"/>
        </w:rPr>
      </w:pPr>
      <w:r w:rsidRPr="00F55938">
        <w:rPr>
          <w:rFonts w:asciiTheme="minorHAnsi" w:hAnsiTheme="minorHAnsi"/>
          <w:snapToGrid w:val="0"/>
          <w:color w:val="000000"/>
          <w:shd w:val="clear" w:color="auto" w:fill="FFFFFF"/>
        </w:rPr>
        <w:t xml:space="preserve">No </w:t>
      </w:r>
      <w:r w:rsidR="00C71406" w:rsidRPr="00F55938">
        <w:rPr>
          <w:rFonts w:asciiTheme="minorHAnsi" w:hAnsiTheme="minorHAnsi"/>
          <w:snapToGrid w:val="0"/>
          <w:color w:val="000000"/>
          <w:shd w:val="clear" w:color="auto" w:fill="FFFFFF"/>
        </w:rPr>
        <w:t xml:space="preserve">statistically </w:t>
      </w:r>
      <w:r w:rsidRPr="00F55938">
        <w:rPr>
          <w:rFonts w:asciiTheme="minorHAnsi" w:hAnsiTheme="minorHAnsi"/>
          <w:snapToGrid w:val="0"/>
          <w:color w:val="000000"/>
          <w:shd w:val="clear" w:color="auto" w:fill="FFFFFF"/>
        </w:rPr>
        <w:t>significant improvements were reported for change from baseline in PDAI total score (at Week 34 only), change from baseline in PDAI clinical</w:t>
      </w:r>
      <w:r w:rsidR="00BD03C7" w:rsidRPr="00F55938">
        <w:rPr>
          <w:rFonts w:asciiTheme="minorHAnsi" w:hAnsiTheme="minorHAnsi"/>
          <w:snapToGrid w:val="0"/>
          <w:color w:val="000000"/>
          <w:shd w:val="clear" w:color="auto" w:fill="FFFFFF"/>
        </w:rPr>
        <w:t xml:space="preserve"> (Week 14 and 34)</w:t>
      </w:r>
      <w:r w:rsidRPr="00F55938">
        <w:rPr>
          <w:rFonts w:asciiTheme="minorHAnsi" w:hAnsiTheme="minorHAnsi"/>
          <w:snapToGrid w:val="0"/>
          <w:color w:val="000000"/>
          <w:shd w:val="clear" w:color="auto" w:fill="FFFFFF"/>
        </w:rPr>
        <w:t xml:space="preserve">, endoscopic </w:t>
      </w:r>
      <w:r w:rsidR="00BD03C7" w:rsidRPr="00F55938">
        <w:rPr>
          <w:rFonts w:asciiTheme="minorHAnsi" w:hAnsiTheme="minorHAnsi"/>
          <w:snapToGrid w:val="0"/>
          <w:color w:val="000000"/>
          <w:shd w:val="clear" w:color="auto" w:fill="FFFFFF"/>
        </w:rPr>
        <w:t xml:space="preserve">(Week 34) </w:t>
      </w:r>
      <w:r w:rsidRPr="00F55938">
        <w:rPr>
          <w:rFonts w:asciiTheme="minorHAnsi" w:hAnsiTheme="minorHAnsi"/>
          <w:snapToGrid w:val="0"/>
          <w:color w:val="000000"/>
          <w:shd w:val="clear" w:color="auto" w:fill="FFFFFF"/>
        </w:rPr>
        <w:t>and histologic sub-score (Week 14 and 34), IBDQ remission (at Week 14 only),</w:t>
      </w:r>
      <w:r w:rsidR="007B52C7" w:rsidRPr="00F55938">
        <w:rPr>
          <w:rFonts w:asciiTheme="minorHAnsi" w:hAnsiTheme="minorHAnsi"/>
          <w:snapToGrid w:val="0"/>
          <w:color w:val="000000"/>
          <w:shd w:val="clear" w:color="auto" w:fill="FFFFFF"/>
        </w:rPr>
        <w:t xml:space="preserve"> clinically meaningful</w:t>
      </w:r>
      <w:r w:rsidRPr="00F55938">
        <w:rPr>
          <w:rFonts w:asciiTheme="minorHAnsi" w:hAnsiTheme="minorHAnsi"/>
          <w:snapToGrid w:val="0"/>
          <w:color w:val="000000"/>
          <w:shd w:val="clear" w:color="auto" w:fill="FFFFFF"/>
        </w:rPr>
        <w:t xml:space="preserve"> </w:t>
      </w:r>
      <w:r w:rsidR="005C04B2" w:rsidRPr="00F55938">
        <w:rPr>
          <w:rFonts w:asciiTheme="minorHAnsi" w:hAnsiTheme="minorHAnsi"/>
          <w:snapToGrid w:val="0"/>
          <w:color w:val="000000"/>
          <w:shd w:val="clear" w:color="auto" w:fill="FFFFFF"/>
        </w:rPr>
        <w:t>IBDQ improvement and change</w:t>
      </w:r>
      <w:r w:rsidRPr="00F55938">
        <w:rPr>
          <w:rFonts w:asciiTheme="minorHAnsi" w:hAnsiTheme="minorHAnsi"/>
          <w:snapToGrid w:val="0"/>
          <w:color w:val="000000"/>
          <w:shd w:val="clear" w:color="auto" w:fill="FFFFFF"/>
        </w:rPr>
        <w:t xml:space="preserve"> from baseline in IBDQ score (at Week 14 and 34) and change in CGQL Fazio score (at Week 14 and 34). </w:t>
      </w:r>
      <w:r w:rsidR="005B28D2" w:rsidRPr="00F55938">
        <w:rPr>
          <w:rFonts w:asciiTheme="minorHAnsi" w:hAnsiTheme="minorHAnsi"/>
          <w:snapToGrid w:val="0"/>
          <w:color w:val="000000"/>
          <w:shd w:val="clear" w:color="auto" w:fill="FFFFFF"/>
        </w:rPr>
        <w:t>The PSCR argued both the clinical and HRQoL measures showed consistent numerical differences in favour of vedolizumab</w:t>
      </w:r>
      <w:r w:rsidR="009D0558" w:rsidRPr="00F55938">
        <w:rPr>
          <w:rFonts w:asciiTheme="minorHAnsi" w:hAnsiTheme="minorHAnsi"/>
          <w:snapToGrid w:val="0"/>
          <w:color w:val="000000"/>
          <w:shd w:val="clear" w:color="auto" w:fill="FFFFFF"/>
        </w:rPr>
        <w:t>, including a statistically significant increase in IBDQ remission at Week 34 (</w:t>
      </w:r>
      <w:r w:rsidR="005B28D2" w:rsidRPr="00F55938">
        <w:rPr>
          <w:rFonts w:asciiTheme="minorHAnsi" w:hAnsiTheme="minorHAnsi"/>
          <w:snapToGrid w:val="0"/>
          <w:color w:val="000000"/>
          <w:shd w:val="clear" w:color="auto" w:fill="FFFFFF"/>
        </w:rPr>
        <w:t>with 43.1% of patients in the vedolizumab group identified as achieving IBDQ remission compared to 19.6% in the placebo group</w:t>
      </w:r>
      <w:r w:rsidR="009D0558" w:rsidRPr="00F55938">
        <w:rPr>
          <w:rFonts w:asciiTheme="minorHAnsi" w:hAnsiTheme="minorHAnsi"/>
          <w:snapToGrid w:val="0"/>
          <w:color w:val="000000"/>
          <w:shd w:val="clear" w:color="auto" w:fill="FFFFFF"/>
        </w:rPr>
        <w:t xml:space="preserve"> at Week 34)</w:t>
      </w:r>
      <w:r w:rsidR="005B28D2" w:rsidRPr="00F55938">
        <w:rPr>
          <w:rFonts w:asciiTheme="minorHAnsi" w:hAnsiTheme="minorHAnsi"/>
          <w:snapToGrid w:val="0"/>
          <w:color w:val="000000"/>
          <w:shd w:val="clear" w:color="auto" w:fill="FFFFFF"/>
        </w:rPr>
        <w:t xml:space="preserve">. </w:t>
      </w:r>
      <w:r w:rsidR="009D0558" w:rsidRPr="00F55938">
        <w:rPr>
          <w:rFonts w:asciiTheme="minorHAnsi" w:hAnsiTheme="minorHAnsi"/>
          <w:snapToGrid w:val="0"/>
          <w:color w:val="000000"/>
          <w:shd w:val="clear" w:color="auto" w:fill="FFFFFF"/>
        </w:rPr>
        <w:t>However, t</w:t>
      </w:r>
      <w:r w:rsidR="00DA23ED" w:rsidRPr="00F55938">
        <w:rPr>
          <w:rFonts w:asciiTheme="minorHAnsi" w:hAnsiTheme="minorHAnsi"/>
          <w:snapToGrid w:val="0"/>
          <w:color w:val="000000"/>
          <w:shd w:val="clear" w:color="auto" w:fill="FFFFFF"/>
        </w:rPr>
        <w:t xml:space="preserve">he ESC considered the IBDQ scale was of uncertain applicability to </w:t>
      </w:r>
      <w:r w:rsidR="00DE25EB" w:rsidRPr="00F55938">
        <w:rPr>
          <w:rFonts w:asciiTheme="minorHAnsi" w:hAnsiTheme="minorHAnsi"/>
          <w:snapToGrid w:val="0"/>
          <w:color w:val="000000"/>
          <w:shd w:val="clear" w:color="auto" w:fill="FFFFFF"/>
        </w:rPr>
        <w:t xml:space="preserve">a post-operative population. </w:t>
      </w:r>
    </w:p>
    <w:p w14:paraId="1CC73A11" w14:textId="3ABED6E3" w:rsidR="007F5816" w:rsidRPr="00F55938" w:rsidRDefault="007F5816" w:rsidP="007F5816">
      <w:pPr>
        <w:numPr>
          <w:ilvl w:val="1"/>
          <w:numId w:val="1"/>
        </w:numPr>
        <w:spacing w:after="120"/>
        <w:rPr>
          <w:rFonts w:asciiTheme="minorHAnsi" w:hAnsiTheme="minorHAnsi"/>
          <w:snapToGrid w:val="0"/>
          <w:color w:val="000000"/>
          <w:shd w:val="clear" w:color="auto" w:fill="FFFFFF"/>
        </w:rPr>
      </w:pPr>
      <w:bookmarkStart w:id="61" w:name="_Ref166243917"/>
      <w:bookmarkStart w:id="62" w:name="_Ref164244693"/>
      <w:r w:rsidRPr="00F55938">
        <w:rPr>
          <w:rFonts w:asciiTheme="minorHAnsi" w:hAnsiTheme="minorHAnsi"/>
          <w:snapToGrid w:val="0"/>
          <w:color w:val="000000" w:themeColor="text1"/>
        </w:rPr>
        <w:t>Across the three PDAI sub-scores, only the PDAI endoscopic sub-score at Week 14 showed a</w:t>
      </w:r>
      <w:r w:rsidR="00F23B5E" w:rsidRPr="00F55938">
        <w:rPr>
          <w:rFonts w:asciiTheme="minorHAnsi" w:hAnsiTheme="minorHAnsi"/>
          <w:snapToGrid w:val="0"/>
          <w:color w:val="000000" w:themeColor="text1"/>
        </w:rPr>
        <w:t xml:space="preserve"> statistically</w:t>
      </w:r>
      <w:r w:rsidRPr="00F55938">
        <w:rPr>
          <w:rFonts w:asciiTheme="minorHAnsi" w:hAnsiTheme="minorHAnsi"/>
          <w:snapToGrid w:val="0"/>
          <w:color w:val="000000" w:themeColor="text1"/>
        </w:rPr>
        <w:t xml:space="preserve"> significant </w:t>
      </w:r>
      <w:r w:rsidR="00F23B5E" w:rsidRPr="00F55938">
        <w:rPr>
          <w:rFonts w:asciiTheme="minorHAnsi" w:hAnsiTheme="minorHAnsi"/>
          <w:snapToGrid w:val="0"/>
          <w:color w:val="000000" w:themeColor="text1"/>
        </w:rPr>
        <w:t xml:space="preserve">difference </w:t>
      </w:r>
      <w:r w:rsidRPr="00F55938">
        <w:rPr>
          <w:rFonts w:asciiTheme="minorHAnsi" w:hAnsiTheme="minorHAnsi"/>
          <w:snapToGrid w:val="0"/>
          <w:color w:val="000000" w:themeColor="text1"/>
        </w:rPr>
        <w:t>from baseline</w:t>
      </w:r>
      <w:r w:rsidR="00F23B5E" w:rsidRPr="00F55938">
        <w:rPr>
          <w:rFonts w:asciiTheme="minorHAnsi" w:hAnsiTheme="minorHAnsi"/>
          <w:snapToGrid w:val="0"/>
          <w:color w:val="000000" w:themeColor="text1"/>
        </w:rPr>
        <w:t xml:space="preserve"> compared to PBO + S</w:t>
      </w:r>
      <w:r w:rsidR="00A66235" w:rsidRPr="00F55938">
        <w:rPr>
          <w:rFonts w:asciiTheme="minorHAnsi" w:hAnsiTheme="minorHAnsi"/>
          <w:snapToGrid w:val="0"/>
          <w:color w:val="000000" w:themeColor="text1"/>
        </w:rPr>
        <w:t>O</w:t>
      </w:r>
      <w:r w:rsidR="00F23B5E" w:rsidRPr="00F55938">
        <w:rPr>
          <w:rFonts w:asciiTheme="minorHAnsi" w:hAnsiTheme="minorHAnsi"/>
          <w:snapToGrid w:val="0"/>
          <w:color w:val="000000" w:themeColor="text1"/>
        </w:rPr>
        <w:t>C</w:t>
      </w:r>
      <w:r w:rsidRPr="00F55938">
        <w:rPr>
          <w:rFonts w:asciiTheme="minorHAnsi" w:hAnsiTheme="minorHAnsi"/>
          <w:snapToGrid w:val="0"/>
          <w:color w:val="000000" w:themeColor="text1"/>
        </w:rPr>
        <w:t xml:space="preserve">. This difference decreased and was no longer significant at Week 34. None of the other sub-scores (clinical or histologic) indicated </w:t>
      </w:r>
      <w:r w:rsidR="007F5EA2" w:rsidRPr="00F55938">
        <w:rPr>
          <w:rFonts w:asciiTheme="minorHAnsi" w:hAnsiTheme="minorHAnsi"/>
          <w:snapToGrid w:val="0"/>
          <w:color w:val="000000" w:themeColor="text1"/>
        </w:rPr>
        <w:t xml:space="preserve">statistically </w:t>
      </w:r>
      <w:r w:rsidRPr="00F55938">
        <w:rPr>
          <w:rFonts w:asciiTheme="minorHAnsi" w:hAnsiTheme="minorHAnsi"/>
          <w:snapToGrid w:val="0"/>
          <w:color w:val="000000" w:themeColor="text1"/>
        </w:rPr>
        <w:t xml:space="preserve">significant differences at Week 14 and Week 34. </w:t>
      </w:r>
      <w:r w:rsidR="0007775E" w:rsidRPr="00F55938">
        <w:rPr>
          <w:rFonts w:asciiTheme="minorHAnsi" w:hAnsiTheme="minorHAnsi"/>
          <w:snapToGrid w:val="0"/>
          <w:color w:val="000000" w:themeColor="text1"/>
        </w:rPr>
        <w:t>The evaluation and ESC considered</w:t>
      </w:r>
      <w:r w:rsidRPr="00F55938">
        <w:rPr>
          <w:rFonts w:asciiTheme="minorHAnsi" w:hAnsiTheme="minorHAnsi"/>
          <w:snapToGrid w:val="0"/>
          <w:color w:val="000000" w:themeColor="text1"/>
        </w:rPr>
        <w:t xml:space="preserve"> </w:t>
      </w:r>
      <w:r w:rsidRPr="00F55938">
        <w:rPr>
          <w:rFonts w:asciiTheme="minorHAnsi" w:hAnsiTheme="minorHAnsi"/>
          <w:snapToGrid w:val="0"/>
          <w:color w:val="000000"/>
          <w:shd w:val="clear" w:color="auto" w:fill="FFFFFF"/>
        </w:rPr>
        <w:t>that the overall mPDAI and PDAI total scores were driven by observed difference in the change from baseline in the PDAI endoscopic sub-score at Week 14.</w:t>
      </w:r>
      <w:bookmarkEnd w:id="61"/>
      <w:r w:rsidRPr="00F55938">
        <w:rPr>
          <w:rFonts w:asciiTheme="minorHAnsi" w:hAnsiTheme="minorHAnsi"/>
          <w:snapToGrid w:val="0"/>
          <w:color w:val="000000"/>
          <w:shd w:val="clear" w:color="auto" w:fill="FFFFFF"/>
        </w:rPr>
        <w:t xml:space="preserve"> </w:t>
      </w:r>
      <w:bookmarkEnd w:id="62"/>
    </w:p>
    <w:p w14:paraId="220B504E" w14:textId="1610CB5B" w:rsidR="007F5816" w:rsidRPr="00F55938" w:rsidRDefault="007F5816" w:rsidP="007F5816">
      <w:pPr>
        <w:numPr>
          <w:ilvl w:val="1"/>
          <w:numId w:val="1"/>
        </w:numPr>
        <w:spacing w:after="120"/>
        <w:rPr>
          <w:rFonts w:asciiTheme="minorHAnsi" w:hAnsiTheme="minorHAnsi"/>
          <w:snapToGrid w:val="0"/>
        </w:rPr>
      </w:pPr>
      <w:r w:rsidRPr="00F55938">
        <w:rPr>
          <w:rFonts w:asciiTheme="minorHAnsi" w:hAnsiTheme="minorHAnsi"/>
          <w:snapToGrid w:val="0"/>
        </w:rPr>
        <w:t xml:space="preserve">Other results included reported changes of inflammatory markers including faecal calprotectin and C-reactive protein (CRP) at Week 14 and 34 from baseline. While faecal calprotectin reduction was comparable between groups, the proportion of </w:t>
      </w:r>
      <w:r w:rsidRPr="00F55938">
        <w:rPr>
          <w:rFonts w:asciiTheme="minorHAnsi" w:hAnsiTheme="minorHAnsi"/>
          <w:snapToGrid w:val="0"/>
        </w:rPr>
        <w:lastRenderedPageBreak/>
        <w:t xml:space="preserve">patients with faecal calprotectin of </w:t>
      </w:r>
      <w:r w:rsidRPr="00F55938">
        <w:rPr>
          <w:rFonts w:ascii="Symbol" w:eastAsia="Symbol" w:hAnsi="Symbol" w:cs="Symbol"/>
          <w:snapToGrid w:val="0"/>
        </w:rPr>
        <w:t>£</w:t>
      </w:r>
      <w:r w:rsidRPr="00F55938">
        <w:rPr>
          <w:rFonts w:asciiTheme="minorHAnsi" w:hAnsiTheme="minorHAnsi"/>
          <w:snapToGrid w:val="0"/>
        </w:rPr>
        <w:t xml:space="preserve"> 250 </w:t>
      </w:r>
      <w:r w:rsidRPr="00F55938">
        <w:rPr>
          <w:rFonts w:ascii="Symbol" w:eastAsia="Symbol" w:hAnsi="Symbol" w:cs="Symbol"/>
          <w:snapToGrid w:val="0"/>
        </w:rPr>
        <w:t>m</w:t>
      </w:r>
      <w:r w:rsidRPr="00F55938">
        <w:rPr>
          <w:rFonts w:asciiTheme="minorHAnsi" w:hAnsiTheme="minorHAnsi"/>
          <w:snapToGrid w:val="0"/>
        </w:rPr>
        <w:t>g/g (indicative of disease remission)</w:t>
      </w:r>
      <w:r w:rsidRPr="00F55938">
        <w:rPr>
          <w:rFonts w:asciiTheme="minorHAnsi" w:hAnsiTheme="minorHAnsi"/>
          <w:snapToGrid w:val="0"/>
          <w:vertAlign w:val="superscript"/>
        </w:rPr>
        <w:t xml:space="preserve"> </w:t>
      </w:r>
      <w:r w:rsidRPr="00F55938">
        <w:rPr>
          <w:rFonts w:asciiTheme="minorHAnsi" w:hAnsiTheme="minorHAnsi"/>
          <w:snapToGrid w:val="0"/>
          <w:vertAlign w:val="superscript"/>
        </w:rPr>
        <w:footnoteReference w:id="21"/>
      </w:r>
      <w:r w:rsidRPr="00F55938">
        <w:rPr>
          <w:rFonts w:asciiTheme="minorHAnsi" w:hAnsiTheme="minorHAnsi"/>
          <w:snapToGrid w:val="0"/>
        </w:rPr>
        <w:t xml:space="preserve">  was not reported. Additionally, it is unclear whether the patients with levels &lt; 250 µg/g at baseline were the same as those with low levels at Week 14 and 34. If these patients are the same, it would suggest that VEDO + SOC did not induce remission as assessed by faecal calprotectin levels. </w:t>
      </w:r>
    </w:p>
    <w:p w14:paraId="271487AB" w14:textId="0A2A7E63" w:rsidR="007F5816" w:rsidRPr="00F55938" w:rsidRDefault="007F5816" w:rsidP="007F5816">
      <w:pPr>
        <w:numPr>
          <w:ilvl w:val="1"/>
          <w:numId w:val="1"/>
        </w:numPr>
        <w:spacing w:after="120"/>
        <w:rPr>
          <w:rFonts w:asciiTheme="minorHAnsi" w:hAnsiTheme="minorHAnsi"/>
          <w:snapToGrid w:val="0"/>
        </w:rPr>
      </w:pPr>
      <w:r w:rsidRPr="00F55938">
        <w:rPr>
          <w:rFonts w:asciiTheme="minorHAnsi" w:hAnsiTheme="minorHAnsi"/>
          <w:snapToGrid w:val="0"/>
        </w:rPr>
        <w:t>Results of pre-specified subgroup analys</w:t>
      </w:r>
      <w:r w:rsidR="00A769AC" w:rsidRPr="00F55938">
        <w:rPr>
          <w:rFonts w:asciiTheme="minorHAnsi" w:hAnsiTheme="minorHAnsi"/>
          <w:snapToGrid w:val="0"/>
        </w:rPr>
        <w:t>e</w:t>
      </w:r>
      <w:r w:rsidRPr="00F55938">
        <w:rPr>
          <w:rFonts w:asciiTheme="minorHAnsi" w:hAnsiTheme="minorHAnsi"/>
          <w:snapToGrid w:val="0"/>
        </w:rPr>
        <w:t xml:space="preserve">s </w:t>
      </w:r>
      <w:r w:rsidR="00C17AA7" w:rsidRPr="00F55938">
        <w:rPr>
          <w:rFonts w:asciiTheme="minorHAnsi" w:hAnsiTheme="minorHAnsi"/>
          <w:snapToGrid w:val="0"/>
        </w:rPr>
        <w:t>suggest</w:t>
      </w:r>
      <w:r w:rsidRPr="00F55938">
        <w:rPr>
          <w:rFonts w:asciiTheme="minorHAnsi" w:hAnsiTheme="minorHAnsi"/>
          <w:snapToGrid w:val="0"/>
        </w:rPr>
        <w:t xml:space="preserve"> that treatment benefit is driven by specific patient characteristics such as patients with recurrent, severe disease, prior anti-TNF exposure for </w:t>
      </w:r>
      <w:r w:rsidR="002841F3" w:rsidRPr="00F55938">
        <w:rPr>
          <w:rFonts w:asciiTheme="minorHAnsi" w:hAnsiTheme="minorHAnsi"/>
          <w:snapToGrid w:val="0"/>
        </w:rPr>
        <w:t>UC</w:t>
      </w:r>
      <w:r w:rsidRPr="00F55938">
        <w:rPr>
          <w:rFonts w:asciiTheme="minorHAnsi" w:hAnsiTheme="minorHAnsi"/>
          <w:snapToGrid w:val="0"/>
        </w:rPr>
        <w:t xml:space="preserve"> or pouchitis, high inflammatory markers, or with treatment started post-colectomy. However, the</w:t>
      </w:r>
      <w:r w:rsidR="00A769AC" w:rsidRPr="00F55938">
        <w:rPr>
          <w:rFonts w:asciiTheme="minorHAnsi" w:hAnsiTheme="minorHAnsi"/>
          <w:snapToGrid w:val="0"/>
        </w:rPr>
        <w:t xml:space="preserve"> ability to draw meaningful conclusions from these analyses are </w:t>
      </w:r>
      <w:r w:rsidRPr="00F55938">
        <w:rPr>
          <w:rFonts w:asciiTheme="minorHAnsi" w:hAnsiTheme="minorHAnsi"/>
          <w:snapToGrid w:val="0"/>
        </w:rPr>
        <w:t xml:space="preserve">limited by small patient numbers. </w:t>
      </w:r>
    </w:p>
    <w:p w14:paraId="59A581F6" w14:textId="3F0544B6" w:rsidR="007F5816" w:rsidRPr="007F5816" w:rsidRDefault="007F5816" w:rsidP="003305CD">
      <w:pPr>
        <w:pStyle w:val="4-SubsectionHeading"/>
      </w:pPr>
      <w:bookmarkStart w:id="63" w:name="_Toc22897642"/>
      <w:bookmarkStart w:id="64" w:name="_Toc107927628"/>
      <w:bookmarkStart w:id="65" w:name="_Toc167264520"/>
      <w:r w:rsidRPr="007F5816">
        <w:t>Comparative harms</w:t>
      </w:r>
      <w:bookmarkEnd w:id="63"/>
      <w:bookmarkEnd w:id="64"/>
      <w:bookmarkEnd w:id="65"/>
    </w:p>
    <w:p w14:paraId="3D77A836" w14:textId="04422749" w:rsidR="007F5816" w:rsidRPr="006B343C" w:rsidRDefault="007F5816" w:rsidP="007F5816">
      <w:pPr>
        <w:numPr>
          <w:ilvl w:val="1"/>
          <w:numId w:val="1"/>
        </w:numPr>
        <w:spacing w:after="120"/>
        <w:rPr>
          <w:rFonts w:asciiTheme="minorHAnsi" w:hAnsiTheme="minorHAnsi"/>
          <w:snapToGrid w:val="0"/>
        </w:rPr>
      </w:pPr>
      <w:r w:rsidRPr="006B343C">
        <w:fldChar w:fldCharType="begin" w:fldLock="1"/>
      </w:r>
      <w:r w:rsidRPr="006B343C">
        <w:instrText xml:space="preserve"> REF _Ref164411206 \h </w:instrText>
      </w:r>
      <w:r w:rsidR="00AA46A1" w:rsidRPr="006B343C">
        <w:instrText xml:space="preserve"> \* MERGEFORMAT </w:instrText>
      </w:r>
      <w:r w:rsidRPr="006B343C">
        <w:fldChar w:fldCharType="separate"/>
      </w:r>
      <w:r w:rsidR="00DC7CC4" w:rsidRPr="00DC7CC4">
        <w:t xml:space="preserve">Table </w:t>
      </w:r>
      <w:r w:rsidR="00DC7CC4">
        <w:rPr>
          <w:rFonts w:ascii="Arial Narrow" w:hAnsi="Arial Narrow"/>
          <w:b/>
          <w:bCs/>
          <w:noProof/>
          <w:sz w:val="20"/>
          <w:szCs w:val="18"/>
        </w:rPr>
        <w:t>7</w:t>
      </w:r>
      <w:r w:rsidRPr="006B343C">
        <w:fldChar w:fldCharType="end"/>
      </w:r>
      <w:r w:rsidRPr="006B343C">
        <w:rPr>
          <w:rFonts w:asciiTheme="minorHAnsi" w:hAnsiTheme="minorHAnsi"/>
          <w:snapToGrid w:val="0"/>
        </w:rPr>
        <w:t xml:space="preserve"> presents the safety outcomes of the EARNEST trial. </w:t>
      </w:r>
    </w:p>
    <w:p w14:paraId="736C183B" w14:textId="77777777" w:rsidR="00561519" w:rsidRDefault="00561519" w:rsidP="00561519">
      <w:pPr>
        <w:keepNext/>
        <w:jc w:val="left"/>
        <w:rPr>
          <w:rFonts w:ascii="Arial Narrow" w:hAnsi="Arial Narrow"/>
          <w:b/>
          <w:bCs/>
          <w:sz w:val="20"/>
          <w:szCs w:val="18"/>
        </w:rPr>
      </w:pPr>
      <w:bookmarkStart w:id="66" w:name="_Ref164411206"/>
      <w:r>
        <w:rPr>
          <w:rFonts w:ascii="Arial Narrow" w:hAnsi="Arial Narrow"/>
          <w:b/>
          <w:bCs/>
          <w:sz w:val="20"/>
          <w:szCs w:val="18"/>
        </w:rPr>
        <w:br w:type="page"/>
      </w:r>
    </w:p>
    <w:p w14:paraId="327D0466" w14:textId="603F31F3" w:rsidR="007F5816" w:rsidRPr="006B343C" w:rsidRDefault="007F5816" w:rsidP="00561519">
      <w:pPr>
        <w:keepNext/>
        <w:jc w:val="left"/>
        <w:rPr>
          <w:rFonts w:ascii="Arial Narrow" w:hAnsi="Arial Narrow"/>
          <w:b/>
          <w:bCs/>
          <w:sz w:val="20"/>
          <w:szCs w:val="18"/>
        </w:rPr>
      </w:pPr>
      <w:r w:rsidRPr="006B343C">
        <w:rPr>
          <w:rFonts w:ascii="Arial Narrow" w:hAnsi="Arial Narrow"/>
          <w:b/>
          <w:bCs/>
          <w:sz w:val="20"/>
          <w:szCs w:val="18"/>
        </w:rPr>
        <w:lastRenderedPageBreak/>
        <w:t xml:space="preserve">Table </w:t>
      </w:r>
      <w:r w:rsidRPr="006B343C">
        <w:rPr>
          <w:rFonts w:ascii="Arial Narrow" w:hAnsi="Arial Narrow"/>
          <w:b/>
          <w:bCs/>
          <w:sz w:val="20"/>
          <w:szCs w:val="18"/>
        </w:rPr>
        <w:fldChar w:fldCharType="begin" w:fldLock="1"/>
      </w:r>
      <w:r w:rsidRPr="006B343C">
        <w:rPr>
          <w:rFonts w:ascii="Arial Narrow" w:hAnsi="Arial Narrow"/>
          <w:b/>
          <w:bCs/>
          <w:sz w:val="20"/>
          <w:szCs w:val="18"/>
        </w:rPr>
        <w:instrText xml:space="preserve"> SEQ Table \* ARABIC </w:instrText>
      </w:r>
      <w:r w:rsidRPr="006B343C">
        <w:rPr>
          <w:rFonts w:ascii="Arial Narrow" w:hAnsi="Arial Narrow"/>
          <w:b/>
          <w:bCs/>
          <w:sz w:val="20"/>
          <w:szCs w:val="18"/>
        </w:rPr>
        <w:fldChar w:fldCharType="separate"/>
      </w:r>
      <w:r w:rsidR="00DC7CC4">
        <w:rPr>
          <w:rFonts w:ascii="Arial Narrow" w:hAnsi="Arial Narrow"/>
          <w:b/>
          <w:bCs/>
          <w:noProof/>
          <w:sz w:val="20"/>
          <w:szCs w:val="18"/>
        </w:rPr>
        <w:t>7</w:t>
      </w:r>
      <w:r w:rsidRPr="006B343C">
        <w:rPr>
          <w:rFonts w:ascii="Arial Narrow" w:hAnsi="Arial Narrow"/>
          <w:b/>
          <w:bCs/>
          <w:sz w:val="20"/>
          <w:szCs w:val="18"/>
        </w:rPr>
        <w:fldChar w:fldCharType="end"/>
      </w:r>
      <w:bookmarkEnd w:id="66"/>
      <w:r w:rsidRPr="006B343C">
        <w:rPr>
          <w:rFonts w:ascii="Arial Narrow" w:hAnsi="Arial Narrow"/>
          <w:b/>
          <w:bCs/>
          <w:sz w:val="20"/>
          <w:szCs w:val="18"/>
        </w:rPr>
        <w:t>: Summary of key adverse events in the randomised trials, SAF</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key adverse events in the randomised trials, SAF"/>
      </w:tblPr>
      <w:tblGrid>
        <w:gridCol w:w="4074"/>
        <w:gridCol w:w="2471"/>
        <w:gridCol w:w="2472"/>
      </w:tblGrid>
      <w:tr w:rsidR="007F5816" w:rsidRPr="006B343C" w14:paraId="4994E998" w14:textId="77777777" w:rsidTr="00472B3E">
        <w:trPr>
          <w:cantSplit/>
          <w:tblHeader/>
        </w:trPr>
        <w:tc>
          <w:tcPr>
            <w:tcW w:w="2259" w:type="pct"/>
            <w:shd w:val="clear" w:color="auto" w:fill="auto"/>
          </w:tcPr>
          <w:p w14:paraId="011E7C4C" w14:textId="77777777" w:rsidR="007F5816" w:rsidRPr="006B343C" w:rsidRDefault="007F5816" w:rsidP="00561519">
            <w:pPr>
              <w:keepNext/>
              <w:keepLines/>
              <w:jc w:val="left"/>
              <w:rPr>
                <w:rFonts w:ascii="Arial Narrow" w:eastAsiaTheme="majorEastAsia" w:hAnsi="Arial Narrow" w:cstheme="majorBidi"/>
                <w:b/>
                <w:bCs/>
                <w:sz w:val="20"/>
                <w:lang w:val="en-US"/>
              </w:rPr>
            </w:pPr>
          </w:p>
        </w:tc>
        <w:tc>
          <w:tcPr>
            <w:tcW w:w="1370" w:type="pct"/>
            <w:shd w:val="clear" w:color="auto" w:fill="auto"/>
          </w:tcPr>
          <w:p w14:paraId="09932EC7"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
                <w:bCs/>
                <w:sz w:val="20"/>
                <w:lang w:val="en-US"/>
              </w:rPr>
              <w:t>VEDO + SOC (N=51), n (%)</w:t>
            </w:r>
          </w:p>
        </w:tc>
        <w:tc>
          <w:tcPr>
            <w:tcW w:w="1371" w:type="pct"/>
            <w:shd w:val="clear" w:color="auto" w:fill="auto"/>
          </w:tcPr>
          <w:p w14:paraId="6E76407D"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
                <w:bCs/>
                <w:sz w:val="20"/>
                <w:lang w:val="en-US"/>
              </w:rPr>
              <w:t>PBO + SOC (N=51), n (%)</w:t>
            </w:r>
          </w:p>
        </w:tc>
      </w:tr>
      <w:tr w:rsidR="007F5816" w:rsidRPr="006B343C" w14:paraId="292A08F0" w14:textId="77777777">
        <w:tc>
          <w:tcPr>
            <w:tcW w:w="2259" w:type="pct"/>
            <w:shd w:val="clear" w:color="auto" w:fill="auto"/>
          </w:tcPr>
          <w:p w14:paraId="70D236EB" w14:textId="77777777" w:rsidR="007F5816" w:rsidRPr="006B343C" w:rsidRDefault="007F5816" w:rsidP="00561519">
            <w:pPr>
              <w:keepNext/>
              <w:keepLines/>
              <w:jc w:val="left"/>
              <w:rPr>
                <w:rFonts w:ascii="Arial Narrow" w:eastAsiaTheme="majorEastAsia" w:hAnsi="Arial Narrow" w:cstheme="majorBidi"/>
                <w:b/>
                <w:bCs/>
                <w:sz w:val="20"/>
                <w:lang w:val="en-US"/>
              </w:rPr>
            </w:pPr>
            <w:r w:rsidRPr="006B343C">
              <w:rPr>
                <w:rFonts w:ascii="Arial Narrow" w:eastAsiaTheme="majorEastAsia" w:hAnsi="Arial Narrow" w:cstheme="majorBidi"/>
                <w:b/>
                <w:bCs/>
                <w:sz w:val="20"/>
                <w:lang w:val="en-US"/>
              </w:rPr>
              <w:t>TEAEs</w:t>
            </w:r>
          </w:p>
        </w:tc>
        <w:tc>
          <w:tcPr>
            <w:tcW w:w="1370" w:type="pct"/>
            <w:shd w:val="clear" w:color="auto" w:fill="auto"/>
          </w:tcPr>
          <w:p w14:paraId="4B91D93F"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47 (92.2)</w:t>
            </w:r>
          </w:p>
        </w:tc>
        <w:tc>
          <w:tcPr>
            <w:tcW w:w="1371" w:type="pct"/>
            <w:shd w:val="clear" w:color="auto" w:fill="auto"/>
          </w:tcPr>
          <w:p w14:paraId="354813BD"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44 (86.3)</w:t>
            </w:r>
          </w:p>
        </w:tc>
      </w:tr>
      <w:tr w:rsidR="007F5816" w:rsidRPr="006B343C" w14:paraId="32F01B2C" w14:textId="77777777">
        <w:tc>
          <w:tcPr>
            <w:tcW w:w="2259" w:type="pct"/>
            <w:shd w:val="clear" w:color="auto" w:fill="auto"/>
          </w:tcPr>
          <w:p w14:paraId="4CA59968"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Mild</w:t>
            </w:r>
          </w:p>
        </w:tc>
        <w:tc>
          <w:tcPr>
            <w:tcW w:w="1370" w:type="pct"/>
            <w:shd w:val="clear" w:color="auto" w:fill="auto"/>
          </w:tcPr>
          <w:p w14:paraId="07FB09CB"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15 (29.4)</w:t>
            </w:r>
          </w:p>
        </w:tc>
        <w:tc>
          <w:tcPr>
            <w:tcW w:w="1371" w:type="pct"/>
            <w:shd w:val="clear" w:color="auto" w:fill="auto"/>
          </w:tcPr>
          <w:p w14:paraId="44B37083"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11 (21.6)</w:t>
            </w:r>
          </w:p>
        </w:tc>
      </w:tr>
      <w:tr w:rsidR="007F5816" w:rsidRPr="006B343C" w14:paraId="2E4A766F" w14:textId="77777777">
        <w:tc>
          <w:tcPr>
            <w:tcW w:w="2259" w:type="pct"/>
            <w:shd w:val="clear" w:color="auto" w:fill="auto"/>
          </w:tcPr>
          <w:p w14:paraId="404F28B2"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Moderate</w:t>
            </w:r>
          </w:p>
        </w:tc>
        <w:tc>
          <w:tcPr>
            <w:tcW w:w="1370" w:type="pct"/>
            <w:shd w:val="clear" w:color="auto" w:fill="auto"/>
          </w:tcPr>
          <w:p w14:paraId="37D919F8"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29 (56.9)</w:t>
            </w:r>
          </w:p>
        </w:tc>
        <w:tc>
          <w:tcPr>
            <w:tcW w:w="1371" w:type="pct"/>
            <w:shd w:val="clear" w:color="auto" w:fill="auto"/>
          </w:tcPr>
          <w:p w14:paraId="1EC608C0"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28 (54.9)</w:t>
            </w:r>
          </w:p>
        </w:tc>
      </w:tr>
      <w:tr w:rsidR="007F5816" w:rsidRPr="006B343C" w14:paraId="603A1A79" w14:textId="77777777">
        <w:tc>
          <w:tcPr>
            <w:tcW w:w="2259" w:type="pct"/>
            <w:shd w:val="clear" w:color="auto" w:fill="auto"/>
          </w:tcPr>
          <w:p w14:paraId="79AE3B24"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Severe</w:t>
            </w:r>
          </w:p>
        </w:tc>
        <w:tc>
          <w:tcPr>
            <w:tcW w:w="1370" w:type="pct"/>
            <w:shd w:val="clear" w:color="auto" w:fill="auto"/>
          </w:tcPr>
          <w:p w14:paraId="2C1FC479"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c>
          <w:tcPr>
            <w:tcW w:w="1371" w:type="pct"/>
            <w:shd w:val="clear" w:color="auto" w:fill="auto"/>
          </w:tcPr>
          <w:p w14:paraId="59C11B1D"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5 (9.8)</w:t>
            </w:r>
          </w:p>
        </w:tc>
      </w:tr>
      <w:tr w:rsidR="007F5816" w:rsidRPr="006B343C" w14:paraId="0EB6E2C4" w14:textId="77777777">
        <w:tc>
          <w:tcPr>
            <w:tcW w:w="2259" w:type="pct"/>
            <w:shd w:val="clear" w:color="auto" w:fill="auto"/>
          </w:tcPr>
          <w:p w14:paraId="30168639"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Related</w:t>
            </w:r>
          </w:p>
        </w:tc>
        <w:tc>
          <w:tcPr>
            <w:tcW w:w="1370" w:type="pct"/>
            <w:shd w:val="clear" w:color="auto" w:fill="auto"/>
          </w:tcPr>
          <w:p w14:paraId="6B28129E"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12 (23.5)</w:t>
            </w:r>
          </w:p>
        </w:tc>
        <w:tc>
          <w:tcPr>
            <w:tcW w:w="1371" w:type="pct"/>
            <w:shd w:val="clear" w:color="auto" w:fill="auto"/>
          </w:tcPr>
          <w:p w14:paraId="7B5F3666"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11 (21.6)</w:t>
            </w:r>
          </w:p>
        </w:tc>
      </w:tr>
      <w:tr w:rsidR="007F5816" w:rsidRPr="006B343C" w14:paraId="698C7FA4" w14:textId="77777777">
        <w:tc>
          <w:tcPr>
            <w:tcW w:w="2259" w:type="pct"/>
            <w:shd w:val="clear" w:color="auto" w:fill="auto"/>
          </w:tcPr>
          <w:p w14:paraId="1926287C"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Not related</w:t>
            </w:r>
          </w:p>
        </w:tc>
        <w:tc>
          <w:tcPr>
            <w:tcW w:w="1370" w:type="pct"/>
            <w:shd w:val="clear" w:color="auto" w:fill="auto"/>
          </w:tcPr>
          <w:p w14:paraId="67EBE81F"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35 (68.6)</w:t>
            </w:r>
          </w:p>
        </w:tc>
        <w:tc>
          <w:tcPr>
            <w:tcW w:w="1371" w:type="pct"/>
            <w:shd w:val="clear" w:color="auto" w:fill="auto"/>
          </w:tcPr>
          <w:p w14:paraId="6034ED9D"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33 (64.7)</w:t>
            </w:r>
          </w:p>
        </w:tc>
      </w:tr>
      <w:tr w:rsidR="007F5816" w:rsidRPr="006B343C" w14:paraId="7B6DB5FB" w14:textId="77777777">
        <w:tc>
          <w:tcPr>
            <w:tcW w:w="2259" w:type="pct"/>
            <w:shd w:val="clear" w:color="auto" w:fill="auto"/>
          </w:tcPr>
          <w:p w14:paraId="4E09AE17"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Leading to study drug discontinuation</w:t>
            </w:r>
          </w:p>
        </w:tc>
        <w:tc>
          <w:tcPr>
            <w:tcW w:w="1370" w:type="pct"/>
            <w:shd w:val="clear" w:color="auto" w:fill="auto"/>
          </w:tcPr>
          <w:p w14:paraId="64687754"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 (2.0)</w:t>
            </w:r>
          </w:p>
        </w:tc>
        <w:tc>
          <w:tcPr>
            <w:tcW w:w="1371" w:type="pct"/>
            <w:shd w:val="clear" w:color="auto" w:fill="auto"/>
          </w:tcPr>
          <w:p w14:paraId="16B6BC97"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5 (9.8)</w:t>
            </w:r>
          </w:p>
        </w:tc>
      </w:tr>
      <w:tr w:rsidR="007F5816" w:rsidRPr="006B343C" w14:paraId="174FF2C7" w14:textId="77777777">
        <w:tc>
          <w:tcPr>
            <w:tcW w:w="2259" w:type="pct"/>
            <w:shd w:val="clear" w:color="auto" w:fill="auto"/>
          </w:tcPr>
          <w:p w14:paraId="3AEB692D" w14:textId="77777777" w:rsidR="007F5816" w:rsidRPr="006B343C" w:rsidRDefault="007F5816" w:rsidP="00561519">
            <w:pPr>
              <w:keepNext/>
              <w:keepLines/>
              <w:jc w:val="left"/>
              <w:rPr>
                <w:rFonts w:ascii="Arial Narrow" w:eastAsiaTheme="majorEastAsia" w:hAnsi="Arial Narrow" w:cstheme="majorBidi"/>
                <w:b/>
                <w:bCs/>
                <w:sz w:val="20"/>
                <w:lang w:val="en-US"/>
              </w:rPr>
            </w:pPr>
            <w:r w:rsidRPr="006B343C">
              <w:rPr>
                <w:rFonts w:ascii="Arial Narrow" w:eastAsiaTheme="majorEastAsia" w:hAnsi="Arial Narrow" w:cstheme="majorBidi"/>
                <w:b/>
                <w:bCs/>
                <w:sz w:val="20"/>
                <w:lang w:val="en-US"/>
              </w:rPr>
              <w:t>Related TEAEs</w:t>
            </w:r>
          </w:p>
        </w:tc>
        <w:tc>
          <w:tcPr>
            <w:tcW w:w="1370" w:type="pct"/>
            <w:shd w:val="clear" w:color="auto" w:fill="auto"/>
          </w:tcPr>
          <w:p w14:paraId="742EBB16"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12 (23.5)</w:t>
            </w:r>
          </w:p>
        </w:tc>
        <w:tc>
          <w:tcPr>
            <w:tcW w:w="1371" w:type="pct"/>
            <w:shd w:val="clear" w:color="auto" w:fill="auto"/>
          </w:tcPr>
          <w:p w14:paraId="3FCC2FBB"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11 (21.6)</w:t>
            </w:r>
          </w:p>
        </w:tc>
      </w:tr>
      <w:tr w:rsidR="007F5816" w:rsidRPr="006B343C" w14:paraId="1F0A0C38" w14:textId="77777777">
        <w:tc>
          <w:tcPr>
            <w:tcW w:w="2259" w:type="pct"/>
            <w:shd w:val="clear" w:color="auto" w:fill="auto"/>
          </w:tcPr>
          <w:p w14:paraId="71216799"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Mild</w:t>
            </w:r>
          </w:p>
        </w:tc>
        <w:tc>
          <w:tcPr>
            <w:tcW w:w="1370" w:type="pct"/>
            <w:shd w:val="clear" w:color="auto" w:fill="auto"/>
          </w:tcPr>
          <w:p w14:paraId="29905856"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8 (15.7)</w:t>
            </w:r>
          </w:p>
        </w:tc>
        <w:tc>
          <w:tcPr>
            <w:tcW w:w="1371" w:type="pct"/>
            <w:shd w:val="clear" w:color="auto" w:fill="auto"/>
          </w:tcPr>
          <w:p w14:paraId="2199A98B"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6 (11.8)</w:t>
            </w:r>
          </w:p>
        </w:tc>
      </w:tr>
      <w:tr w:rsidR="007F5816" w:rsidRPr="006B343C" w14:paraId="3565C5DB" w14:textId="77777777">
        <w:tc>
          <w:tcPr>
            <w:tcW w:w="2259" w:type="pct"/>
            <w:shd w:val="clear" w:color="auto" w:fill="auto"/>
          </w:tcPr>
          <w:p w14:paraId="5F838833"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Moderate</w:t>
            </w:r>
          </w:p>
        </w:tc>
        <w:tc>
          <w:tcPr>
            <w:tcW w:w="1370" w:type="pct"/>
            <w:shd w:val="clear" w:color="auto" w:fill="auto"/>
          </w:tcPr>
          <w:p w14:paraId="540CEDC9"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4 (7.8)</w:t>
            </w:r>
          </w:p>
        </w:tc>
        <w:tc>
          <w:tcPr>
            <w:tcW w:w="1371" w:type="pct"/>
            <w:shd w:val="clear" w:color="auto" w:fill="auto"/>
          </w:tcPr>
          <w:p w14:paraId="0F0B0905"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r>
      <w:tr w:rsidR="007F5816" w:rsidRPr="006B343C" w14:paraId="0C1E36B8" w14:textId="77777777">
        <w:tc>
          <w:tcPr>
            <w:tcW w:w="2259" w:type="pct"/>
            <w:shd w:val="clear" w:color="auto" w:fill="auto"/>
          </w:tcPr>
          <w:p w14:paraId="1C642F83"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Severe</w:t>
            </w:r>
          </w:p>
        </w:tc>
        <w:tc>
          <w:tcPr>
            <w:tcW w:w="1370" w:type="pct"/>
            <w:shd w:val="clear" w:color="auto" w:fill="auto"/>
          </w:tcPr>
          <w:p w14:paraId="4A7F7CF8"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w:t>
            </w:r>
          </w:p>
        </w:tc>
        <w:tc>
          <w:tcPr>
            <w:tcW w:w="1371" w:type="pct"/>
            <w:shd w:val="clear" w:color="auto" w:fill="auto"/>
          </w:tcPr>
          <w:p w14:paraId="17EA21C5"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 (3.9)</w:t>
            </w:r>
          </w:p>
        </w:tc>
      </w:tr>
      <w:tr w:rsidR="007F5816" w:rsidRPr="006B343C" w14:paraId="374A2CBE" w14:textId="77777777">
        <w:tc>
          <w:tcPr>
            <w:tcW w:w="2259" w:type="pct"/>
            <w:shd w:val="clear" w:color="auto" w:fill="auto"/>
          </w:tcPr>
          <w:p w14:paraId="7E25F480" w14:textId="77777777" w:rsidR="007F5816" w:rsidRPr="006B343C" w:rsidRDefault="007F5816" w:rsidP="00561519">
            <w:pPr>
              <w:keepNext/>
              <w:keepLines/>
              <w:jc w:val="left"/>
              <w:rPr>
                <w:rFonts w:ascii="Arial Narrow" w:eastAsiaTheme="majorEastAsia" w:hAnsi="Arial Narrow" w:cstheme="majorBidi"/>
                <w:b/>
                <w:bCs/>
                <w:sz w:val="20"/>
                <w:lang w:val="en-US"/>
              </w:rPr>
            </w:pPr>
            <w:r w:rsidRPr="006B343C">
              <w:rPr>
                <w:rFonts w:ascii="Arial Narrow" w:eastAsiaTheme="majorEastAsia" w:hAnsi="Arial Narrow" w:cstheme="majorBidi"/>
                <w:b/>
                <w:bCs/>
                <w:sz w:val="20"/>
                <w:lang w:val="en-US"/>
              </w:rPr>
              <w:t>Serious TEAEs</w:t>
            </w:r>
          </w:p>
        </w:tc>
        <w:tc>
          <w:tcPr>
            <w:tcW w:w="1370" w:type="pct"/>
            <w:shd w:val="clear" w:color="auto" w:fill="auto"/>
          </w:tcPr>
          <w:p w14:paraId="1121D388"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c>
          <w:tcPr>
            <w:tcW w:w="1371" w:type="pct"/>
            <w:shd w:val="clear" w:color="auto" w:fill="auto"/>
          </w:tcPr>
          <w:p w14:paraId="59BCB3CA"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4 (7.8)</w:t>
            </w:r>
          </w:p>
        </w:tc>
      </w:tr>
      <w:tr w:rsidR="007F5816" w:rsidRPr="006B343C" w14:paraId="1587A357" w14:textId="77777777">
        <w:tc>
          <w:tcPr>
            <w:tcW w:w="2259" w:type="pct"/>
            <w:shd w:val="clear" w:color="auto" w:fill="auto"/>
          </w:tcPr>
          <w:p w14:paraId="33A33F21"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Related</w:t>
            </w:r>
          </w:p>
        </w:tc>
        <w:tc>
          <w:tcPr>
            <w:tcW w:w="1370" w:type="pct"/>
            <w:shd w:val="clear" w:color="auto" w:fill="auto"/>
          </w:tcPr>
          <w:p w14:paraId="18B9A11E"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w:t>
            </w:r>
          </w:p>
        </w:tc>
        <w:tc>
          <w:tcPr>
            <w:tcW w:w="1371" w:type="pct"/>
            <w:shd w:val="clear" w:color="auto" w:fill="auto"/>
          </w:tcPr>
          <w:p w14:paraId="2466C45B"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 (2.0)</w:t>
            </w:r>
          </w:p>
        </w:tc>
      </w:tr>
      <w:tr w:rsidR="007F5816" w:rsidRPr="006B343C" w14:paraId="3C4FFEC2" w14:textId="77777777">
        <w:tc>
          <w:tcPr>
            <w:tcW w:w="2259" w:type="pct"/>
            <w:shd w:val="clear" w:color="auto" w:fill="auto"/>
          </w:tcPr>
          <w:p w14:paraId="0F91F0A3"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Not related</w:t>
            </w:r>
          </w:p>
        </w:tc>
        <w:tc>
          <w:tcPr>
            <w:tcW w:w="1370" w:type="pct"/>
            <w:shd w:val="clear" w:color="auto" w:fill="auto"/>
          </w:tcPr>
          <w:p w14:paraId="6CC9613F"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c>
          <w:tcPr>
            <w:tcW w:w="1371" w:type="pct"/>
            <w:shd w:val="clear" w:color="auto" w:fill="auto"/>
          </w:tcPr>
          <w:p w14:paraId="04A4AB65"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r>
      <w:tr w:rsidR="007F5816" w:rsidRPr="006B343C" w14:paraId="1C8B730A" w14:textId="77777777">
        <w:tc>
          <w:tcPr>
            <w:tcW w:w="2259" w:type="pct"/>
            <w:shd w:val="clear" w:color="auto" w:fill="auto"/>
          </w:tcPr>
          <w:p w14:paraId="63ED33BD"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Leading to study drug discontinuation</w:t>
            </w:r>
          </w:p>
        </w:tc>
        <w:tc>
          <w:tcPr>
            <w:tcW w:w="1370" w:type="pct"/>
            <w:shd w:val="clear" w:color="auto" w:fill="auto"/>
          </w:tcPr>
          <w:p w14:paraId="1DE6BCA5"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w:t>
            </w:r>
          </w:p>
        </w:tc>
        <w:tc>
          <w:tcPr>
            <w:tcW w:w="1371" w:type="pct"/>
            <w:shd w:val="clear" w:color="auto" w:fill="auto"/>
          </w:tcPr>
          <w:p w14:paraId="37DFB765"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w:t>
            </w:r>
          </w:p>
        </w:tc>
      </w:tr>
      <w:tr w:rsidR="007F5816" w:rsidRPr="006B343C" w14:paraId="348BFD37" w14:textId="77777777">
        <w:tc>
          <w:tcPr>
            <w:tcW w:w="5000" w:type="pct"/>
            <w:gridSpan w:val="3"/>
            <w:shd w:val="clear" w:color="auto" w:fill="auto"/>
          </w:tcPr>
          <w:p w14:paraId="2CC8F5D7"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
                <w:bCs/>
                <w:sz w:val="20"/>
              </w:rPr>
              <w:t>Summary of most frequently reported TEAEs (≥5% patients in any treatment group of any grade)</w:t>
            </w:r>
          </w:p>
        </w:tc>
      </w:tr>
      <w:tr w:rsidR="007F5816" w:rsidRPr="006B343C" w14:paraId="675E0B34" w14:textId="77777777">
        <w:tc>
          <w:tcPr>
            <w:tcW w:w="2259" w:type="pct"/>
            <w:shd w:val="clear" w:color="auto" w:fill="auto"/>
          </w:tcPr>
          <w:p w14:paraId="797E0516" w14:textId="77777777" w:rsidR="007F5816" w:rsidRPr="006B343C" w:rsidRDefault="007F5816" w:rsidP="00561519">
            <w:pPr>
              <w:keepNext/>
              <w:keepLines/>
              <w:jc w:val="left"/>
              <w:rPr>
                <w:rFonts w:ascii="Arial Narrow" w:eastAsiaTheme="majorEastAsia" w:hAnsi="Arial Narrow" w:cstheme="majorBidi"/>
                <w:bCs/>
                <w:sz w:val="20"/>
                <w:vertAlign w:val="superscript"/>
                <w:lang w:val="en-US"/>
              </w:rPr>
            </w:pPr>
            <w:r w:rsidRPr="006B343C">
              <w:rPr>
                <w:rFonts w:ascii="Arial Narrow" w:eastAsiaTheme="majorEastAsia" w:hAnsi="Arial Narrow" w:cstheme="majorBidi"/>
                <w:bCs/>
                <w:sz w:val="20"/>
                <w:lang w:val="en-US"/>
              </w:rPr>
              <w:t>Pouchitis</w:t>
            </w:r>
            <w:r w:rsidRPr="006B343C">
              <w:rPr>
                <w:rFonts w:ascii="Arial Narrow" w:eastAsiaTheme="majorEastAsia" w:hAnsi="Arial Narrow" w:cstheme="majorBidi"/>
                <w:bCs/>
                <w:sz w:val="20"/>
                <w:vertAlign w:val="superscript"/>
                <w:lang w:val="en-US"/>
              </w:rPr>
              <w:t>a</w:t>
            </w:r>
          </w:p>
        </w:tc>
        <w:tc>
          <w:tcPr>
            <w:tcW w:w="1370" w:type="pct"/>
            <w:shd w:val="clear" w:color="auto" w:fill="auto"/>
          </w:tcPr>
          <w:p w14:paraId="72962296"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24 (47.1)</w:t>
            </w:r>
          </w:p>
        </w:tc>
        <w:tc>
          <w:tcPr>
            <w:tcW w:w="1371" w:type="pct"/>
            <w:shd w:val="clear" w:color="auto" w:fill="auto"/>
          </w:tcPr>
          <w:p w14:paraId="04B9CF9A"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20 (39.2)</w:t>
            </w:r>
          </w:p>
        </w:tc>
      </w:tr>
      <w:tr w:rsidR="007F5816" w:rsidRPr="006B343C" w14:paraId="440BA786" w14:textId="77777777">
        <w:tc>
          <w:tcPr>
            <w:tcW w:w="2259" w:type="pct"/>
            <w:shd w:val="clear" w:color="auto" w:fill="auto"/>
          </w:tcPr>
          <w:p w14:paraId="1DE0B5F1"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Arthralgia</w:t>
            </w:r>
          </w:p>
        </w:tc>
        <w:tc>
          <w:tcPr>
            <w:tcW w:w="1370" w:type="pct"/>
            <w:shd w:val="clear" w:color="auto" w:fill="auto"/>
          </w:tcPr>
          <w:p w14:paraId="50B08F2E"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7 (13.7)</w:t>
            </w:r>
          </w:p>
        </w:tc>
        <w:tc>
          <w:tcPr>
            <w:tcW w:w="1371" w:type="pct"/>
            <w:shd w:val="clear" w:color="auto" w:fill="auto"/>
          </w:tcPr>
          <w:p w14:paraId="2071AD22"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9 (17.6)</w:t>
            </w:r>
          </w:p>
        </w:tc>
      </w:tr>
      <w:tr w:rsidR="007F5816" w:rsidRPr="006B343C" w14:paraId="30457510" w14:textId="77777777">
        <w:tc>
          <w:tcPr>
            <w:tcW w:w="2259" w:type="pct"/>
            <w:shd w:val="clear" w:color="auto" w:fill="auto"/>
          </w:tcPr>
          <w:p w14:paraId="0E26A609"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Headache</w:t>
            </w:r>
          </w:p>
        </w:tc>
        <w:tc>
          <w:tcPr>
            <w:tcW w:w="1370" w:type="pct"/>
            <w:shd w:val="clear" w:color="auto" w:fill="auto"/>
          </w:tcPr>
          <w:p w14:paraId="7BBC5F63"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10 (19.6)</w:t>
            </w:r>
          </w:p>
        </w:tc>
        <w:tc>
          <w:tcPr>
            <w:tcW w:w="1371" w:type="pct"/>
            <w:shd w:val="clear" w:color="auto" w:fill="auto"/>
          </w:tcPr>
          <w:p w14:paraId="04A45B0B"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r>
      <w:tr w:rsidR="007F5816" w:rsidRPr="006B343C" w14:paraId="73377E58" w14:textId="77777777">
        <w:tc>
          <w:tcPr>
            <w:tcW w:w="2259" w:type="pct"/>
            <w:shd w:val="clear" w:color="auto" w:fill="auto"/>
          </w:tcPr>
          <w:p w14:paraId="73A8A5E6"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Nasopharyngitis</w:t>
            </w:r>
          </w:p>
        </w:tc>
        <w:tc>
          <w:tcPr>
            <w:tcW w:w="1370" w:type="pct"/>
            <w:shd w:val="clear" w:color="auto" w:fill="auto"/>
          </w:tcPr>
          <w:p w14:paraId="27F16683"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6 (11.8)</w:t>
            </w:r>
          </w:p>
        </w:tc>
        <w:tc>
          <w:tcPr>
            <w:tcW w:w="1371" w:type="pct"/>
            <w:shd w:val="clear" w:color="auto" w:fill="auto"/>
          </w:tcPr>
          <w:p w14:paraId="72F6701A"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6 (11.8)</w:t>
            </w:r>
          </w:p>
        </w:tc>
      </w:tr>
      <w:tr w:rsidR="007F5816" w:rsidRPr="006B343C" w14:paraId="068C0B5C" w14:textId="77777777">
        <w:tc>
          <w:tcPr>
            <w:tcW w:w="2259" w:type="pct"/>
            <w:shd w:val="clear" w:color="auto" w:fill="auto"/>
          </w:tcPr>
          <w:p w14:paraId="32F6DB33"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Nausea</w:t>
            </w:r>
          </w:p>
        </w:tc>
        <w:tc>
          <w:tcPr>
            <w:tcW w:w="1370" w:type="pct"/>
            <w:shd w:val="clear" w:color="auto" w:fill="auto"/>
          </w:tcPr>
          <w:p w14:paraId="4343F64A"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5 (9.8)</w:t>
            </w:r>
          </w:p>
        </w:tc>
        <w:tc>
          <w:tcPr>
            <w:tcW w:w="1371" w:type="pct"/>
            <w:shd w:val="clear" w:color="auto" w:fill="auto"/>
          </w:tcPr>
          <w:p w14:paraId="214C48A8"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5 (9.8)</w:t>
            </w:r>
          </w:p>
        </w:tc>
      </w:tr>
      <w:tr w:rsidR="007F5816" w:rsidRPr="006B343C" w14:paraId="4D3386DA" w14:textId="77777777">
        <w:tc>
          <w:tcPr>
            <w:tcW w:w="2259" w:type="pct"/>
            <w:shd w:val="clear" w:color="auto" w:fill="auto"/>
          </w:tcPr>
          <w:p w14:paraId="459C6FFC"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Abdominal pain</w:t>
            </w:r>
          </w:p>
        </w:tc>
        <w:tc>
          <w:tcPr>
            <w:tcW w:w="1370" w:type="pct"/>
            <w:shd w:val="clear" w:color="auto" w:fill="auto"/>
          </w:tcPr>
          <w:p w14:paraId="1D80ECCB"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4 (7.8)</w:t>
            </w:r>
          </w:p>
        </w:tc>
        <w:tc>
          <w:tcPr>
            <w:tcW w:w="1371" w:type="pct"/>
            <w:shd w:val="clear" w:color="auto" w:fill="auto"/>
          </w:tcPr>
          <w:p w14:paraId="7608DDD7"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r>
      <w:tr w:rsidR="007F5816" w:rsidRPr="006B343C" w14:paraId="07923AB5" w14:textId="77777777">
        <w:tc>
          <w:tcPr>
            <w:tcW w:w="2259" w:type="pct"/>
            <w:shd w:val="clear" w:color="auto" w:fill="auto"/>
          </w:tcPr>
          <w:p w14:paraId="4CC93BE0"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Back pain</w:t>
            </w:r>
          </w:p>
        </w:tc>
        <w:tc>
          <w:tcPr>
            <w:tcW w:w="1370" w:type="pct"/>
            <w:shd w:val="clear" w:color="auto" w:fill="auto"/>
          </w:tcPr>
          <w:p w14:paraId="5F0AE2AE"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 (3.9)</w:t>
            </w:r>
          </w:p>
        </w:tc>
        <w:tc>
          <w:tcPr>
            <w:tcW w:w="1371" w:type="pct"/>
            <w:shd w:val="clear" w:color="auto" w:fill="auto"/>
          </w:tcPr>
          <w:p w14:paraId="3FA7130A"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5 (9.8)</w:t>
            </w:r>
          </w:p>
        </w:tc>
      </w:tr>
      <w:tr w:rsidR="007F5816" w:rsidRPr="006B343C" w14:paraId="4BEAD912" w14:textId="77777777">
        <w:tc>
          <w:tcPr>
            <w:tcW w:w="2259" w:type="pct"/>
            <w:shd w:val="clear" w:color="auto" w:fill="auto"/>
          </w:tcPr>
          <w:p w14:paraId="0FE2DD97"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Frequent bowel movements</w:t>
            </w:r>
          </w:p>
        </w:tc>
        <w:tc>
          <w:tcPr>
            <w:tcW w:w="1370" w:type="pct"/>
            <w:shd w:val="clear" w:color="auto" w:fill="auto"/>
          </w:tcPr>
          <w:p w14:paraId="0D5BA74D"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4 (7.8)</w:t>
            </w:r>
          </w:p>
        </w:tc>
        <w:tc>
          <w:tcPr>
            <w:tcW w:w="1371" w:type="pct"/>
            <w:shd w:val="clear" w:color="auto" w:fill="auto"/>
          </w:tcPr>
          <w:p w14:paraId="102DE65B"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 (3.9)</w:t>
            </w:r>
          </w:p>
        </w:tc>
      </w:tr>
      <w:tr w:rsidR="007F5816" w:rsidRPr="006B343C" w14:paraId="548B4A17" w14:textId="77777777">
        <w:tc>
          <w:tcPr>
            <w:tcW w:w="2259" w:type="pct"/>
            <w:shd w:val="clear" w:color="auto" w:fill="auto"/>
          </w:tcPr>
          <w:p w14:paraId="0B96613B"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Upper respiratory tract infection</w:t>
            </w:r>
          </w:p>
        </w:tc>
        <w:tc>
          <w:tcPr>
            <w:tcW w:w="1370" w:type="pct"/>
            <w:shd w:val="clear" w:color="auto" w:fill="auto"/>
          </w:tcPr>
          <w:p w14:paraId="231CD82C"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5 (9.8)</w:t>
            </w:r>
          </w:p>
        </w:tc>
        <w:tc>
          <w:tcPr>
            <w:tcW w:w="1371" w:type="pct"/>
            <w:shd w:val="clear" w:color="auto" w:fill="auto"/>
          </w:tcPr>
          <w:p w14:paraId="249DCB41"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 (2.0)</w:t>
            </w:r>
          </w:p>
        </w:tc>
      </w:tr>
      <w:tr w:rsidR="007F5816" w:rsidRPr="006B343C" w14:paraId="58B3BF84" w14:textId="77777777">
        <w:tc>
          <w:tcPr>
            <w:tcW w:w="2259" w:type="pct"/>
            <w:shd w:val="clear" w:color="auto" w:fill="auto"/>
          </w:tcPr>
          <w:p w14:paraId="7EA62726"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Gastroenteritis</w:t>
            </w:r>
          </w:p>
        </w:tc>
        <w:tc>
          <w:tcPr>
            <w:tcW w:w="1370" w:type="pct"/>
            <w:shd w:val="clear" w:color="auto" w:fill="auto"/>
          </w:tcPr>
          <w:p w14:paraId="4738D1FE"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 (3.9)</w:t>
            </w:r>
          </w:p>
        </w:tc>
        <w:tc>
          <w:tcPr>
            <w:tcW w:w="1371" w:type="pct"/>
            <w:shd w:val="clear" w:color="auto" w:fill="auto"/>
          </w:tcPr>
          <w:p w14:paraId="69DCDA68"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r>
      <w:tr w:rsidR="007F5816" w:rsidRPr="006B343C" w14:paraId="1111FDBE" w14:textId="77777777">
        <w:tc>
          <w:tcPr>
            <w:tcW w:w="2259" w:type="pct"/>
            <w:shd w:val="clear" w:color="auto" w:fill="auto"/>
          </w:tcPr>
          <w:p w14:paraId="02C70ED6"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Influenza</w:t>
            </w:r>
          </w:p>
        </w:tc>
        <w:tc>
          <w:tcPr>
            <w:tcW w:w="1370" w:type="pct"/>
            <w:shd w:val="clear" w:color="auto" w:fill="auto"/>
          </w:tcPr>
          <w:p w14:paraId="2990E017"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4 (7.8)</w:t>
            </w:r>
          </w:p>
        </w:tc>
        <w:tc>
          <w:tcPr>
            <w:tcW w:w="1371" w:type="pct"/>
            <w:shd w:val="clear" w:color="auto" w:fill="auto"/>
          </w:tcPr>
          <w:p w14:paraId="35F19C9D"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 (2.0)</w:t>
            </w:r>
          </w:p>
        </w:tc>
      </w:tr>
      <w:tr w:rsidR="007F5816" w:rsidRPr="006B343C" w14:paraId="2457E0E9" w14:textId="77777777">
        <w:tc>
          <w:tcPr>
            <w:tcW w:w="2259" w:type="pct"/>
            <w:shd w:val="clear" w:color="auto" w:fill="auto"/>
          </w:tcPr>
          <w:p w14:paraId="7A40192B"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Dyspnea</w:t>
            </w:r>
          </w:p>
        </w:tc>
        <w:tc>
          <w:tcPr>
            <w:tcW w:w="1370" w:type="pct"/>
            <w:shd w:val="clear" w:color="auto" w:fill="auto"/>
          </w:tcPr>
          <w:p w14:paraId="08127AD7"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 (0)</w:t>
            </w:r>
          </w:p>
        </w:tc>
        <w:tc>
          <w:tcPr>
            <w:tcW w:w="1371" w:type="pct"/>
            <w:shd w:val="clear" w:color="auto" w:fill="auto"/>
          </w:tcPr>
          <w:p w14:paraId="47FF3317"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r>
      <w:tr w:rsidR="007F5816" w:rsidRPr="006B343C" w14:paraId="1658FB20" w14:textId="77777777">
        <w:tc>
          <w:tcPr>
            <w:tcW w:w="5000" w:type="pct"/>
            <w:gridSpan w:val="3"/>
            <w:shd w:val="clear" w:color="auto" w:fill="auto"/>
          </w:tcPr>
          <w:p w14:paraId="5A5BFF2B"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
                <w:bCs/>
                <w:sz w:val="20"/>
              </w:rPr>
              <w:t>Summary of drug-related TEAEs (≥2.0% patients in any treatment group of any grade)</w:t>
            </w:r>
          </w:p>
        </w:tc>
      </w:tr>
      <w:tr w:rsidR="007F5816" w:rsidRPr="006B343C" w14:paraId="20D46423" w14:textId="77777777">
        <w:tc>
          <w:tcPr>
            <w:tcW w:w="2259" w:type="pct"/>
            <w:shd w:val="clear" w:color="auto" w:fill="auto"/>
          </w:tcPr>
          <w:p w14:paraId="6EA6C0AE" w14:textId="77777777" w:rsidR="007F5816" w:rsidRPr="006B343C" w:rsidRDefault="007F5816" w:rsidP="00561519">
            <w:pPr>
              <w:keepNext/>
              <w:keepLines/>
              <w:jc w:val="left"/>
              <w:rPr>
                <w:rFonts w:ascii="Arial Narrow" w:eastAsiaTheme="majorEastAsia" w:hAnsi="Arial Narrow" w:cstheme="majorBidi"/>
                <w:sz w:val="20"/>
                <w:lang w:val="en-US"/>
              </w:rPr>
            </w:pPr>
            <w:r w:rsidRPr="006B343C">
              <w:rPr>
                <w:rFonts w:ascii="Arial Narrow" w:eastAsiaTheme="majorEastAsia" w:hAnsi="Arial Narrow" w:cstheme="majorBidi"/>
                <w:sz w:val="20"/>
                <w:lang w:val="en-US"/>
              </w:rPr>
              <w:t>Patients with any drug-related TEAE</w:t>
            </w:r>
          </w:p>
        </w:tc>
        <w:tc>
          <w:tcPr>
            <w:tcW w:w="1370" w:type="pct"/>
            <w:shd w:val="clear" w:color="auto" w:fill="auto"/>
          </w:tcPr>
          <w:p w14:paraId="0E3ACD0C"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
                <w:bCs/>
                <w:sz w:val="20"/>
                <w:lang w:val="en-US"/>
              </w:rPr>
              <w:t>12 (23.5)</w:t>
            </w:r>
          </w:p>
        </w:tc>
        <w:tc>
          <w:tcPr>
            <w:tcW w:w="1371" w:type="pct"/>
            <w:shd w:val="clear" w:color="auto" w:fill="auto"/>
          </w:tcPr>
          <w:p w14:paraId="00D90654"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
                <w:bCs/>
                <w:sz w:val="20"/>
                <w:lang w:val="en-US"/>
              </w:rPr>
              <w:t>11 (21.6)</w:t>
            </w:r>
          </w:p>
        </w:tc>
      </w:tr>
      <w:tr w:rsidR="007F5816" w:rsidRPr="006B343C" w14:paraId="7B8B0488" w14:textId="77777777">
        <w:tc>
          <w:tcPr>
            <w:tcW w:w="2259" w:type="pct"/>
            <w:shd w:val="clear" w:color="auto" w:fill="auto"/>
          </w:tcPr>
          <w:p w14:paraId="0F125F39"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Infections and infestations</w:t>
            </w:r>
          </w:p>
        </w:tc>
        <w:tc>
          <w:tcPr>
            <w:tcW w:w="1370" w:type="pct"/>
            <w:shd w:val="clear" w:color="auto" w:fill="auto"/>
          </w:tcPr>
          <w:p w14:paraId="4EDBB7C7"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8 (15.7)</w:t>
            </w:r>
          </w:p>
        </w:tc>
        <w:tc>
          <w:tcPr>
            <w:tcW w:w="1371" w:type="pct"/>
            <w:shd w:val="clear" w:color="auto" w:fill="auto"/>
          </w:tcPr>
          <w:p w14:paraId="5E2639FA"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4 (7.8)</w:t>
            </w:r>
          </w:p>
        </w:tc>
      </w:tr>
      <w:tr w:rsidR="007F5816" w:rsidRPr="006B343C" w14:paraId="5894B806" w14:textId="77777777">
        <w:tc>
          <w:tcPr>
            <w:tcW w:w="2259" w:type="pct"/>
            <w:shd w:val="clear" w:color="auto" w:fill="auto"/>
          </w:tcPr>
          <w:p w14:paraId="1F39D802"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 xml:space="preserve">   Nasopharyngitis</w:t>
            </w:r>
          </w:p>
        </w:tc>
        <w:tc>
          <w:tcPr>
            <w:tcW w:w="1370" w:type="pct"/>
            <w:shd w:val="clear" w:color="auto" w:fill="auto"/>
          </w:tcPr>
          <w:p w14:paraId="09208F49"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c>
          <w:tcPr>
            <w:tcW w:w="1371" w:type="pct"/>
            <w:shd w:val="clear" w:color="auto" w:fill="auto"/>
          </w:tcPr>
          <w:p w14:paraId="41258CBB"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 (2.0)</w:t>
            </w:r>
          </w:p>
        </w:tc>
      </w:tr>
      <w:tr w:rsidR="007F5816" w:rsidRPr="006B343C" w14:paraId="69A434E5" w14:textId="77777777">
        <w:tc>
          <w:tcPr>
            <w:tcW w:w="2259" w:type="pct"/>
            <w:shd w:val="clear" w:color="auto" w:fill="auto"/>
          </w:tcPr>
          <w:p w14:paraId="5C64B311"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 xml:space="preserve">   Upper respiratory tract infection</w:t>
            </w:r>
          </w:p>
        </w:tc>
        <w:tc>
          <w:tcPr>
            <w:tcW w:w="1370" w:type="pct"/>
            <w:shd w:val="clear" w:color="auto" w:fill="auto"/>
          </w:tcPr>
          <w:p w14:paraId="1E367ACE"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 (3.9)</w:t>
            </w:r>
          </w:p>
        </w:tc>
        <w:tc>
          <w:tcPr>
            <w:tcW w:w="1371" w:type="pct"/>
            <w:shd w:val="clear" w:color="auto" w:fill="auto"/>
          </w:tcPr>
          <w:p w14:paraId="2B11EC55"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w:t>
            </w:r>
          </w:p>
        </w:tc>
      </w:tr>
      <w:tr w:rsidR="007F5816" w:rsidRPr="006B343C" w14:paraId="21B50A35" w14:textId="77777777">
        <w:tc>
          <w:tcPr>
            <w:tcW w:w="2259" w:type="pct"/>
            <w:shd w:val="clear" w:color="auto" w:fill="auto"/>
          </w:tcPr>
          <w:p w14:paraId="5B8E21FC"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Gastrointestinal disorders</w:t>
            </w:r>
          </w:p>
        </w:tc>
        <w:tc>
          <w:tcPr>
            <w:tcW w:w="1370" w:type="pct"/>
            <w:shd w:val="clear" w:color="auto" w:fill="auto"/>
          </w:tcPr>
          <w:p w14:paraId="76BAB6DB"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 (2.0)</w:t>
            </w:r>
          </w:p>
        </w:tc>
        <w:tc>
          <w:tcPr>
            <w:tcW w:w="1371" w:type="pct"/>
            <w:shd w:val="clear" w:color="auto" w:fill="auto"/>
          </w:tcPr>
          <w:p w14:paraId="7405E87D"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 (3.9)</w:t>
            </w:r>
          </w:p>
        </w:tc>
      </w:tr>
      <w:tr w:rsidR="007F5816" w:rsidRPr="006B343C" w14:paraId="3E46C58C" w14:textId="77777777">
        <w:tc>
          <w:tcPr>
            <w:tcW w:w="2259" w:type="pct"/>
            <w:shd w:val="clear" w:color="auto" w:fill="auto"/>
          </w:tcPr>
          <w:p w14:paraId="39556467"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 xml:space="preserve">   Pouchitis</w:t>
            </w:r>
          </w:p>
        </w:tc>
        <w:tc>
          <w:tcPr>
            <w:tcW w:w="1370" w:type="pct"/>
            <w:shd w:val="clear" w:color="auto" w:fill="auto"/>
          </w:tcPr>
          <w:p w14:paraId="1BF99265"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1 (2.0)</w:t>
            </w:r>
          </w:p>
        </w:tc>
        <w:tc>
          <w:tcPr>
            <w:tcW w:w="1371" w:type="pct"/>
            <w:shd w:val="clear" w:color="auto" w:fill="auto"/>
          </w:tcPr>
          <w:p w14:paraId="5071F166"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 (3.9)</w:t>
            </w:r>
          </w:p>
        </w:tc>
      </w:tr>
      <w:tr w:rsidR="007F5816" w:rsidRPr="006B343C" w14:paraId="4B822D4B" w14:textId="77777777">
        <w:tc>
          <w:tcPr>
            <w:tcW w:w="2259" w:type="pct"/>
            <w:shd w:val="clear" w:color="auto" w:fill="auto"/>
          </w:tcPr>
          <w:p w14:paraId="3C15707D"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Musculoskeletal and connective tissue disorders</w:t>
            </w:r>
          </w:p>
        </w:tc>
        <w:tc>
          <w:tcPr>
            <w:tcW w:w="1370" w:type="pct"/>
            <w:shd w:val="clear" w:color="auto" w:fill="auto"/>
          </w:tcPr>
          <w:p w14:paraId="1D894314"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w:t>
            </w:r>
          </w:p>
        </w:tc>
        <w:tc>
          <w:tcPr>
            <w:tcW w:w="1371" w:type="pct"/>
            <w:shd w:val="clear" w:color="auto" w:fill="auto"/>
          </w:tcPr>
          <w:p w14:paraId="35DF1DAC"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3 (5.9)</w:t>
            </w:r>
          </w:p>
        </w:tc>
      </w:tr>
      <w:tr w:rsidR="007F5816" w:rsidRPr="006B343C" w14:paraId="1F650705" w14:textId="77777777">
        <w:tc>
          <w:tcPr>
            <w:tcW w:w="2259" w:type="pct"/>
            <w:shd w:val="clear" w:color="auto" w:fill="auto"/>
          </w:tcPr>
          <w:p w14:paraId="5C107FF8" w14:textId="77777777" w:rsidR="007F5816" w:rsidRPr="006B343C" w:rsidRDefault="007F5816" w:rsidP="00561519">
            <w:pPr>
              <w:keepNext/>
              <w:keepLines/>
              <w:jc w:val="left"/>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 xml:space="preserve">   Arthralgia</w:t>
            </w:r>
          </w:p>
        </w:tc>
        <w:tc>
          <w:tcPr>
            <w:tcW w:w="1370" w:type="pct"/>
            <w:shd w:val="clear" w:color="auto" w:fill="auto"/>
          </w:tcPr>
          <w:p w14:paraId="000A3240"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w:t>
            </w:r>
          </w:p>
        </w:tc>
        <w:tc>
          <w:tcPr>
            <w:tcW w:w="1371" w:type="pct"/>
            <w:shd w:val="clear" w:color="auto" w:fill="auto"/>
          </w:tcPr>
          <w:p w14:paraId="22367CF8"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2 (3.9)</w:t>
            </w:r>
          </w:p>
        </w:tc>
      </w:tr>
      <w:tr w:rsidR="007F5816" w:rsidRPr="006B343C" w14:paraId="0C1C78D2" w14:textId="77777777">
        <w:tc>
          <w:tcPr>
            <w:tcW w:w="2259" w:type="pct"/>
            <w:shd w:val="clear" w:color="auto" w:fill="auto"/>
          </w:tcPr>
          <w:p w14:paraId="01CB1287" w14:textId="77777777" w:rsidR="007F5816" w:rsidRPr="006B343C" w:rsidRDefault="007F5816" w:rsidP="00561519">
            <w:pPr>
              <w:keepNext/>
              <w:keepLines/>
              <w:jc w:val="left"/>
              <w:rPr>
                <w:rFonts w:ascii="Arial Narrow" w:eastAsiaTheme="majorEastAsia" w:hAnsi="Arial Narrow" w:cstheme="majorBidi"/>
                <w:b/>
                <w:bCs/>
                <w:sz w:val="20"/>
                <w:lang w:val="en-US"/>
              </w:rPr>
            </w:pPr>
            <w:r w:rsidRPr="006B343C">
              <w:rPr>
                <w:rFonts w:ascii="Arial Narrow" w:eastAsiaTheme="majorEastAsia" w:hAnsi="Arial Narrow" w:cstheme="majorBidi"/>
                <w:b/>
                <w:bCs/>
                <w:sz w:val="20"/>
                <w:lang w:val="en-US"/>
              </w:rPr>
              <w:t>AESIs</w:t>
            </w:r>
          </w:p>
        </w:tc>
        <w:tc>
          <w:tcPr>
            <w:tcW w:w="1370" w:type="pct"/>
            <w:shd w:val="clear" w:color="auto" w:fill="auto"/>
          </w:tcPr>
          <w:p w14:paraId="669271FF"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5 (9.8)</w:t>
            </w:r>
          </w:p>
        </w:tc>
        <w:tc>
          <w:tcPr>
            <w:tcW w:w="1371" w:type="pct"/>
            <w:shd w:val="clear" w:color="auto" w:fill="auto"/>
          </w:tcPr>
          <w:p w14:paraId="1B2C433F"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7 (13.7)</w:t>
            </w:r>
          </w:p>
        </w:tc>
      </w:tr>
      <w:tr w:rsidR="007F5816" w:rsidRPr="006B343C" w14:paraId="69FAD613" w14:textId="77777777">
        <w:tc>
          <w:tcPr>
            <w:tcW w:w="2259" w:type="pct"/>
            <w:shd w:val="clear" w:color="auto" w:fill="auto"/>
          </w:tcPr>
          <w:p w14:paraId="3B53B4DB" w14:textId="77777777" w:rsidR="007F5816" w:rsidRPr="006B343C" w:rsidRDefault="007F5816" w:rsidP="00561519">
            <w:pPr>
              <w:keepNext/>
              <w:keepLines/>
              <w:jc w:val="left"/>
              <w:rPr>
                <w:rFonts w:ascii="Arial Narrow" w:eastAsiaTheme="majorEastAsia" w:hAnsi="Arial Narrow" w:cstheme="majorBidi"/>
                <w:b/>
                <w:bCs/>
                <w:sz w:val="20"/>
                <w:lang w:val="en-US"/>
              </w:rPr>
            </w:pPr>
            <w:r w:rsidRPr="006B343C">
              <w:rPr>
                <w:rFonts w:ascii="Arial Narrow" w:eastAsiaTheme="majorEastAsia" w:hAnsi="Arial Narrow" w:cstheme="majorBidi"/>
                <w:b/>
                <w:bCs/>
                <w:sz w:val="20"/>
                <w:lang w:val="en-US"/>
              </w:rPr>
              <w:t>Deaths</w:t>
            </w:r>
          </w:p>
        </w:tc>
        <w:tc>
          <w:tcPr>
            <w:tcW w:w="1370" w:type="pct"/>
            <w:shd w:val="clear" w:color="auto" w:fill="auto"/>
          </w:tcPr>
          <w:p w14:paraId="154E019D"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w:t>
            </w:r>
          </w:p>
        </w:tc>
        <w:tc>
          <w:tcPr>
            <w:tcW w:w="1371" w:type="pct"/>
            <w:shd w:val="clear" w:color="auto" w:fill="auto"/>
          </w:tcPr>
          <w:p w14:paraId="6CA0A585" w14:textId="77777777" w:rsidR="007F5816" w:rsidRPr="006B343C" w:rsidRDefault="007F5816" w:rsidP="00561519">
            <w:pPr>
              <w:keepNext/>
              <w:keepLines/>
              <w:jc w:val="center"/>
              <w:rPr>
                <w:rFonts w:ascii="Arial Narrow" w:eastAsiaTheme="majorEastAsia" w:hAnsi="Arial Narrow" w:cstheme="majorBidi"/>
                <w:bCs/>
                <w:sz w:val="20"/>
                <w:lang w:val="en-US"/>
              </w:rPr>
            </w:pPr>
            <w:r w:rsidRPr="006B343C">
              <w:rPr>
                <w:rFonts w:ascii="Arial Narrow" w:eastAsiaTheme="majorEastAsia" w:hAnsi="Arial Narrow" w:cstheme="majorBidi"/>
                <w:bCs/>
                <w:sz w:val="20"/>
                <w:lang w:val="en-US"/>
              </w:rPr>
              <w:t>0</w:t>
            </w:r>
          </w:p>
        </w:tc>
      </w:tr>
    </w:tbl>
    <w:p w14:paraId="56F3935B" w14:textId="5410A720" w:rsidR="007F5816" w:rsidRPr="006B343C" w:rsidRDefault="007F5816" w:rsidP="00561519">
      <w:pPr>
        <w:keepNext/>
        <w:keepLines/>
        <w:spacing w:after="120"/>
        <w:contextualSpacing/>
        <w:rPr>
          <w:rFonts w:ascii="Arial Narrow" w:hAnsi="Arial Narrow"/>
          <w:snapToGrid w:val="0"/>
          <w:sz w:val="18"/>
          <w:szCs w:val="22"/>
          <w:lang w:val="en-US"/>
        </w:rPr>
      </w:pPr>
      <w:r w:rsidRPr="006B343C">
        <w:rPr>
          <w:rFonts w:ascii="Arial Narrow" w:hAnsi="Arial Narrow"/>
          <w:snapToGrid w:val="0"/>
          <w:sz w:val="18"/>
          <w:szCs w:val="22"/>
          <w:lang w:val="en-US"/>
        </w:rPr>
        <w:t xml:space="preserve">Source: Table 40, p65; Table 41Table 42, p69 of the submission. </w:t>
      </w:r>
    </w:p>
    <w:p w14:paraId="5968FEF2" w14:textId="49F289F6" w:rsidR="007F5816" w:rsidRPr="006B343C" w:rsidRDefault="007F5816" w:rsidP="00561519">
      <w:pPr>
        <w:keepNext/>
        <w:keepLines/>
        <w:spacing w:after="120"/>
        <w:contextualSpacing/>
        <w:rPr>
          <w:rFonts w:ascii="Arial Narrow" w:hAnsi="Arial Narrow"/>
          <w:snapToGrid w:val="0"/>
          <w:sz w:val="18"/>
          <w:szCs w:val="22"/>
          <w:lang w:val="en-US"/>
        </w:rPr>
      </w:pPr>
      <w:r w:rsidRPr="006B343C">
        <w:rPr>
          <w:rFonts w:ascii="Arial Narrow" w:hAnsi="Arial Narrow"/>
          <w:snapToGrid w:val="0"/>
          <w:sz w:val="18"/>
          <w:szCs w:val="22"/>
          <w:lang w:val="en-US"/>
        </w:rPr>
        <w:t xml:space="preserve">Abbreviations: AESI, adverse events of special interest; PBO, placebo; </w:t>
      </w:r>
      <w:r w:rsidRPr="006B343C">
        <w:rPr>
          <w:rFonts w:ascii="Arial Narrow" w:hAnsi="Arial Narrow"/>
          <w:snapToGrid w:val="0"/>
          <w:sz w:val="18"/>
          <w:szCs w:val="22"/>
        </w:rPr>
        <w:t>SAF, safety analysis set</w:t>
      </w:r>
      <w:r w:rsidRPr="006B343C">
        <w:rPr>
          <w:rFonts w:ascii="Arial Narrow" w:hAnsi="Arial Narrow"/>
          <w:snapToGrid w:val="0"/>
          <w:sz w:val="18"/>
          <w:szCs w:val="22"/>
          <w:lang w:val="en-US"/>
        </w:rPr>
        <w:t xml:space="preserve">; SOC, standard of care; TEAE, treatment-emergent adverse event; VEDO, vedolizumab. </w:t>
      </w:r>
    </w:p>
    <w:p w14:paraId="2C09718B" w14:textId="77777777" w:rsidR="007F5816" w:rsidRPr="006B343C" w:rsidRDefault="007F5816" w:rsidP="00472B3E">
      <w:pPr>
        <w:keepNext/>
        <w:keepLines/>
        <w:spacing w:after="120"/>
        <w:contextualSpacing/>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a</w:t>
      </w:r>
      <w:r w:rsidRPr="006B343C">
        <w:rPr>
          <w:rFonts w:ascii="Arial Narrow" w:hAnsi="Arial Narrow"/>
          <w:snapToGrid w:val="0"/>
          <w:sz w:val="18"/>
          <w:szCs w:val="22"/>
          <w:lang w:val="en-US"/>
        </w:rPr>
        <w:t xml:space="preserve"> Reported as related to a flare or worsening of pouchitis</w:t>
      </w:r>
    </w:p>
    <w:p w14:paraId="5561893B" w14:textId="77777777" w:rsidR="00E86B50" w:rsidRPr="006B343C" w:rsidRDefault="00E86B50" w:rsidP="007F5816">
      <w:pPr>
        <w:spacing w:after="120"/>
        <w:contextualSpacing/>
        <w:rPr>
          <w:rFonts w:ascii="Arial Narrow" w:hAnsi="Arial Narrow"/>
          <w:snapToGrid w:val="0"/>
          <w:sz w:val="18"/>
          <w:szCs w:val="22"/>
          <w:lang w:val="en-US"/>
        </w:rPr>
      </w:pPr>
    </w:p>
    <w:p w14:paraId="01559CFE" w14:textId="22D665EC" w:rsidR="007F5816" w:rsidRPr="006B343C" w:rsidRDefault="007F5816" w:rsidP="007F5816">
      <w:pPr>
        <w:numPr>
          <w:ilvl w:val="1"/>
          <w:numId w:val="1"/>
        </w:numPr>
        <w:spacing w:after="120"/>
        <w:rPr>
          <w:rFonts w:asciiTheme="minorHAnsi" w:hAnsiTheme="minorHAnsi"/>
          <w:snapToGrid w:val="0"/>
        </w:rPr>
      </w:pPr>
      <w:bookmarkStart w:id="67" w:name="_Ref172552573"/>
      <w:r w:rsidRPr="006B343C">
        <w:rPr>
          <w:rFonts w:asciiTheme="minorHAnsi" w:hAnsiTheme="minorHAnsi"/>
          <w:snapToGrid w:val="0"/>
        </w:rPr>
        <w:t xml:space="preserve">Pouchitis as related to a flare or worsening of pouchitis was the most frequently reported TEAE and </w:t>
      </w:r>
      <w:r w:rsidRPr="006B343C">
        <w:rPr>
          <w:rFonts w:asciiTheme="minorHAnsi" w:hAnsiTheme="minorHAnsi"/>
          <w:snapToGrid w:val="0"/>
          <w:lang w:val="en-GB"/>
        </w:rPr>
        <w:t>was more common in the VEDO + SOC group (47.1%) compared to the PBO + SOC group (39.2%). Adverse events of special interests (</w:t>
      </w:r>
      <w:r w:rsidRPr="006B343C">
        <w:rPr>
          <w:rFonts w:asciiTheme="minorHAnsi" w:hAnsiTheme="minorHAnsi"/>
          <w:snapToGrid w:val="0"/>
        </w:rPr>
        <w:t xml:space="preserve">AESIs) were observed in 9.8% of patients in the VEDO + SOC group and 13.7% of patients in the PBO + SOC group. There were no deaths reported in the trial. </w:t>
      </w:r>
      <w:r w:rsidRPr="00F55938">
        <w:rPr>
          <w:rFonts w:asciiTheme="minorHAnsi" w:hAnsiTheme="minorHAnsi"/>
          <w:snapToGrid w:val="0"/>
          <w:lang w:val="en-GB"/>
        </w:rPr>
        <w:t>Given that treatment with vedolizumab was expected to treat chronic pouchitis, the</w:t>
      </w:r>
      <w:r w:rsidR="0007775E" w:rsidRPr="00F55938">
        <w:rPr>
          <w:rFonts w:asciiTheme="minorHAnsi" w:hAnsiTheme="minorHAnsi"/>
          <w:snapToGrid w:val="0"/>
          <w:lang w:val="en-GB"/>
        </w:rPr>
        <w:t xml:space="preserve"> evaluation and ESC </w:t>
      </w:r>
      <w:r w:rsidR="0007775E" w:rsidRPr="00F55938">
        <w:rPr>
          <w:rFonts w:asciiTheme="minorHAnsi" w:hAnsiTheme="minorHAnsi"/>
          <w:snapToGrid w:val="0"/>
          <w:lang w:val="en-GB"/>
        </w:rPr>
        <w:lastRenderedPageBreak/>
        <w:t>considered the</w:t>
      </w:r>
      <w:r w:rsidRPr="00F55938">
        <w:rPr>
          <w:rFonts w:asciiTheme="minorHAnsi" w:hAnsiTheme="minorHAnsi"/>
          <w:snapToGrid w:val="0"/>
          <w:lang w:val="en-GB"/>
        </w:rPr>
        <w:t xml:space="preserve"> increased incidence of pouchitis flare or worsening in the VEDO + SOC group raises concerns.</w:t>
      </w:r>
      <w:bookmarkEnd w:id="67"/>
      <w:r w:rsidRPr="006B343C">
        <w:rPr>
          <w:rFonts w:asciiTheme="minorHAnsi" w:hAnsiTheme="minorHAnsi"/>
          <w:snapToGrid w:val="0"/>
          <w:lang w:val="en-GB"/>
        </w:rPr>
        <w:t xml:space="preserve"> </w:t>
      </w:r>
    </w:p>
    <w:p w14:paraId="4C74784A" w14:textId="76FB8710" w:rsidR="007F5816" w:rsidRPr="006B343C" w:rsidRDefault="007F5816" w:rsidP="007F5816">
      <w:pPr>
        <w:numPr>
          <w:ilvl w:val="1"/>
          <w:numId w:val="1"/>
        </w:numPr>
        <w:spacing w:after="120"/>
        <w:rPr>
          <w:rFonts w:asciiTheme="minorHAnsi" w:hAnsiTheme="minorHAnsi"/>
          <w:snapToGrid w:val="0"/>
        </w:rPr>
      </w:pPr>
      <w:r w:rsidRPr="006B343C">
        <w:rPr>
          <w:rStyle w:val="3-BodyTextChar"/>
        </w:rPr>
        <w:fldChar w:fldCharType="begin" w:fldLock="1"/>
      </w:r>
      <w:r w:rsidRPr="006B343C">
        <w:rPr>
          <w:rStyle w:val="3-BodyTextChar"/>
        </w:rPr>
        <w:instrText xml:space="preserve"> REF _Ref164411222 \h </w:instrText>
      </w:r>
      <w:r w:rsidR="00C43F82" w:rsidRPr="006B343C">
        <w:rPr>
          <w:rStyle w:val="3-BodyTextChar"/>
        </w:rPr>
        <w:instrText xml:space="preserve"> \* MERGEFORMAT </w:instrText>
      </w:r>
      <w:r w:rsidRPr="006B343C">
        <w:rPr>
          <w:rStyle w:val="3-BodyTextChar"/>
        </w:rPr>
      </w:r>
      <w:r w:rsidRPr="006B343C">
        <w:rPr>
          <w:rStyle w:val="3-BodyTextChar"/>
        </w:rPr>
        <w:fldChar w:fldCharType="separate"/>
      </w:r>
      <w:r w:rsidR="00DC7CC4" w:rsidRPr="00DC7CC4">
        <w:rPr>
          <w:rStyle w:val="3-BodyTextChar"/>
        </w:rPr>
        <w:t>Table 8</w:t>
      </w:r>
      <w:r w:rsidRPr="006B343C">
        <w:rPr>
          <w:rStyle w:val="3-BodyTextChar"/>
        </w:rPr>
        <w:fldChar w:fldCharType="end"/>
      </w:r>
      <w:r w:rsidRPr="006B343C">
        <w:rPr>
          <w:rFonts w:asciiTheme="minorHAnsi" w:hAnsiTheme="minorHAnsi"/>
          <w:snapToGrid w:val="0"/>
        </w:rPr>
        <w:t xml:space="preserve"> summarises the TEAEs and serious TEAEs related to flare.</w:t>
      </w:r>
    </w:p>
    <w:p w14:paraId="2B379BAE" w14:textId="20CA29CA" w:rsidR="007F5816" w:rsidRPr="006B343C" w:rsidRDefault="007F5816" w:rsidP="007F5816">
      <w:pPr>
        <w:keepNext/>
        <w:keepLines/>
        <w:rPr>
          <w:rFonts w:ascii="Arial Narrow" w:hAnsi="Arial Narrow"/>
          <w:b/>
          <w:bCs/>
          <w:sz w:val="20"/>
          <w:szCs w:val="18"/>
        </w:rPr>
      </w:pPr>
      <w:bookmarkStart w:id="68" w:name="_Ref164411222"/>
      <w:r w:rsidRPr="006B343C">
        <w:rPr>
          <w:rFonts w:ascii="Arial Narrow" w:hAnsi="Arial Narrow"/>
          <w:b/>
          <w:bCs/>
          <w:sz w:val="20"/>
          <w:szCs w:val="18"/>
        </w:rPr>
        <w:t xml:space="preserve">Table </w:t>
      </w:r>
      <w:r w:rsidRPr="006B343C">
        <w:rPr>
          <w:rFonts w:ascii="Arial Narrow" w:hAnsi="Arial Narrow"/>
          <w:b/>
          <w:bCs/>
          <w:sz w:val="20"/>
          <w:szCs w:val="18"/>
        </w:rPr>
        <w:fldChar w:fldCharType="begin" w:fldLock="1"/>
      </w:r>
      <w:r w:rsidRPr="006B343C">
        <w:rPr>
          <w:rFonts w:ascii="Arial Narrow" w:hAnsi="Arial Narrow"/>
          <w:b/>
          <w:bCs/>
          <w:sz w:val="20"/>
          <w:szCs w:val="18"/>
        </w:rPr>
        <w:instrText xml:space="preserve"> SEQ Table \* ARABIC </w:instrText>
      </w:r>
      <w:r w:rsidRPr="006B343C">
        <w:rPr>
          <w:rFonts w:ascii="Arial Narrow" w:hAnsi="Arial Narrow"/>
          <w:b/>
          <w:bCs/>
          <w:sz w:val="20"/>
          <w:szCs w:val="18"/>
        </w:rPr>
        <w:fldChar w:fldCharType="separate"/>
      </w:r>
      <w:r w:rsidR="00DC7CC4">
        <w:rPr>
          <w:rFonts w:ascii="Arial Narrow" w:hAnsi="Arial Narrow"/>
          <w:b/>
          <w:bCs/>
          <w:noProof/>
          <w:sz w:val="20"/>
          <w:szCs w:val="18"/>
        </w:rPr>
        <w:t>8</w:t>
      </w:r>
      <w:r w:rsidRPr="006B343C">
        <w:rPr>
          <w:rFonts w:ascii="Arial Narrow" w:hAnsi="Arial Narrow"/>
          <w:b/>
          <w:bCs/>
          <w:sz w:val="20"/>
          <w:szCs w:val="18"/>
        </w:rPr>
        <w:fldChar w:fldCharType="end"/>
      </w:r>
      <w:bookmarkEnd w:id="68"/>
      <w:r w:rsidRPr="006B343C">
        <w:rPr>
          <w:rFonts w:ascii="Arial Narrow" w:hAnsi="Arial Narrow"/>
          <w:b/>
          <w:bCs/>
          <w:sz w:val="20"/>
          <w:szCs w:val="18"/>
        </w:rPr>
        <w:t>: TEAEs and serious TEAEs related to a flare, SAF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TEAEs and serious TEAEs related to a flare, SAF"/>
      </w:tblPr>
      <w:tblGrid>
        <w:gridCol w:w="3274"/>
        <w:gridCol w:w="1437"/>
        <w:gridCol w:w="1436"/>
        <w:gridCol w:w="1436"/>
        <w:gridCol w:w="1434"/>
      </w:tblGrid>
      <w:tr w:rsidR="007F5816" w:rsidRPr="006B343C" w14:paraId="11DE241E" w14:textId="77777777">
        <w:tc>
          <w:tcPr>
            <w:tcW w:w="1816" w:type="pct"/>
            <w:vMerge w:val="restart"/>
            <w:shd w:val="clear" w:color="auto" w:fill="auto"/>
          </w:tcPr>
          <w:p w14:paraId="0F5C3DA0" w14:textId="77777777" w:rsidR="007F5816" w:rsidRPr="006B343C" w:rsidRDefault="007F5816" w:rsidP="007F5816">
            <w:pPr>
              <w:keepNext/>
              <w:keepLines/>
              <w:suppressLineNumbers/>
              <w:spacing w:after="20"/>
              <w:jc w:val="left"/>
              <w:textboxTightWrap w:val="allLines"/>
              <w:rPr>
                <w:rFonts w:ascii="Arial Narrow" w:hAnsi="Arial Narrow"/>
                <w:sz w:val="20"/>
                <w:lang w:val="en-US" w:eastAsia="en-GB"/>
              </w:rPr>
            </w:pPr>
          </w:p>
        </w:tc>
        <w:tc>
          <w:tcPr>
            <w:tcW w:w="1593" w:type="pct"/>
            <w:gridSpan w:val="2"/>
            <w:shd w:val="clear" w:color="auto" w:fill="auto"/>
          </w:tcPr>
          <w:p w14:paraId="60B4EDAD" w14:textId="77777777" w:rsidR="007F5816" w:rsidRPr="006B343C" w:rsidRDefault="007F5816" w:rsidP="007F5816">
            <w:pPr>
              <w:keepNext/>
              <w:keepLines/>
              <w:suppressLineNumbers/>
              <w:spacing w:after="20"/>
              <w:jc w:val="center"/>
              <w:textboxTightWrap w:val="allLines"/>
              <w:rPr>
                <w:rFonts w:ascii="Arial Narrow" w:hAnsi="Arial Narrow"/>
                <w:b/>
                <w:bCs/>
                <w:sz w:val="20"/>
                <w:lang w:val="en-US" w:eastAsia="en-GB"/>
              </w:rPr>
            </w:pPr>
            <w:r w:rsidRPr="006B343C">
              <w:rPr>
                <w:rFonts w:ascii="Arial Narrow" w:hAnsi="Arial Narrow"/>
                <w:b/>
                <w:bCs/>
                <w:sz w:val="20"/>
                <w:lang w:val="en-US" w:eastAsia="en-GB"/>
              </w:rPr>
              <w:t>VEDO + SOC (N=51)</w:t>
            </w:r>
          </w:p>
        </w:tc>
        <w:tc>
          <w:tcPr>
            <w:tcW w:w="1591" w:type="pct"/>
            <w:gridSpan w:val="2"/>
            <w:shd w:val="clear" w:color="auto" w:fill="auto"/>
          </w:tcPr>
          <w:p w14:paraId="180EFBCA" w14:textId="77777777" w:rsidR="007F5816" w:rsidRPr="006B343C" w:rsidRDefault="007F5816" w:rsidP="007F5816">
            <w:pPr>
              <w:keepNext/>
              <w:keepLines/>
              <w:suppressLineNumbers/>
              <w:spacing w:after="20"/>
              <w:jc w:val="center"/>
              <w:textboxTightWrap w:val="allLines"/>
              <w:rPr>
                <w:rFonts w:ascii="Arial Narrow" w:hAnsi="Arial Narrow"/>
                <w:b/>
                <w:bCs/>
                <w:sz w:val="20"/>
                <w:lang w:val="en-US" w:eastAsia="en-GB"/>
              </w:rPr>
            </w:pPr>
            <w:r w:rsidRPr="006B343C">
              <w:rPr>
                <w:rFonts w:ascii="Arial Narrow" w:hAnsi="Arial Narrow"/>
                <w:b/>
                <w:bCs/>
                <w:sz w:val="20"/>
                <w:lang w:val="en-US" w:eastAsia="en-GB"/>
              </w:rPr>
              <w:t>PBO + SOC (N=51)</w:t>
            </w:r>
          </w:p>
        </w:tc>
      </w:tr>
      <w:tr w:rsidR="007F5816" w:rsidRPr="006B343C" w14:paraId="66262501" w14:textId="77777777">
        <w:tc>
          <w:tcPr>
            <w:tcW w:w="1816" w:type="pct"/>
            <w:vMerge/>
            <w:shd w:val="clear" w:color="auto" w:fill="auto"/>
          </w:tcPr>
          <w:p w14:paraId="121C3B10" w14:textId="77777777" w:rsidR="007F5816" w:rsidRPr="006B343C" w:rsidRDefault="007F5816" w:rsidP="007F5816">
            <w:pPr>
              <w:keepNext/>
              <w:keepLines/>
              <w:suppressLineNumbers/>
              <w:spacing w:after="20"/>
              <w:jc w:val="left"/>
              <w:textboxTightWrap w:val="allLines"/>
              <w:rPr>
                <w:rFonts w:ascii="Arial Narrow" w:hAnsi="Arial Narrow"/>
                <w:sz w:val="20"/>
                <w:lang w:val="en-US" w:eastAsia="en-GB"/>
              </w:rPr>
            </w:pPr>
          </w:p>
        </w:tc>
        <w:tc>
          <w:tcPr>
            <w:tcW w:w="797" w:type="pct"/>
            <w:shd w:val="clear" w:color="auto" w:fill="auto"/>
          </w:tcPr>
          <w:p w14:paraId="60129613" w14:textId="77777777" w:rsidR="007F5816" w:rsidRPr="006B343C" w:rsidRDefault="007F5816" w:rsidP="007F5816">
            <w:pPr>
              <w:keepNext/>
              <w:keepLines/>
              <w:suppressLineNumbers/>
              <w:spacing w:after="20"/>
              <w:jc w:val="center"/>
              <w:textboxTightWrap w:val="allLines"/>
              <w:rPr>
                <w:rFonts w:ascii="Arial Narrow" w:hAnsi="Arial Narrow"/>
                <w:b/>
                <w:bCs/>
                <w:sz w:val="20"/>
                <w:lang w:val="en-US" w:eastAsia="en-GB"/>
              </w:rPr>
            </w:pPr>
            <w:r w:rsidRPr="006B343C">
              <w:rPr>
                <w:rFonts w:ascii="Arial Narrow" w:hAnsi="Arial Narrow"/>
                <w:b/>
                <w:bCs/>
                <w:sz w:val="20"/>
                <w:lang w:val="en-US" w:eastAsia="en-GB"/>
              </w:rPr>
              <w:t>n (%)</w:t>
            </w:r>
          </w:p>
        </w:tc>
        <w:tc>
          <w:tcPr>
            <w:tcW w:w="796" w:type="pct"/>
            <w:shd w:val="clear" w:color="auto" w:fill="auto"/>
          </w:tcPr>
          <w:p w14:paraId="441438C2" w14:textId="77777777" w:rsidR="007F5816" w:rsidRPr="006B343C" w:rsidRDefault="007F5816" w:rsidP="007F5816">
            <w:pPr>
              <w:keepNext/>
              <w:keepLines/>
              <w:suppressLineNumbers/>
              <w:spacing w:after="20"/>
              <w:jc w:val="center"/>
              <w:textboxTightWrap w:val="allLines"/>
              <w:rPr>
                <w:rFonts w:ascii="Arial Narrow" w:hAnsi="Arial Narrow"/>
                <w:b/>
                <w:bCs/>
                <w:sz w:val="20"/>
                <w:lang w:val="en-US" w:eastAsia="en-GB"/>
              </w:rPr>
            </w:pPr>
            <w:r w:rsidRPr="006B343C">
              <w:rPr>
                <w:rFonts w:ascii="Arial Narrow" w:hAnsi="Arial Narrow"/>
                <w:b/>
                <w:bCs/>
                <w:sz w:val="20"/>
                <w:lang w:val="en-US" w:eastAsia="en-GB"/>
              </w:rPr>
              <w:t># Events</w:t>
            </w:r>
          </w:p>
        </w:tc>
        <w:tc>
          <w:tcPr>
            <w:tcW w:w="796" w:type="pct"/>
            <w:shd w:val="clear" w:color="auto" w:fill="auto"/>
          </w:tcPr>
          <w:p w14:paraId="56D24CDB" w14:textId="77777777" w:rsidR="007F5816" w:rsidRPr="006B343C" w:rsidRDefault="007F5816" w:rsidP="007F5816">
            <w:pPr>
              <w:keepNext/>
              <w:keepLines/>
              <w:suppressLineNumbers/>
              <w:spacing w:after="20"/>
              <w:jc w:val="center"/>
              <w:textboxTightWrap w:val="allLines"/>
              <w:rPr>
                <w:rFonts w:ascii="Arial Narrow" w:hAnsi="Arial Narrow"/>
                <w:b/>
                <w:bCs/>
                <w:sz w:val="20"/>
                <w:lang w:val="en-US" w:eastAsia="en-GB"/>
              </w:rPr>
            </w:pPr>
            <w:r w:rsidRPr="006B343C">
              <w:rPr>
                <w:rFonts w:ascii="Arial Narrow" w:hAnsi="Arial Narrow"/>
                <w:b/>
                <w:bCs/>
                <w:sz w:val="20"/>
                <w:lang w:val="en-US" w:eastAsia="en-GB"/>
              </w:rPr>
              <w:t>n (%)</w:t>
            </w:r>
          </w:p>
        </w:tc>
        <w:tc>
          <w:tcPr>
            <w:tcW w:w="795" w:type="pct"/>
            <w:shd w:val="clear" w:color="auto" w:fill="auto"/>
          </w:tcPr>
          <w:p w14:paraId="5CDB5A5A" w14:textId="77777777" w:rsidR="007F5816" w:rsidRPr="006B343C" w:rsidRDefault="007F5816" w:rsidP="007F5816">
            <w:pPr>
              <w:keepNext/>
              <w:keepLines/>
              <w:suppressLineNumbers/>
              <w:spacing w:after="20"/>
              <w:jc w:val="center"/>
              <w:textboxTightWrap w:val="allLines"/>
              <w:rPr>
                <w:rFonts w:ascii="Arial Narrow" w:hAnsi="Arial Narrow"/>
                <w:b/>
                <w:bCs/>
                <w:sz w:val="20"/>
                <w:lang w:val="en-US" w:eastAsia="en-GB"/>
              </w:rPr>
            </w:pPr>
            <w:r w:rsidRPr="006B343C">
              <w:rPr>
                <w:rFonts w:ascii="Arial Narrow" w:hAnsi="Arial Narrow"/>
                <w:b/>
                <w:bCs/>
                <w:sz w:val="20"/>
                <w:lang w:val="en-US" w:eastAsia="en-GB"/>
              </w:rPr>
              <w:t># Events</w:t>
            </w:r>
          </w:p>
        </w:tc>
      </w:tr>
      <w:tr w:rsidR="007F5816" w:rsidRPr="006B343C" w14:paraId="5A736851" w14:textId="77777777">
        <w:tc>
          <w:tcPr>
            <w:tcW w:w="1816" w:type="pct"/>
            <w:shd w:val="clear" w:color="auto" w:fill="auto"/>
          </w:tcPr>
          <w:p w14:paraId="6066904C" w14:textId="77777777" w:rsidR="007F5816" w:rsidRPr="006B343C" w:rsidRDefault="007F5816" w:rsidP="007F5816">
            <w:pPr>
              <w:keepNext/>
              <w:keepLines/>
              <w:suppressLineNumbers/>
              <w:spacing w:after="20"/>
              <w:jc w:val="left"/>
              <w:textboxTightWrap w:val="allLines"/>
              <w:rPr>
                <w:rFonts w:ascii="Arial Narrow" w:hAnsi="Arial Narrow"/>
                <w:b/>
                <w:sz w:val="20"/>
                <w:vertAlign w:val="superscript"/>
                <w:lang w:val="en-US" w:eastAsia="en-GB"/>
              </w:rPr>
            </w:pPr>
            <w:r w:rsidRPr="006B343C">
              <w:rPr>
                <w:rFonts w:ascii="Arial Narrow" w:hAnsi="Arial Narrow"/>
                <w:b/>
                <w:bCs/>
                <w:sz w:val="20"/>
                <w:lang w:eastAsia="en-GB"/>
              </w:rPr>
              <w:t>TEAEs related to a flare</w:t>
            </w:r>
            <w:r w:rsidRPr="006B343C">
              <w:rPr>
                <w:rFonts w:ascii="Arial Narrow" w:hAnsi="Arial Narrow"/>
                <w:b/>
                <w:bCs/>
                <w:sz w:val="20"/>
                <w:vertAlign w:val="superscript"/>
                <w:lang w:eastAsia="en-GB"/>
              </w:rPr>
              <w:t>a</w:t>
            </w:r>
          </w:p>
        </w:tc>
        <w:tc>
          <w:tcPr>
            <w:tcW w:w="797" w:type="pct"/>
            <w:shd w:val="clear" w:color="auto" w:fill="auto"/>
          </w:tcPr>
          <w:p w14:paraId="59BA93E4"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29 (56.9)</w:t>
            </w:r>
          </w:p>
        </w:tc>
        <w:tc>
          <w:tcPr>
            <w:tcW w:w="796" w:type="pct"/>
            <w:shd w:val="clear" w:color="auto" w:fill="auto"/>
          </w:tcPr>
          <w:p w14:paraId="65C87B53"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51</w:t>
            </w:r>
          </w:p>
        </w:tc>
        <w:tc>
          <w:tcPr>
            <w:tcW w:w="796" w:type="pct"/>
            <w:shd w:val="clear" w:color="auto" w:fill="auto"/>
          </w:tcPr>
          <w:p w14:paraId="573015C3"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24 (47.1)</w:t>
            </w:r>
          </w:p>
        </w:tc>
        <w:tc>
          <w:tcPr>
            <w:tcW w:w="795" w:type="pct"/>
            <w:shd w:val="clear" w:color="auto" w:fill="auto"/>
          </w:tcPr>
          <w:p w14:paraId="6ABFC848"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32</w:t>
            </w:r>
          </w:p>
        </w:tc>
      </w:tr>
      <w:tr w:rsidR="007F5816" w:rsidRPr="006B343C" w14:paraId="77803250" w14:textId="77777777">
        <w:tc>
          <w:tcPr>
            <w:tcW w:w="1816" w:type="pct"/>
            <w:shd w:val="clear" w:color="auto" w:fill="auto"/>
          </w:tcPr>
          <w:p w14:paraId="1875D66D" w14:textId="77777777" w:rsidR="007F5816" w:rsidRPr="006B343C" w:rsidRDefault="007F5816" w:rsidP="007F5816">
            <w:pPr>
              <w:keepNext/>
              <w:keepLines/>
              <w:suppressLineNumbers/>
              <w:spacing w:after="20"/>
              <w:ind w:left="172"/>
              <w:jc w:val="left"/>
              <w:textboxTightWrap w:val="allLines"/>
              <w:rPr>
                <w:rFonts w:ascii="Arial Narrow" w:hAnsi="Arial Narrow"/>
                <w:sz w:val="20"/>
                <w:lang w:val="en-US" w:eastAsia="en-GB"/>
              </w:rPr>
            </w:pPr>
            <w:r w:rsidRPr="006B343C">
              <w:rPr>
                <w:rFonts w:ascii="Arial Narrow" w:hAnsi="Arial Narrow"/>
                <w:sz w:val="20"/>
                <w:lang w:val="en-US" w:eastAsia="en-GB"/>
              </w:rPr>
              <w:t>Mild</w:t>
            </w:r>
          </w:p>
        </w:tc>
        <w:tc>
          <w:tcPr>
            <w:tcW w:w="797" w:type="pct"/>
            <w:shd w:val="clear" w:color="auto" w:fill="auto"/>
          </w:tcPr>
          <w:p w14:paraId="7BAFD5C2"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13 (25.5)</w:t>
            </w:r>
          </w:p>
        </w:tc>
        <w:tc>
          <w:tcPr>
            <w:tcW w:w="796" w:type="pct"/>
            <w:shd w:val="clear" w:color="auto" w:fill="auto"/>
          </w:tcPr>
          <w:p w14:paraId="23A85C3A"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22</w:t>
            </w:r>
          </w:p>
        </w:tc>
        <w:tc>
          <w:tcPr>
            <w:tcW w:w="796" w:type="pct"/>
            <w:shd w:val="clear" w:color="auto" w:fill="auto"/>
          </w:tcPr>
          <w:p w14:paraId="0CE6F484"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4 (7.8)</w:t>
            </w:r>
          </w:p>
        </w:tc>
        <w:tc>
          <w:tcPr>
            <w:tcW w:w="795" w:type="pct"/>
            <w:shd w:val="clear" w:color="auto" w:fill="auto"/>
          </w:tcPr>
          <w:p w14:paraId="133F1E75"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7</w:t>
            </w:r>
          </w:p>
        </w:tc>
      </w:tr>
      <w:tr w:rsidR="007F5816" w:rsidRPr="006B343C" w14:paraId="4A91BF36" w14:textId="77777777">
        <w:tc>
          <w:tcPr>
            <w:tcW w:w="1816" w:type="pct"/>
            <w:shd w:val="clear" w:color="auto" w:fill="auto"/>
          </w:tcPr>
          <w:p w14:paraId="0C170FAA" w14:textId="77777777" w:rsidR="007F5816" w:rsidRPr="006B343C" w:rsidRDefault="007F5816" w:rsidP="007F5816">
            <w:pPr>
              <w:keepNext/>
              <w:keepLines/>
              <w:suppressLineNumbers/>
              <w:spacing w:after="20"/>
              <w:ind w:left="172"/>
              <w:jc w:val="left"/>
              <w:textboxTightWrap w:val="allLines"/>
              <w:rPr>
                <w:rFonts w:ascii="Arial Narrow" w:hAnsi="Arial Narrow"/>
                <w:sz w:val="20"/>
                <w:lang w:val="en-US" w:eastAsia="en-GB"/>
              </w:rPr>
            </w:pPr>
            <w:r w:rsidRPr="006B343C">
              <w:rPr>
                <w:rFonts w:ascii="Arial Narrow" w:hAnsi="Arial Narrow"/>
                <w:sz w:val="20"/>
                <w:lang w:val="en-US" w:eastAsia="en-GB"/>
              </w:rPr>
              <w:t>Moderate</w:t>
            </w:r>
          </w:p>
        </w:tc>
        <w:tc>
          <w:tcPr>
            <w:tcW w:w="797" w:type="pct"/>
            <w:shd w:val="clear" w:color="auto" w:fill="auto"/>
          </w:tcPr>
          <w:p w14:paraId="6BC0B61C"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14 (27.5)</w:t>
            </w:r>
          </w:p>
        </w:tc>
        <w:tc>
          <w:tcPr>
            <w:tcW w:w="796" w:type="pct"/>
            <w:shd w:val="clear" w:color="auto" w:fill="auto"/>
          </w:tcPr>
          <w:p w14:paraId="5B1749B4"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27</w:t>
            </w:r>
          </w:p>
        </w:tc>
        <w:tc>
          <w:tcPr>
            <w:tcW w:w="796" w:type="pct"/>
            <w:shd w:val="clear" w:color="auto" w:fill="auto"/>
          </w:tcPr>
          <w:p w14:paraId="27737035"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18 (35.3)</w:t>
            </w:r>
          </w:p>
        </w:tc>
        <w:tc>
          <w:tcPr>
            <w:tcW w:w="795" w:type="pct"/>
            <w:shd w:val="clear" w:color="auto" w:fill="auto"/>
          </w:tcPr>
          <w:p w14:paraId="12A477B9"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23</w:t>
            </w:r>
          </w:p>
        </w:tc>
      </w:tr>
      <w:tr w:rsidR="007F5816" w:rsidRPr="006B343C" w14:paraId="55A948D5" w14:textId="77777777">
        <w:tc>
          <w:tcPr>
            <w:tcW w:w="1816" w:type="pct"/>
            <w:shd w:val="clear" w:color="auto" w:fill="auto"/>
          </w:tcPr>
          <w:p w14:paraId="54614DA3" w14:textId="77777777" w:rsidR="007F5816" w:rsidRPr="006B343C" w:rsidRDefault="007F5816" w:rsidP="007F5816">
            <w:pPr>
              <w:keepNext/>
              <w:keepLines/>
              <w:suppressLineNumbers/>
              <w:spacing w:after="20"/>
              <w:ind w:left="172"/>
              <w:jc w:val="left"/>
              <w:textboxTightWrap w:val="allLines"/>
              <w:rPr>
                <w:rFonts w:ascii="Arial Narrow" w:hAnsi="Arial Narrow"/>
                <w:sz w:val="20"/>
                <w:lang w:val="en-US" w:eastAsia="en-GB"/>
              </w:rPr>
            </w:pPr>
            <w:r w:rsidRPr="006B343C">
              <w:rPr>
                <w:rFonts w:ascii="Arial Narrow" w:hAnsi="Arial Narrow"/>
                <w:sz w:val="20"/>
                <w:lang w:val="en-US" w:eastAsia="en-GB"/>
              </w:rPr>
              <w:t>Severe</w:t>
            </w:r>
          </w:p>
        </w:tc>
        <w:tc>
          <w:tcPr>
            <w:tcW w:w="797" w:type="pct"/>
            <w:shd w:val="clear" w:color="auto" w:fill="auto"/>
          </w:tcPr>
          <w:p w14:paraId="33EC49F2"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 (3.9)</w:t>
            </w:r>
          </w:p>
        </w:tc>
        <w:tc>
          <w:tcPr>
            <w:tcW w:w="796" w:type="pct"/>
            <w:shd w:val="clear" w:color="auto" w:fill="auto"/>
          </w:tcPr>
          <w:p w14:paraId="0ADD99B1"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w:t>
            </w:r>
          </w:p>
        </w:tc>
        <w:tc>
          <w:tcPr>
            <w:tcW w:w="796" w:type="pct"/>
            <w:shd w:val="clear" w:color="auto" w:fill="auto"/>
          </w:tcPr>
          <w:p w14:paraId="725DC76E"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 (3.9)</w:t>
            </w:r>
          </w:p>
        </w:tc>
        <w:tc>
          <w:tcPr>
            <w:tcW w:w="795" w:type="pct"/>
            <w:shd w:val="clear" w:color="auto" w:fill="auto"/>
          </w:tcPr>
          <w:p w14:paraId="12B8C6A4"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w:t>
            </w:r>
          </w:p>
        </w:tc>
      </w:tr>
      <w:tr w:rsidR="007F5816" w:rsidRPr="006B343C" w14:paraId="2A239F56" w14:textId="77777777">
        <w:tc>
          <w:tcPr>
            <w:tcW w:w="1816" w:type="pct"/>
            <w:shd w:val="clear" w:color="auto" w:fill="auto"/>
          </w:tcPr>
          <w:p w14:paraId="5A5C099D" w14:textId="77777777" w:rsidR="007F5816" w:rsidRPr="006B343C" w:rsidRDefault="007F5816" w:rsidP="007F5816">
            <w:pPr>
              <w:keepNext/>
              <w:keepLines/>
              <w:suppressLineNumbers/>
              <w:spacing w:after="20"/>
              <w:ind w:left="172"/>
              <w:jc w:val="left"/>
              <w:textboxTightWrap w:val="allLines"/>
              <w:rPr>
                <w:rFonts w:ascii="Arial Narrow" w:hAnsi="Arial Narrow"/>
                <w:sz w:val="20"/>
                <w:lang w:val="en-US" w:eastAsia="en-GB"/>
              </w:rPr>
            </w:pPr>
            <w:r w:rsidRPr="006B343C">
              <w:rPr>
                <w:rFonts w:ascii="Arial Narrow" w:hAnsi="Arial Narrow"/>
                <w:sz w:val="20"/>
                <w:lang w:val="en-US" w:eastAsia="en-GB"/>
              </w:rPr>
              <w:t>Related</w:t>
            </w:r>
          </w:p>
        </w:tc>
        <w:tc>
          <w:tcPr>
            <w:tcW w:w="797" w:type="pct"/>
            <w:shd w:val="clear" w:color="auto" w:fill="auto"/>
          </w:tcPr>
          <w:p w14:paraId="17E9BE01"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 (2.0)</w:t>
            </w:r>
          </w:p>
        </w:tc>
        <w:tc>
          <w:tcPr>
            <w:tcW w:w="796" w:type="pct"/>
            <w:shd w:val="clear" w:color="auto" w:fill="auto"/>
          </w:tcPr>
          <w:p w14:paraId="7D2AEA67"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w:t>
            </w:r>
          </w:p>
        </w:tc>
        <w:tc>
          <w:tcPr>
            <w:tcW w:w="796" w:type="pct"/>
            <w:shd w:val="clear" w:color="auto" w:fill="auto"/>
          </w:tcPr>
          <w:p w14:paraId="726F5A8A"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3 (5.9)</w:t>
            </w:r>
          </w:p>
        </w:tc>
        <w:tc>
          <w:tcPr>
            <w:tcW w:w="795" w:type="pct"/>
            <w:shd w:val="clear" w:color="auto" w:fill="auto"/>
          </w:tcPr>
          <w:p w14:paraId="34F15A58"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3</w:t>
            </w:r>
          </w:p>
        </w:tc>
      </w:tr>
      <w:tr w:rsidR="007F5816" w:rsidRPr="006B343C" w14:paraId="25A654C5" w14:textId="77777777">
        <w:tc>
          <w:tcPr>
            <w:tcW w:w="1816" w:type="pct"/>
            <w:shd w:val="clear" w:color="auto" w:fill="auto"/>
          </w:tcPr>
          <w:p w14:paraId="33A47704" w14:textId="77777777" w:rsidR="007F5816" w:rsidRPr="006B343C" w:rsidRDefault="007F5816" w:rsidP="007F5816">
            <w:pPr>
              <w:keepNext/>
              <w:keepLines/>
              <w:suppressLineNumbers/>
              <w:spacing w:after="20"/>
              <w:ind w:left="172"/>
              <w:jc w:val="left"/>
              <w:textboxTightWrap w:val="allLines"/>
              <w:rPr>
                <w:rFonts w:ascii="Arial Narrow" w:hAnsi="Arial Narrow"/>
                <w:sz w:val="20"/>
                <w:lang w:val="en-US" w:eastAsia="en-GB"/>
              </w:rPr>
            </w:pPr>
            <w:r w:rsidRPr="006B343C">
              <w:rPr>
                <w:rFonts w:ascii="Arial Narrow" w:hAnsi="Arial Narrow"/>
                <w:sz w:val="20"/>
                <w:lang w:val="en-US" w:eastAsia="en-GB"/>
              </w:rPr>
              <w:t>Not related</w:t>
            </w:r>
          </w:p>
        </w:tc>
        <w:tc>
          <w:tcPr>
            <w:tcW w:w="797" w:type="pct"/>
            <w:shd w:val="clear" w:color="auto" w:fill="auto"/>
          </w:tcPr>
          <w:p w14:paraId="4776A6F3"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28 (54.9)</w:t>
            </w:r>
          </w:p>
        </w:tc>
        <w:tc>
          <w:tcPr>
            <w:tcW w:w="796" w:type="pct"/>
            <w:shd w:val="clear" w:color="auto" w:fill="auto"/>
          </w:tcPr>
          <w:p w14:paraId="2DEF9198"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50</w:t>
            </w:r>
          </w:p>
        </w:tc>
        <w:tc>
          <w:tcPr>
            <w:tcW w:w="796" w:type="pct"/>
            <w:shd w:val="clear" w:color="auto" w:fill="auto"/>
          </w:tcPr>
          <w:p w14:paraId="5AB13B79"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21 (41.2)</w:t>
            </w:r>
          </w:p>
        </w:tc>
        <w:tc>
          <w:tcPr>
            <w:tcW w:w="795" w:type="pct"/>
            <w:shd w:val="clear" w:color="auto" w:fill="auto"/>
          </w:tcPr>
          <w:p w14:paraId="5C438731"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29</w:t>
            </w:r>
          </w:p>
        </w:tc>
      </w:tr>
      <w:tr w:rsidR="007F5816" w:rsidRPr="006B343C" w14:paraId="6EEE3632" w14:textId="77777777">
        <w:tc>
          <w:tcPr>
            <w:tcW w:w="1816" w:type="pct"/>
            <w:shd w:val="clear" w:color="auto" w:fill="auto"/>
          </w:tcPr>
          <w:p w14:paraId="790EC79B" w14:textId="77777777" w:rsidR="007F5816" w:rsidRPr="006B343C" w:rsidRDefault="007F5816" w:rsidP="007F5816">
            <w:pPr>
              <w:keepNext/>
              <w:keepLines/>
              <w:suppressLineNumbers/>
              <w:spacing w:after="20"/>
              <w:ind w:left="172"/>
              <w:jc w:val="left"/>
              <w:textboxTightWrap w:val="allLines"/>
              <w:rPr>
                <w:rFonts w:ascii="Arial Narrow" w:hAnsi="Arial Narrow"/>
                <w:sz w:val="20"/>
                <w:lang w:val="en-US" w:eastAsia="en-GB"/>
              </w:rPr>
            </w:pPr>
            <w:r w:rsidRPr="006B343C">
              <w:rPr>
                <w:rFonts w:ascii="Arial Narrow" w:hAnsi="Arial Narrow"/>
                <w:sz w:val="20"/>
                <w:lang w:val="en-US" w:eastAsia="en-GB"/>
              </w:rPr>
              <w:t>Leading to study drug discontinuation</w:t>
            </w:r>
          </w:p>
        </w:tc>
        <w:tc>
          <w:tcPr>
            <w:tcW w:w="797" w:type="pct"/>
            <w:shd w:val="clear" w:color="auto" w:fill="auto"/>
          </w:tcPr>
          <w:p w14:paraId="470C6E6F"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 (2.0)</w:t>
            </w:r>
          </w:p>
        </w:tc>
        <w:tc>
          <w:tcPr>
            <w:tcW w:w="796" w:type="pct"/>
            <w:shd w:val="clear" w:color="auto" w:fill="auto"/>
          </w:tcPr>
          <w:p w14:paraId="42F56C2B"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w:t>
            </w:r>
          </w:p>
        </w:tc>
        <w:tc>
          <w:tcPr>
            <w:tcW w:w="796" w:type="pct"/>
            <w:shd w:val="clear" w:color="auto" w:fill="auto"/>
          </w:tcPr>
          <w:p w14:paraId="5C439146"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 (3.9)</w:t>
            </w:r>
          </w:p>
        </w:tc>
        <w:tc>
          <w:tcPr>
            <w:tcW w:w="795" w:type="pct"/>
            <w:shd w:val="clear" w:color="auto" w:fill="auto"/>
          </w:tcPr>
          <w:p w14:paraId="27291A99"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w:t>
            </w:r>
          </w:p>
        </w:tc>
      </w:tr>
      <w:tr w:rsidR="007F5816" w:rsidRPr="006B343C" w14:paraId="4F01D464" w14:textId="77777777">
        <w:tc>
          <w:tcPr>
            <w:tcW w:w="1816" w:type="pct"/>
            <w:shd w:val="clear" w:color="auto" w:fill="auto"/>
          </w:tcPr>
          <w:p w14:paraId="43A21B78" w14:textId="77777777" w:rsidR="007F5816" w:rsidRPr="006B343C" w:rsidRDefault="007F5816" w:rsidP="007F5816">
            <w:pPr>
              <w:keepNext/>
              <w:keepLines/>
              <w:suppressLineNumbers/>
              <w:spacing w:after="20"/>
              <w:jc w:val="left"/>
              <w:textboxTightWrap w:val="allLines"/>
              <w:rPr>
                <w:rFonts w:ascii="Arial Narrow" w:hAnsi="Arial Narrow"/>
                <w:b/>
                <w:bCs/>
                <w:sz w:val="20"/>
                <w:lang w:val="en-US" w:eastAsia="en-GB"/>
              </w:rPr>
            </w:pPr>
            <w:r w:rsidRPr="006B343C">
              <w:rPr>
                <w:rFonts w:ascii="Arial Narrow" w:hAnsi="Arial Narrow"/>
                <w:b/>
                <w:bCs/>
                <w:sz w:val="20"/>
                <w:lang w:val="en-US" w:eastAsia="en-GB"/>
              </w:rPr>
              <w:t xml:space="preserve">Serious </w:t>
            </w:r>
            <w:r w:rsidRPr="006B343C">
              <w:rPr>
                <w:rFonts w:ascii="Arial Narrow" w:hAnsi="Arial Narrow"/>
                <w:b/>
                <w:bCs/>
                <w:sz w:val="20"/>
                <w:lang w:eastAsia="en-GB"/>
              </w:rPr>
              <w:t>TEAEs related to a flare</w:t>
            </w:r>
          </w:p>
        </w:tc>
        <w:tc>
          <w:tcPr>
            <w:tcW w:w="797" w:type="pct"/>
            <w:shd w:val="clear" w:color="auto" w:fill="auto"/>
          </w:tcPr>
          <w:p w14:paraId="3D049573"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 (3.9)</w:t>
            </w:r>
          </w:p>
        </w:tc>
        <w:tc>
          <w:tcPr>
            <w:tcW w:w="796" w:type="pct"/>
            <w:shd w:val="clear" w:color="auto" w:fill="auto"/>
          </w:tcPr>
          <w:p w14:paraId="73E621DC"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w:t>
            </w:r>
          </w:p>
        </w:tc>
        <w:tc>
          <w:tcPr>
            <w:tcW w:w="796" w:type="pct"/>
            <w:shd w:val="clear" w:color="auto" w:fill="auto"/>
          </w:tcPr>
          <w:p w14:paraId="5EADE0E4"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 (2.0)</w:t>
            </w:r>
          </w:p>
        </w:tc>
        <w:tc>
          <w:tcPr>
            <w:tcW w:w="795" w:type="pct"/>
            <w:shd w:val="clear" w:color="auto" w:fill="auto"/>
          </w:tcPr>
          <w:p w14:paraId="4F99814A"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w:t>
            </w:r>
          </w:p>
        </w:tc>
      </w:tr>
      <w:tr w:rsidR="007F5816" w:rsidRPr="006B343C" w14:paraId="717A3D0E" w14:textId="77777777">
        <w:tc>
          <w:tcPr>
            <w:tcW w:w="1816" w:type="pct"/>
            <w:shd w:val="clear" w:color="auto" w:fill="auto"/>
          </w:tcPr>
          <w:p w14:paraId="143DD85F" w14:textId="77777777" w:rsidR="007F5816" w:rsidRPr="006B343C" w:rsidRDefault="007F5816" w:rsidP="007F5816">
            <w:pPr>
              <w:keepNext/>
              <w:keepLines/>
              <w:suppressLineNumbers/>
              <w:spacing w:after="20"/>
              <w:ind w:left="172"/>
              <w:jc w:val="left"/>
              <w:textboxTightWrap w:val="allLines"/>
              <w:rPr>
                <w:rFonts w:ascii="Arial Narrow" w:hAnsi="Arial Narrow"/>
                <w:sz w:val="20"/>
                <w:lang w:val="en-US" w:eastAsia="en-GB"/>
              </w:rPr>
            </w:pPr>
            <w:r w:rsidRPr="006B343C">
              <w:rPr>
                <w:rFonts w:ascii="Arial Narrow" w:hAnsi="Arial Narrow"/>
                <w:sz w:val="20"/>
                <w:lang w:val="en-US" w:eastAsia="en-GB"/>
              </w:rPr>
              <w:t>Related</w:t>
            </w:r>
          </w:p>
        </w:tc>
        <w:tc>
          <w:tcPr>
            <w:tcW w:w="797" w:type="pct"/>
            <w:shd w:val="clear" w:color="auto" w:fill="auto"/>
          </w:tcPr>
          <w:p w14:paraId="23A27866"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 (0)</w:t>
            </w:r>
          </w:p>
        </w:tc>
        <w:tc>
          <w:tcPr>
            <w:tcW w:w="796" w:type="pct"/>
            <w:shd w:val="clear" w:color="auto" w:fill="auto"/>
          </w:tcPr>
          <w:p w14:paraId="2AF1AA43"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w:t>
            </w:r>
          </w:p>
        </w:tc>
        <w:tc>
          <w:tcPr>
            <w:tcW w:w="796" w:type="pct"/>
            <w:shd w:val="clear" w:color="auto" w:fill="auto"/>
          </w:tcPr>
          <w:p w14:paraId="141D9194"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 (2.0)</w:t>
            </w:r>
          </w:p>
        </w:tc>
        <w:tc>
          <w:tcPr>
            <w:tcW w:w="795" w:type="pct"/>
            <w:shd w:val="clear" w:color="auto" w:fill="auto"/>
          </w:tcPr>
          <w:p w14:paraId="4D6687F2"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1</w:t>
            </w:r>
          </w:p>
        </w:tc>
      </w:tr>
      <w:tr w:rsidR="007F5816" w:rsidRPr="006B343C" w14:paraId="4F076499" w14:textId="77777777">
        <w:tc>
          <w:tcPr>
            <w:tcW w:w="1816" w:type="pct"/>
            <w:shd w:val="clear" w:color="auto" w:fill="auto"/>
          </w:tcPr>
          <w:p w14:paraId="798542BC" w14:textId="77777777" w:rsidR="007F5816" w:rsidRPr="006B343C" w:rsidRDefault="007F5816" w:rsidP="007F5816">
            <w:pPr>
              <w:keepNext/>
              <w:keepLines/>
              <w:suppressLineNumbers/>
              <w:spacing w:after="20"/>
              <w:ind w:left="172"/>
              <w:jc w:val="left"/>
              <w:textboxTightWrap w:val="allLines"/>
              <w:rPr>
                <w:rFonts w:ascii="Arial Narrow" w:hAnsi="Arial Narrow"/>
                <w:sz w:val="20"/>
                <w:lang w:val="en-US" w:eastAsia="en-GB"/>
              </w:rPr>
            </w:pPr>
            <w:r w:rsidRPr="006B343C">
              <w:rPr>
                <w:rFonts w:ascii="Arial Narrow" w:hAnsi="Arial Narrow"/>
                <w:sz w:val="20"/>
                <w:lang w:val="en-US" w:eastAsia="en-GB"/>
              </w:rPr>
              <w:t>Not related</w:t>
            </w:r>
          </w:p>
        </w:tc>
        <w:tc>
          <w:tcPr>
            <w:tcW w:w="797" w:type="pct"/>
            <w:shd w:val="clear" w:color="auto" w:fill="auto"/>
          </w:tcPr>
          <w:p w14:paraId="085E21DB"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 (3.9)</w:t>
            </w:r>
          </w:p>
        </w:tc>
        <w:tc>
          <w:tcPr>
            <w:tcW w:w="796" w:type="pct"/>
            <w:shd w:val="clear" w:color="auto" w:fill="auto"/>
          </w:tcPr>
          <w:p w14:paraId="1E459644"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2</w:t>
            </w:r>
          </w:p>
        </w:tc>
        <w:tc>
          <w:tcPr>
            <w:tcW w:w="796" w:type="pct"/>
            <w:shd w:val="clear" w:color="auto" w:fill="auto"/>
          </w:tcPr>
          <w:p w14:paraId="6EA28205"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 (0)</w:t>
            </w:r>
          </w:p>
        </w:tc>
        <w:tc>
          <w:tcPr>
            <w:tcW w:w="795" w:type="pct"/>
            <w:shd w:val="clear" w:color="auto" w:fill="auto"/>
          </w:tcPr>
          <w:p w14:paraId="6B62F96B"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w:t>
            </w:r>
          </w:p>
        </w:tc>
      </w:tr>
      <w:tr w:rsidR="007F5816" w:rsidRPr="006B343C" w14:paraId="6EB3D691" w14:textId="77777777">
        <w:tc>
          <w:tcPr>
            <w:tcW w:w="1816" w:type="pct"/>
            <w:shd w:val="clear" w:color="auto" w:fill="auto"/>
          </w:tcPr>
          <w:p w14:paraId="69AB1C9E" w14:textId="77777777" w:rsidR="007F5816" w:rsidRPr="006B343C" w:rsidRDefault="007F5816" w:rsidP="007F5816">
            <w:pPr>
              <w:keepNext/>
              <w:keepLines/>
              <w:suppressLineNumbers/>
              <w:spacing w:after="20"/>
              <w:ind w:left="172"/>
              <w:jc w:val="left"/>
              <w:textboxTightWrap w:val="allLines"/>
              <w:rPr>
                <w:rFonts w:ascii="Arial Narrow" w:hAnsi="Arial Narrow"/>
                <w:sz w:val="20"/>
                <w:lang w:val="en-US" w:eastAsia="en-GB"/>
              </w:rPr>
            </w:pPr>
            <w:r w:rsidRPr="006B343C">
              <w:rPr>
                <w:rFonts w:ascii="Arial Narrow" w:hAnsi="Arial Narrow"/>
                <w:sz w:val="20"/>
                <w:lang w:val="en-US" w:eastAsia="en-GB"/>
              </w:rPr>
              <w:t>Leading to study drug discontinuation</w:t>
            </w:r>
          </w:p>
        </w:tc>
        <w:tc>
          <w:tcPr>
            <w:tcW w:w="797" w:type="pct"/>
            <w:shd w:val="clear" w:color="auto" w:fill="auto"/>
          </w:tcPr>
          <w:p w14:paraId="6475CDD6"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 (0)</w:t>
            </w:r>
          </w:p>
        </w:tc>
        <w:tc>
          <w:tcPr>
            <w:tcW w:w="796" w:type="pct"/>
            <w:shd w:val="clear" w:color="auto" w:fill="auto"/>
          </w:tcPr>
          <w:p w14:paraId="16666EED"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w:t>
            </w:r>
          </w:p>
        </w:tc>
        <w:tc>
          <w:tcPr>
            <w:tcW w:w="796" w:type="pct"/>
            <w:shd w:val="clear" w:color="auto" w:fill="auto"/>
          </w:tcPr>
          <w:p w14:paraId="72BA27F3"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 (0)</w:t>
            </w:r>
          </w:p>
        </w:tc>
        <w:tc>
          <w:tcPr>
            <w:tcW w:w="795" w:type="pct"/>
            <w:shd w:val="clear" w:color="auto" w:fill="auto"/>
          </w:tcPr>
          <w:p w14:paraId="6A9B9BC5"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w:t>
            </w:r>
          </w:p>
        </w:tc>
      </w:tr>
      <w:tr w:rsidR="007F5816" w:rsidRPr="006B343C" w14:paraId="125C65B7" w14:textId="77777777">
        <w:tc>
          <w:tcPr>
            <w:tcW w:w="1816" w:type="pct"/>
            <w:shd w:val="clear" w:color="auto" w:fill="auto"/>
          </w:tcPr>
          <w:p w14:paraId="043B5823" w14:textId="77777777" w:rsidR="007F5816" w:rsidRPr="006B343C" w:rsidRDefault="007F5816" w:rsidP="007F5816">
            <w:pPr>
              <w:keepNext/>
              <w:keepLines/>
              <w:suppressLineNumbers/>
              <w:spacing w:after="20"/>
              <w:jc w:val="left"/>
              <w:textboxTightWrap w:val="allLines"/>
              <w:rPr>
                <w:rFonts w:ascii="Arial Narrow" w:hAnsi="Arial Narrow"/>
                <w:b/>
                <w:bCs/>
                <w:sz w:val="20"/>
                <w:lang w:val="en-US" w:eastAsia="en-GB"/>
              </w:rPr>
            </w:pPr>
            <w:r w:rsidRPr="006B343C">
              <w:rPr>
                <w:rFonts w:ascii="Arial Narrow" w:hAnsi="Arial Narrow"/>
                <w:b/>
                <w:bCs/>
                <w:sz w:val="20"/>
                <w:lang w:val="en-US" w:eastAsia="en-GB"/>
              </w:rPr>
              <w:t>Deaths</w:t>
            </w:r>
          </w:p>
        </w:tc>
        <w:tc>
          <w:tcPr>
            <w:tcW w:w="797" w:type="pct"/>
            <w:shd w:val="clear" w:color="auto" w:fill="auto"/>
          </w:tcPr>
          <w:p w14:paraId="73B0FA13"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 (0)</w:t>
            </w:r>
          </w:p>
        </w:tc>
        <w:tc>
          <w:tcPr>
            <w:tcW w:w="796" w:type="pct"/>
            <w:shd w:val="clear" w:color="auto" w:fill="auto"/>
          </w:tcPr>
          <w:p w14:paraId="6776900E"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w:t>
            </w:r>
          </w:p>
        </w:tc>
        <w:tc>
          <w:tcPr>
            <w:tcW w:w="796" w:type="pct"/>
            <w:shd w:val="clear" w:color="auto" w:fill="auto"/>
          </w:tcPr>
          <w:p w14:paraId="4A814B51"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 (0)</w:t>
            </w:r>
          </w:p>
        </w:tc>
        <w:tc>
          <w:tcPr>
            <w:tcW w:w="795" w:type="pct"/>
            <w:shd w:val="clear" w:color="auto" w:fill="auto"/>
          </w:tcPr>
          <w:p w14:paraId="5D334149" w14:textId="77777777" w:rsidR="007F5816" w:rsidRPr="006B343C" w:rsidRDefault="007F5816" w:rsidP="007F5816">
            <w:pPr>
              <w:keepNext/>
              <w:keepLines/>
              <w:suppressLineNumbers/>
              <w:spacing w:after="20"/>
              <w:jc w:val="center"/>
              <w:textboxTightWrap w:val="allLines"/>
              <w:rPr>
                <w:rFonts w:ascii="Arial Narrow" w:hAnsi="Arial Narrow"/>
                <w:sz w:val="20"/>
                <w:lang w:val="en-US" w:eastAsia="en-GB"/>
              </w:rPr>
            </w:pPr>
            <w:r w:rsidRPr="006B343C">
              <w:rPr>
                <w:rFonts w:ascii="Arial Narrow" w:hAnsi="Arial Narrow"/>
                <w:sz w:val="20"/>
                <w:lang w:val="en-US" w:eastAsia="en-GB"/>
              </w:rPr>
              <w:t>0</w:t>
            </w:r>
          </w:p>
        </w:tc>
      </w:tr>
    </w:tbl>
    <w:p w14:paraId="7DB6C8EF" w14:textId="1DE8576F" w:rsidR="007F5816" w:rsidRPr="006B343C" w:rsidRDefault="007F5816" w:rsidP="007F5816">
      <w:pPr>
        <w:spacing w:after="120"/>
        <w:contextualSpacing/>
        <w:rPr>
          <w:rFonts w:ascii="Arial Narrow" w:hAnsi="Arial Narrow"/>
          <w:snapToGrid w:val="0"/>
          <w:sz w:val="18"/>
          <w:szCs w:val="22"/>
          <w:lang w:val="en-US"/>
        </w:rPr>
      </w:pPr>
      <w:r w:rsidRPr="006B343C">
        <w:rPr>
          <w:rFonts w:ascii="Arial Narrow" w:hAnsi="Arial Narrow"/>
          <w:snapToGrid w:val="0"/>
          <w:sz w:val="18"/>
          <w:szCs w:val="22"/>
          <w:lang w:val="en-US"/>
        </w:rPr>
        <w:t>Source: Table 43of the submission</w:t>
      </w:r>
    </w:p>
    <w:p w14:paraId="68478683" w14:textId="77777777" w:rsidR="007F5816" w:rsidRPr="006B343C" w:rsidRDefault="007F5816" w:rsidP="007F5816">
      <w:pPr>
        <w:spacing w:after="120"/>
        <w:contextualSpacing/>
        <w:rPr>
          <w:rFonts w:ascii="Arial Narrow" w:hAnsi="Arial Narrow"/>
          <w:snapToGrid w:val="0"/>
          <w:sz w:val="18"/>
          <w:szCs w:val="22"/>
          <w:lang w:val="en-US"/>
        </w:rPr>
      </w:pPr>
      <w:r w:rsidRPr="006B343C">
        <w:rPr>
          <w:rFonts w:ascii="Arial Narrow" w:hAnsi="Arial Narrow"/>
          <w:snapToGrid w:val="0"/>
          <w:sz w:val="18"/>
          <w:szCs w:val="22"/>
          <w:lang w:val="en-US"/>
        </w:rPr>
        <w:t xml:space="preserve">Abbreviations: PBO, placebo; </w:t>
      </w:r>
      <w:r w:rsidRPr="006B343C">
        <w:rPr>
          <w:rFonts w:ascii="Arial Narrow" w:hAnsi="Arial Narrow"/>
          <w:snapToGrid w:val="0"/>
          <w:sz w:val="18"/>
          <w:szCs w:val="22"/>
        </w:rPr>
        <w:t>SAF, safety analysis set</w:t>
      </w:r>
      <w:r w:rsidRPr="006B343C">
        <w:rPr>
          <w:rFonts w:ascii="Arial Narrow" w:hAnsi="Arial Narrow"/>
          <w:snapToGrid w:val="0"/>
          <w:sz w:val="18"/>
          <w:szCs w:val="22"/>
          <w:lang w:val="en-US"/>
        </w:rPr>
        <w:t>; SOC, standard-of-care; TEAE, treatment-emergent adverse event; VEDO, vedolizumab.</w:t>
      </w:r>
    </w:p>
    <w:p w14:paraId="1B003C03" w14:textId="420B08A0" w:rsidR="007F5816" w:rsidRPr="006B343C" w:rsidRDefault="007F5816" w:rsidP="009D0558">
      <w:pPr>
        <w:spacing w:after="240"/>
        <w:rPr>
          <w:rFonts w:ascii="Arial Narrow" w:hAnsi="Arial Narrow"/>
          <w:snapToGrid w:val="0"/>
          <w:sz w:val="18"/>
          <w:szCs w:val="22"/>
          <w:lang w:val="en-US"/>
        </w:rPr>
      </w:pPr>
      <w:r w:rsidRPr="006B343C">
        <w:rPr>
          <w:rFonts w:ascii="Arial Narrow" w:hAnsi="Arial Narrow"/>
          <w:snapToGrid w:val="0"/>
          <w:sz w:val="18"/>
          <w:szCs w:val="22"/>
          <w:vertAlign w:val="superscript"/>
          <w:lang w:val="en-US"/>
        </w:rPr>
        <w:t>a</w:t>
      </w:r>
      <w:r w:rsidRPr="006B343C">
        <w:rPr>
          <w:rFonts w:ascii="Arial Narrow" w:hAnsi="Arial Narrow"/>
          <w:snapToGrid w:val="0"/>
          <w:sz w:val="18"/>
          <w:szCs w:val="22"/>
          <w:vertAlign w:val="subscript"/>
          <w:lang w:val="en-US"/>
        </w:rPr>
        <w:t xml:space="preserve"> </w:t>
      </w:r>
      <w:r w:rsidRPr="006B343C">
        <w:rPr>
          <w:rFonts w:ascii="Arial Narrow" w:hAnsi="Arial Narrow"/>
          <w:snapToGrid w:val="0"/>
          <w:sz w:val="18"/>
          <w:szCs w:val="22"/>
          <w:lang w:val="en-US"/>
        </w:rPr>
        <w:t xml:space="preserve">TEAEs related to a flare were pre-specified in study protocol but no formal definition provided. </w:t>
      </w:r>
    </w:p>
    <w:p w14:paraId="730B128F" w14:textId="2F6039D8"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TEAEs related to a flare was more common in the VEDO + SOC group (56.9%) compared to the PBO + SOC group (47.1%). There </w:t>
      </w:r>
      <w:r w:rsidR="001618E2" w:rsidRPr="006B343C">
        <w:rPr>
          <w:rFonts w:asciiTheme="minorHAnsi" w:hAnsiTheme="minorHAnsi"/>
          <w:snapToGrid w:val="0"/>
        </w:rPr>
        <w:t>were</w:t>
      </w:r>
      <w:r w:rsidRPr="006B343C">
        <w:rPr>
          <w:rFonts w:asciiTheme="minorHAnsi" w:hAnsiTheme="minorHAnsi"/>
          <w:snapToGrid w:val="0"/>
        </w:rPr>
        <w:t xml:space="preserve"> two (3.9%) serious TE</w:t>
      </w:r>
      <w:r w:rsidR="009F4D49" w:rsidRPr="006B343C">
        <w:rPr>
          <w:rFonts w:asciiTheme="minorHAnsi" w:hAnsiTheme="minorHAnsi"/>
          <w:snapToGrid w:val="0"/>
        </w:rPr>
        <w:t>A</w:t>
      </w:r>
      <w:r w:rsidR="00060F40" w:rsidRPr="006B343C">
        <w:rPr>
          <w:rFonts w:asciiTheme="minorHAnsi" w:hAnsiTheme="minorHAnsi"/>
          <w:snapToGrid w:val="0"/>
        </w:rPr>
        <w:t>Es related</w:t>
      </w:r>
      <w:r w:rsidRPr="006B343C">
        <w:rPr>
          <w:rFonts w:asciiTheme="minorHAnsi" w:hAnsiTheme="minorHAnsi"/>
          <w:snapToGrid w:val="0"/>
        </w:rPr>
        <w:t xml:space="preserve"> flare in the VEDO + SOC group and one (2.0%) in the PBO + SOC group. The greater use of concomitant antibiotics in the VEDO + SOC group compared to the PBO + SOC group was likely to treat flares. </w:t>
      </w:r>
    </w:p>
    <w:p w14:paraId="3E307FC8" w14:textId="77777777" w:rsidR="003C2905" w:rsidRPr="0076715D" w:rsidRDefault="003C2905" w:rsidP="003C2905">
      <w:pPr>
        <w:pStyle w:val="4-SubsectionHeading"/>
      </w:pPr>
      <w:bookmarkStart w:id="69" w:name="_Toc22897643"/>
      <w:bookmarkStart w:id="70" w:name="_Toc107927629"/>
      <w:bookmarkStart w:id="71" w:name="_Toc167264521"/>
      <w:bookmarkStart w:id="72" w:name="_Toc22897644"/>
      <w:bookmarkStart w:id="73" w:name="_Toc107927630"/>
      <w:bookmarkStart w:id="74" w:name="_Toc167264522"/>
      <w:r w:rsidRPr="007F5816">
        <w:t>Benefits/harms</w:t>
      </w:r>
      <w:bookmarkStart w:id="75" w:name="_Ref164680702"/>
      <w:bookmarkEnd w:id="69"/>
      <w:bookmarkEnd w:id="70"/>
      <w:bookmarkEnd w:id="71"/>
      <w:r>
        <w:t xml:space="preserve"> </w:t>
      </w:r>
    </w:p>
    <w:p w14:paraId="65A301A2" w14:textId="4E3CD4B5" w:rsidR="003C2905" w:rsidRPr="007F5816" w:rsidRDefault="003C2905" w:rsidP="003C2905">
      <w:pPr>
        <w:numPr>
          <w:ilvl w:val="1"/>
          <w:numId w:val="1"/>
        </w:numPr>
        <w:spacing w:after="120"/>
        <w:rPr>
          <w:rFonts w:asciiTheme="minorHAnsi" w:hAnsiTheme="minorHAnsi"/>
          <w:snapToGrid w:val="0"/>
        </w:rPr>
      </w:pPr>
      <w:r w:rsidRPr="007F5816">
        <w:rPr>
          <w:rFonts w:asciiTheme="minorHAnsi" w:hAnsiTheme="minorHAnsi"/>
          <w:snapToGrid w:val="0"/>
        </w:rPr>
        <w:t>On the basis of direct evidence presented by the submission, for every 100 patients treated with VEDO + SOC in comparison with PBO + SOC:</w:t>
      </w:r>
      <w:bookmarkEnd w:id="75"/>
    </w:p>
    <w:p w14:paraId="398285DC" w14:textId="52456B60" w:rsidR="003C2905" w:rsidRPr="007F5816" w:rsidRDefault="003C2905" w:rsidP="003C2905">
      <w:pPr>
        <w:numPr>
          <w:ilvl w:val="0"/>
          <w:numId w:val="15"/>
        </w:numPr>
        <w:spacing w:after="120"/>
        <w:rPr>
          <w:rFonts w:asciiTheme="minorHAnsi" w:hAnsiTheme="minorHAnsi"/>
          <w:snapToGrid w:val="0"/>
        </w:rPr>
      </w:pPr>
      <w:r w:rsidRPr="007F5816">
        <w:rPr>
          <w:rFonts w:asciiTheme="minorHAnsi" w:hAnsiTheme="minorHAnsi"/>
          <w:snapToGrid w:val="0"/>
        </w:rPr>
        <w:t>Approximately 22 additional patients will achieve mPDAI-defined remission at 14 weeks (</w:t>
      </w:r>
      <w:r w:rsidRPr="005B565A">
        <w:fldChar w:fldCharType="begin" w:fldLock="1"/>
      </w:r>
      <w:r w:rsidRPr="005B565A">
        <w:instrText xml:space="preserve"> REF _Ref164411156 \h </w:instrText>
      </w:r>
      <w:r>
        <w:instrText xml:space="preserve"> \* MERGEFORMAT </w:instrText>
      </w:r>
      <w:r w:rsidRPr="005B565A">
        <w:fldChar w:fldCharType="separate"/>
      </w:r>
      <w:r w:rsidR="00DC7CC4" w:rsidRPr="00DC7CC4">
        <w:t>Table 5</w:t>
      </w:r>
      <w:r w:rsidRPr="005B565A">
        <w:fldChar w:fldCharType="end"/>
      </w:r>
      <w:r w:rsidRPr="005B565A">
        <w:t>).</w:t>
      </w:r>
      <w:r w:rsidRPr="007F5816">
        <w:rPr>
          <w:rFonts w:asciiTheme="minorHAnsi" w:hAnsiTheme="minorHAnsi"/>
          <w:snapToGrid w:val="0"/>
        </w:rPr>
        <w:t xml:space="preserve"> </w:t>
      </w:r>
    </w:p>
    <w:p w14:paraId="5F5612E0" w14:textId="69789003" w:rsidR="003C2905" w:rsidRPr="00B26311" w:rsidRDefault="003C2905" w:rsidP="003C2905">
      <w:pPr>
        <w:numPr>
          <w:ilvl w:val="0"/>
          <w:numId w:val="15"/>
        </w:numPr>
        <w:spacing w:after="120"/>
        <w:rPr>
          <w:rFonts w:asciiTheme="minorHAnsi" w:hAnsiTheme="minorHAnsi" w:cstheme="minorHAnsi"/>
          <w:snapToGrid w:val="0"/>
        </w:rPr>
      </w:pPr>
      <w:r w:rsidRPr="007F5816">
        <w:rPr>
          <w:rFonts w:asciiTheme="minorHAnsi" w:hAnsiTheme="minorHAnsi"/>
          <w:snapToGrid w:val="0"/>
        </w:rPr>
        <w:t xml:space="preserve">Approximately 8 additional patients would experience a pouchitis flare or worsening of </w:t>
      </w:r>
      <w:r w:rsidRPr="00B26311">
        <w:rPr>
          <w:rFonts w:asciiTheme="minorHAnsi" w:hAnsiTheme="minorHAnsi" w:cstheme="minorHAnsi"/>
          <w:snapToGrid w:val="0"/>
        </w:rPr>
        <w:t>pouchitis (</w:t>
      </w:r>
      <w:r w:rsidRPr="00B26311">
        <w:rPr>
          <w:rFonts w:asciiTheme="minorHAnsi" w:hAnsiTheme="minorHAnsi" w:cstheme="minorHAnsi"/>
          <w:snapToGrid w:val="0"/>
        </w:rPr>
        <w:fldChar w:fldCharType="begin" w:fldLock="1"/>
      </w:r>
      <w:r w:rsidRPr="00B26311">
        <w:rPr>
          <w:rFonts w:asciiTheme="minorHAnsi" w:hAnsiTheme="minorHAnsi" w:cstheme="minorHAnsi"/>
          <w:snapToGrid w:val="0"/>
        </w:rPr>
        <w:instrText xml:space="preserve"> REF _Ref164411206 \h  \* MERGEFORMAT </w:instrText>
      </w:r>
      <w:r w:rsidRPr="00B26311">
        <w:rPr>
          <w:rFonts w:asciiTheme="minorHAnsi" w:hAnsiTheme="minorHAnsi" w:cstheme="minorHAnsi"/>
          <w:snapToGrid w:val="0"/>
        </w:rPr>
      </w:r>
      <w:r w:rsidRPr="00B26311">
        <w:rPr>
          <w:rFonts w:asciiTheme="minorHAnsi" w:hAnsiTheme="minorHAnsi" w:cstheme="minorHAnsi"/>
          <w:snapToGrid w:val="0"/>
        </w:rPr>
        <w:fldChar w:fldCharType="separate"/>
      </w:r>
      <w:r w:rsidR="00DC7CC4" w:rsidRPr="00DC7CC4">
        <w:rPr>
          <w:rFonts w:asciiTheme="minorHAnsi" w:hAnsiTheme="minorHAnsi" w:cstheme="minorHAnsi"/>
        </w:rPr>
        <w:t xml:space="preserve">Table </w:t>
      </w:r>
      <w:r w:rsidR="00DC7CC4">
        <w:rPr>
          <w:rFonts w:ascii="Arial Narrow" w:hAnsi="Arial Narrow"/>
          <w:b/>
          <w:bCs/>
          <w:noProof/>
          <w:sz w:val="20"/>
          <w:szCs w:val="18"/>
        </w:rPr>
        <w:t>7</w:t>
      </w:r>
      <w:r w:rsidRPr="00B26311">
        <w:rPr>
          <w:rFonts w:asciiTheme="minorHAnsi" w:hAnsiTheme="minorHAnsi" w:cstheme="minorHAnsi"/>
          <w:snapToGrid w:val="0"/>
        </w:rPr>
        <w:fldChar w:fldCharType="end"/>
      </w:r>
      <w:r w:rsidRPr="00B26311">
        <w:rPr>
          <w:rFonts w:asciiTheme="minorHAnsi" w:hAnsiTheme="minorHAnsi" w:cstheme="minorHAnsi"/>
          <w:snapToGrid w:val="0"/>
        </w:rPr>
        <w:t xml:space="preserve">). </w:t>
      </w:r>
    </w:p>
    <w:p w14:paraId="27BC8360" w14:textId="6C11D71C" w:rsidR="007F5816" w:rsidRPr="007F5816" w:rsidRDefault="007F5816" w:rsidP="003305CD">
      <w:pPr>
        <w:pStyle w:val="4-SubsectionHeading"/>
      </w:pPr>
      <w:r w:rsidRPr="007F5816">
        <w:t>Clinical claim</w:t>
      </w:r>
      <w:bookmarkEnd w:id="72"/>
      <w:bookmarkEnd w:id="73"/>
      <w:bookmarkEnd w:id="74"/>
    </w:p>
    <w:p w14:paraId="0608B572" w14:textId="7DCE8BB8" w:rsidR="007F5816" w:rsidRPr="006B343C" w:rsidRDefault="007F5816" w:rsidP="007F5816">
      <w:pPr>
        <w:numPr>
          <w:ilvl w:val="1"/>
          <w:numId w:val="1"/>
        </w:numPr>
        <w:spacing w:after="120"/>
        <w:rPr>
          <w:rFonts w:asciiTheme="minorHAnsi" w:eastAsia="Calibri" w:hAnsiTheme="minorHAnsi"/>
          <w:snapToGrid w:val="0"/>
        </w:rPr>
      </w:pPr>
      <w:bookmarkStart w:id="76" w:name="_Ref164255478"/>
      <w:r w:rsidRPr="006B343C">
        <w:rPr>
          <w:rFonts w:asciiTheme="minorHAnsi" w:eastAsia="Calibri" w:hAnsiTheme="minorHAnsi"/>
          <w:snapToGrid w:val="0"/>
        </w:rPr>
        <w:t xml:space="preserve">The submission described VEDO + SOC as superior in terms of effectiveness compared </w:t>
      </w:r>
      <w:r w:rsidR="004A61EB">
        <w:rPr>
          <w:rFonts w:asciiTheme="minorHAnsi" w:eastAsia="Calibri" w:hAnsiTheme="minorHAnsi"/>
          <w:snapToGrid w:val="0"/>
        </w:rPr>
        <w:t>with</w:t>
      </w:r>
      <w:r w:rsidRPr="006B343C">
        <w:rPr>
          <w:rFonts w:asciiTheme="minorHAnsi" w:eastAsia="Calibri" w:hAnsiTheme="minorHAnsi"/>
          <w:snapToGrid w:val="0"/>
        </w:rPr>
        <w:t xml:space="preserve"> PBO + SOC. Th</w:t>
      </w:r>
      <w:r w:rsidR="0007775E">
        <w:rPr>
          <w:rFonts w:asciiTheme="minorHAnsi" w:eastAsia="Calibri" w:hAnsiTheme="minorHAnsi"/>
          <w:snapToGrid w:val="0"/>
        </w:rPr>
        <w:t xml:space="preserve">e evaluation </w:t>
      </w:r>
      <w:r w:rsidR="0007775E" w:rsidRPr="00152D11">
        <w:rPr>
          <w:rFonts w:asciiTheme="minorHAnsi" w:eastAsia="Calibri" w:hAnsiTheme="minorHAnsi"/>
          <w:snapToGrid w:val="0"/>
        </w:rPr>
        <w:t>considered the</w:t>
      </w:r>
      <w:r w:rsidRPr="00CC34E0">
        <w:rPr>
          <w:rFonts w:asciiTheme="minorHAnsi" w:eastAsia="Calibri" w:hAnsiTheme="minorHAnsi"/>
          <w:i/>
          <w:iCs/>
          <w:snapToGrid w:val="0"/>
        </w:rPr>
        <w:t xml:space="preserve"> </w:t>
      </w:r>
      <w:r w:rsidRPr="006B343C">
        <w:rPr>
          <w:rFonts w:asciiTheme="minorHAnsi" w:eastAsia="Calibri" w:hAnsiTheme="minorHAnsi"/>
          <w:snapToGrid w:val="0"/>
        </w:rPr>
        <w:t>claim was not adequately supported because:</w:t>
      </w:r>
      <w:bookmarkEnd w:id="76"/>
    </w:p>
    <w:p w14:paraId="17259967" w14:textId="66658377" w:rsidR="007F5816" w:rsidRPr="006B343C" w:rsidRDefault="007F5816" w:rsidP="00B24069">
      <w:pPr>
        <w:numPr>
          <w:ilvl w:val="0"/>
          <w:numId w:val="19"/>
        </w:numPr>
        <w:spacing w:after="120"/>
        <w:rPr>
          <w:rFonts w:asciiTheme="minorHAnsi" w:eastAsia="Calibri" w:hAnsiTheme="minorHAnsi"/>
          <w:snapToGrid w:val="0"/>
        </w:rPr>
      </w:pPr>
      <w:bookmarkStart w:id="77" w:name="_Hlk164679141"/>
      <w:r w:rsidRPr="006B343C">
        <w:rPr>
          <w:rFonts w:asciiTheme="minorHAnsi" w:eastAsia="Calibri" w:hAnsiTheme="minorHAnsi"/>
          <w:snapToGrid w:val="0"/>
        </w:rPr>
        <w:t>There is a high</w:t>
      </w:r>
      <w:r w:rsidR="00A769AC" w:rsidRPr="006B343C">
        <w:rPr>
          <w:rFonts w:asciiTheme="minorHAnsi" w:eastAsia="Calibri" w:hAnsiTheme="minorHAnsi"/>
          <w:snapToGrid w:val="0"/>
        </w:rPr>
        <w:t xml:space="preserve"> overall</w:t>
      </w:r>
      <w:r w:rsidRPr="006B343C">
        <w:rPr>
          <w:rFonts w:asciiTheme="minorHAnsi" w:eastAsia="Calibri" w:hAnsiTheme="minorHAnsi"/>
          <w:snapToGrid w:val="0"/>
        </w:rPr>
        <w:t xml:space="preserve"> risk of bias </w:t>
      </w:r>
      <w:r w:rsidR="00A769AC" w:rsidRPr="006B343C">
        <w:rPr>
          <w:rFonts w:asciiTheme="minorHAnsi" w:eastAsia="Calibri" w:hAnsiTheme="minorHAnsi"/>
          <w:snapToGrid w:val="0"/>
        </w:rPr>
        <w:t>arising from attrition bias due to</w:t>
      </w:r>
      <w:r w:rsidRPr="006B343C">
        <w:rPr>
          <w:rFonts w:asciiTheme="minorHAnsi" w:eastAsia="Calibri" w:hAnsiTheme="minorHAnsi"/>
          <w:snapToGrid w:val="0"/>
        </w:rPr>
        <w:t xml:space="preserve"> substantial treatment discontinuations and protocol deviations. This in turn has an impact on </w:t>
      </w:r>
      <w:r w:rsidRPr="006B343C">
        <w:rPr>
          <w:rFonts w:asciiTheme="minorHAnsi" w:eastAsia="Calibri" w:hAnsiTheme="minorHAnsi"/>
          <w:snapToGrid w:val="0"/>
        </w:rPr>
        <w:lastRenderedPageBreak/>
        <w:t>the amount of missing data that requires imputation. The LOCF approach applied likely favours vedolizumab.</w:t>
      </w:r>
    </w:p>
    <w:p w14:paraId="187AC6BB" w14:textId="4D583469" w:rsidR="007F5816" w:rsidRPr="006B343C" w:rsidRDefault="007F5816" w:rsidP="00B24069">
      <w:pPr>
        <w:numPr>
          <w:ilvl w:val="0"/>
          <w:numId w:val="19"/>
        </w:numPr>
        <w:spacing w:after="120"/>
        <w:rPr>
          <w:rFonts w:asciiTheme="minorHAnsi" w:eastAsia="Calibri" w:hAnsiTheme="minorHAnsi"/>
          <w:snapToGrid w:val="0"/>
        </w:rPr>
      </w:pPr>
      <w:r w:rsidRPr="006B343C">
        <w:rPr>
          <w:rFonts w:asciiTheme="minorHAnsi" w:eastAsia="Calibri" w:hAnsiTheme="minorHAnsi"/>
          <w:snapToGrid w:val="0"/>
        </w:rPr>
        <w:t xml:space="preserve">The definitions for remission and response were based on mPDAI and PDAI instruments that lack validation and relied on </w:t>
      </w:r>
      <w:r w:rsidRPr="006B343C">
        <w:rPr>
          <w:rFonts w:asciiTheme="minorHAnsi" w:hAnsiTheme="minorHAnsi"/>
          <w:snapToGrid w:val="0"/>
        </w:rPr>
        <w:t>arbitrary definitions for clinical remission cut-off.</w:t>
      </w:r>
    </w:p>
    <w:p w14:paraId="3926C442" w14:textId="2C4E70BA" w:rsidR="007F5816" w:rsidRPr="006B343C" w:rsidRDefault="00E27EAC" w:rsidP="00B24069">
      <w:pPr>
        <w:numPr>
          <w:ilvl w:val="0"/>
          <w:numId w:val="19"/>
        </w:numPr>
        <w:spacing w:after="120"/>
        <w:rPr>
          <w:rFonts w:asciiTheme="minorHAnsi" w:hAnsiTheme="minorHAnsi"/>
          <w:snapToGrid w:val="0"/>
        </w:rPr>
      </w:pPr>
      <w:r w:rsidRPr="006B343C">
        <w:rPr>
          <w:rFonts w:asciiTheme="minorHAnsi" w:eastAsia="Calibri" w:hAnsiTheme="minorHAnsi"/>
          <w:snapToGrid w:val="0"/>
        </w:rPr>
        <w:t>The</w:t>
      </w:r>
      <w:r w:rsidR="007F5816" w:rsidRPr="006B343C">
        <w:rPr>
          <w:rFonts w:asciiTheme="minorHAnsi" w:eastAsia="Calibri" w:hAnsiTheme="minorHAnsi"/>
          <w:snapToGrid w:val="0"/>
        </w:rPr>
        <w:t xml:space="preserve"> primary outcome (mPDAI-defined remission) at Week 14 did not </w:t>
      </w:r>
      <w:r w:rsidR="007F5816" w:rsidRPr="006B343C">
        <w:rPr>
          <w:rFonts w:asciiTheme="minorHAnsi" w:hAnsiTheme="minorHAnsi"/>
          <w:snapToGrid w:val="0"/>
        </w:rPr>
        <w:t>achieve a 25</w:t>
      </w:r>
      <w:r w:rsidR="00C10806" w:rsidRPr="006B343C">
        <w:rPr>
          <w:rFonts w:asciiTheme="minorHAnsi" w:hAnsiTheme="minorHAnsi"/>
          <w:snapToGrid w:val="0"/>
        </w:rPr>
        <w:t xml:space="preserve"> percentage point</w:t>
      </w:r>
      <w:r w:rsidR="007F5816" w:rsidRPr="006B343C">
        <w:rPr>
          <w:rFonts w:asciiTheme="minorHAnsi" w:hAnsiTheme="minorHAnsi"/>
          <w:snapToGrid w:val="0"/>
        </w:rPr>
        <w:t xml:space="preserve"> difference in the remission rate</w:t>
      </w:r>
      <w:r w:rsidR="009171AE">
        <w:rPr>
          <w:rFonts w:asciiTheme="minorHAnsi" w:hAnsiTheme="minorHAnsi"/>
          <w:snapToGrid w:val="0"/>
        </w:rPr>
        <w:t>, the difference</w:t>
      </w:r>
      <w:r w:rsidR="007F5816" w:rsidRPr="006B343C">
        <w:rPr>
          <w:rFonts w:asciiTheme="minorHAnsi" w:hAnsiTheme="minorHAnsi"/>
          <w:snapToGrid w:val="0"/>
        </w:rPr>
        <w:t xml:space="preserve"> used for</w:t>
      </w:r>
      <w:r w:rsidR="00222517">
        <w:rPr>
          <w:rFonts w:asciiTheme="minorHAnsi" w:hAnsiTheme="minorHAnsi"/>
          <w:snapToGrid w:val="0"/>
        </w:rPr>
        <w:t xml:space="preserve"> the trial</w:t>
      </w:r>
      <w:r w:rsidR="007F5816" w:rsidRPr="006B343C">
        <w:rPr>
          <w:rFonts w:asciiTheme="minorHAnsi" w:hAnsiTheme="minorHAnsi"/>
          <w:snapToGrid w:val="0"/>
        </w:rPr>
        <w:t xml:space="preserve"> sample size calculation. Although a statistically significant treatment difference of 21.6% (95% CI: 4.9, 37.5) was reported at Week 14, this </w:t>
      </w:r>
      <w:r w:rsidR="00CC34E0">
        <w:rPr>
          <w:rFonts w:asciiTheme="minorHAnsi" w:hAnsiTheme="minorHAnsi"/>
          <w:snapToGrid w:val="0"/>
        </w:rPr>
        <w:t>wa</w:t>
      </w:r>
      <w:r w:rsidR="007F5816" w:rsidRPr="006B343C">
        <w:rPr>
          <w:rFonts w:asciiTheme="minorHAnsi" w:hAnsiTheme="minorHAnsi"/>
          <w:snapToGrid w:val="0"/>
        </w:rPr>
        <w:t xml:space="preserve">s likely driven by the endoscopic sub-score (paragraph </w:t>
      </w:r>
      <w:r w:rsidR="00C5475C" w:rsidRPr="006B343C">
        <w:rPr>
          <w:rFonts w:asciiTheme="minorHAnsi" w:hAnsiTheme="minorHAnsi"/>
          <w:snapToGrid w:val="0"/>
        </w:rPr>
        <w:fldChar w:fldCharType="begin" w:fldLock="1"/>
      </w:r>
      <w:r w:rsidR="00C5475C" w:rsidRPr="006B343C">
        <w:rPr>
          <w:rFonts w:asciiTheme="minorHAnsi" w:hAnsiTheme="minorHAnsi"/>
          <w:snapToGrid w:val="0"/>
        </w:rPr>
        <w:instrText xml:space="preserve"> REF _Ref166243917 \r \h </w:instrText>
      </w:r>
      <w:r w:rsidR="006B343C" w:rsidRPr="006B343C">
        <w:rPr>
          <w:rFonts w:asciiTheme="minorHAnsi" w:hAnsiTheme="minorHAnsi"/>
          <w:snapToGrid w:val="0"/>
        </w:rPr>
        <w:instrText xml:space="preserve"> \* MERGEFORMAT </w:instrText>
      </w:r>
      <w:r w:rsidR="00C5475C" w:rsidRPr="006B343C">
        <w:rPr>
          <w:rFonts w:asciiTheme="minorHAnsi" w:hAnsiTheme="minorHAnsi"/>
          <w:snapToGrid w:val="0"/>
        </w:rPr>
      </w:r>
      <w:r w:rsidR="00C5475C" w:rsidRPr="006B343C">
        <w:rPr>
          <w:rFonts w:asciiTheme="minorHAnsi" w:hAnsiTheme="minorHAnsi"/>
          <w:snapToGrid w:val="0"/>
        </w:rPr>
        <w:fldChar w:fldCharType="separate"/>
      </w:r>
      <w:r w:rsidR="00DC7CC4">
        <w:rPr>
          <w:rFonts w:asciiTheme="minorHAnsi" w:hAnsiTheme="minorHAnsi"/>
          <w:snapToGrid w:val="0"/>
        </w:rPr>
        <w:t>6.30</w:t>
      </w:r>
      <w:r w:rsidR="00C5475C" w:rsidRPr="006B343C">
        <w:rPr>
          <w:rFonts w:asciiTheme="minorHAnsi" w:hAnsiTheme="minorHAnsi"/>
          <w:snapToGrid w:val="0"/>
        </w:rPr>
        <w:fldChar w:fldCharType="end"/>
      </w:r>
      <w:r w:rsidR="007F5816" w:rsidRPr="006B343C">
        <w:rPr>
          <w:rFonts w:asciiTheme="minorHAnsi" w:hAnsiTheme="minorHAnsi"/>
          <w:snapToGrid w:val="0"/>
        </w:rPr>
        <w:t>). The observed treatment difference decreased to 17.6% (95% CI: 0.3,35.1) at Week 34</w:t>
      </w:r>
      <w:r w:rsidR="00C50F58" w:rsidRPr="006B343C">
        <w:rPr>
          <w:rFonts w:asciiTheme="minorHAnsi" w:hAnsiTheme="minorHAnsi"/>
          <w:snapToGrid w:val="0"/>
        </w:rPr>
        <w:t xml:space="preserve">. </w:t>
      </w:r>
      <w:r w:rsidR="006B3343" w:rsidRPr="006B343C">
        <w:rPr>
          <w:rFonts w:asciiTheme="minorHAnsi" w:hAnsiTheme="minorHAnsi"/>
          <w:snapToGrid w:val="0"/>
        </w:rPr>
        <w:t xml:space="preserve">It </w:t>
      </w:r>
      <w:r w:rsidR="00CC34E0">
        <w:rPr>
          <w:rFonts w:asciiTheme="minorHAnsi" w:hAnsiTheme="minorHAnsi"/>
          <w:snapToGrid w:val="0"/>
        </w:rPr>
        <w:t>wa</w:t>
      </w:r>
      <w:r w:rsidR="006B3343" w:rsidRPr="006B343C">
        <w:rPr>
          <w:rFonts w:asciiTheme="minorHAnsi" w:hAnsiTheme="minorHAnsi"/>
          <w:snapToGrid w:val="0"/>
        </w:rPr>
        <w:t xml:space="preserve">s unclear if this </w:t>
      </w:r>
      <w:r w:rsidR="00C74F6B" w:rsidRPr="006B343C">
        <w:rPr>
          <w:rFonts w:asciiTheme="minorHAnsi" w:hAnsiTheme="minorHAnsi"/>
          <w:snapToGrid w:val="0"/>
        </w:rPr>
        <w:t xml:space="preserve">is a </w:t>
      </w:r>
      <w:r w:rsidR="001859C1" w:rsidRPr="006B343C">
        <w:rPr>
          <w:rFonts w:asciiTheme="minorHAnsi" w:hAnsiTheme="minorHAnsi"/>
          <w:snapToGrid w:val="0"/>
        </w:rPr>
        <w:t xml:space="preserve">clinically </w:t>
      </w:r>
      <w:r w:rsidR="00C74F6B" w:rsidRPr="006B343C">
        <w:rPr>
          <w:rFonts w:asciiTheme="minorHAnsi" w:hAnsiTheme="minorHAnsi"/>
          <w:snapToGrid w:val="0"/>
        </w:rPr>
        <w:t>meaningful difference</w:t>
      </w:r>
      <w:r w:rsidR="00BD3416" w:rsidRPr="006B343C">
        <w:rPr>
          <w:rFonts w:asciiTheme="minorHAnsi" w:hAnsiTheme="minorHAnsi"/>
          <w:snapToGrid w:val="0"/>
        </w:rPr>
        <w:t xml:space="preserve"> </w:t>
      </w:r>
      <w:r w:rsidR="00222517">
        <w:rPr>
          <w:rFonts w:asciiTheme="minorHAnsi" w:hAnsiTheme="minorHAnsi"/>
          <w:snapToGrid w:val="0"/>
        </w:rPr>
        <w:t>given there is</w:t>
      </w:r>
      <w:r w:rsidR="00222517" w:rsidRPr="006B343C">
        <w:rPr>
          <w:rFonts w:asciiTheme="minorHAnsi" w:hAnsiTheme="minorHAnsi"/>
          <w:snapToGrid w:val="0"/>
        </w:rPr>
        <w:t xml:space="preserve"> </w:t>
      </w:r>
      <w:r w:rsidR="00BD3416" w:rsidRPr="006B343C">
        <w:rPr>
          <w:rFonts w:asciiTheme="minorHAnsi" w:hAnsiTheme="minorHAnsi"/>
          <w:snapToGrid w:val="0"/>
        </w:rPr>
        <w:t>no established MCID</w:t>
      </w:r>
      <w:r w:rsidR="00AB7B4A" w:rsidRPr="006B343C">
        <w:rPr>
          <w:rFonts w:asciiTheme="minorHAnsi" w:hAnsiTheme="minorHAnsi"/>
          <w:snapToGrid w:val="0"/>
        </w:rPr>
        <w:t>, and in the context of higher rates of flares and more concomitant antibiotic use reported in the VEDO + SOC group compared with the PBO + SOC group</w:t>
      </w:r>
      <w:r w:rsidR="00C74F6B" w:rsidRPr="006B343C">
        <w:rPr>
          <w:rFonts w:asciiTheme="minorHAnsi" w:hAnsiTheme="minorHAnsi"/>
          <w:snapToGrid w:val="0"/>
        </w:rPr>
        <w:t xml:space="preserve">. </w:t>
      </w:r>
    </w:p>
    <w:p w14:paraId="1F43E707" w14:textId="131478D1" w:rsidR="007F5816" w:rsidRDefault="007F5816" w:rsidP="00B24069">
      <w:pPr>
        <w:numPr>
          <w:ilvl w:val="0"/>
          <w:numId w:val="19"/>
        </w:numPr>
        <w:spacing w:after="120"/>
        <w:rPr>
          <w:rFonts w:asciiTheme="minorHAnsi" w:eastAsia="Calibri" w:hAnsiTheme="minorHAnsi"/>
          <w:snapToGrid w:val="0"/>
        </w:rPr>
      </w:pPr>
      <w:r w:rsidRPr="006B343C">
        <w:rPr>
          <w:rFonts w:asciiTheme="minorHAnsi" w:eastAsia="Calibri" w:hAnsiTheme="minorHAnsi"/>
          <w:snapToGrid w:val="0"/>
        </w:rPr>
        <w:t xml:space="preserve">Apart from the </w:t>
      </w:r>
      <w:r w:rsidR="00AB7B4A" w:rsidRPr="006B343C">
        <w:rPr>
          <w:rFonts w:asciiTheme="minorHAnsi" w:eastAsia="Calibri" w:hAnsiTheme="minorHAnsi"/>
          <w:snapToGrid w:val="0"/>
        </w:rPr>
        <w:t xml:space="preserve">statistically </w:t>
      </w:r>
      <w:r w:rsidRPr="006B343C">
        <w:rPr>
          <w:rFonts w:asciiTheme="minorHAnsi" w:eastAsia="Calibri" w:hAnsiTheme="minorHAnsi"/>
          <w:snapToGrid w:val="0"/>
        </w:rPr>
        <w:t xml:space="preserve">significant difference in the PDAI endoscopic sub-score at Week 14, </w:t>
      </w:r>
      <w:r w:rsidR="00395E3F">
        <w:rPr>
          <w:rFonts w:asciiTheme="minorHAnsi" w:eastAsia="Calibri" w:hAnsiTheme="minorHAnsi"/>
          <w:snapToGrid w:val="0"/>
        </w:rPr>
        <w:t>m</w:t>
      </w:r>
      <w:r w:rsidR="00395E3F" w:rsidRPr="00395E3F">
        <w:rPr>
          <w:rFonts w:asciiTheme="minorHAnsi" w:eastAsia="Calibri" w:hAnsiTheme="minorHAnsi"/>
          <w:snapToGrid w:val="0"/>
        </w:rPr>
        <w:t xml:space="preserve">ost other secondary outcome measures failed to show statistically significant differences at </w:t>
      </w:r>
      <w:r w:rsidR="00395E3F">
        <w:rPr>
          <w:rFonts w:asciiTheme="minorHAnsi" w:eastAsia="Calibri" w:hAnsiTheme="minorHAnsi"/>
          <w:snapToGrid w:val="0"/>
        </w:rPr>
        <w:t>W</w:t>
      </w:r>
      <w:r w:rsidR="00395E3F" w:rsidRPr="00395E3F">
        <w:rPr>
          <w:rFonts w:asciiTheme="minorHAnsi" w:eastAsia="Calibri" w:hAnsiTheme="minorHAnsi"/>
          <w:snapToGrid w:val="0"/>
        </w:rPr>
        <w:t>eek 14 and 34</w:t>
      </w:r>
      <w:r w:rsidR="00133A82" w:rsidRPr="006B343C">
        <w:rPr>
          <w:rFonts w:asciiTheme="minorHAnsi" w:eastAsia="Calibri" w:hAnsiTheme="minorHAnsi"/>
          <w:snapToGrid w:val="0"/>
        </w:rPr>
        <w:t xml:space="preserve">. </w:t>
      </w:r>
    </w:p>
    <w:p w14:paraId="0B93CFAF" w14:textId="756F0ADF" w:rsidR="00395E3F" w:rsidRPr="00395E3F" w:rsidRDefault="00395E3F" w:rsidP="00B24069">
      <w:pPr>
        <w:pStyle w:val="ListParagraph"/>
        <w:numPr>
          <w:ilvl w:val="0"/>
          <w:numId w:val="19"/>
        </w:numPr>
        <w:rPr>
          <w:rFonts w:eastAsia="Calibri"/>
        </w:rPr>
      </w:pPr>
      <w:r w:rsidRPr="00395E3F">
        <w:rPr>
          <w:rFonts w:eastAsia="Calibri"/>
        </w:rPr>
        <w:t xml:space="preserve">No clinical data were presented to support continued treatment beyond six doses (30 weeks) or for re-treatment (after a break or following non-response with vedolizumab). </w:t>
      </w:r>
      <w:r w:rsidRPr="00F55938">
        <w:rPr>
          <w:rFonts w:eastAsia="Calibri"/>
        </w:rPr>
        <w:t>The PSCR acknowledged the lack of data beyond 34 weeks in chronic pouchitis, however contended the available long</w:t>
      </w:r>
      <w:r w:rsidR="002931B1" w:rsidRPr="00F55938">
        <w:rPr>
          <w:rFonts w:eastAsia="Calibri"/>
        </w:rPr>
        <w:t>-</w:t>
      </w:r>
      <w:r w:rsidRPr="00F55938">
        <w:rPr>
          <w:rFonts w:eastAsia="Calibri"/>
        </w:rPr>
        <w:t>term evidence and post-marketing for vedolizumab in ulcerative colitis (and other conditions) demonstrates the efficacy and safety of vedolizumab over the longer term.</w:t>
      </w:r>
      <w:r w:rsidR="00222517">
        <w:rPr>
          <w:rFonts w:eastAsia="Calibri"/>
        </w:rPr>
        <w:t xml:space="preserve"> T</w:t>
      </w:r>
      <w:r w:rsidRPr="00F55938">
        <w:rPr>
          <w:rFonts w:eastAsia="Calibri"/>
        </w:rPr>
        <w:t>he ESC considered the longer-term efficacy of vedolizumab for this condition is unclear</w:t>
      </w:r>
      <w:r w:rsidR="0048500C" w:rsidRPr="00F55938">
        <w:rPr>
          <w:rFonts w:eastAsia="Calibri"/>
        </w:rPr>
        <w:t>,</w:t>
      </w:r>
      <w:r w:rsidR="00E34B57" w:rsidRPr="00F55938">
        <w:rPr>
          <w:rFonts w:eastAsia="Calibri"/>
        </w:rPr>
        <w:t xml:space="preserve"> and considered this was a</w:t>
      </w:r>
      <w:r w:rsidR="004E1E27" w:rsidRPr="00F55938">
        <w:rPr>
          <w:rFonts w:eastAsia="Calibri"/>
        </w:rPr>
        <w:t xml:space="preserve"> particular </w:t>
      </w:r>
      <w:r w:rsidR="004B1217" w:rsidRPr="00F55938">
        <w:rPr>
          <w:rFonts w:eastAsia="Calibri"/>
        </w:rPr>
        <w:t xml:space="preserve">issue </w:t>
      </w:r>
      <w:r w:rsidR="004E1E27" w:rsidRPr="00F55938">
        <w:rPr>
          <w:rFonts w:eastAsia="Calibri"/>
        </w:rPr>
        <w:t xml:space="preserve">given there would likely be a proportion of patients who would continue vedolizumab long-term </w:t>
      </w:r>
      <w:r w:rsidR="00CC34E0" w:rsidRPr="00F55938">
        <w:rPr>
          <w:rFonts w:eastAsia="Calibri"/>
        </w:rPr>
        <w:t>(</w:t>
      </w:r>
      <w:r w:rsidR="004E1E27" w:rsidRPr="00F55938">
        <w:rPr>
          <w:rFonts w:eastAsia="Calibri"/>
        </w:rPr>
        <w:t xml:space="preserve">even with </w:t>
      </w:r>
      <w:r w:rsidR="009E6BF7" w:rsidRPr="00F55938">
        <w:rPr>
          <w:rFonts w:eastAsia="Calibri"/>
        </w:rPr>
        <w:t>more objective</w:t>
      </w:r>
      <w:r w:rsidR="0048500C" w:rsidRPr="00F55938">
        <w:rPr>
          <w:rFonts w:eastAsia="Calibri"/>
        </w:rPr>
        <w:t xml:space="preserve"> response assessment criteria</w:t>
      </w:r>
      <w:r w:rsidR="004E1E27" w:rsidRPr="00F55938">
        <w:rPr>
          <w:rFonts w:eastAsia="Calibri"/>
        </w:rPr>
        <w:t xml:space="preserve"> in the restriction</w:t>
      </w:r>
      <w:r w:rsidR="00CC34E0" w:rsidRPr="00F55938">
        <w:rPr>
          <w:rFonts w:eastAsia="Calibri"/>
        </w:rPr>
        <w:t>)</w:t>
      </w:r>
      <w:r w:rsidRPr="00F55938">
        <w:rPr>
          <w:rFonts w:eastAsia="Calibri"/>
        </w:rPr>
        <w:t>.</w:t>
      </w:r>
    </w:p>
    <w:p w14:paraId="0B02C339" w14:textId="0DF2EE8B" w:rsidR="007F5816" w:rsidRPr="006B343C" w:rsidRDefault="007F5816" w:rsidP="00B24069">
      <w:pPr>
        <w:numPr>
          <w:ilvl w:val="0"/>
          <w:numId w:val="19"/>
        </w:numPr>
        <w:spacing w:after="120"/>
        <w:rPr>
          <w:rFonts w:asciiTheme="minorHAnsi" w:eastAsia="Calibri" w:hAnsiTheme="minorHAnsi"/>
          <w:snapToGrid w:val="0"/>
        </w:rPr>
      </w:pPr>
      <w:r w:rsidRPr="006B343C">
        <w:rPr>
          <w:rFonts w:asciiTheme="minorHAnsi" w:eastAsia="Calibri" w:hAnsiTheme="minorHAnsi"/>
          <w:snapToGrid w:val="0"/>
        </w:rPr>
        <w:t xml:space="preserve">The high proportion of concomitant antibiotic use to manage the higher incidence of flares in the VEDO + SOC group compared to the PBO + SOC group could confound and overestimate the observed treatment effect at Weeks 14 and 34. </w:t>
      </w:r>
    </w:p>
    <w:bookmarkEnd w:id="77"/>
    <w:p w14:paraId="03A4FD8B" w14:textId="44E7CB6E" w:rsidR="0007775E" w:rsidRPr="00F55938" w:rsidRDefault="00174D3D" w:rsidP="007F5816">
      <w:pPr>
        <w:numPr>
          <w:ilvl w:val="1"/>
          <w:numId w:val="1"/>
        </w:numPr>
        <w:spacing w:after="120"/>
        <w:rPr>
          <w:rFonts w:asciiTheme="minorHAnsi" w:eastAsia="Calibri" w:hAnsiTheme="minorHAnsi"/>
          <w:snapToGrid w:val="0"/>
        </w:rPr>
      </w:pPr>
      <w:r w:rsidRPr="00F55938">
        <w:rPr>
          <w:rFonts w:asciiTheme="minorHAnsi" w:eastAsia="Calibri" w:hAnsiTheme="minorHAnsi"/>
          <w:snapToGrid w:val="0"/>
        </w:rPr>
        <w:t>T</w:t>
      </w:r>
      <w:r w:rsidR="0007775E" w:rsidRPr="00F55938">
        <w:rPr>
          <w:rFonts w:asciiTheme="minorHAnsi" w:eastAsia="Calibri" w:hAnsiTheme="minorHAnsi"/>
          <w:snapToGrid w:val="0"/>
        </w:rPr>
        <w:t xml:space="preserve">he ESC considered the claim of superior comparative effectiveness </w:t>
      </w:r>
      <w:r w:rsidR="004A61EB">
        <w:rPr>
          <w:rFonts w:asciiTheme="minorHAnsi" w:eastAsia="Calibri" w:hAnsiTheme="minorHAnsi"/>
          <w:snapToGrid w:val="0"/>
        </w:rPr>
        <w:t>versus</w:t>
      </w:r>
      <w:r w:rsidR="0007775E" w:rsidRPr="00F55938">
        <w:rPr>
          <w:rFonts w:asciiTheme="minorHAnsi" w:eastAsia="Calibri" w:hAnsiTheme="minorHAnsi"/>
          <w:snapToGrid w:val="0"/>
        </w:rPr>
        <w:t xml:space="preserve"> SoC to be uncertain. </w:t>
      </w:r>
      <w:r w:rsidR="004B1217" w:rsidRPr="00F55938">
        <w:rPr>
          <w:rFonts w:asciiTheme="minorHAnsi" w:eastAsia="Calibri" w:hAnsiTheme="minorHAnsi"/>
          <w:snapToGrid w:val="0"/>
        </w:rPr>
        <w:t>T</w:t>
      </w:r>
      <w:r w:rsidR="0007775E" w:rsidRPr="00F55938">
        <w:rPr>
          <w:rFonts w:asciiTheme="minorHAnsi" w:eastAsia="Calibri" w:hAnsiTheme="minorHAnsi"/>
          <w:snapToGrid w:val="0"/>
        </w:rPr>
        <w:t>he ESC considered the</w:t>
      </w:r>
      <w:r w:rsidRPr="00F55938">
        <w:rPr>
          <w:rFonts w:asciiTheme="minorHAnsi" w:eastAsia="Calibri" w:hAnsiTheme="minorHAnsi"/>
          <w:snapToGrid w:val="0"/>
        </w:rPr>
        <w:t xml:space="preserve"> trial results were difficult to interpret given the issues identified in the paragraph above, and considered the treatment effect reported in the trial appeared modest and was associated with wide confidence intervals (treatment difference in mPDAI remission at Week 14: 21.6% (95% CI: 4.9, 37.5)</w:t>
      </w:r>
      <w:r w:rsidR="001246A7">
        <w:rPr>
          <w:rFonts w:asciiTheme="minorHAnsi" w:eastAsia="Calibri" w:hAnsiTheme="minorHAnsi"/>
          <w:snapToGrid w:val="0"/>
        </w:rPr>
        <w:t>)</w:t>
      </w:r>
      <w:r w:rsidR="00A85618" w:rsidRPr="00F55938">
        <w:rPr>
          <w:rFonts w:asciiTheme="minorHAnsi" w:eastAsia="Calibri" w:hAnsiTheme="minorHAnsi"/>
          <w:snapToGrid w:val="0"/>
        </w:rPr>
        <w:t>.</w:t>
      </w:r>
    </w:p>
    <w:p w14:paraId="040826B8" w14:textId="5E2861CD" w:rsidR="007F5816" w:rsidRDefault="007F5816" w:rsidP="007F5816">
      <w:pPr>
        <w:numPr>
          <w:ilvl w:val="1"/>
          <w:numId w:val="1"/>
        </w:numPr>
        <w:spacing w:after="120"/>
        <w:rPr>
          <w:rFonts w:asciiTheme="minorHAnsi" w:eastAsia="Calibri" w:hAnsiTheme="minorHAnsi"/>
          <w:snapToGrid w:val="0"/>
        </w:rPr>
      </w:pPr>
      <w:r w:rsidRPr="00F55938">
        <w:rPr>
          <w:rFonts w:asciiTheme="minorHAnsi" w:eastAsia="Calibri" w:hAnsiTheme="minorHAnsi"/>
          <w:snapToGrid w:val="0"/>
        </w:rPr>
        <w:t>The submission described VEDO + SOC as non-inferior in terms of safety compared to PBO + SOC. Th</w:t>
      </w:r>
      <w:r w:rsidR="00A85618" w:rsidRPr="00F55938">
        <w:rPr>
          <w:rFonts w:asciiTheme="minorHAnsi" w:eastAsia="Calibri" w:hAnsiTheme="minorHAnsi"/>
          <w:snapToGrid w:val="0"/>
        </w:rPr>
        <w:t>e evaluation considered</w:t>
      </w:r>
      <w:r w:rsidRPr="00F55938">
        <w:rPr>
          <w:rFonts w:asciiTheme="minorHAnsi" w:eastAsia="Calibri" w:hAnsiTheme="minorHAnsi"/>
          <w:snapToGrid w:val="0"/>
        </w:rPr>
        <w:t xml:space="preserve"> </w:t>
      </w:r>
      <w:r w:rsidR="004A61EB">
        <w:rPr>
          <w:rFonts w:asciiTheme="minorHAnsi" w:eastAsia="Calibri" w:hAnsiTheme="minorHAnsi"/>
          <w:snapToGrid w:val="0"/>
        </w:rPr>
        <w:t xml:space="preserve">this </w:t>
      </w:r>
      <w:r w:rsidRPr="00F55938">
        <w:rPr>
          <w:rFonts w:asciiTheme="minorHAnsi" w:eastAsia="Calibri" w:hAnsiTheme="minorHAnsi"/>
          <w:snapToGrid w:val="0"/>
        </w:rPr>
        <w:t>claim was adequately supported.</w:t>
      </w:r>
      <w:r w:rsidR="00A85618" w:rsidRPr="00F55938">
        <w:rPr>
          <w:rFonts w:asciiTheme="minorHAnsi" w:eastAsia="Calibri" w:hAnsiTheme="minorHAnsi"/>
          <w:snapToGrid w:val="0"/>
        </w:rPr>
        <w:t xml:space="preserve"> The ESC considered that whilst the definition of pouchitis events as safety events was not well </w:t>
      </w:r>
      <w:r w:rsidR="00A85618" w:rsidRPr="00F55938">
        <w:rPr>
          <w:rFonts w:asciiTheme="minorHAnsi" w:eastAsia="Calibri" w:hAnsiTheme="minorHAnsi"/>
          <w:snapToGrid w:val="0"/>
        </w:rPr>
        <w:lastRenderedPageBreak/>
        <w:t xml:space="preserve">justified, the claim of non-inferior comparative safety was, on balance, likely to be reasonable. </w:t>
      </w:r>
      <w:r w:rsidRPr="00F55938">
        <w:rPr>
          <w:rFonts w:asciiTheme="minorHAnsi" w:eastAsia="Calibri" w:hAnsiTheme="minorHAnsi"/>
          <w:snapToGrid w:val="0"/>
        </w:rPr>
        <w:t xml:space="preserve"> </w:t>
      </w:r>
    </w:p>
    <w:p w14:paraId="1FC14574" w14:textId="165545AD" w:rsidR="00F55938" w:rsidRPr="00276600" w:rsidRDefault="00F55938" w:rsidP="00F55938">
      <w:pPr>
        <w:widowControl w:val="0"/>
        <w:numPr>
          <w:ilvl w:val="1"/>
          <w:numId w:val="1"/>
        </w:numPr>
        <w:spacing w:after="120"/>
        <w:rPr>
          <w:rFonts w:asciiTheme="minorHAnsi" w:hAnsiTheme="minorHAnsi"/>
          <w:snapToGrid w:val="0"/>
          <w:szCs w:val="20"/>
        </w:rPr>
      </w:pPr>
      <w:bookmarkStart w:id="78" w:name="_Hlk76376200"/>
      <w:r w:rsidRPr="00276600">
        <w:rPr>
          <w:rFonts w:asciiTheme="minorHAnsi" w:hAnsiTheme="minorHAnsi"/>
          <w:iCs/>
          <w:snapToGrid w:val="0"/>
        </w:rPr>
        <w:t>The</w:t>
      </w:r>
      <w:r w:rsidRPr="00276600">
        <w:rPr>
          <w:rFonts w:asciiTheme="minorHAnsi" w:hAnsiTheme="minorHAnsi"/>
          <w:snapToGrid w:val="0"/>
          <w:szCs w:val="20"/>
        </w:rPr>
        <w:t xml:space="preserve"> PBAC considered that the claim of superior comparative effectiveness </w:t>
      </w:r>
      <w:r w:rsidR="006234C2" w:rsidRPr="00276600">
        <w:rPr>
          <w:rFonts w:asciiTheme="minorHAnsi" w:hAnsiTheme="minorHAnsi"/>
          <w:snapToGrid w:val="0"/>
          <w:szCs w:val="20"/>
        </w:rPr>
        <w:t xml:space="preserve">versus SOC </w:t>
      </w:r>
      <w:r w:rsidR="00276600" w:rsidRPr="00276600">
        <w:rPr>
          <w:rFonts w:asciiTheme="minorHAnsi" w:hAnsiTheme="minorHAnsi"/>
          <w:snapToGrid w:val="0"/>
          <w:szCs w:val="20"/>
        </w:rPr>
        <w:t xml:space="preserve">alone </w:t>
      </w:r>
      <w:r w:rsidRPr="00276600">
        <w:rPr>
          <w:rFonts w:asciiTheme="minorHAnsi" w:hAnsiTheme="minorHAnsi"/>
          <w:snapToGrid w:val="0"/>
          <w:szCs w:val="20"/>
        </w:rPr>
        <w:t>was reasonable</w:t>
      </w:r>
      <w:r w:rsidR="006234C2" w:rsidRPr="00276600">
        <w:rPr>
          <w:rFonts w:asciiTheme="minorHAnsi" w:hAnsiTheme="minorHAnsi"/>
          <w:snapToGrid w:val="0"/>
          <w:szCs w:val="20"/>
        </w:rPr>
        <w:t>, though</w:t>
      </w:r>
      <w:r w:rsidR="00276600">
        <w:rPr>
          <w:rFonts w:asciiTheme="minorHAnsi" w:hAnsiTheme="minorHAnsi"/>
          <w:snapToGrid w:val="0"/>
          <w:szCs w:val="20"/>
        </w:rPr>
        <w:t xml:space="preserve"> the</w:t>
      </w:r>
      <w:r w:rsidR="006234C2" w:rsidRPr="00276600">
        <w:rPr>
          <w:rFonts w:asciiTheme="minorHAnsi" w:hAnsiTheme="minorHAnsi"/>
          <w:snapToGrid w:val="0"/>
          <w:szCs w:val="20"/>
        </w:rPr>
        <w:t xml:space="preserve"> </w:t>
      </w:r>
      <w:r w:rsidR="00276600" w:rsidRPr="00276600">
        <w:rPr>
          <w:rFonts w:asciiTheme="minorHAnsi" w:hAnsiTheme="minorHAnsi"/>
          <w:snapToGrid w:val="0"/>
          <w:szCs w:val="20"/>
        </w:rPr>
        <w:t>magnitude of benefit was uncertain and likely modest.</w:t>
      </w:r>
    </w:p>
    <w:p w14:paraId="27526A35" w14:textId="2CF53BF6" w:rsidR="00F55938" w:rsidRPr="003C2905" w:rsidRDefault="00F55938" w:rsidP="00F55938">
      <w:pPr>
        <w:widowControl w:val="0"/>
        <w:numPr>
          <w:ilvl w:val="1"/>
          <w:numId w:val="1"/>
        </w:numPr>
        <w:spacing w:after="120"/>
        <w:rPr>
          <w:rFonts w:asciiTheme="minorHAnsi" w:hAnsiTheme="minorHAnsi"/>
          <w:snapToGrid w:val="0"/>
          <w:szCs w:val="20"/>
        </w:rPr>
      </w:pPr>
      <w:r w:rsidRPr="003C2905">
        <w:rPr>
          <w:rFonts w:asciiTheme="minorHAnsi" w:hAnsiTheme="minorHAnsi"/>
          <w:snapToGrid w:val="0"/>
          <w:szCs w:val="20"/>
        </w:rPr>
        <w:t xml:space="preserve">The PBAC considered that the claim of non-inferior comparative safety </w:t>
      </w:r>
      <w:r w:rsidR="006234C2">
        <w:rPr>
          <w:rFonts w:asciiTheme="minorHAnsi" w:hAnsiTheme="minorHAnsi"/>
          <w:snapToGrid w:val="0"/>
          <w:szCs w:val="20"/>
        </w:rPr>
        <w:t xml:space="preserve">versus SOC </w:t>
      </w:r>
      <w:r w:rsidRPr="003C2905">
        <w:rPr>
          <w:rFonts w:asciiTheme="minorHAnsi" w:hAnsiTheme="minorHAnsi"/>
          <w:snapToGrid w:val="0"/>
          <w:szCs w:val="20"/>
        </w:rPr>
        <w:t>was reasonable.</w:t>
      </w:r>
      <w:bookmarkEnd w:id="78"/>
    </w:p>
    <w:p w14:paraId="47C21F7C" w14:textId="77777777" w:rsidR="007F5816" w:rsidRPr="007F5816" w:rsidRDefault="007F5816" w:rsidP="003305CD">
      <w:pPr>
        <w:pStyle w:val="4-SubsectionHeading"/>
      </w:pPr>
      <w:bookmarkStart w:id="79" w:name="_Toc22897645"/>
      <w:bookmarkStart w:id="80" w:name="_Toc107927631"/>
      <w:bookmarkStart w:id="81" w:name="_Toc167264523"/>
      <w:r w:rsidRPr="007F5816">
        <w:t>Economic analysis</w:t>
      </w:r>
      <w:bookmarkEnd w:id="79"/>
      <w:bookmarkEnd w:id="80"/>
      <w:bookmarkEnd w:id="81"/>
      <w:r w:rsidRPr="007F5816">
        <w:t xml:space="preserve"> </w:t>
      </w:r>
    </w:p>
    <w:p w14:paraId="7D3EAC30" w14:textId="0E8B2060" w:rsidR="007F5816" w:rsidRPr="006B343C" w:rsidRDefault="007F5816" w:rsidP="007F5816">
      <w:pPr>
        <w:numPr>
          <w:ilvl w:val="1"/>
          <w:numId w:val="1"/>
        </w:numPr>
        <w:spacing w:after="120"/>
        <w:rPr>
          <w:rFonts w:asciiTheme="minorHAnsi" w:hAnsiTheme="minorHAnsi"/>
          <w:snapToGrid w:val="0"/>
          <w:lang w:val="en-US"/>
        </w:rPr>
      </w:pPr>
      <w:r w:rsidRPr="006B343C">
        <w:rPr>
          <w:rFonts w:asciiTheme="minorHAnsi" w:hAnsiTheme="minorHAnsi"/>
          <w:snapToGrid w:val="0"/>
          <w:lang w:val="en-US"/>
        </w:rPr>
        <w:t xml:space="preserve">The submission presented a stepped economic evaluation of vedolizumab + SOC compared to SOC, including cost-effectiveness and cost-utility analyses based on the results from the EARNEST trial. Steps 1 and 2 of the stepped economic evaluation were trial-based analyses and Steps 3 and 4 were modelled. </w:t>
      </w:r>
    </w:p>
    <w:p w14:paraId="5FD85F90" w14:textId="03C90A2E" w:rsidR="007F5816" w:rsidRPr="006B343C" w:rsidRDefault="007F5816" w:rsidP="007F5816">
      <w:pPr>
        <w:numPr>
          <w:ilvl w:val="1"/>
          <w:numId w:val="1"/>
        </w:numPr>
        <w:spacing w:after="120"/>
        <w:rPr>
          <w:rFonts w:asciiTheme="minorHAnsi" w:hAnsiTheme="minorHAnsi"/>
          <w:snapToGrid w:val="0"/>
          <w:lang w:val="en-US"/>
        </w:rPr>
      </w:pPr>
      <w:r w:rsidRPr="006B343C">
        <w:rPr>
          <w:rFonts w:asciiTheme="minorHAnsi" w:hAnsiTheme="minorHAnsi"/>
          <w:snapToGrid w:val="0"/>
          <w:lang w:val="en-US"/>
        </w:rPr>
        <w:t xml:space="preserve">A summary of the key components of the economic evaluation is presented in </w:t>
      </w:r>
      <w:r w:rsidRPr="006B343C">
        <w:rPr>
          <w:rFonts w:asciiTheme="minorHAnsi" w:hAnsiTheme="minorHAnsi"/>
          <w:snapToGrid w:val="0"/>
          <w:lang w:val="en-US"/>
        </w:rPr>
        <w:fldChar w:fldCharType="begin" w:fldLock="1"/>
      </w:r>
      <w:r w:rsidRPr="006B343C">
        <w:rPr>
          <w:rFonts w:asciiTheme="minorHAnsi" w:hAnsiTheme="minorHAnsi"/>
          <w:snapToGrid w:val="0"/>
          <w:lang w:val="en-US"/>
        </w:rPr>
        <w:instrText xml:space="preserve"> REF _Ref163819257 \h </w:instrText>
      </w:r>
      <w:r w:rsidR="00BD3416" w:rsidRPr="006B343C">
        <w:rPr>
          <w:rFonts w:asciiTheme="minorHAnsi" w:hAnsiTheme="minorHAnsi"/>
          <w:snapToGrid w:val="0"/>
          <w:lang w:val="en-US"/>
        </w:rPr>
        <w:instrText xml:space="preserve"> \* MERGEFORMAT </w:instrText>
      </w:r>
      <w:r w:rsidRPr="006B343C">
        <w:rPr>
          <w:rFonts w:asciiTheme="minorHAnsi" w:hAnsiTheme="minorHAnsi"/>
          <w:snapToGrid w:val="0"/>
          <w:lang w:val="en-US"/>
        </w:rPr>
      </w:r>
      <w:r w:rsidRPr="006B343C">
        <w:rPr>
          <w:rFonts w:asciiTheme="minorHAnsi" w:hAnsiTheme="minorHAnsi"/>
          <w:snapToGrid w:val="0"/>
          <w:lang w:val="en-US"/>
        </w:rPr>
        <w:fldChar w:fldCharType="separate"/>
      </w:r>
      <w:r w:rsidR="00DC7CC4" w:rsidRPr="00DC7CC4">
        <w:rPr>
          <w:rFonts w:asciiTheme="minorHAnsi" w:hAnsiTheme="minorHAnsi"/>
          <w:snapToGrid w:val="0"/>
          <w:lang w:val="en-US"/>
        </w:rPr>
        <w:t>Table 9</w:t>
      </w:r>
      <w:r w:rsidRPr="006B343C">
        <w:rPr>
          <w:rFonts w:asciiTheme="minorHAnsi" w:hAnsiTheme="minorHAnsi"/>
          <w:snapToGrid w:val="0"/>
          <w:lang w:val="en-US"/>
        </w:rPr>
        <w:fldChar w:fldCharType="end"/>
      </w:r>
      <w:r w:rsidRPr="006B343C">
        <w:rPr>
          <w:rFonts w:asciiTheme="minorHAnsi" w:hAnsiTheme="minorHAnsi"/>
          <w:snapToGrid w:val="0"/>
          <w:lang w:val="en-US"/>
        </w:rPr>
        <w:t xml:space="preserve">. </w:t>
      </w:r>
    </w:p>
    <w:p w14:paraId="0AD6FD5E" w14:textId="27025368" w:rsidR="007F5816" w:rsidRPr="006B343C" w:rsidRDefault="007F5816" w:rsidP="00C1278B">
      <w:pPr>
        <w:jc w:val="left"/>
        <w:rPr>
          <w:rFonts w:ascii="Arial Narrow" w:hAnsi="Arial Narrow"/>
          <w:b/>
          <w:bCs/>
          <w:sz w:val="20"/>
        </w:rPr>
      </w:pPr>
      <w:bookmarkStart w:id="82" w:name="_Ref163819257"/>
      <w:bookmarkStart w:id="83" w:name="_Ref163819252"/>
      <w:r w:rsidRPr="006B343C">
        <w:rPr>
          <w:rFonts w:ascii="Arial Narrow" w:hAnsi="Arial Narrow"/>
          <w:b/>
          <w:bCs/>
          <w:sz w:val="20"/>
          <w:szCs w:val="18"/>
        </w:rPr>
        <w:t xml:space="preserve">Table </w:t>
      </w:r>
      <w:r w:rsidRPr="006B343C">
        <w:rPr>
          <w:rFonts w:ascii="Arial Narrow" w:hAnsi="Arial Narrow"/>
          <w:b/>
          <w:bCs/>
          <w:sz w:val="20"/>
          <w:szCs w:val="18"/>
        </w:rPr>
        <w:fldChar w:fldCharType="begin" w:fldLock="1"/>
      </w:r>
      <w:r w:rsidRPr="006B343C">
        <w:rPr>
          <w:rFonts w:ascii="Arial Narrow" w:hAnsi="Arial Narrow"/>
          <w:b/>
          <w:bCs/>
          <w:sz w:val="20"/>
          <w:szCs w:val="18"/>
        </w:rPr>
        <w:instrText xml:space="preserve"> SEQ Table \* ARABIC </w:instrText>
      </w:r>
      <w:r w:rsidRPr="006B343C">
        <w:rPr>
          <w:rFonts w:ascii="Arial Narrow" w:hAnsi="Arial Narrow"/>
          <w:b/>
          <w:bCs/>
          <w:sz w:val="20"/>
          <w:szCs w:val="18"/>
        </w:rPr>
        <w:fldChar w:fldCharType="separate"/>
      </w:r>
      <w:r w:rsidR="00DC7CC4">
        <w:rPr>
          <w:rFonts w:ascii="Arial Narrow" w:hAnsi="Arial Narrow"/>
          <w:b/>
          <w:bCs/>
          <w:noProof/>
          <w:sz w:val="20"/>
          <w:szCs w:val="18"/>
        </w:rPr>
        <w:t>9</w:t>
      </w:r>
      <w:r w:rsidRPr="006B343C">
        <w:rPr>
          <w:rFonts w:ascii="Arial Narrow" w:hAnsi="Arial Narrow"/>
          <w:b/>
          <w:bCs/>
          <w:noProof/>
          <w:sz w:val="20"/>
          <w:szCs w:val="18"/>
        </w:rPr>
        <w:fldChar w:fldCharType="end"/>
      </w:r>
      <w:bookmarkEnd w:id="82"/>
      <w:r w:rsidRPr="006B343C">
        <w:rPr>
          <w:rFonts w:ascii="Arial Narrow" w:hAnsi="Arial Narrow"/>
          <w:b/>
          <w:bCs/>
          <w:sz w:val="20"/>
          <w:szCs w:val="18"/>
        </w:rPr>
        <w:t>:</w:t>
      </w:r>
      <w:r w:rsidRPr="006B343C">
        <w:rPr>
          <w:rFonts w:ascii="Arial Narrow" w:hAnsi="Arial Narrow"/>
          <w:b/>
          <w:bCs/>
          <w:sz w:val="20"/>
        </w:rPr>
        <w:t xml:space="preserve"> Summary of model structure, key inputs and rationale</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9: Summary of model structure, key inputs and rationale"/>
      </w:tblPr>
      <w:tblGrid>
        <w:gridCol w:w="1555"/>
        <w:gridCol w:w="7462"/>
      </w:tblGrid>
      <w:tr w:rsidR="007F5816" w:rsidRPr="006B343C" w14:paraId="29827A6A" w14:textId="77777777" w:rsidTr="00916175">
        <w:trPr>
          <w:tblHeader/>
        </w:trPr>
        <w:tc>
          <w:tcPr>
            <w:tcW w:w="862" w:type="pct"/>
            <w:shd w:val="clear" w:color="auto" w:fill="auto"/>
            <w:vAlign w:val="center"/>
          </w:tcPr>
          <w:p w14:paraId="74C2C1C2" w14:textId="77777777" w:rsidR="007F5816" w:rsidRPr="006B343C" w:rsidRDefault="007F5816" w:rsidP="00C1278B">
            <w:pPr>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Component</w:t>
            </w:r>
          </w:p>
        </w:tc>
        <w:tc>
          <w:tcPr>
            <w:tcW w:w="4138" w:type="pct"/>
            <w:shd w:val="clear" w:color="auto" w:fill="auto"/>
            <w:vAlign w:val="center"/>
          </w:tcPr>
          <w:p w14:paraId="6E901BAC" w14:textId="77777777" w:rsidR="007F5816" w:rsidRPr="006B343C" w:rsidRDefault="007F5816" w:rsidP="00C1278B">
            <w:pPr>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Summary</w:t>
            </w:r>
          </w:p>
        </w:tc>
      </w:tr>
      <w:tr w:rsidR="007F5816" w:rsidRPr="006B343C" w14:paraId="08800820" w14:textId="77777777" w:rsidTr="00916175">
        <w:tc>
          <w:tcPr>
            <w:tcW w:w="862" w:type="pct"/>
            <w:shd w:val="clear" w:color="auto" w:fill="auto"/>
            <w:vAlign w:val="center"/>
          </w:tcPr>
          <w:p w14:paraId="0D9F01C3"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Treatments</w:t>
            </w:r>
          </w:p>
        </w:tc>
        <w:tc>
          <w:tcPr>
            <w:tcW w:w="4138" w:type="pct"/>
            <w:shd w:val="clear" w:color="auto" w:fill="auto"/>
            <w:vAlign w:val="center"/>
          </w:tcPr>
          <w:p w14:paraId="281353BB"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VEDO + SOC vs SOC</w:t>
            </w:r>
          </w:p>
        </w:tc>
      </w:tr>
      <w:tr w:rsidR="007F5816" w:rsidRPr="006B343C" w14:paraId="1E87B11F" w14:textId="77777777" w:rsidTr="00916175">
        <w:tc>
          <w:tcPr>
            <w:tcW w:w="862" w:type="pct"/>
            <w:shd w:val="clear" w:color="auto" w:fill="auto"/>
            <w:vAlign w:val="center"/>
          </w:tcPr>
          <w:p w14:paraId="32C46946"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Time horizon</w:t>
            </w:r>
          </w:p>
        </w:tc>
        <w:tc>
          <w:tcPr>
            <w:tcW w:w="4138" w:type="pct"/>
            <w:shd w:val="clear" w:color="auto" w:fill="auto"/>
            <w:vAlign w:val="center"/>
          </w:tcPr>
          <w:p w14:paraId="34077E5E" w14:textId="6FAA7830"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10</w:t>
            </w:r>
            <w:r w:rsidR="00D95853">
              <w:rPr>
                <w:rFonts w:ascii="Arial Narrow" w:eastAsiaTheme="majorEastAsia" w:hAnsi="Arial Narrow" w:cstheme="majorBidi"/>
                <w:bCs/>
                <w:sz w:val="20"/>
              </w:rPr>
              <w:t>.4</w:t>
            </w:r>
            <w:r w:rsidRPr="006B343C">
              <w:rPr>
                <w:rFonts w:ascii="Arial Narrow" w:eastAsiaTheme="majorEastAsia" w:hAnsi="Arial Narrow" w:cstheme="majorBidi"/>
                <w:bCs/>
                <w:sz w:val="20"/>
              </w:rPr>
              <w:t xml:space="preserve"> years in the model base case versus 34 weeks in trial (EARNEST)</w:t>
            </w:r>
          </w:p>
        </w:tc>
      </w:tr>
      <w:tr w:rsidR="007F5816" w:rsidRPr="006B343C" w14:paraId="7A28145C" w14:textId="77777777" w:rsidTr="00916175">
        <w:tc>
          <w:tcPr>
            <w:tcW w:w="862" w:type="pct"/>
            <w:shd w:val="clear" w:color="auto" w:fill="auto"/>
            <w:vAlign w:val="center"/>
          </w:tcPr>
          <w:p w14:paraId="56A2A4FD"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Outcomes</w:t>
            </w:r>
          </w:p>
        </w:tc>
        <w:tc>
          <w:tcPr>
            <w:tcW w:w="4138" w:type="pct"/>
            <w:shd w:val="clear" w:color="auto" w:fill="auto"/>
            <w:vAlign w:val="center"/>
          </w:tcPr>
          <w:p w14:paraId="38A056A0"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Trial-based economic analysis: remission, response and quality-adjusted life years (QALYs); Modelled evaluation: QALYs</w:t>
            </w:r>
          </w:p>
        </w:tc>
      </w:tr>
      <w:tr w:rsidR="007F5816" w:rsidRPr="006B343C" w14:paraId="532353BA" w14:textId="77777777" w:rsidTr="00916175">
        <w:tc>
          <w:tcPr>
            <w:tcW w:w="862" w:type="pct"/>
            <w:shd w:val="clear" w:color="auto" w:fill="auto"/>
            <w:vAlign w:val="center"/>
          </w:tcPr>
          <w:p w14:paraId="6EA1FE43"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Methods used to generate results</w:t>
            </w:r>
          </w:p>
        </w:tc>
        <w:tc>
          <w:tcPr>
            <w:tcW w:w="4138" w:type="pct"/>
            <w:shd w:val="clear" w:color="auto" w:fill="auto"/>
            <w:vAlign w:val="center"/>
          </w:tcPr>
          <w:p w14:paraId="57A43F75" w14:textId="1EE12E8C" w:rsidR="007F5816" w:rsidRPr="006B343C" w:rsidRDefault="001246A7" w:rsidP="00C1278B">
            <w:pPr>
              <w:jc w:val="left"/>
              <w:rPr>
                <w:rFonts w:ascii="Arial Narrow" w:eastAsiaTheme="majorEastAsia" w:hAnsi="Arial Narrow" w:cstheme="majorBidi"/>
                <w:bCs/>
                <w:sz w:val="20"/>
              </w:rPr>
            </w:pPr>
            <w:r>
              <w:rPr>
                <w:rFonts w:ascii="Arial Narrow" w:eastAsiaTheme="majorEastAsia" w:hAnsi="Arial Narrow" w:cstheme="majorBidi"/>
                <w:bCs/>
                <w:sz w:val="20"/>
              </w:rPr>
              <w:t>A</w:t>
            </w:r>
            <w:r w:rsidR="007F5816" w:rsidRPr="006B343C">
              <w:rPr>
                <w:rFonts w:ascii="Arial Narrow" w:eastAsiaTheme="majorEastAsia" w:hAnsi="Arial Narrow" w:cstheme="majorBidi"/>
                <w:bCs/>
                <w:sz w:val="20"/>
              </w:rPr>
              <w:t xml:space="preserve"> Markov model was used to estimate the costs and outcomes over the proposed time horizon. </w:t>
            </w:r>
          </w:p>
        </w:tc>
      </w:tr>
      <w:tr w:rsidR="007F5816" w:rsidRPr="006B343C" w14:paraId="0271F584" w14:textId="77777777" w:rsidTr="00916175">
        <w:tc>
          <w:tcPr>
            <w:tcW w:w="862" w:type="pct"/>
            <w:shd w:val="clear" w:color="auto" w:fill="auto"/>
            <w:vAlign w:val="center"/>
          </w:tcPr>
          <w:p w14:paraId="0D4FF9D0"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Health states</w:t>
            </w:r>
          </w:p>
        </w:tc>
        <w:tc>
          <w:tcPr>
            <w:tcW w:w="4138" w:type="pct"/>
            <w:shd w:val="clear" w:color="auto" w:fill="auto"/>
            <w:vAlign w:val="center"/>
          </w:tcPr>
          <w:p w14:paraId="502F61F9"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Five: Remission; Response (w/o remission); No response; Pouch Failure; Death</w:t>
            </w:r>
          </w:p>
          <w:p w14:paraId="44CE7D40" w14:textId="77777777" w:rsidR="007F5816" w:rsidRPr="006B343C" w:rsidRDefault="007F5816" w:rsidP="00C1278B">
            <w:pPr>
              <w:jc w:val="left"/>
              <w:rPr>
                <w:rFonts w:ascii="Arial Narrow" w:eastAsiaTheme="majorEastAsia" w:hAnsi="Arial Narrow" w:cstheme="majorBidi"/>
                <w:bCs/>
                <w:sz w:val="20"/>
              </w:rPr>
            </w:pPr>
          </w:p>
          <w:p w14:paraId="40A7DA64" w14:textId="3FC3786B"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The response-based health states were split by treatment to allow for the incorporation of treatment discontinuation, thus resulting in a total of eight health states. Treatment discontinuation (other than the proposed PBS continuing criteria) was not applied in</w:t>
            </w:r>
            <w:r w:rsidR="003020EC">
              <w:rPr>
                <w:rFonts w:ascii="Arial Narrow" w:eastAsiaTheme="majorEastAsia" w:hAnsi="Arial Narrow" w:cstheme="majorBidi"/>
                <w:bCs/>
                <w:sz w:val="20"/>
              </w:rPr>
              <w:t xml:space="preserve"> the</w:t>
            </w:r>
            <w:r w:rsidRPr="006B343C">
              <w:rPr>
                <w:rFonts w:ascii="Arial Narrow" w:eastAsiaTheme="majorEastAsia" w:hAnsi="Arial Narrow" w:cstheme="majorBidi"/>
                <w:bCs/>
                <w:sz w:val="20"/>
              </w:rPr>
              <w:t xml:space="preserve"> base case.</w:t>
            </w:r>
          </w:p>
        </w:tc>
      </w:tr>
      <w:tr w:rsidR="007F5816" w:rsidRPr="006B343C" w14:paraId="4F45233D" w14:textId="77777777" w:rsidTr="00916175">
        <w:tc>
          <w:tcPr>
            <w:tcW w:w="862" w:type="pct"/>
            <w:shd w:val="clear" w:color="auto" w:fill="auto"/>
            <w:vAlign w:val="center"/>
          </w:tcPr>
          <w:p w14:paraId="68E46B7E"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Cycle length</w:t>
            </w:r>
          </w:p>
        </w:tc>
        <w:tc>
          <w:tcPr>
            <w:tcW w:w="4138" w:type="pct"/>
            <w:shd w:val="clear" w:color="auto" w:fill="auto"/>
            <w:vAlign w:val="center"/>
          </w:tcPr>
          <w:p w14:paraId="1DFCB6DD" w14:textId="77777777" w:rsidR="007F5816" w:rsidRPr="006B343C" w:rsidRDefault="007F5816" w:rsidP="00C1278B">
            <w:pPr>
              <w:spacing w:after="20"/>
              <w:jc w:val="left"/>
              <w:textboxTightWrap w:val="allLines"/>
              <w:rPr>
                <w:rFonts w:ascii="Arial Narrow" w:hAnsi="Arial Narrow"/>
                <w:sz w:val="20"/>
                <w:lang w:eastAsia="en-GB"/>
              </w:rPr>
            </w:pPr>
            <w:r w:rsidRPr="006B343C">
              <w:rPr>
                <w:rFonts w:ascii="Arial Narrow" w:hAnsi="Arial Narrow"/>
                <w:sz w:val="20"/>
                <w:lang w:eastAsia="en-GB"/>
              </w:rPr>
              <w:t>Trial-period: Cycle 1 = 14 weeks; Cycle 2 = 24 weeks.</w:t>
            </w:r>
          </w:p>
          <w:p w14:paraId="030010F5"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Post-trial period: 24 weeks cycles</w:t>
            </w:r>
          </w:p>
          <w:p w14:paraId="34974439" w14:textId="77777777" w:rsidR="007F5816" w:rsidRPr="006B343C" w:rsidRDefault="007F5816" w:rsidP="00C1278B">
            <w:pPr>
              <w:jc w:val="left"/>
              <w:rPr>
                <w:rFonts w:ascii="Arial Narrow" w:eastAsiaTheme="majorEastAsia" w:hAnsi="Arial Narrow" w:cstheme="majorBidi"/>
                <w:bCs/>
                <w:sz w:val="20"/>
              </w:rPr>
            </w:pPr>
          </w:p>
          <w:p w14:paraId="2A21018C" w14:textId="3E2DEE48"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Cycle lengths were varied to align with timing of outcomes and dosing schedule of vedolizumab. The timing of the Week 34 outcome was applied at Week 38 in the model because of the proposed cycle length. The submission claimed that differences in remission and response rates at Weeks 34 and 38 were marginal.</w:t>
            </w:r>
          </w:p>
        </w:tc>
      </w:tr>
      <w:tr w:rsidR="007F5816" w:rsidRPr="006B343C" w14:paraId="40AFCF05" w14:textId="77777777" w:rsidTr="00916175">
        <w:tc>
          <w:tcPr>
            <w:tcW w:w="862" w:type="pct"/>
            <w:shd w:val="clear" w:color="auto" w:fill="auto"/>
            <w:vAlign w:val="center"/>
          </w:tcPr>
          <w:p w14:paraId="2A65AAA9"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Transition probabilities </w:t>
            </w:r>
          </w:p>
          <w:p w14:paraId="1950E486" w14:textId="77777777" w:rsidR="007F5816" w:rsidRPr="006B343C" w:rsidRDefault="007F5816" w:rsidP="00C1278B">
            <w:pPr>
              <w:jc w:val="left"/>
              <w:rPr>
                <w:rFonts w:ascii="Arial Narrow" w:eastAsiaTheme="majorEastAsia" w:hAnsi="Arial Narrow" w:cstheme="majorBidi"/>
                <w:bCs/>
                <w:sz w:val="20"/>
              </w:rPr>
            </w:pPr>
          </w:p>
        </w:tc>
        <w:tc>
          <w:tcPr>
            <w:tcW w:w="4138" w:type="pct"/>
            <w:shd w:val="clear" w:color="auto" w:fill="auto"/>
            <w:vAlign w:val="center"/>
          </w:tcPr>
          <w:p w14:paraId="4F5B94F6" w14:textId="2059C858"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Transition probabilities for the response-based health states were largely informed by the observed data for remission (mPDAI-defined remission) and response (mPDAI-defined response) at Weeks 14 and 34 from the EARNEST trial and assumptions made for the proportion of patients transition</w:t>
            </w:r>
            <w:r w:rsidR="003020EC">
              <w:rPr>
                <w:rFonts w:ascii="Arial Narrow" w:eastAsiaTheme="majorEastAsia" w:hAnsi="Arial Narrow" w:cstheme="majorBidi"/>
                <w:bCs/>
                <w:sz w:val="20"/>
              </w:rPr>
              <w:t>ing</w:t>
            </w:r>
            <w:r w:rsidRPr="006B343C">
              <w:rPr>
                <w:rFonts w:ascii="Arial Narrow" w:eastAsiaTheme="majorEastAsia" w:hAnsi="Arial Narrow" w:cstheme="majorBidi"/>
                <w:bCs/>
                <w:sz w:val="20"/>
              </w:rPr>
              <w:t xml:space="preserve"> between health states. </w:t>
            </w:r>
          </w:p>
          <w:p w14:paraId="076E889F" w14:textId="77777777" w:rsidR="007F5816" w:rsidRPr="006B343C" w:rsidRDefault="007F5816" w:rsidP="00C1278B">
            <w:pPr>
              <w:jc w:val="left"/>
              <w:rPr>
                <w:rFonts w:ascii="Arial Narrow" w:eastAsiaTheme="majorEastAsia" w:hAnsi="Arial Narrow" w:cstheme="majorBidi"/>
                <w:bCs/>
                <w:sz w:val="20"/>
              </w:rPr>
            </w:pPr>
          </w:p>
          <w:p w14:paraId="367BFAC7"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Pouch failure transitions were informed by Alsafi (2022).</w:t>
            </w:r>
          </w:p>
          <w:p w14:paraId="4D5074EA" w14:textId="77777777" w:rsidR="007F5816" w:rsidRPr="006B343C" w:rsidRDefault="007F5816" w:rsidP="00C1278B">
            <w:pPr>
              <w:jc w:val="left"/>
              <w:rPr>
                <w:rFonts w:ascii="Arial Narrow" w:eastAsiaTheme="majorEastAsia" w:hAnsi="Arial Narrow" w:cstheme="majorBidi"/>
                <w:bCs/>
                <w:sz w:val="20"/>
              </w:rPr>
            </w:pPr>
          </w:p>
          <w:p w14:paraId="22A21FEF"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Background mortality was informed by the ABS lifetables. </w:t>
            </w:r>
          </w:p>
        </w:tc>
      </w:tr>
      <w:tr w:rsidR="007F5816" w:rsidRPr="006B343C" w14:paraId="7AF1CE85" w14:textId="77777777" w:rsidTr="00916175">
        <w:tc>
          <w:tcPr>
            <w:tcW w:w="862" w:type="pct"/>
            <w:shd w:val="clear" w:color="auto" w:fill="auto"/>
            <w:vAlign w:val="center"/>
          </w:tcPr>
          <w:p w14:paraId="33A5B953"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Extrapolation method</w:t>
            </w:r>
          </w:p>
        </w:tc>
        <w:tc>
          <w:tcPr>
            <w:tcW w:w="4138" w:type="pct"/>
            <w:shd w:val="clear" w:color="auto" w:fill="auto"/>
            <w:vAlign w:val="center"/>
          </w:tcPr>
          <w:p w14:paraId="77C37C11" w14:textId="031B0F5C"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Transition probabilities estimated for </w:t>
            </w:r>
            <w:r w:rsidR="00146FB1" w:rsidRPr="006B343C">
              <w:rPr>
                <w:rFonts w:ascii="Arial Narrow" w:eastAsiaTheme="majorEastAsia" w:hAnsi="Arial Narrow" w:cstheme="majorBidi"/>
                <w:bCs/>
                <w:sz w:val="20"/>
              </w:rPr>
              <w:t xml:space="preserve">the </w:t>
            </w:r>
            <w:r w:rsidRPr="006B343C">
              <w:rPr>
                <w:rFonts w:ascii="Arial Narrow" w:eastAsiaTheme="majorEastAsia" w:hAnsi="Arial Narrow" w:cstheme="majorBidi"/>
                <w:bCs/>
                <w:sz w:val="20"/>
              </w:rPr>
              <w:t xml:space="preserve">period between Weeks 14 and 38 were applied to the remaining time horizon. The submission assumed that the treatment effect observed at the end of Week 34 is constant over time and would carry across the 10-year time horizon. The submission also assumed that the patients would remain on vedolizumab as long as they were in the Remission health state and assumed a 100% compliance despite the inferior safety claims. </w:t>
            </w:r>
          </w:p>
          <w:p w14:paraId="217B8CFE" w14:textId="77777777" w:rsidR="007F5816" w:rsidRPr="006B343C" w:rsidRDefault="007F5816" w:rsidP="00C1278B">
            <w:pPr>
              <w:jc w:val="left"/>
              <w:rPr>
                <w:rFonts w:ascii="Arial Narrow" w:eastAsiaTheme="majorEastAsia" w:hAnsi="Arial Narrow" w:cstheme="majorBidi"/>
                <w:bCs/>
                <w:sz w:val="20"/>
              </w:rPr>
            </w:pPr>
          </w:p>
          <w:p w14:paraId="1BDCA6A5"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95% of QALYs (and 96% of costs) occur in the extrapolated period. </w:t>
            </w:r>
          </w:p>
        </w:tc>
      </w:tr>
      <w:tr w:rsidR="007F5816" w:rsidRPr="006B343C" w14:paraId="6E23D438" w14:textId="77777777" w:rsidTr="00916175">
        <w:tc>
          <w:tcPr>
            <w:tcW w:w="862" w:type="pct"/>
            <w:shd w:val="clear" w:color="auto" w:fill="auto"/>
            <w:vAlign w:val="center"/>
          </w:tcPr>
          <w:p w14:paraId="298CC891"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lastRenderedPageBreak/>
              <w:t>Health related quality of life</w:t>
            </w:r>
          </w:p>
        </w:tc>
        <w:tc>
          <w:tcPr>
            <w:tcW w:w="4138" w:type="pct"/>
            <w:shd w:val="clear" w:color="auto" w:fill="auto"/>
            <w:vAlign w:val="center"/>
          </w:tcPr>
          <w:p w14:paraId="18F72D15"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Utilities (EQ-5D) estimated using the IBDQ scores reported from the EARNEST trial were used to inform the response-based health states. The same utility values were applied for both the intervention and comparator arms. Remission – 0.784; Response (w/o remission) – 0.754; No response – 0.672. </w:t>
            </w:r>
          </w:p>
          <w:p w14:paraId="5D894044" w14:textId="77777777" w:rsidR="007F5816" w:rsidRPr="006B343C" w:rsidRDefault="007F5816" w:rsidP="00C1278B">
            <w:pPr>
              <w:jc w:val="left"/>
              <w:rPr>
                <w:rFonts w:ascii="Arial Narrow" w:eastAsiaTheme="majorEastAsia" w:hAnsi="Arial Narrow" w:cstheme="majorBidi"/>
                <w:bCs/>
                <w:sz w:val="20"/>
              </w:rPr>
            </w:pPr>
          </w:p>
          <w:p w14:paraId="75734F09"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Utility for pouch failure (0.550) was based on the post-surgery complications health state from Tsai (2008). </w:t>
            </w:r>
          </w:p>
          <w:p w14:paraId="63AC0068" w14:textId="77777777" w:rsidR="007F5816" w:rsidRPr="006B343C" w:rsidRDefault="007F5816" w:rsidP="00C1278B">
            <w:pPr>
              <w:jc w:val="left"/>
              <w:rPr>
                <w:rFonts w:ascii="Arial Narrow" w:eastAsiaTheme="majorEastAsia" w:hAnsi="Arial Narrow" w:cstheme="majorBidi"/>
                <w:bCs/>
                <w:sz w:val="20"/>
              </w:rPr>
            </w:pPr>
          </w:p>
          <w:p w14:paraId="58988499" w14:textId="77777777" w:rsidR="007F5816" w:rsidRPr="006B343C" w:rsidRDefault="007F5816" w:rsidP="007F5816">
            <w:pPr>
              <w:autoSpaceDE w:val="0"/>
              <w:autoSpaceDN w:val="0"/>
              <w:adjustRightInd w:val="0"/>
            </w:pPr>
            <w:r w:rsidRPr="006B343C">
              <w:rPr>
                <w:rFonts w:ascii="Arial Narrow" w:hAnsi="Arial Narrow"/>
                <w:sz w:val="20"/>
                <w:szCs w:val="20"/>
              </w:rPr>
              <w:t>Sensitivity analyses were based on published results (Arsenau (2006), Tsai (2008) and Park (2012)).</w:t>
            </w:r>
          </w:p>
        </w:tc>
      </w:tr>
      <w:tr w:rsidR="007F5816" w:rsidRPr="006B343C" w14:paraId="4800913D" w14:textId="77777777" w:rsidTr="00916175">
        <w:tc>
          <w:tcPr>
            <w:tcW w:w="862" w:type="pct"/>
            <w:shd w:val="clear" w:color="auto" w:fill="auto"/>
            <w:vAlign w:val="center"/>
          </w:tcPr>
          <w:p w14:paraId="6F916519"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Costs</w:t>
            </w:r>
          </w:p>
        </w:tc>
        <w:tc>
          <w:tcPr>
            <w:tcW w:w="4138" w:type="pct"/>
            <w:shd w:val="clear" w:color="auto" w:fill="auto"/>
            <w:vAlign w:val="center"/>
          </w:tcPr>
          <w:p w14:paraId="37E05A8E" w14:textId="4C198E9C"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The model included: Treatment costs</w:t>
            </w:r>
            <w:r w:rsidR="00916175">
              <w:rPr>
                <w:rFonts w:ascii="Arial Narrow" w:eastAsiaTheme="majorEastAsia" w:hAnsi="Arial Narrow" w:cstheme="majorBidi"/>
                <w:bCs/>
                <w:sz w:val="20"/>
              </w:rPr>
              <w:t xml:space="preserve"> </w:t>
            </w:r>
            <w:r w:rsidR="00916175" w:rsidRPr="00A06FD5">
              <w:rPr>
                <w:rFonts w:ascii="Arial Narrow" w:eastAsiaTheme="majorEastAsia" w:hAnsi="Arial Narrow" w:cstheme="majorBidi"/>
                <w:bCs/>
                <w:sz w:val="20"/>
              </w:rPr>
              <w:t>(vedolizumab only)</w:t>
            </w:r>
            <w:r w:rsidRPr="00A06FD5">
              <w:rPr>
                <w:rFonts w:ascii="Arial Narrow" w:eastAsiaTheme="majorEastAsia" w:hAnsi="Arial Narrow" w:cstheme="majorBidi"/>
                <w:bCs/>
                <w:sz w:val="20"/>
              </w:rPr>
              <w:t>,</w:t>
            </w:r>
            <w:r w:rsidRPr="006B343C">
              <w:rPr>
                <w:rFonts w:ascii="Arial Narrow" w:eastAsiaTheme="majorEastAsia" w:hAnsi="Arial Narrow" w:cstheme="majorBidi"/>
                <w:bCs/>
                <w:sz w:val="20"/>
              </w:rPr>
              <w:t xml:space="preserve"> health states costs, pouch failure event cost and costs for managing treatment-emergent adverse events.</w:t>
            </w:r>
          </w:p>
          <w:p w14:paraId="34FED7C6" w14:textId="77777777" w:rsidR="007F5816" w:rsidRPr="006B343C" w:rsidRDefault="007F5816" w:rsidP="00C1278B">
            <w:pPr>
              <w:jc w:val="left"/>
              <w:rPr>
                <w:rFonts w:ascii="Arial Narrow" w:eastAsiaTheme="majorEastAsia" w:hAnsi="Arial Narrow" w:cstheme="majorBidi"/>
                <w:bCs/>
                <w:sz w:val="20"/>
              </w:rPr>
            </w:pPr>
          </w:p>
          <w:p w14:paraId="2FA886C5"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For base case, the submission used the resource use reported for the post-surgery remission and post-surgery complication health states from Tsai (2008) to inform the Remission and No response health states costs in the model. Tsai (2008) is a cost-effectiveness study which reported resource use from six UK gastroenterologist for health states relating to moderate-to-severe ulcerative colitis.</w:t>
            </w:r>
          </w:p>
          <w:p w14:paraId="6F47041D" w14:textId="77777777" w:rsidR="007F5816" w:rsidRPr="006B343C" w:rsidRDefault="007F5816" w:rsidP="00C1278B">
            <w:pPr>
              <w:jc w:val="left"/>
              <w:rPr>
                <w:rFonts w:ascii="Arial Narrow" w:eastAsiaTheme="majorEastAsia" w:hAnsi="Arial Narrow" w:cstheme="majorBidi"/>
                <w:bCs/>
                <w:sz w:val="20"/>
              </w:rPr>
            </w:pPr>
          </w:p>
          <w:p w14:paraId="1275B07E" w14:textId="77777777" w:rsidR="007F5816" w:rsidRPr="006B343C" w:rsidRDefault="007F5816" w:rsidP="00C1278B">
            <w:pPr>
              <w:jc w:val="left"/>
              <w:rPr>
                <w:rFonts w:ascii="Arial Narrow" w:eastAsiaTheme="majorEastAsia" w:hAnsi="Arial Narrow" w:cstheme="majorBidi"/>
                <w:bCs/>
                <w:sz w:val="20"/>
              </w:rPr>
            </w:pPr>
            <w:r w:rsidRPr="006B343C">
              <w:rPr>
                <w:rFonts w:ascii="Arial Narrow" w:eastAsiaTheme="majorEastAsia" w:hAnsi="Arial Narrow" w:cstheme="majorBidi"/>
                <w:bCs/>
                <w:sz w:val="20"/>
              </w:rPr>
              <w:t>For the Response (without remission) health state, the submission assumed this cost be the average of the Remission and No response health states.</w:t>
            </w:r>
          </w:p>
        </w:tc>
      </w:tr>
    </w:tbl>
    <w:p w14:paraId="58D0A53A" w14:textId="590DFF3F"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rPr>
        <w:t>Source: Table 46of the submission</w:t>
      </w:r>
    </w:p>
    <w:p w14:paraId="575F9AA1" w14:textId="5454DF3A" w:rsidR="007F5816" w:rsidRPr="006B343C" w:rsidRDefault="007F5816" w:rsidP="007F5816">
      <w:pPr>
        <w:spacing w:after="120"/>
        <w:contextualSpacing/>
        <w:rPr>
          <w:rFonts w:ascii="Arial Narrow" w:hAnsi="Arial Narrow"/>
          <w:snapToGrid w:val="0"/>
          <w:sz w:val="18"/>
          <w:szCs w:val="18"/>
        </w:rPr>
      </w:pPr>
      <w:r w:rsidRPr="006B343C">
        <w:rPr>
          <w:rFonts w:ascii="Arial Narrow" w:hAnsi="Arial Narrow"/>
          <w:snapToGrid w:val="0"/>
          <w:sz w:val="18"/>
          <w:szCs w:val="18"/>
        </w:rPr>
        <w:t xml:space="preserve">Abbreviations: ABS, Australia Bureau of Statistics; PBS, Pharmaceutical Benefit Scheme; </w:t>
      </w:r>
      <w:r w:rsidR="00FA7DFE" w:rsidRPr="006B343C">
        <w:rPr>
          <w:rFonts w:ascii="Arial Narrow" w:hAnsi="Arial Narrow"/>
          <w:snapToGrid w:val="0"/>
          <w:sz w:val="18"/>
          <w:szCs w:val="18"/>
        </w:rPr>
        <w:t xml:space="preserve">EQ-5D, EuroQol 5 Dimension; </w:t>
      </w:r>
      <w:r w:rsidR="00A3721F" w:rsidRPr="006B343C">
        <w:rPr>
          <w:rFonts w:ascii="Arial Narrow" w:hAnsi="Arial Narrow"/>
          <w:snapToGrid w:val="0"/>
          <w:sz w:val="18"/>
          <w:szCs w:val="22"/>
          <w:lang w:val="en-US"/>
        </w:rPr>
        <w:t xml:space="preserve">IBDQ, Inflammatory Bowel Disease Questionnaire; </w:t>
      </w:r>
      <w:r w:rsidR="00856FC2" w:rsidRPr="006B343C">
        <w:rPr>
          <w:rFonts w:ascii="Arial Narrow" w:hAnsi="Arial Narrow"/>
          <w:snapToGrid w:val="0"/>
          <w:sz w:val="18"/>
          <w:szCs w:val="22"/>
          <w:lang w:val="en-US"/>
        </w:rPr>
        <w:t xml:space="preserve">mPDAI, modified </w:t>
      </w:r>
      <w:r w:rsidR="00A3721F" w:rsidRPr="006B343C">
        <w:rPr>
          <w:rFonts w:ascii="Arial Narrow" w:hAnsi="Arial Narrow"/>
          <w:snapToGrid w:val="0"/>
          <w:sz w:val="18"/>
          <w:szCs w:val="22"/>
          <w:lang w:val="en-US"/>
        </w:rPr>
        <w:t>Pouchitis Disease Activity Index</w:t>
      </w:r>
      <w:r w:rsidR="00856FC2" w:rsidRPr="006B343C">
        <w:rPr>
          <w:rFonts w:ascii="Arial Narrow" w:hAnsi="Arial Narrow"/>
          <w:snapToGrid w:val="0"/>
          <w:sz w:val="18"/>
          <w:szCs w:val="18"/>
        </w:rPr>
        <w:t xml:space="preserve">; </w:t>
      </w:r>
      <w:r w:rsidRPr="006B343C">
        <w:rPr>
          <w:rFonts w:ascii="Arial Narrow" w:hAnsi="Arial Narrow"/>
          <w:snapToGrid w:val="0"/>
          <w:sz w:val="18"/>
          <w:szCs w:val="18"/>
        </w:rPr>
        <w:t xml:space="preserve">QALY, quality-adjusted life years; </w:t>
      </w:r>
      <w:r w:rsidRPr="006B343C">
        <w:rPr>
          <w:rFonts w:ascii="Arial Narrow" w:hAnsi="Arial Narrow"/>
          <w:snapToGrid w:val="0"/>
          <w:sz w:val="18"/>
          <w:szCs w:val="18"/>
          <w:lang w:val="en-US"/>
        </w:rPr>
        <w:t xml:space="preserve">SOC, standard-of-care; </w:t>
      </w:r>
      <w:r w:rsidR="00313CE9" w:rsidRPr="006B343C">
        <w:rPr>
          <w:rFonts w:ascii="Arial Narrow" w:hAnsi="Arial Narrow"/>
          <w:snapToGrid w:val="0"/>
          <w:sz w:val="18"/>
          <w:szCs w:val="18"/>
          <w:lang w:val="en-US"/>
        </w:rPr>
        <w:t xml:space="preserve">UK, United Kingdom; </w:t>
      </w:r>
      <w:r w:rsidRPr="006B343C">
        <w:rPr>
          <w:rFonts w:ascii="Arial Narrow" w:hAnsi="Arial Narrow"/>
          <w:snapToGrid w:val="0"/>
          <w:sz w:val="18"/>
          <w:szCs w:val="18"/>
          <w:lang w:val="en-US"/>
        </w:rPr>
        <w:t xml:space="preserve">VEDO, vedolizumab; </w:t>
      </w:r>
      <w:r w:rsidRPr="006B343C">
        <w:rPr>
          <w:rFonts w:ascii="Arial Narrow" w:hAnsi="Arial Narrow"/>
          <w:snapToGrid w:val="0"/>
          <w:sz w:val="18"/>
          <w:szCs w:val="18"/>
        </w:rPr>
        <w:t>w/o, without</w:t>
      </w:r>
    </w:p>
    <w:p w14:paraId="222B65D0" w14:textId="41C5C71B" w:rsidR="00C1278B" w:rsidRPr="006B343C" w:rsidRDefault="00C1278B" w:rsidP="00C1278B">
      <w:pPr>
        <w:spacing w:after="120"/>
        <w:contextualSpacing/>
        <w:rPr>
          <w:rFonts w:ascii="Arial Narrow" w:hAnsi="Arial Narrow"/>
          <w:snapToGrid w:val="0"/>
          <w:sz w:val="18"/>
          <w:szCs w:val="18"/>
        </w:rPr>
      </w:pPr>
    </w:p>
    <w:p w14:paraId="71CC7E19" w14:textId="29D4DE0B" w:rsidR="0027268E" w:rsidRPr="00F55938" w:rsidRDefault="00A06FD5" w:rsidP="00E37470">
      <w:pPr>
        <w:numPr>
          <w:ilvl w:val="1"/>
          <w:numId w:val="1"/>
        </w:numPr>
        <w:spacing w:after="120"/>
        <w:rPr>
          <w:rFonts w:asciiTheme="minorHAnsi" w:hAnsiTheme="minorHAnsi"/>
          <w:snapToGrid w:val="0"/>
        </w:rPr>
      </w:pPr>
      <w:r>
        <w:rPr>
          <w:rFonts w:asciiTheme="minorHAnsi" w:hAnsiTheme="minorHAnsi"/>
          <w:snapToGrid w:val="0"/>
        </w:rPr>
        <w:t>T</w:t>
      </w:r>
      <w:r w:rsidR="00C511C8" w:rsidRPr="00F55938">
        <w:rPr>
          <w:rFonts w:asciiTheme="minorHAnsi" w:hAnsiTheme="minorHAnsi"/>
          <w:snapToGrid w:val="0"/>
        </w:rPr>
        <w:t xml:space="preserve">he submission </w:t>
      </w:r>
      <w:r>
        <w:rPr>
          <w:rFonts w:asciiTheme="minorHAnsi" w:hAnsiTheme="minorHAnsi"/>
          <w:snapToGrid w:val="0"/>
        </w:rPr>
        <w:t>stat</w:t>
      </w:r>
      <w:r w:rsidRPr="00F55938">
        <w:rPr>
          <w:rFonts w:asciiTheme="minorHAnsi" w:hAnsiTheme="minorHAnsi"/>
          <w:snapToGrid w:val="0"/>
        </w:rPr>
        <w:t xml:space="preserve">ed </w:t>
      </w:r>
      <w:r>
        <w:rPr>
          <w:rFonts w:asciiTheme="minorHAnsi" w:hAnsiTheme="minorHAnsi"/>
          <w:snapToGrid w:val="0"/>
        </w:rPr>
        <w:t xml:space="preserve">that </w:t>
      </w:r>
      <w:r w:rsidR="00C511C8" w:rsidRPr="00F55938">
        <w:rPr>
          <w:rFonts w:asciiTheme="minorHAnsi" w:hAnsiTheme="minorHAnsi"/>
          <w:snapToGrid w:val="0"/>
        </w:rPr>
        <w:t>the economic model consist</w:t>
      </w:r>
      <w:r>
        <w:rPr>
          <w:rFonts w:asciiTheme="minorHAnsi" w:hAnsiTheme="minorHAnsi"/>
          <w:snapToGrid w:val="0"/>
        </w:rPr>
        <w:t>ed</w:t>
      </w:r>
      <w:r w:rsidR="00C511C8" w:rsidRPr="00F55938">
        <w:rPr>
          <w:rFonts w:asciiTheme="minorHAnsi" w:hAnsiTheme="minorHAnsi"/>
          <w:snapToGrid w:val="0"/>
        </w:rPr>
        <w:t xml:space="preserve"> of </w:t>
      </w:r>
      <w:r w:rsidR="001E3357" w:rsidRPr="00F55938">
        <w:rPr>
          <w:rFonts w:asciiTheme="minorHAnsi" w:hAnsiTheme="minorHAnsi"/>
          <w:snapToGrid w:val="0"/>
        </w:rPr>
        <w:t>five mutually exclusive health states: Remission; Response (without remission); No response; Pouch Failure and Death</w:t>
      </w:r>
      <w:r>
        <w:rPr>
          <w:rFonts w:asciiTheme="minorHAnsi" w:hAnsiTheme="minorHAnsi"/>
          <w:snapToGrid w:val="0"/>
        </w:rPr>
        <w:t>. However</w:t>
      </w:r>
      <w:r w:rsidR="003907AE" w:rsidRPr="00F55938">
        <w:rPr>
          <w:rFonts w:asciiTheme="minorHAnsi" w:hAnsiTheme="minorHAnsi"/>
          <w:snapToGrid w:val="0"/>
        </w:rPr>
        <w:t>, three of the health states (</w:t>
      </w:r>
      <w:r w:rsidR="001E3357" w:rsidRPr="00F55938">
        <w:rPr>
          <w:rFonts w:asciiTheme="minorHAnsi" w:hAnsiTheme="minorHAnsi"/>
          <w:snapToGrid w:val="0"/>
        </w:rPr>
        <w:t>Remission, Response (without remission), No response)</w:t>
      </w:r>
      <w:r w:rsidR="007019F5" w:rsidRPr="00F55938">
        <w:rPr>
          <w:rFonts w:asciiTheme="minorHAnsi" w:hAnsiTheme="minorHAnsi"/>
          <w:snapToGrid w:val="0"/>
        </w:rPr>
        <w:t xml:space="preserve"> </w:t>
      </w:r>
      <w:r w:rsidR="001E3357" w:rsidRPr="00F55938">
        <w:rPr>
          <w:rFonts w:asciiTheme="minorHAnsi" w:hAnsiTheme="minorHAnsi"/>
          <w:snapToGrid w:val="0"/>
        </w:rPr>
        <w:t>were</w:t>
      </w:r>
      <w:r w:rsidR="004B598F" w:rsidRPr="00F55938">
        <w:t xml:space="preserve"> further split by treatment</w:t>
      </w:r>
      <w:r w:rsidR="0019001E" w:rsidRPr="00F55938">
        <w:t xml:space="preserve"> (on VEDO and on SOC)</w:t>
      </w:r>
      <w:r w:rsidR="003907AE" w:rsidRPr="00F55938">
        <w:t xml:space="preserve"> resulting in a total of eight health states</w:t>
      </w:r>
      <w:r w:rsidR="002441DA">
        <w:t>.</w:t>
      </w:r>
      <w:r w:rsidR="00803736" w:rsidRPr="00F55938">
        <w:t xml:space="preserve"> </w:t>
      </w:r>
      <w:r w:rsidR="002441DA">
        <w:t>T</w:t>
      </w:r>
      <w:r w:rsidR="00803736" w:rsidRPr="00F55938">
        <w:t xml:space="preserve">he ESC considered that given the VEDO arm was divided into VEDO and SOC treatment states, the model </w:t>
      </w:r>
      <w:r w:rsidR="00916175" w:rsidRPr="00F55938">
        <w:t xml:space="preserve">could be described as </w:t>
      </w:r>
      <w:r w:rsidR="00FA4963" w:rsidRPr="00F55938">
        <w:t xml:space="preserve">having </w:t>
      </w:r>
      <w:r w:rsidR="007501AD" w:rsidRPr="00F55938">
        <w:t>1</w:t>
      </w:r>
      <w:r w:rsidR="00803736" w:rsidRPr="00F55938">
        <w:t>1 health states</w:t>
      </w:r>
      <w:r w:rsidR="004B598F" w:rsidRPr="00F55938">
        <w:t>.</w:t>
      </w:r>
      <w:r w:rsidR="00614615" w:rsidRPr="00F55938">
        <w:t xml:space="preserve"> </w:t>
      </w:r>
      <w:r w:rsidR="0027268E" w:rsidRPr="00F55938">
        <w:rPr>
          <w:rFonts w:asciiTheme="minorHAnsi" w:hAnsiTheme="minorHAnsi"/>
          <w:snapToGrid w:val="0"/>
        </w:rPr>
        <w:t xml:space="preserve">Patients begin the model </w:t>
      </w:r>
      <w:r w:rsidR="00E71425" w:rsidRPr="00F55938">
        <w:rPr>
          <w:rFonts w:asciiTheme="minorHAnsi" w:hAnsiTheme="minorHAnsi"/>
          <w:snapToGrid w:val="0"/>
        </w:rPr>
        <w:t>in</w:t>
      </w:r>
      <w:r w:rsidR="0027268E" w:rsidRPr="00F55938">
        <w:rPr>
          <w:rFonts w:asciiTheme="minorHAnsi" w:hAnsiTheme="minorHAnsi"/>
          <w:snapToGrid w:val="0"/>
        </w:rPr>
        <w:t xml:space="preserve"> the </w:t>
      </w:r>
      <w:r w:rsidR="00916175" w:rsidRPr="00F55938">
        <w:rPr>
          <w:rFonts w:asciiTheme="minorHAnsi" w:hAnsiTheme="minorHAnsi"/>
          <w:snapToGrid w:val="0"/>
        </w:rPr>
        <w:t>‘</w:t>
      </w:r>
      <w:r w:rsidR="0027268E" w:rsidRPr="00F55938">
        <w:rPr>
          <w:rFonts w:asciiTheme="minorHAnsi" w:hAnsiTheme="minorHAnsi"/>
          <w:snapToGrid w:val="0"/>
        </w:rPr>
        <w:t>No response</w:t>
      </w:r>
      <w:r w:rsidR="00916175" w:rsidRPr="00F55938">
        <w:rPr>
          <w:rFonts w:asciiTheme="minorHAnsi" w:hAnsiTheme="minorHAnsi"/>
          <w:snapToGrid w:val="0"/>
        </w:rPr>
        <w:t>’</w:t>
      </w:r>
      <w:r w:rsidR="0027268E" w:rsidRPr="00F55938">
        <w:rPr>
          <w:rFonts w:asciiTheme="minorHAnsi" w:hAnsiTheme="minorHAnsi"/>
          <w:snapToGrid w:val="0"/>
        </w:rPr>
        <w:t xml:space="preserve"> health state. At Week 14, patients in the </w:t>
      </w:r>
      <w:r w:rsidR="00EC15D7" w:rsidRPr="00F55938">
        <w:rPr>
          <w:rFonts w:asciiTheme="minorHAnsi" w:hAnsiTheme="minorHAnsi"/>
          <w:snapToGrid w:val="0"/>
        </w:rPr>
        <w:t xml:space="preserve">vedolizumab treatment group </w:t>
      </w:r>
      <w:r w:rsidR="0027268E" w:rsidRPr="00F55938">
        <w:rPr>
          <w:rFonts w:asciiTheme="minorHAnsi" w:hAnsiTheme="minorHAnsi"/>
          <w:snapToGrid w:val="0"/>
        </w:rPr>
        <w:t xml:space="preserve">could transition into the </w:t>
      </w:r>
      <w:r w:rsidR="00916175" w:rsidRPr="00F55938">
        <w:rPr>
          <w:rFonts w:asciiTheme="minorHAnsi" w:hAnsiTheme="minorHAnsi"/>
          <w:snapToGrid w:val="0"/>
        </w:rPr>
        <w:t>‘</w:t>
      </w:r>
      <w:r w:rsidR="0027268E" w:rsidRPr="00F55938">
        <w:rPr>
          <w:rFonts w:asciiTheme="minorHAnsi" w:hAnsiTheme="minorHAnsi"/>
          <w:snapToGrid w:val="0"/>
        </w:rPr>
        <w:t>VEDO: Remission</w:t>
      </w:r>
      <w:r w:rsidR="00916175" w:rsidRPr="00F55938">
        <w:rPr>
          <w:rFonts w:asciiTheme="minorHAnsi" w:hAnsiTheme="minorHAnsi"/>
          <w:snapToGrid w:val="0"/>
        </w:rPr>
        <w:t>’</w:t>
      </w:r>
      <w:r w:rsidR="0027268E" w:rsidRPr="00F55938">
        <w:rPr>
          <w:rFonts w:asciiTheme="minorHAnsi" w:hAnsiTheme="minorHAnsi"/>
          <w:snapToGrid w:val="0"/>
        </w:rPr>
        <w:t xml:space="preserve"> health state based on the primary outcome of the EARNEST trial (mPDAI-defined remission at Week 14). All other patients would transition into the </w:t>
      </w:r>
      <w:r w:rsidR="00916175" w:rsidRPr="00F55938">
        <w:rPr>
          <w:rFonts w:asciiTheme="minorHAnsi" w:hAnsiTheme="minorHAnsi"/>
          <w:snapToGrid w:val="0"/>
        </w:rPr>
        <w:t>‘</w:t>
      </w:r>
      <w:r w:rsidR="0027268E" w:rsidRPr="00F55938">
        <w:rPr>
          <w:rFonts w:asciiTheme="minorHAnsi" w:hAnsiTheme="minorHAnsi"/>
          <w:snapToGrid w:val="0"/>
        </w:rPr>
        <w:t>SOC: Response (without remission)</w:t>
      </w:r>
      <w:r w:rsidR="00916175" w:rsidRPr="00F55938">
        <w:rPr>
          <w:rFonts w:asciiTheme="minorHAnsi" w:hAnsiTheme="minorHAnsi"/>
          <w:snapToGrid w:val="0"/>
        </w:rPr>
        <w:t>’</w:t>
      </w:r>
      <w:r w:rsidR="0027268E" w:rsidRPr="00F55938">
        <w:rPr>
          <w:rFonts w:asciiTheme="minorHAnsi" w:hAnsiTheme="minorHAnsi"/>
          <w:snapToGrid w:val="0"/>
        </w:rPr>
        <w:t xml:space="preserve"> or </w:t>
      </w:r>
      <w:r w:rsidR="00916175" w:rsidRPr="00F55938">
        <w:rPr>
          <w:rFonts w:asciiTheme="minorHAnsi" w:hAnsiTheme="minorHAnsi"/>
          <w:snapToGrid w:val="0"/>
        </w:rPr>
        <w:t>‘</w:t>
      </w:r>
      <w:r w:rsidR="0027268E" w:rsidRPr="00F55938">
        <w:rPr>
          <w:rFonts w:asciiTheme="minorHAnsi" w:hAnsiTheme="minorHAnsi"/>
          <w:snapToGrid w:val="0"/>
        </w:rPr>
        <w:t>SOC: No response</w:t>
      </w:r>
      <w:r w:rsidR="00916175" w:rsidRPr="00F55938">
        <w:rPr>
          <w:rFonts w:asciiTheme="minorHAnsi" w:hAnsiTheme="minorHAnsi"/>
          <w:snapToGrid w:val="0"/>
        </w:rPr>
        <w:t>’</w:t>
      </w:r>
      <w:r w:rsidR="0027268E" w:rsidRPr="00F55938">
        <w:rPr>
          <w:rFonts w:asciiTheme="minorHAnsi" w:hAnsiTheme="minorHAnsi"/>
          <w:snapToGrid w:val="0"/>
        </w:rPr>
        <w:t xml:space="preserve"> health states</w:t>
      </w:r>
      <w:r w:rsidR="006D1303" w:rsidRPr="00F55938">
        <w:rPr>
          <w:rFonts w:asciiTheme="minorHAnsi" w:hAnsiTheme="minorHAnsi"/>
          <w:snapToGrid w:val="0"/>
        </w:rPr>
        <w:t xml:space="preserve"> based </w:t>
      </w:r>
      <w:r w:rsidR="003C1604" w:rsidRPr="00F55938">
        <w:rPr>
          <w:rFonts w:asciiTheme="minorHAnsi" w:hAnsiTheme="minorHAnsi"/>
          <w:snapToGrid w:val="0"/>
        </w:rPr>
        <w:t xml:space="preserve">on </w:t>
      </w:r>
      <w:r w:rsidR="005D6102" w:rsidRPr="00F55938">
        <w:rPr>
          <w:rFonts w:asciiTheme="minorHAnsi" w:hAnsiTheme="minorHAnsi"/>
          <w:snapToGrid w:val="0"/>
        </w:rPr>
        <w:t xml:space="preserve">calculated patient proportions from </w:t>
      </w:r>
      <w:r w:rsidR="006D1303" w:rsidRPr="00F55938">
        <w:rPr>
          <w:rFonts w:asciiTheme="minorHAnsi" w:hAnsiTheme="minorHAnsi"/>
          <w:snapToGrid w:val="0"/>
        </w:rPr>
        <w:t>the secondary outcome (partial mPDAI-defined response)</w:t>
      </w:r>
      <w:r w:rsidR="0027268E" w:rsidRPr="00F55938">
        <w:rPr>
          <w:rFonts w:asciiTheme="minorHAnsi" w:hAnsiTheme="minorHAnsi"/>
          <w:snapToGrid w:val="0"/>
        </w:rPr>
        <w:t>.</w:t>
      </w:r>
      <w:r w:rsidR="006309B5" w:rsidRPr="00F55938">
        <w:rPr>
          <w:rFonts w:asciiTheme="minorHAnsi" w:hAnsiTheme="minorHAnsi"/>
          <w:snapToGrid w:val="0"/>
        </w:rPr>
        <w:t xml:space="preserve"> </w:t>
      </w:r>
      <w:r w:rsidR="00FB0DF6" w:rsidRPr="00F55938">
        <w:rPr>
          <w:rFonts w:asciiTheme="minorHAnsi" w:hAnsiTheme="minorHAnsi"/>
          <w:snapToGrid w:val="0"/>
        </w:rPr>
        <w:t>‘</w:t>
      </w:r>
      <w:r w:rsidR="00472B3E" w:rsidRPr="00F55938">
        <w:rPr>
          <w:rFonts w:asciiTheme="minorHAnsi" w:hAnsiTheme="minorHAnsi"/>
          <w:snapToGrid w:val="0"/>
        </w:rPr>
        <w:t xml:space="preserve">Response </w:t>
      </w:r>
      <w:r w:rsidR="00FB0DF6" w:rsidRPr="00F55938">
        <w:rPr>
          <w:rFonts w:asciiTheme="minorHAnsi" w:hAnsiTheme="minorHAnsi"/>
          <w:snapToGrid w:val="0"/>
        </w:rPr>
        <w:t>(</w:t>
      </w:r>
      <w:r w:rsidR="00472B3E" w:rsidRPr="00F55938">
        <w:rPr>
          <w:rFonts w:asciiTheme="minorHAnsi" w:hAnsiTheme="minorHAnsi"/>
          <w:snapToGrid w:val="0"/>
        </w:rPr>
        <w:t>without remission</w:t>
      </w:r>
      <w:r w:rsidR="00FB0DF6" w:rsidRPr="00F55938">
        <w:rPr>
          <w:rFonts w:asciiTheme="minorHAnsi" w:hAnsiTheme="minorHAnsi"/>
          <w:snapToGrid w:val="0"/>
        </w:rPr>
        <w:t>)’</w:t>
      </w:r>
      <w:r w:rsidR="00472B3E" w:rsidRPr="00F55938">
        <w:rPr>
          <w:rFonts w:asciiTheme="minorHAnsi" w:hAnsiTheme="minorHAnsi"/>
          <w:snapToGrid w:val="0"/>
        </w:rPr>
        <w:t xml:space="preserve"> was based on partial mPDAI-defined response. </w:t>
      </w:r>
      <w:r w:rsidR="006309B5" w:rsidRPr="00F55938">
        <w:rPr>
          <w:rFonts w:asciiTheme="minorHAnsi" w:hAnsiTheme="minorHAnsi"/>
          <w:snapToGrid w:val="0"/>
        </w:rPr>
        <w:t xml:space="preserve">Across both treatment arms, patients in the SOC health states can remain in the same health state or transition into any SOC health states. Patients in </w:t>
      </w:r>
      <w:r w:rsidR="00FB0DF6" w:rsidRPr="00F55938">
        <w:rPr>
          <w:rFonts w:asciiTheme="minorHAnsi" w:hAnsiTheme="minorHAnsi"/>
          <w:snapToGrid w:val="0"/>
        </w:rPr>
        <w:t>the ‘</w:t>
      </w:r>
      <w:r w:rsidR="00D148FC" w:rsidRPr="00F55938">
        <w:rPr>
          <w:rFonts w:asciiTheme="minorHAnsi" w:hAnsiTheme="minorHAnsi"/>
          <w:snapToGrid w:val="0"/>
        </w:rPr>
        <w:t>Remission</w:t>
      </w:r>
      <w:r w:rsidR="00FB0DF6" w:rsidRPr="00F55938">
        <w:rPr>
          <w:rFonts w:asciiTheme="minorHAnsi" w:hAnsiTheme="minorHAnsi"/>
          <w:snapToGrid w:val="0"/>
        </w:rPr>
        <w:t>’</w:t>
      </w:r>
      <w:r w:rsidR="00D148FC" w:rsidRPr="00F55938">
        <w:rPr>
          <w:rFonts w:asciiTheme="minorHAnsi" w:hAnsiTheme="minorHAnsi"/>
          <w:snapToGrid w:val="0"/>
        </w:rPr>
        <w:t xml:space="preserve">, </w:t>
      </w:r>
      <w:r w:rsidR="00FB0DF6" w:rsidRPr="00F55938">
        <w:rPr>
          <w:rFonts w:asciiTheme="minorHAnsi" w:hAnsiTheme="minorHAnsi"/>
          <w:snapToGrid w:val="0"/>
        </w:rPr>
        <w:t>‘</w:t>
      </w:r>
      <w:r w:rsidR="00D148FC" w:rsidRPr="00F55938">
        <w:rPr>
          <w:rFonts w:asciiTheme="minorHAnsi" w:hAnsiTheme="minorHAnsi"/>
          <w:snapToGrid w:val="0"/>
        </w:rPr>
        <w:t>Response (without remission)</w:t>
      </w:r>
      <w:r w:rsidR="00FB0DF6" w:rsidRPr="00F55938">
        <w:rPr>
          <w:rFonts w:asciiTheme="minorHAnsi" w:hAnsiTheme="minorHAnsi"/>
          <w:snapToGrid w:val="0"/>
        </w:rPr>
        <w:t>’</w:t>
      </w:r>
      <w:r w:rsidR="00D148FC" w:rsidRPr="00F55938">
        <w:rPr>
          <w:rFonts w:asciiTheme="minorHAnsi" w:hAnsiTheme="minorHAnsi"/>
          <w:snapToGrid w:val="0"/>
        </w:rPr>
        <w:t xml:space="preserve">, </w:t>
      </w:r>
      <w:r w:rsidR="00FB0DF6" w:rsidRPr="00F55938">
        <w:rPr>
          <w:rFonts w:asciiTheme="minorHAnsi" w:hAnsiTheme="minorHAnsi"/>
          <w:snapToGrid w:val="0"/>
        </w:rPr>
        <w:t>‘</w:t>
      </w:r>
      <w:r w:rsidR="00D148FC" w:rsidRPr="00F55938">
        <w:rPr>
          <w:rFonts w:asciiTheme="minorHAnsi" w:hAnsiTheme="minorHAnsi"/>
          <w:snapToGrid w:val="0"/>
        </w:rPr>
        <w:t>No response</w:t>
      </w:r>
      <w:r w:rsidR="00FB0DF6" w:rsidRPr="00F55938">
        <w:rPr>
          <w:rFonts w:asciiTheme="minorHAnsi" w:hAnsiTheme="minorHAnsi"/>
          <w:snapToGrid w:val="0"/>
        </w:rPr>
        <w:t>’</w:t>
      </w:r>
      <w:r w:rsidR="006309B5" w:rsidRPr="00F55938">
        <w:rPr>
          <w:rFonts w:asciiTheme="minorHAnsi" w:hAnsiTheme="minorHAnsi"/>
          <w:snapToGrid w:val="0"/>
        </w:rPr>
        <w:t xml:space="preserve"> health states are susceptible to pouch failure and could transition to the </w:t>
      </w:r>
      <w:r w:rsidR="00FB0DF6" w:rsidRPr="00F55938">
        <w:rPr>
          <w:rFonts w:asciiTheme="minorHAnsi" w:hAnsiTheme="minorHAnsi"/>
          <w:snapToGrid w:val="0"/>
        </w:rPr>
        <w:t>‘</w:t>
      </w:r>
      <w:r w:rsidR="006309B5" w:rsidRPr="00F55938">
        <w:rPr>
          <w:rFonts w:asciiTheme="minorHAnsi" w:hAnsiTheme="minorHAnsi"/>
          <w:snapToGrid w:val="0"/>
        </w:rPr>
        <w:t>Pouch failure health state. Dead is an absorbing health state for deaths from an</w:t>
      </w:r>
      <w:r w:rsidR="00C26EF3" w:rsidRPr="00F55938">
        <w:rPr>
          <w:rFonts w:asciiTheme="minorHAnsi" w:hAnsiTheme="minorHAnsi"/>
          <w:snapToGrid w:val="0"/>
        </w:rPr>
        <w:t>y</w:t>
      </w:r>
      <w:r w:rsidR="006309B5" w:rsidRPr="00F55938">
        <w:rPr>
          <w:rFonts w:asciiTheme="minorHAnsi" w:hAnsiTheme="minorHAnsi"/>
          <w:snapToGrid w:val="0"/>
        </w:rPr>
        <w:t xml:space="preserve"> cause.</w:t>
      </w:r>
      <w:r w:rsidR="00DE4C8F" w:rsidRPr="00F55938">
        <w:rPr>
          <w:rFonts w:asciiTheme="minorHAnsi" w:hAnsiTheme="minorHAnsi"/>
          <w:snapToGrid w:val="0"/>
        </w:rPr>
        <w:t xml:space="preserve"> </w:t>
      </w:r>
    </w:p>
    <w:p w14:paraId="0AE472FE" w14:textId="3B9E2F91" w:rsidR="007F5816" w:rsidRPr="00F55938" w:rsidRDefault="00A06FD5" w:rsidP="007F5816">
      <w:pPr>
        <w:numPr>
          <w:ilvl w:val="1"/>
          <w:numId w:val="1"/>
        </w:numPr>
        <w:spacing w:after="120"/>
        <w:rPr>
          <w:rFonts w:asciiTheme="minorHAnsi" w:hAnsiTheme="minorHAnsi"/>
          <w:snapToGrid w:val="0"/>
        </w:rPr>
      </w:pPr>
      <w:r>
        <w:rPr>
          <w:rFonts w:asciiTheme="minorHAnsi" w:hAnsiTheme="minorHAnsi"/>
          <w:snapToGrid w:val="0"/>
        </w:rPr>
        <w:t>The evaluation and the ESC considered that a</w:t>
      </w:r>
      <w:r w:rsidR="007F5816" w:rsidRPr="00F55938">
        <w:rPr>
          <w:rFonts w:asciiTheme="minorHAnsi" w:hAnsiTheme="minorHAnsi"/>
          <w:snapToGrid w:val="0"/>
        </w:rPr>
        <w:t>pplicability issues with respect to the clinical evidence include</w:t>
      </w:r>
      <w:r>
        <w:rPr>
          <w:rFonts w:asciiTheme="minorHAnsi" w:hAnsiTheme="minorHAnsi"/>
          <w:snapToGrid w:val="0"/>
        </w:rPr>
        <w:t>d</w:t>
      </w:r>
      <w:r w:rsidR="007F5816" w:rsidRPr="00F55938">
        <w:rPr>
          <w:rFonts w:asciiTheme="minorHAnsi" w:hAnsiTheme="minorHAnsi"/>
          <w:snapToGrid w:val="0"/>
        </w:rPr>
        <w:t>:</w:t>
      </w:r>
    </w:p>
    <w:p w14:paraId="1EC304D4" w14:textId="41B3A2F2" w:rsidR="00F929AA" w:rsidRPr="00F55938" w:rsidRDefault="00A06FD5" w:rsidP="00B24069">
      <w:pPr>
        <w:pStyle w:val="ListParagraph"/>
        <w:numPr>
          <w:ilvl w:val="0"/>
          <w:numId w:val="13"/>
        </w:numPr>
      </w:pPr>
      <w:r>
        <w:lastRenderedPageBreak/>
        <w:t xml:space="preserve">It is unknown whether the </w:t>
      </w:r>
      <w:r w:rsidR="00D92371" w:rsidRPr="00F55938">
        <w:t xml:space="preserve">mPDAI-defined remission and response criteria </w:t>
      </w:r>
      <w:r w:rsidR="00931EB3">
        <w:t>used in the clinical trial</w:t>
      </w:r>
      <w:r>
        <w:t xml:space="preserve"> would </w:t>
      </w:r>
      <w:r w:rsidR="00931EB3">
        <w:t xml:space="preserve">be applied </w:t>
      </w:r>
      <w:r w:rsidR="00D92371" w:rsidRPr="00F55938">
        <w:t xml:space="preserve">in the </w:t>
      </w:r>
      <w:r w:rsidR="00931EB3">
        <w:t xml:space="preserve">same way in the PBS </w:t>
      </w:r>
      <w:r w:rsidR="00D92371" w:rsidRPr="00F55938">
        <w:t>clinical setting</w:t>
      </w:r>
      <w:r w:rsidR="00931EB3">
        <w:t xml:space="preserve"> (e.g. given there is subjectivity around some of the criteria in the mPDAI scale)</w:t>
      </w:r>
      <w:r w:rsidR="00D92371" w:rsidRPr="00F55938">
        <w:t>.</w:t>
      </w:r>
    </w:p>
    <w:p w14:paraId="475C2435" w14:textId="094D3B40" w:rsidR="007F5816" w:rsidRPr="00F55938" w:rsidRDefault="007F5816" w:rsidP="00B24069">
      <w:pPr>
        <w:numPr>
          <w:ilvl w:val="0"/>
          <w:numId w:val="13"/>
        </w:numPr>
        <w:contextualSpacing/>
      </w:pPr>
      <w:r w:rsidRPr="00F55938">
        <w:t xml:space="preserve">Patients in the EARNEST trial </w:t>
      </w:r>
      <w:r w:rsidR="00EC5394" w:rsidRPr="00F55938">
        <w:t>could be</w:t>
      </w:r>
      <w:r w:rsidRPr="00F55938">
        <w:t xml:space="preserve"> treated with anti-TNF biologics (adalimumab and infliximab) as prior, concomitant and</w:t>
      </w:r>
      <w:r w:rsidR="00EC5394" w:rsidRPr="00F55938">
        <w:t>/or</w:t>
      </w:r>
      <w:r w:rsidRPr="00F55938">
        <w:t xml:space="preserve"> subsequent medications. In the Australian setting, these biologics are not currently </w:t>
      </w:r>
      <w:r w:rsidR="008F1132" w:rsidRPr="00F55938">
        <w:t>PBS-</w:t>
      </w:r>
      <w:r w:rsidRPr="00F55938">
        <w:t xml:space="preserve">listed for the treatment of pouchitis and patients may be biologic naïve. </w:t>
      </w:r>
      <w:r w:rsidR="00D13F42" w:rsidRPr="00F55938">
        <w:t>As no other biologics are TGA registered or PBS subsidised for chronic pouchitis, the potential confounding effect and impact on the reliability of the effect estimate of vedolizumab to the economic model is unknown.</w:t>
      </w:r>
      <w:r w:rsidR="00CB76F9" w:rsidRPr="00F55938">
        <w:t xml:space="preserve"> The ESC</w:t>
      </w:r>
      <w:r w:rsidR="00CE22AD" w:rsidRPr="00F55938">
        <w:t xml:space="preserve"> considered the model </w:t>
      </w:r>
      <w:r w:rsidR="002931B1" w:rsidRPr="00F55938">
        <w:t xml:space="preserve">could have included the cost of other biologic treatments (especially anti-TNF biologics) given these may be used off-label in Australian clinical practice (e.g. supplied through public hospitals).  </w:t>
      </w:r>
    </w:p>
    <w:p w14:paraId="34E5EF6E" w14:textId="77777777" w:rsidR="007F5816" w:rsidRPr="00F55938" w:rsidRDefault="007F5816" w:rsidP="00B24069">
      <w:pPr>
        <w:numPr>
          <w:ilvl w:val="0"/>
          <w:numId w:val="13"/>
        </w:numPr>
        <w:spacing w:after="120"/>
      </w:pPr>
      <w:r w:rsidRPr="00F55938">
        <w:t xml:space="preserve">The proposed PBS continuing restriction requires that patients demonstrate adequate or sustained response at Week 14 to continue treatment. This does not align with the study design which allowed patients to continue treatment up to Week 30. </w:t>
      </w:r>
    </w:p>
    <w:p w14:paraId="741F1132" w14:textId="5399F596" w:rsidR="007F5816" w:rsidRPr="00F55938" w:rsidRDefault="007F5816" w:rsidP="007F5816">
      <w:pPr>
        <w:numPr>
          <w:ilvl w:val="1"/>
          <w:numId w:val="1"/>
        </w:numPr>
        <w:spacing w:after="120"/>
        <w:rPr>
          <w:rFonts w:asciiTheme="minorHAnsi" w:hAnsiTheme="minorHAnsi"/>
          <w:snapToGrid w:val="0"/>
        </w:rPr>
      </w:pPr>
      <w:r w:rsidRPr="00F55938">
        <w:rPr>
          <w:rFonts w:asciiTheme="minorHAnsi" w:hAnsiTheme="minorHAnsi"/>
          <w:snapToGrid w:val="0"/>
        </w:rPr>
        <w:t>The submission extrapolated the treatment effect from Week 34 over a 10</w:t>
      </w:r>
      <w:r w:rsidR="00FB0DF6" w:rsidRPr="00F55938">
        <w:rPr>
          <w:rFonts w:asciiTheme="minorHAnsi" w:hAnsiTheme="minorHAnsi"/>
          <w:snapToGrid w:val="0"/>
        </w:rPr>
        <w:t xml:space="preserve">.4 </w:t>
      </w:r>
      <w:r w:rsidRPr="00F55938">
        <w:rPr>
          <w:rFonts w:asciiTheme="minorHAnsi" w:hAnsiTheme="minorHAnsi"/>
          <w:snapToGrid w:val="0"/>
        </w:rPr>
        <w:t xml:space="preserve">year time horizon. This is long relative to the EARNEST trial duration of 34 weeks. </w:t>
      </w:r>
      <w:r w:rsidR="00F549B9" w:rsidRPr="00F55938">
        <w:rPr>
          <w:rFonts w:asciiTheme="minorHAnsi" w:hAnsiTheme="minorHAnsi"/>
          <w:snapToGrid w:val="0"/>
        </w:rPr>
        <w:t xml:space="preserve">The ESC considered a shorter time horizon </w:t>
      </w:r>
      <w:r w:rsidR="002B6483" w:rsidRPr="00F55938">
        <w:rPr>
          <w:rFonts w:asciiTheme="minorHAnsi" w:hAnsiTheme="minorHAnsi"/>
          <w:snapToGrid w:val="0"/>
        </w:rPr>
        <w:t>may</w:t>
      </w:r>
      <w:r w:rsidR="00FB0DF6" w:rsidRPr="00F55938">
        <w:rPr>
          <w:rFonts w:asciiTheme="minorHAnsi" w:hAnsiTheme="minorHAnsi"/>
          <w:snapToGrid w:val="0"/>
        </w:rPr>
        <w:t xml:space="preserve"> </w:t>
      </w:r>
      <w:r w:rsidR="00D95853">
        <w:rPr>
          <w:rFonts w:asciiTheme="minorHAnsi" w:hAnsiTheme="minorHAnsi"/>
          <w:snapToGrid w:val="0"/>
        </w:rPr>
        <w:t xml:space="preserve">have </w:t>
      </w:r>
      <w:r w:rsidR="00FB0DF6" w:rsidRPr="00F55938">
        <w:rPr>
          <w:rFonts w:asciiTheme="minorHAnsi" w:hAnsiTheme="minorHAnsi"/>
          <w:snapToGrid w:val="0"/>
        </w:rPr>
        <w:t>be</w:t>
      </w:r>
      <w:r w:rsidR="00D95853">
        <w:rPr>
          <w:rFonts w:asciiTheme="minorHAnsi" w:hAnsiTheme="minorHAnsi"/>
          <w:snapToGrid w:val="0"/>
        </w:rPr>
        <w:t>en</w:t>
      </w:r>
      <w:r w:rsidR="00FB0DF6" w:rsidRPr="00F55938">
        <w:rPr>
          <w:rFonts w:asciiTheme="minorHAnsi" w:hAnsiTheme="minorHAnsi"/>
          <w:snapToGrid w:val="0"/>
        </w:rPr>
        <w:t xml:space="preserve"> more</w:t>
      </w:r>
      <w:r w:rsidR="00F549B9" w:rsidRPr="00F55938">
        <w:rPr>
          <w:rFonts w:asciiTheme="minorHAnsi" w:hAnsiTheme="minorHAnsi"/>
          <w:snapToGrid w:val="0"/>
        </w:rPr>
        <w:t xml:space="preserve"> appropriate </w:t>
      </w:r>
      <w:r w:rsidR="00D95853">
        <w:rPr>
          <w:rFonts w:asciiTheme="minorHAnsi" w:hAnsiTheme="minorHAnsi"/>
          <w:snapToGrid w:val="0"/>
        </w:rPr>
        <w:t>given</w:t>
      </w:r>
      <w:r w:rsidR="00803736" w:rsidRPr="00F55938">
        <w:rPr>
          <w:rFonts w:asciiTheme="minorHAnsi" w:hAnsiTheme="minorHAnsi"/>
          <w:snapToGrid w:val="0"/>
        </w:rPr>
        <w:t xml:space="preserve"> the </w:t>
      </w:r>
      <w:r w:rsidR="00F549B9" w:rsidRPr="00F55938">
        <w:rPr>
          <w:rFonts w:asciiTheme="minorHAnsi" w:hAnsiTheme="minorHAnsi"/>
          <w:snapToGrid w:val="0"/>
        </w:rPr>
        <w:t xml:space="preserve">lack of </w:t>
      </w:r>
      <w:r w:rsidR="00D95853">
        <w:rPr>
          <w:rFonts w:asciiTheme="minorHAnsi" w:hAnsiTheme="minorHAnsi"/>
          <w:snapToGrid w:val="0"/>
        </w:rPr>
        <w:t xml:space="preserve">trial </w:t>
      </w:r>
      <w:r w:rsidR="00F549B9" w:rsidRPr="00F55938">
        <w:rPr>
          <w:rFonts w:asciiTheme="minorHAnsi" w:hAnsiTheme="minorHAnsi"/>
          <w:snapToGrid w:val="0"/>
        </w:rPr>
        <w:t xml:space="preserve">data beyond 34 weeks; however acknowledged </w:t>
      </w:r>
      <w:r w:rsidR="00A74EE4" w:rsidRPr="00F55938">
        <w:rPr>
          <w:rFonts w:asciiTheme="minorHAnsi" w:hAnsiTheme="minorHAnsi"/>
          <w:snapToGrid w:val="0"/>
        </w:rPr>
        <w:t xml:space="preserve">that given the nature of chronic pouchitis, a 10 year time horizon may be reasonable for an economic model for this condition if longer-term data were available.  </w:t>
      </w:r>
    </w:p>
    <w:p w14:paraId="0133AE98" w14:textId="1184BE1F" w:rsidR="00DE3705" w:rsidRPr="00F55938" w:rsidRDefault="00385189" w:rsidP="00385189">
      <w:pPr>
        <w:numPr>
          <w:ilvl w:val="1"/>
          <w:numId w:val="1"/>
        </w:numPr>
        <w:spacing w:after="120"/>
        <w:rPr>
          <w:rFonts w:asciiTheme="minorHAnsi" w:hAnsiTheme="minorHAnsi"/>
          <w:snapToGrid w:val="0"/>
        </w:rPr>
      </w:pPr>
      <w:bookmarkStart w:id="84" w:name="_Ref169617810"/>
      <w:r w:rsidRPr="00F55938">
        <w:rPr>
          <w:rFonts w:asciiTheme="minorHAnsi" w:hAnsiTheme="minorHAnsi"/>
          <w:snapToGrid w:val="0"/>
        </w:rPr>
        <w:t xml:space="preserve">The trial results observed from Week 14 to 34 were assumed to </w:t>
      </w:r>
      <w:r w:rsidR="002D1A94" w:rsidRPr="00F55938">
        <w:rPr>
          <w:rFonts w:asciiTheme="minorHAnsi" w:hAnsiTheme="minorHAnsi"/>
          <w:snapToGrid w:val="0"/>
        </w:rPr>
        <w:t xml:space="preserve">continue </w:t>
      </w:r>
      <w:r w:rsidRPr="00F55938">
        <w:rPr>
          <w:rFonts w:asciiTheme="minorHAnsi" w:hAnsiTheme="minorHAnsi"/>
          <w:snapToGrid w:val="0"/>
        </w:rPr>
        <w:t>repeated</w:t>
      </w:r>
      <w:r w:rsidR="002D1A94" w:rsidRPr="00F55938">
        <w:rPr>
          <w:rFonts w:asciiTheme="minorHAnsi" w:hAnsiTheme="minorHAnsi"/>
          <w:snapToGrid w:val="0"/>
        </w:rPr>
        <w:t>ly</w:t>
      </w:r>
      <w:r w:rsidR="002B5F73" w:rsidRPr="00F55938">
        <w:rPr>
          <w:rFonts w:asciiTheme="minorHAnsi" w:hAnsiTheme="minorHAnsi"/>
          <w:snapToGrid w:val="0"/>
        </w:rPr>
        <w:t>, each model cycle,</w:t>
      </w:r>
      <w:r w:rsidRPr="00F55938">
        <w:rPr>
          <w:rFonts w:asciiTheme="minorHAnsi" w:hAnsiTheme="minorHAnsi"/>
          <w:snapToGrid w:val="0"/>
        </w:rPr>
        <w:t xml:space="preserve"> throughout the </w:t>
      </w:r>
      <w:r w:rsidR="002D1A94" w:rsidRPr="00F55938">
        <w:rPr>
          <w:rFonts w:asciiTheme="minorHAnsi" w:hAnsiTheme="minorHAnsi"/>
          <w:snapToGrid w:val="0"/>
        </w:rPr>
        <w:t xml:space="preserve">10.4 year </w:t>
      </w:r>
      <w:r w:rsidRPr="00F55938">
        <w:rPr>
          <w:rFonts w:asciiTheme="minorHAnsi" w:hAnsiTheme="minorHAnsi"/>
          <w:snapToGrid w:val="0"/>
        </w:rPr>
        <w:t>time horizon</w:t>
      </w:r>
      <w:r w:rsidR="00DE3705" w:rsidRPr="00F55938">
        <w:rPr>
          <w:rFonts w:asciiTheme="minorHAnsi" w:hAnsiTheme="minorHAnsi"/>
          <w:snapToGrid w:val="0"/>
        </w:rPr>
        <w:t xml:space="preserve">. For example, in the trial, 14 of the 16 (87.5%) patients </w:t>
      </w:r>
      <w:r w:rsidR="002B5F73" w:rsidRPr="00F55938">
        <w:rPr>
          <w:rFonts w:asciiTheme="minorHAnsi" w:hAnsiTheme="minorHAnsi"/>
          <w:snapToGrid w:val="0"/>
        </w:rPr>
        <w:t xml:space="preserve">in the vedolizumab arm </w:t>
      </w:r>
      <w:r w:rsidR="00DE3705" w:rsidRPr="00F55938">
        <w:rPr>
          <w:rFonts w:asciiTheme="minorHAnsi" w:hAnsiTheme="minorHAnsi"/>
          <w:snapToGrid w:val="0"/>
        </w:rPr>
        <w:t>who were</w:t>
      </w:r>
      <w:r w:rsidR="003706AE" w:rsidRPr="00F55938">
        <w:rPr>
          <w:rFonts w:asciiTheme="minorHAnsi" w:hAnsiTheme="minorHAnsi"/>
          <w:snapToGrid w:val="0"/>
        </w:rPr>
        <w:t xml:space="preserve"> in </w:t>
      </w:r>
      <w:r w:rsidR="00DE3705" w:rsidRPr="00F55938">
        <w:rPr>
          <w:rFonts w:asciiTheme="minorHAnsi" w:hAnsiTheme="minorHAnsi"/>
          <w:snapToGrid w:val="0"/>
        </w:rPr>
        <w:t>remission at Week 14 remained in remission at Week 34. Thus, this proportion (converted to a transition probability</w:t>
      </w:r>
      <w:r w:rsidR="002B5F73" w:rsidRPr="00F55938">
        <w:t xml:space="preserve"> and to </w:t>
      </w:r>
      <w:r w:rsidR="002B5F73" w:rsidRPr="00F55938">
        <w:rPr>
          <w:rFonts w:asciiTheme="minorHAnsi" w:hAnsiTheme="minorHAnsi"/>
          <w:snapToGrid w:val="0"/>
        </w:rPr>
        <w:t>reflect the 24</w:t>
      </w:r>
      <w:r w:rsidR="00950EC9" w:rsidRPr="00F55938">
        <w:rPr>
          <w:rFonts w:asciiTheme="minorHAnsi" w:hAnsiTheme="minorHAnsi"/>
          <w:snapToGrid w:val="0"/>
        </w:rPr>
        <w:t>-</w:t>
      </w:r>
      <w:r w:rsidR="002B5F73" w:rsidRPr="00F55938">
        <w:rPr>
          <w:rFonts w:asciiTheme="minorHAnsi" w:hAnsiTheme="minorHAnsi"/>
          <w:snapToGrid w:val="0"/>
        </w:rPr>
        <w:t>week cycle length</w:t>
      </w:r>
      <w:r w:rsidR="00DE3705" w:rsidRPr="00F55938">
        <w:rPr>
          <w:rFonts w:asciiTheme="minorHAnsi" w:hAnsiTheme="minorHAnsi"/>
          <w:snapToGrid w:val="0"/>
        </w:rPr>
        <w:t xml:space="preserve">) was applied to </w:t>
      </w:r>
      <w:r w:rsidR="002B5F73" w:rsidRPr="00F55938">
        <w:rPr>
          <w:rFonts w:asciiTheme="minorHAnsi" w:hAnsiTheme="minorHAnsi"/>
          <w:snapToGrid w:val="0"/>
        </w:rPr>
        <w:t>VEDO+SOC</w:t>
      </w:r>
      <w:r w:rsidR="00DE3705" w:rsidRPr="00F55938">
        <w:rPr>
          <w:rFonts w:asciiTheme="minorHAnsi" w:hAnsiTheme="minorHAnsi"/>
          <w:snapToGrid w:val="0"/>
        </w:rPr>
        <w:t xml:space="preserve"> patients in remission every model cycle for the remaind</w:t>
      </w:r>
      <w:r w:rsidR="00950EC9" w:rsidRPr="00F55938">
        <w:rPr>
          <w:rFonts w:asciiTheme="minorHAnsi" w:hAnsiTheme="minorHAnsi"/>
          <w:snapToGrid w:val="0"/>
        </w:rPr>
        <w:t>er</w:t>
      </w:r>
      <w:r w:rsidR="00DE3705" w:rsidRPr="00F55938">
        <w:rPr>
          <w:rFonts w:asciiTheme="minorHAnsi" w:hAnsiTheme="minorHAnsi"/>
          <w:snapToGrid w:val="0"/>
        </w:rPr>
        <w:t xml:space="preserve"> of the model time horizon. Similarly, in the </w:t>
      </w:r>
      <w:r w:rsidR="002B5F73" w:rsidRPr="00F55938">
        <w:rPr>
          <w:rFonts w:asciiTheme="minorHAnsi" w:hAnsiTheme="minorHAnsi"/>
          <w:snapToGrid w:val="0"/>
        </w:rPr>
        <w:t xml:space="preserve">placebo </w:t>
      </w:r>
      <w:r w:rsidR="00DE3705" w:rsidRPr="00F55938">
        <w:rPr>
          <w:rFonts w:asciiTheme="minorHAnsi" w:hAnsiTheme="minorHAnsi"/>
          <w:snapToGrid w:val="0"/>
        </w:rPr>
        <w:t xml:space="preserve">arm </w:t>
      </w:r>
      <w:r w:rsidR="002B5F73" w:rsidRPr="00F55938">
        <w:rPr>
          <w:rFonts w:asciiTheme="minorHAnsi" w:hAnsiTheme="minorHAnsi"/>
          <w:snapToGrid w:val="0"/>
        </w:rPr>
        <w:t>of the trial, 3 of the 5 (60%) patients who were in remission at Week 14 remained in remission at Week 34. Thus, this proportion (converted</w:t>
      </w:r>
      <w:r w:rsidR="003706AE" w:rsidRPr="00F55938">
        <w:rPr>
          <w:rFonts w:asciiTheme="minorHAnsi" w:hAnsiTheme="minorHAnsi"/>
          <w:snapToGrid w:val="0"/>
        </w:rPr>
        <w:t xml:space="preserve"> to </w:t>
      </w:r>
      <w:r w:rsidR="002B5F73" w:rsidRPr="00F55938">
        <w:rPr>
          <w:rFonts w:asciiTheme="minorHAnsi" w:hAnsiTheme="minorHAnsi"/>
          <w:snapToGrid w:val="0"/>
        </w:rPr>
        <w:t>a transition probability) was applied to SOC patients in remission every model cycle for the remaind</w:t>
      </w:r>
      <w:r w:rsidR="004E6599" w:rsidRPr="00F55938">
        <w:rPr>
          <w:rFonts w:asciiTheme="minorHAnsi" w:hAnsiTheme="minorHAnsi"/>
          <w:snapToGrid w:val="0"/>
        </w:rPr>
        <w:t>er</w:t>
      </w:r>
      <w:r w:rsidR="002B5F73" w:rsidRPr="00F55938">
        <w:rPr>
          <w:rFonts w:asciiTheme="minorHAnsi" w:hAnsiTheme="minorHAnsi"/>
          <w:snapToGrid w:val="0"/>
        </w:rPr>
        <w:t xml:space="preserve"> of the model time horizon. </w:t>
      </w:r>
      <w:r w:rsidR="000C051C" w:rsidRPr="00F55938">
        <w:rPr>
          <w:rFonts w:asciiTheme="minorHAnsi" w:hAnsiTheme="minorHAnsi"/>
          <w:snapToGrid w:val="0"/>
        </w:rPr>
        <w:t>This transition probability</w:t>
      </w:r>
      <w:r w:rsidR="002B5F73" w:rsidRPr="00F55938">
        <w:rPr>
          <w:rFonts w:asciiTheme="minorHAnsi" w:hAnsiTheme="minorHAnsi"/>
          <w:snapToGrid w:val="0"/>
        </w:rPr>
        <w:t xml:space="preserve"> was also applied to the patients in the VEDO+SOC group who had been assumed to cease vedolizumab due to loss of mPDAI-remission</w:t>
      </w:r>
      <w:r w:rsidRPr="00F55938">
        <w:rPr>
          <w:rFonts w:asciiTheme="minorHAnsi" w:hAnsiTheme="minorHAnsi"/>
          <w:snapToGrid w:val="0"/>
        </w:rPr>
        <w:t>.</w:t>
      </w:r>
      <w:bookmarkEnd w:id="84"/>
      <w:r w:rsidRPr="00F55938">
        <w:rPr>
          <w:rFonts w:asciiTheme="minorHAnsi" w:hAnsiTheme="minorHAnsi"/>
          <w:snapToGrid w:val="0"/>
        </w:rPr>
        <w:t xml:space="preserve"> </w:t>
      </w:r>
    </w:p>
    <w:p w14:paraId="0BF6A637" w14:textId="44DC7A77" w:rsidR="00385189" w:rsidRPr="00F55938" w:rsidRDefault="002B5F73" w:rsidP="006F188D">
      <w:pPr>
        <w:numPr>
          <w:ilvl w:val="1"/>
          <w:numId w:val="1"/>
        </w:numPr>
        <w:spacing w:after="120"/>
        <w:rPr>
          <w:rFonts w:asciiTheme="minorHAnsi" w:hAnsiTheme="minorHAnsi"/>
          <w:snapToGrid w:val="0"/>
        </w:rPr>
      </w:pPr>
      <w:r w:rsidRPr="00F55938">
        <w:rPr>
          <w:rFonts w:asciiTheme="minorHAnsi" w:hAnsiTheme="minorHAnsi"/>
          <w:snapToGrid w:val="0"/>
        </w:rPr>
        <w:t>The PSCR argued that in the absence of longer</w:t>
      </w:r>
      <w:r w:rsidR="003D0321" w:rsidRPr="00F55938">
        <w:rPr>
          <w:rFonts w:asciiTheme="minorHAnsi" w:hAnsiTheme="minorHAnsi"/>
          <w:snapToGrid w:val="0"/>
        </w:rPr>
        <w:t>-</w:t>
      </w:r>
      <w:r w:rsidRPr="00F55938">
        <w:rPr>
          <w:rFonts w:asciiTheme="minorHAnsi" w:hAnsiTheme="minorHAnsi"/>
          <w:snapToGrid w:val="0"/>
        </w:rPr>
        <w:t>term data, this was the only evidence-based approach to the extrapolation, and the issues identified reflect</w:t>
      </w:r>
      <w:r w:rsidR="00D95853">
        <w:rPr>
          <w:rFonts w:asciiTheme="minorHAnsi" w:hAnsiTheme="minorHAnsi"/>
          <w:snapToGrid w:val="0"/>
        </w:rPr>
        <w:t>ed</w:t>
      </w:r>
      <w:r w:rsidRPr="00F55938">
        <w:rPr>
          <w:rFonts w:asciiTheme="minorHAnsi" w:hAnsiTheme="minorHAnsi"/>
          <w:snapToGrid w:val="0"/>
        </w:rPr>
        <w:t xml:space="preserve"> the clinical data limitations, rather than methodological issues with the model. The </w:t>
      </w:r>
      <w:r w:rsidR="00D95853">
        <w:rPr>
          <w:rFonts w:asciiTheme="minorHAnsi" w:hAnsiTheme="minorHAnsi"/>
          <w:snapToGrid w:val="0"/>
        </w:rPr>
        <w:t>PSCR</w:t>
      </w:r>
      <w:r w:rsidR="00D95853" w:rsidRPr="00F55938">
        <w:rPr>
          <w:rFonts w:asciiTheme="minorHAnsi" w:hAnsiTheme="minorHAnsi"/>
          <w:snapToGrid w:val="0"/>
        </w:rPr>
        <w:t xml:space="preserve"> </w:t>
      </w:r>
      <w:r w:rsidR="00A00A52" w:rsidRPr="00F55938">
        <w:rPr>
          <w:rFonts w:asciiTheme="minorHAnsi" w:hAnsiTheme="minorHAnsi"/>
          <w:snapToGrid w:val="0"/>
        </w:rPr>
        <w:t>re-</w:t>
      </w:r>
      <w:r w:rsidR="003D0321" w:rsidRPr="00F55938">
        <w:rPr>
          <w:rFonts w:asciiTheme="minorHAnsi" w:hAnsiTheme="minorHAnsi"/>
          <w:snapToGrid w:val="0"/>
        </w:rPr>
        <w:t>presented</w:t>
      </w:r>
      <w:r w:rsidRPr="00F55938">
        <w:rPr>
          <w:rFonts w:asciiTheme="minorHAnsi" w:hAnsiTheme="minorHAnsi"/>
          <w:snapToGrid w:val="0"/>
        </w:rPr>
        <w:t xml:space="preserve"> sensitivity analyses</w:t>
      </w:r>
      <w:r w:rsidR="003D0321" w:rsidRPr="00F55938">
        <w:rPr>
          <w:rFonts w:asciiTheme="minorHAnsi" w:hAnsiTheme="minorHAnsi"/>
          <w:snapToGrid w:val="0"/>
        </w:rPr>
        <w:t xml:space="preserve"> </w:t>
      </w:r>
      <w:r w:rsidR="00A00A52" w:rsidRPr="00F55938">
        <w:rPr>
          <w:rFonts w:asciiTheme="minorHAnsi" w:hAnsiTheme="minorHAnsi"/>
          <w:snapToGrid w:val="0"/>
        </w:rPr>
        <w:t>in which</w:t>
      </w:r>
      <w:r w:rsidRPr="00F55938">
        <w:rPr>
          <w:rFonts w:asciiTheme="minorHAnsi" w:hAnsiTheme="minorHAnsi"/>
          <w:snapToGrid w:val="0"/>
        </w:rPr>
        <w:t xml:space="preserve"> </w:t>
      </w:r>
      <w:r w:rsidR="003D0321" w:rsidRPr="00F55938">
        <w:rPr>
          <w:rFonts w:asciiTheme="minorHAnsi" w:hAnsiTheme="minorHAnsi"/>
          <w:snapToGrid w:val="0"/>
        </w:rPr>
        <w:t xml:space="preserve">alternative extrapolation </w:t>
      </w:r>
      <w:r w:rsidR="00A00A52" w:rsidRPr="00F55938">
        <w:rPr>
          <w:rFonts w:asciiTheme="minorHAnsi" w:hAnsiTheme="minorHAnsi"/>
          <w:snapToGrid w:val="0"/>
        </w:rPr>
        <w:t>assumptions were applied with</w:t>
      </w:r>
      <w:r w:rsidR="003D0321" w:rsidRPr="00F55938">
        <w:rPr>
          <w:rFonts w:asciiTheme="minorHAnsi" w:hAnsiTheme="minorHAnsi"/>
          <w:snapToGrid w:val="0"/>
        </w:rPr>
        <w:t xml:space="preserve"> </w:t>
      </w:r>
      <w:r w:rsidR="00A00A52" w:rsidRPr="00F55938">
        <w:rPr>
          <w:rFonts w:asciiTheme="minorHAnsi" w:hAnsiTheme="minorHAnsi"/>
          <w:snapToGrid w:val="0"/>
        </w:rPr>
        <w:t xml:space="preserve">a constant proportion </w:t>
      </w:r>
      <w:r w:rsidR="003D0321" w:rsidRPr="00F55938">
        <w:rPr>
          <w:rFonts w:asciiTheme="minorHAnsi" w:hAnsiTheme="minorHAnsi"/>
          <w:snapToGrid w:val="0"/>
        </w:rPr>
        <w:t xml:space="preserve">of patients </w:t>
      </w:r>
      <w:r w:rsidR="00A00A52" w:rsidRPr="00F55938">
        <w:rPr>
          <w:rFonts w:asciiTheme="minorHAnsi" w:hAnsiTheme="minorHAnsi"/>
          <w:snapToGrid w:val="0"/>
        </w:rPr>
        <w:t>assumed to</w:t>
      </w:r>
      <w:r w:rsidR="003D0321" w:rsidRPr="00F55938">
        <w:rPr>
          <w:rFonts w:asciiTheme="minorHAnsi" w:hAnsiTheme="minorHAnsi"/>
          <w:snapToGrid w:val="0"/>
        </w:rPr>
        <w:t xml:space="preserve"> lose remission per cycle (</w:t>
      </w:r>
      <w:r w:rsidR="00A00A52" w:rsidRPr="00F55938">
        <w:rPr>
          <w:rFonts w:asciiTheme="minorHAnsi" w:hAnsiTheme="minorHAnsi"/>
          <w:snapToGrid w:val="0"/>
        </w:rPr>
        <w:t xml:space="preserve">proportions of 2.5%, 5% or 10% </w:t>
      </w:r>
      <w:r w:rsidR="004E6599" w:rsidRPr="00F55938">
        <w:rPr>
          <w:rFonts w:asciiTheme="minorHAnsi" w:hAnsiTheme="minorHAnsi"/>
          <w:snapToGrid w:val="0"/>
        </w:rPr>
        <w:t xml:space="preserve">were applied, </w:t>
      </w:r>
      <w:r w:rsidR="00427712" w:rsidRPr="00F55938">
        <w:rPr>
          <w:rFonts w:asciiTheme="minorHAnsi" w:hAnsiTheme="minorHAnsi"/>
          <w:snapToGrid w:val="0"/>
        </w:rPr>
        <w:t xml:space="preserve">although </w:t>
      </w:r>
      <w:r w:rsidR="003D0321" w:rsidRPr="00F55938">
        <w:rPr>
          <w:rFonts w:asciiTheme="minorHAnsi" w:hAnsiTheme="minorHAnsi"/>
          <w:snapToGrid w:val="0"/>
        </w:rPr>
        <w:t xml:space="preserve">no justification for these </w:t>
      </w:r>
      <w:r w:rsidR="003D0321" w:rsidRPr="00F55938">
        <w:rPr>
          <w:rFonts w:asciiTheme="minorHAnsi" w:hAnsiTheme="minorHAnsi"/>
          <w:snapToGrid w:val="0"/>
        </w:rPr>
        <w:lastRenderedPageBreak/>
        <w:t>percentages was provided)</w:t>
      </w:r>
      <w:r w:rsidR="00A00A52" w:rsidRPr="00F55938">
        <w:rPr>
          <w:rFonts w:asciiTheme="minorHAnsi" w:hAnsiTheme="minorHAnsi"/>
          <w:snapToGrid w:val="0"/>
        </w:rPr>
        <w:t xml:space="preserve">, as outlined in </w:t>
      </w:r>
      <w:r w:rsidR="00A00A52" w:rsidRPr="00F55938">
        <w:rPr>
          <w:rFonts w:asciiTheme="minorHAnsi" w:hAnsiTheme="minorHAnsi"/>
          <w:snapToGrid w:val="0"/>
        </w:rPr>
        <w:fldChar w:fldCharType="begin" w:fldLock="1"/>
      </w:r>
      <w:r w:rsidR="00A00A52" w:rsidRPr="00F55938">
        <w:rPr>
          <w:rFonts w:asciiTheme="minorHAnsi" w:hAnsiTheme="minorHAnsi"/>
          <w:snapToGrid w:val="0"/>
        </w:rPr>
        <w:instrText xml:space="preserve"> REF _Ref104804865 \h  \* MERGEFORMAT </w:instrText>
      </w:r>
      <w:r w:rsidR="00A00A52" w:rsidRPr="00F55938">
        <w:rPr>
          <w:rFonts w:asciiTheme="minorHAnsi" w:hAnsiTheme="minorHAnsi"/>
          <w:snapToGrid w:val="0"/>
        </w:rPr>
      </w:r>
      <w:r w:rsidR="00A00A52" w:rsidRPr="00F55938">
        <w:rPr>
          <w:rFonts w:asciiTheme="minorHAnsi" w:hAnsiTheme="minorHAnsi"/>
          <w:snapToGrid w:val="0"/>
        </w:rPr>
        <w:fldChar w:fldCharType="separate"/>
      </w:r>
      <w:r w:rsidR="00DC7CC4" w:rsidRPr="00DC7CC4">
        <w:rPr>
          <w:rFonts w:asciiTheme="minorHAnsi" w:hAnsiTheme="minorHAnsi"/>
          <w:snapToGrid w:val="0"/>
        </w:rPr>
        <w:t>Table 12</w:t>
      </w:r>
      <w:r w:rsidR="00A00A52" w:rsidRPr="00F55938">
        <w:rPr>
          <w:rFonts w:asciiTheme="minorHAnsi" w:hAnsiTheme="minorHAnsi"/>
          <w:snapToGrid w:val="0"/>
        </w:rPr>
        <w:fldChar w:fldCharType="end"/>
      </w:r>
      <w:r w:rsidR="003D0321" w:rsidRPr="00F55938">
        <w:rPr>
          <w:rFonts w:asciiTheme="minorHAnsi" w:hAnsiTheme="minorHAnsi"/>
          <w:snapToGrid w:val="0"/>
        </w:rPr>
        <w:t>. The PSCR argued that the</w:t>
      </w:r>
      <w:r w:rsidRPr="00F55938">
        <w:rPr>
          <w:rFonts w:asciiTheme="minorHAnsi" w:hAnsiTheme="minorHAnsi"/>
          <w:snapToGrid w:val="0"/>
        </w:rPr>
        <w:t xml:space="preserve"> ICER did not increase beyond $</w:t>
      </w:r>
      <w:r w:rsidR="001C66E4" w:rsidRPr="001C66E4">
        <w:rPr>
          <w:rFonts w:asciiTheme="minorHAnsi" w:hAnsiTheme="minorHAnsi"/>
          <w:snapToGrid w:val="0"/>
        </w:rPr>
        <w:t>45,000 to &lt; $55,000</w:t>
      </w:r>
      <w:r w:rsidRPr="00F55938">
        <w:rPr>
          <w:rFonts w:asciiTheme="minorHAnsi" w:hAnsiTheme="minorHAnsi"/>
          <w:snapToGrid w:val="0"/>
        </w:rPr>
        <w:t xml:space="preserve"> per QALY for the alternative scenarios presented. </w:t>
      </w:r>
      <w:r w:rsidR="003D0321" w:rsidRPr="00F55938">
        <w:rPr>
          <w:rFonts w:asciiTheme="minorHAnsi" w:hAnsiTheme="minorHAnsi"/>
          <w:snapToGrid w:val="0"/>
        </w:rPr>
        <w:t>However, t</w:t>
      </w:r>
      <w:r w:rsidR="002D1A94" w:rsidRPr="00F55938">
        <w:rPr>
          <w:rFonts w:asciiTheme="minorHAnsi" w:hAnsiTheme="minorHAnsi"/>
          <w:snapToGrid w:val="0"/>
        </w:rPr>
        <w:t xml:space="preserve">he ESC considered the </w:t>
      </w:r>
      <w:r w:rsidR="00FA4963" w:rsidRPr="00F55938">
        <w:rPr>
          <w:rFonts w:asciiTheme="minorHAnsi" w:hAnsiTheme="minorHAnsi"/>
          <w:snapToGrid w:val="0"/>
        </w:rPr>
        <w:t xml:space="preserve">sensitivity analyses applied in the PSCR were blunt (e.g. </w:t>
      </w:r>
      <w:r w:rsidR="000C051C" w:rsidRPr="00F55938">
        <w:rPr>
          <w:rFonts w:asciiTheme="minorHAnsi" w:hAnsiTheme="minorHAnsi"/>
          <w:snapToGrid w:val="0"/>
        </w:rPr>
        <w:t>constant proportions continued to be applied each cycle</w:t>
      </w:r>
      <w:r w:rsidR="00FA4963" w:rsidRPr="00F55938">
        <w:rPr>
          <w:rFonts w:asciiTheme="minorHAnsi" w:hAnsiTheme="minorHAnsi"/>
          <w:snapToGrid w:val="0"/>
        </w:rPr>
        <w:t>)</w:t>
      </w:r>
      <w:r w:rsidR="000C051C" w:rsidRPr="00F55938">
        <w:rPr>
          <w:rFonts w:asciiTheme="minorHAnsi" w:hAnsiTheme="minorHAnsi"/>
          <w:snapToGrid w:val="0"/>
        </w:rPr>
        <w:t xml:space="preserve">. Overall, the ESC considered </w:t>
      </w:r>
      <w:r w:rsidR="00FA4963" w:rsidRPr="00F55938">
        <w:rPr>
          <w:rFonts w:asciiTheme="minorHAnsi" w:hAnsiTheme="minorHAnsi"/>
          <w:snapToGrid w:val="0"/>
        </w:rPr>
        <w:t xml:space="preserve">the </w:t>
      </w:r>
      <w:r w:rsidR="002D1A94" w:rsidRPr="00F55938">
        <w:rPr>
          <w:rFonts w:asciiTheme="minorHAnsi" w:hAnsiTheme="minorHAnsi"/>
          <w:snapToGrid w:val="0"/>
        </w:rPr>
        <w:t xml:space="preserve">assumption that the </w:t>
      </w:r>
      <w:r w:rsidRPr="00F55938">
        <w:rPr>
          <w:rFonts w:asciiTheme="minorHAnsi" w:hAnsiTheme="minorHAnsi"/>
          <w:snapToGrid w:val="0"/>
        </w:rPr>
        <w:t>34</w:t>
      </w:r>
      <w:r w:rsidR="00145EE1" w:rsidRPr="00F55938">
        <w:rPr>
          <w:rFonts w:asciiTheme="minorHAnsi" w:hAnsiTheme="minorHAnsi"/>
          <w:snapToGrid w:val="0"/>
        </w:rPr>
        <w:t>-</w:t>
      </w:r>
      <w:r w:rsidRPr="00F55938">
        <w:rPr>
          <w:rFonts w:asciiTheme="minorHAnsi" w:hAnsiTheme="minorHAnsi"/>
          <w:snapToGrid w:val="0"/>
        </w:rPr>
        <w:t xml:space="preserve">week trial </w:t>
      </w:r>
      <w:r w:rsidR="002D1A94" w:rsidRPr="00F55938">
        <w:rPr>
          <w:rFonts w:asciiTheme="minorHAnsi" w:hAnsiTheme="minorHAnsi"/>
          <w:snapToGrid w:val="0"/>
        </w:rPr>
        <w:t xml:space="preserve">results </w:t>
      </w:r>
      <w:r w:rsidRPr="00F55938">
        <w:rPr>
          <w:rFonts w:asciiTheme="minorHAnsi" w:hAnsiTheme="minorHAnsi"/>
          <w:snapToGrid w:val="0"/>
        </w:rPr>
        <w:t>would</w:t>
      </w:r>
      <w:r w:rsidR="002D1A94" w:rsidRPr="00F55938">
        <w:rPr>
          <w:rFonts w:asciiTheme="minorHAnsi" w:hAnsiTheme="minorHAnsi"/>
          <w:snapToGrid w:val="0"/>
        </w:rPr>
        <w:t xml:space="preserve"> be constant over 10 years</w:t>
      </w:r>
      <w:r w:rsidR="003D0321" w:rsidRPr="00F55938">
        <w:rPr>
          <w:rFonts w:asciiTheme="minorHAnsi" w:hAnsiTheme="minorHAnsi"/>
          <w:snapToGrid w:val="0"/>
        </w:rPr>
        <w:t xml:space="preserve"> </w:t>
      </w:r>
      <w:r w:rsidR="002D1A94" w:rsidRPr="00F55938">
        <w:rPr>
          <w:rFonts w:asciiTheme="minorHAnsi" w:hAnsiTheme="minorHAnsi"/>
          <w:snapToGrid w:val="0"/>
        </w:rPr>
        <w:t xml:space="preserve">was highly optimistic.  </w:t>
      </w:r>
    </w:p>
    <w:p w14:paraId="2E2010FF" w14:textId="6B77E6C8" w:rsidR="003D0321" w:rsidRPr="00F55938" w:rsidRDefault="003D0321" w:rsidP="006F188D">
      <w:pPr>
        <w:numPr>
          <w:ilvl w:val="1"/>
          <w:numId w:val="1"/>
        </w:numPr>
        <w:spacing w:after="120"/>
        <w:rPr>
          <w:rFonts w:asciiTheme="minorHAnsi" w:hAnsiTheme="minorHAnsi"/>
          <w:snapToGrid w:val="0"/>
        </w:rPr>
      </w:pPr>
      <w:r w:rsidRPr="00F55938">
        <w:rPr>
          <w:rFonts w:asciiTheme="minorHAnsi" w:hAnsiTheme="minorHAnsi"/>
          <w:snapToGrid w:val="0"/>
        </w:rPr>
        <w:t xml:space="preserve">Further, </w:t>
      </w:r>
      <w:r w:rsidR="004E6599" w:rsidRPr="00F55938">
        <w:rPr>
          <w:rFonts w:asciiTheme="minorHAnsi" w:hAnsiTheme="minorHAnsi"/>
          <w:snapToGrid w:val="0"/>
        </w:rPr>
        <w:t xml:space="preserve">the ESC noted that </w:t>
      </w:r>
      <w:r w:rsidR="00145EE1" w:rsidRPr="00F55938">
        <w:rPr>
          <w:rFonts w:asciiTheme="minorHAnsi" w:hAnsiTheme="minorHAnsi"/>
          <w:snapToGrid w:val="0"/>
        </w:rPr>
        <w:t xml:space="preserve">some of </w:t>
      </w:r>
      <w:r w:rsidRPr="00F55938">
        <w:rPr>
          <w:rFonts w:asciiTheme="minorHAnsi" w:hAnsiTheme="minorHAnsi"/>
          <w:snapToGrid w:val="0"/>
        </w:rPr>
        <w:t>the transition probabilities applied in the model rel</w:t>
      </w:r>
      <w:r w:rsidR="002B6483" w:rsidRPr="00F55938">
        <w:rPr>
          <w:rFonts w:asciiTheme="minorHAnsi" w:hAnsiTheme="minorHAnsi"/>
          <w:snapToGrid w:val="0"/>
        </w:rPr>
        <w:t>ied</w:t>
      </w:r>
      <w:r w:rsidRPr="00F55938">
        <w:rPr>
          <w:rFonts w:asciiTheme="minorHAnsi" w:hAnsiTheme="minorHAnsi"/>
          <w:snapToGrid w:val="0"/>
        </w:rPr>
        <w:t xml:space="preserve"> heavily on </w:t>
      </w:r>
      <w:r w:rsidR="00145EE1" w:rsidRPr="00F55938">
        <w:rPr>
          <w:rFonts w:asciiTheme="minorHAnsi" w:hAnsiTheme="minorHAnsi"/>
          <w:snapToGrid w:val="0"/>
        </w:rPr>
        <w:t>outcomes from</w:t>
      </w:r>
      <w:r w:rsidRPr="00F55938">
        <w:rPr>
          <w:rFonts w:asciiTheme="minorHAnsi" w:hAnsiTheme="minorHAnsi"/>
          <w:snapToGrid w:val="0"/>
        </w:rPr>
        <w:t xml:space="preserve"> a</w:t>
      </w:r>
      <w:r w:rsidR="00E53DAB" w:rsidRPr="00F55938">
        <w:rPr>
          <w:rFonts w:asciiTheme="minorHAnsi" w:hAnsiTheme="minorHAnsi"/>
          <w:snapToGrid w:val="0"/>
        </w:rPr>
        <w:t xml:space="preserve"> very</w:t>
      </w:r>
      <w:r w:rsidRPr="00F55938">
        <w:rPr>
          <w:rFonts w:asciiTheme="minorHAnsi" w:hAnsiTheme="minorHAnsi"/>
          <w:snapToGrid w:val="0"/>
        </w:rPr>
        <w:t xml:space="preserve"> small number of patients in the trial </w:t>
      </w:r>
      <w:r w:rsidR="00E53DAB" w:rsidRPr="00F55938">
        <w:rPr>
          <w:rFonts w:asciiTheme="minorHAnsi" w:hAnsiTheme="minorHAnsi"/>
          <w:snapToGrid w:val="0"/>
        </w:rPr>
        <w:t xml:space="preserve">(as outlined in paragraph </w:t>
      </w:r>
      <w:r w:rsidR="00E53DAB" w:rsidRPr="00F55938">
        <w:rPr>
          <w:rFonts w:asciiTheme="minorHAnsi" w:hAnsiTheme="minorHAnsi"/>
          <w:snapToGrid w:val="0"/>
        </w:rPr>
        <w:fldChar w:fldCharType="begin" w:fldLock="1"/>
      </w:r>
      <w:r w:rsidR="00E53DAB" w:rsidRPr="00F55938">
        <w:rPr>
          <w:rFonts w:asciiTheme="minorHAnsi" w:hAnsiTheme="minorHAnsi"/>
          <w:snapToGrid w:val="0"/>
        </w:rPr>
        <w:instrText xml:space="preserve"> REF _Ref169617810 \r \h </w:instrText>
      </w:r>
      <w:r w:rsidR="00F55938" w:rsidRPr="00F55938">
        <w:rPr>
          <w:rFonts w:asciiTheme="minorHAnsi" w:hAnsiTheme="minorHAnsi"/>
          <w:snapToGrid w:val="0"/>
        </w:rPr>
        <w:instrText xml:space="preserve"> \* MERGEFORMAT </w:instrText>
      </w:r>
      <w:r w:rsidR="00E53DAB" w:rsidRPr="00F55938">
        <w:rPr>
          <w:rFonts w:asciiTheme="minorHAnsi" w:hAnsiTheme="minorHAnsi"/>
          <w:snapToGrid w:val="0"/>
        </w:rPr>
      </w:r>
      <w:r w:rsidR="00E53DAB" w:rsidRPr="00F55938">
        <w:rPr>
          <w:rFonts w:asciiTheme="minorHAnsi" w:hAnsiTheme="minorHAnsi"/>
          <w:snapToGrid w:val="0"/>
        </w:rPr>
        <w:fldChar w:fldCharType="separate"/>
      </w:r>
      <w:r w:rsidR="00DC7CC4">
        <w:rPr>
          <w:rFonts w:asciiTheme="minorHAnsi" w:hAnsiTheme="minorHAnsi"/>
          <w:snapToGrid w:val="0"/>
        </w:rPr>
        <w:t>6.48</w:t>
      </w:r>
      <w:r w:rsidR="00E53DAB" w:rsidRPr="00F55938">
        <w:rPr>
          <w:rFonts w:asciiTheme="minorHAnsi" w:hAnsiTheme="minorHAnsi"/>
          <w:snapToGrid w:val="0"/>
        </w:rPr>
        <w:fldChar w:fldCharType="end"/>
      </w:r>
      <w:r w:rsidR="00E53DAB" w:rsidRPr="00F55938">
        <w:rPr>
          <w:rFonts w:asciiTheme="minorHAnsi" w:hAnsiTheme="minorHAnsi"/>
          <w:snapToGrid w:val="0"/>
        </w:rPr>
        <w:t xml:space="preserve">) </w:t>
      </w:r>
      <w:r w:rsidR="00F33B5B" w:rsidRPr="00F55938">
        <w:rPr>
          <w:rFonts w:asciiTheme="minorHAnsi" w:hAnsiTheme="minorHAnsi"/>
          <w:snapToGrid w:val="0"/>
        </w:rPr>
        <w:t xml:space="preserve">plus assumptions (as outlined in paragraph </w:t>
      </w:r>
      <w:r w:rsidR="00F33B5B" w:rsidRPr="00F55938">
        <w:rPr>
          <w:rFonts w:asciiTheme="minorHAnsi" w:hAnsiTheme="minorHAnsi"/>
          <w:snapToGrid w:val="0"/>
        </w:rPr>
        <w:fldChar w:fldCharType="begin" w:fldLock="1"/>
      </w:r>
      <w:r w:rsidR="00F33B5B" w:rsidRPr="00F55938">
        <w:rPr>
          <w:rFonts w:asciiTheme="minorHAnsi" w:hAnsiTheme="minorHAnsi"/>
          <w:snapToGrid w:val="0"/>
        </w:rPr>
        <w:instrText xml:space="preserve"> REF _Ref164255604 \r \h </w:instrText>
      </w:r>
      <w:r w:rsidR="00F55938" w:rsidRPr="00F55938">
        <w:rPr>
          <w:rFonts w:asciiTheme="minorHAnsi" w:hAnsiTheme="minorHAnsi"/>
          <w:snapToGrid w:val="0"/>
        </w:rPr>
        <w:instrText xml:space="preserve"> \* MERGEFORMAT </w:instrText>
      </w:r>
      <w:r w:rsidR="00F33B5B" w:rsidRPr="00F55938">
        <w:rPr>
          <w:rFonts w:asciiTheme="minorHAnsi" w:hAnsiTheme="minorHAnsi"/>
          <w:snapToGrid w:val="0"/>
        </w:rPr>
      </w:r>
      <w:r w:rsidR="00F33B5B" w:rsidRPr="00F55938">
        <w:rPr>
          <w:rFonts w:asciiTheme="minorHAnsi" w:hAnsiTheme="minorHAnsi"/>
          <w:snapToGrid w:val="0"/>
        </w:rPr>
        <w:fldChar w:fldCharType="separate"/>
      </w:r>
      <w:r w:rsidR="00DC7CC4">
        <w:rPr>
          <w:rFonts w:asciiTheme="minorHAnsi" w:hAnsiTheme="minorHAnsi"/>
          <w:snapToGrid w:val="0"/>
        </w:rPr>
        <w:t>6.52</w:t>
      </w:r>
      <w:r w:rsidR="00F33B5B" w:rsidRPr="00F55938">
        <w:rPr>
          <w:rFonts w:asciiTheme="minorHAnsi" w:hAnsiTheme="minorHAnsi"/>
          <w:snapToGrid w:val="0"/>
        </w:rPr>
        <w:fldChar w:fldCharType="end"/>
      </w:r>
      <w:r w:rsidR="00F33B5B" w:rsidRPr="00F55938">
        <w:rPr>
          <w:rFonts w:asciiTheme="minorHAnsi" w:hAnsiTheme="minorHAnsi"/>
          <w:snapToGrid w:val="0"/>
        </w:rPr>
        <w:t xml:space="preserve">) </w:t>
      </w:r>
      <w:r w:rsidRPr="00F55938">
        <w:rPr>
          <w:rFonts w:asciiTheme="minorHAnsi" w:hAnsiTheme="minorHAnsi"/>
          <w:snapToGrid w:val="0"/>
        </w:rPr>
        <w:t>and also reflect</w:t>
      </w:r>
      <w:r w:rsidR="000C051C" w:rsidRPr="00F55938">
        <w:rPr>
          <w:rFonts w:asciiTheme="minorHAnsi" w:hAnsiTheme="minorHAnsi"/>
          <w:snapToGrid w:val="0"/>
        </w:rPr>
        <w:t>ed</w:t>
      </w:r>
      <w:r w:rsidRPr="00F55938">
        <w:rPr>
          <w:rFonts w:asciiTheme="minorHAnsi" w:hAnsiTheme="minorHAnsi"/>
          <w:snapToGrid w:val="0"/>
        </w:rPr>
        <w:t xml:space="preserve"> the limitations of the clinical data and </w:t>
      </w:r>
      <w:r w:rsidR="00E53DAB" w:rsidRPr="00F55938">
        <w:rPr>
          <w:rFonts w:asciiTheme="minorHAnsi" w:hAnsiTheme="minorHAnsi"/>
          <w:snapToGrid w:val="0"/>
        </w:rPr>
        <w:t xml:space="preserve">the </w:t>
      </w:r>
      <w:r w:rsidR="000C051C" w:rsidRPr="00F55938">
        <w:rPr>
          <w:rFonts w:asciiTheme="minorHAnsi" w:hAnsiTheme="minorHAnsi"/>
          <w:snapToGrid w:val="0"/>
        </w:rPr>
        <w:t xml:space="preserve">poorly </w:t>
      </w:r>
      <w:r w:rsidR="00424A52" w:rsidRPr="00F55938">
        <w:rPr>
          <w:rFonts w:asciiTheme="minorHAnsi" w:hAnsiTheme="minorHAnsi"/>
          <w:snapToGrid w:val="0"/>
        </w:rPr>
        <w:t xml:space="preserve">validated nature of the </w:t>
      </w:r>
      <w:r w:rsidRPr="00F55938">
        <w:rPr>
          <w:rFonts w:asciiTheme="minorHAnsi" w:hAnsiTheme="minorHAnsi"/>
          <w:snapToGrid w:val="0"/>
        </w:rPr>
        <w:t>indexes used in the trial</w:t>
      </w:r>
      <w:r w:rsidR="00277410" w:rsidRPr="00F55938">
        <w:rPr>
          <w:rFonts w:asciiTheme="minorHAnsi" w:hAnsiTheme="minorHAnsi"/>
          <w:snapToGrid w:val="0"/>
        </w:rPr>
        <w:t xml:space="preserve"> (</w:t>
      </w:r>
      <w:r w:rsidR="001C3989" w:rsidRPr="00F55938">
        <w:rPr>
          <w:rFonts w:asciiTheme="minorHAnsi" w:hAnsiTheme="minorHAnsi"/>
          <w:snapToGrid w:val="0"/>
        </w:rPr>
        <w:t>as</w:t>
      </w:r>
      <w:r w:rsidR="00277410" w:rsidRPr="00F55938">
        <w:rPr>
          <w:rFonts w:asciiTheme="minorHAnsi" w:hAnsiTheme="minorHAnsi"/>
          <w:snapToGrid w:val="0"/>
        </w:rPr>
        <w:t xml:space="preserve"> seen in the Markov traces, refer to paragraph </w:t>
      </w:r>
      <w:r w:rsidR="00277410" w:rsidRPr="00F55938">
        <w:rPr>
          <w:rFonts w:asciiTheme="minorHAnsi" w:hAnsiTheme="minorHAnsi"/>
          <w:snapToGrid w:val="0"/>
        </w:rPr>
        <w:fldChar w:fldCharType="begin" w:fldLock="1"/>
      </w:r>
      <w:r w:rsidR="00277410" w:rsidRPr="00F55938">
        <w:rPr>
          <w:rFonts w:asciiTheme="minorHAnsi" w:hAnsiTheme="minorHAnsi"/>
          <w:snapToGrid w:val="0"/>
        </w:rPr>
        <w:instrText xml:space="preserve"> REF _Ref169676724 \r \h </w:instrText>
      </w:r>
      <w:r w:rsidR="00F55938" w:rsidRPr="00F55938">
        <w:rPr>
          <w:rFonts w:asciiTheme="minorHAnsi" w:hAnsiTheme="minorHAnsi"/>
          <w:snapToGrid w:val="0"/>
        </w:rPr>
        <w:instrText xml:space="preserve"> \* MERGEFORMAT </w:instrText>
      </w:r>
      <w:r w:rsidR="00277410" w:rsidRPr="00F55938">
        <w:rPr>
          <w:rFonts w:asciiTheme="minorHAnsi" w:hAnsiTheme="minorHAnsi"/>
          <w:snapToGrid w:val="0"/>
        </w:rPr>
      </w:r>
      <w:r w:rsidR="00277410" w:rsidRPr="00F55938">
        <w:rPr>
          <w:rFonts w:asciiTheme="minorHAnsi" w:hAnsiTheme="minorHAnsi"/>
          <w:snapToGrid w:val="0"/>
        </w:rPr>
        <w:fldChar w:fldCharType="separate"/>
      </w:r>
      <w:r w:rsidR="00DC7CC4">
        <w:rPr>
          <w:rFonts w:asciiTheme="minorHAnsi" w:hAnsiTheme="minorHAnsi"/>
          <w:snapToGrid w:val="0"/>
        </w:rPr>
        <w:t>6.60</w:t>
      </w:r>
      <w:r w:rsidR="00277410" w:rsidRPr="00F55938">
        <w:rPr>
          <w:rFonts w:asciiTheme="minorHAnsi" w:hAnsiTheme="minorHAnsi"/>
          <w:snapToGrid w:val="0"/>
        </w:rPr>
        <w:fldChar w:fldCharType="end"/>
      </w:r>
      <w:r w:rsidR="00277410" w:rsidRPr="00F55938">
        <w:rPr>
          <w:rFonts w:asciiTheme="minorHAnsi" w:hAnsiTheme="minorHAnsi"/>
          <w:snapToGrid w:val="0"/>
        </w:rPr>
        <w:t xml:space="preserve"> )</w:t>
      </w:r>
      <w:r w:rsidR="002B6483" w:rsidRPr="00F55938">
        <w:rPr>
          <w:rFonts w:asciiTheme="minorHAnsi" w:hAnsiTheme="minorHAnsi"/>
          <w:snapToGrid w:val="0"/>
        </w:rPr>
        <w:t>.</w:t>
      </w:r>
    </w:p>
    <w:p w14:paraId="75AC81B7" w14:textId="5F84A3EB" w:rsidR="007F5816" w:rsidRPr="00F55938" w:rsidRDefault="00931EB3" w:rsidP="00950EC9">
      <w:pPr>
        <w:numPr>
          <w:ilvl w:val="1"/>
          <w:numId w:val="1"/>
        </w:numPr>
        <w:spacing w:after="120"/>
        <w:rPr>
          <w:rFonts w:asciiTheme="minorHAnsi" w:hAnsiTheme="minorHAnsi"/>
          <w:snapToGrid w:val="0"/>
        </w:rPr>
      </w:pPr>
      <w:bookmarkStart w:id="85" w:name="_Ref169629492"/>
      <w:r>
        <w:rPr>
          <w:rFonts w:asciiTheme="minorHAnsi" w:hAnsiTheme="minorHAnsi"/>
          <w:snapToGrid w:val="0"/>
        </w:rPr>
        <w:t>In the model,</w:t>
      </w:r>
      <w:r w:rsidR="008907FD" w:rsidRPr="00F55938">
        <w:rPr>
          <w:rFonts w:asciiTheme="minorHAnsi" w:hAnsiTheme="minorHAnsi"/>
          <w:snapToGrid w:val="0"/>
        </w:rPr>
        <w:t xml:space="preserve"> the vedolizumab treatment group </w:t>
      </w:r>
      <w:r>
        <w:rPr>
          <w:rFonts w:asciiTheme="minorHAnsi" w:hAnsiTheme="minorHAnsi"/>
          <w:snapToGrid w:val="0"/>
        </w:rPr>
        <w:t>wa</w:t>
      </w:r>
      <w:r w:rsidR="008907FD" w:rsidRPr="00F55938">
        <w:rPr>
          <w:rFonts w:asciiTheme="minorHAnsi" w:hAnsiTheme="minorHAnsi"/>
          <w:snapToGrid w:val="0"/>
        </w:rPr>
        <w:t>s split into two further treatment arms (VEDO and SOC)</w:t>
      </w:r>
      <w:r w:rsidR="00FB0DF6" w:rsidRPr="00F55938">
        <w:rPr>
          <w:rFonts w:asciiTheme="minorHAnsi" w:hAnsiTheme="minorHAnsi"/>
          <w:snapToGrid w:val="0"/>
        </w:rPr>
        <w:t>, that is when patients in the vedolizumab group cease</w:t>
      </w:r>
      <w:r>
        <w:rPr>
          <w:rFonts w:asciiTheme="minorHAnsi" w:hAnsiTheme="minorHAnsi"/>
          <w:snapToGrid w:val="0"/>
        </w:rPr>
        <w:t>d</w:t>
      </w:r>
      <w:r w:rsidR="00FB0DF6" w:rsidRPr="00F55938">
        <w:rPr>
          <w:rFonts w:asciiTheme="minorHAnsi" w:hAnsiTheme="minorHAnsi"/>
          <w:snapToGrid w:val="0"/>
        </w:rPr>
        <w:t xml:space="preserve"> vedolizumab (due to not meeting</w:t>
      </w:r>
      <w:r w:rsidR="00145EE1" w:rsidRPr="00F55938">
        <w:rPr>
          <w:rFonts w:asciiTheme="minorHAnsi" w:hAnsiTheme="minorHAnsi"/>
          <w:snapToGrid w:val="0"/>
        </w:rPr>
        <w:t xml:space="preserve"> the</w:t>
      </w:r>
      <w:r w:rsidR="00FB0DF6" w:rsidRPr="00F55938">
        <w:rPr>
          <w:rFonts w:asciiTheme="minorHAnsi" w:hAnsiTheme="minorHAnsi"/>
          <w:snapToGrid w:val="0"/>
        </w:rPr>
        <w:t xml:space="preserve"> mPDAI-remission</w:t>
      </w:r>
      <w:r w:rsidR="00145EE1" w:rsidRPr="00F55938">
        <w:rPr>
          <w:rFonts w:asciiTheme="minorHAnsi" w:hAnsiTheme="minorHAnsi"/>
          <w:snapToGrid w:val="0"/>
        </w:rPr>
        <w:t xml:space="preserve"> criteria required for ongoing treatment in the model</w:t>
      </w:r>
      <w:r w:rsidR="00FB0DF6" w:rsidRPr="00F55938">
        <w:rPr>
          <w:rFonts w:asciiTheme="minorHAnsi" w:hAnsiTheme="minorHAnsi"/>
          <w:snapToGrid w:val="0"/>
        </w:rPr>
        <w:t>) the</w:t>
      </w:r>
      <w:r w:rsidR="00E53DAB" w:rsidRPr="00F55938">
        <w:rPr>
          <w:rFonts w:asciiTheme="minorHAnsi" w:hAnsiTheme="minorHAnsi"/>
          <w:snapToGrid w:val="0"/>
        </w:rPr>
        <w:t xml:space="preserve"> transition probabilities for the SO</w:t>
      </w:r>
      <w:r w:rsidR="00FB0DF6" w:rsidRPr="00F55938">
        <w:rPr>
          <w:rFonts w:asciiTheme="minorHAnsi" w:hAnsiTheme="minorHAnsi"/>
          <w:snapToGrid w:val="0"/>
        </w:rPr>
        <w:t xml:space="preserve">C </w:t>
      </w:r>
      <w:r>
        <w:rPr>
          <w:rFonts w:asciiTheme="minorHAnsi" w:hAnsiTheme="minorHAnsi"/>
          <w:snapToGrid w:val="0"/>
        </w:rPr>
        <w:t>we</w:t>
      </w:r>
      <w:r w:rsidR="00E53DAB" w:rsidRPr="00F55938">
        <w:rPr>
          <w:rFonts w:asciiTheme="minorHAnsi" w:hAnsiTheme="minorHAnsi"/>
          <w:snapToGrid w:val="0"/>
        </w:rPr>
        <w:t xml:space="preserve">re applied, </w:t>
      </w:r>
      <w:r w:rsidR="00FB0DF6" w:rsidRPr="00F55938">
        <w:rPr>
          <w:rFonts w:asciiTheme="minorHAnsi" w:hAnsiTheme="minorHAnsi"/>
          <w:snapToGrid w:val="0"/>
        </w:rPr>
        <w:t xml:space="preserve">which </w:t>
      </w:r>
      <w:r>
        <w:rPr>
          <w:rFonts w:asciiTheme="minorHAnsi" w:hAnsiTheme="minorHAnsi"/>
          <w:snapToGrid w:val="0"/>
        </w:rPr>
        <w:t>was</w:t>
      </w:r>
      <w:r w:rsidR="00FB0DF6" w:rsidRPr="00F55938">
        <w:rPr>
          <w:rFonts w:asciiTheme="minorHAnsi" w:hAnsiTheme="minorHAnsi"/>
          <w:snapToGrid w:val="0"/>
        </w:rPr>
        <w:t xml:space="preserve"> associated with a large placebo effect</w:t>
      </w:r>
      <w:r w:rsidR="008907FD" w:rsidRPr="00F55938">
        <w:rPr>
          <w:rFonts w:asciiTheme="minorHAnsi" w:hAnsiTheme="minorHAnsi"/>
          <w:snapToGrid w:val="0"/>
        </w:rPr>
        <w:t xml:space="preserve">. </w:t>
      </w:r>
      <w:bookmarkEnd w:id="85"/>
    </w:p>
    <w:p w14:paraId="25B2456E" w14:textId="2887C37D" w:rsidR="007F5816" w:rsidRPr="00F55938" w:rsidRDefault="007F5816" w:rsidP="00E37470">
      <w:pPr>
        <w:numPr>
          <w:ilvl w:val="1"/>
          <w:numId w:val="1"/>
        </w:numPr>
        <w:spacing w:after="120"/>
        <w:rPr>
          <w:rFonts w:asciiTheme="minorHAnsi" w:hAnsiTheme="minorHAnsi"/>
          <w:snapToGrid w:val="0"/>
        </w:rPr>
      </w:pPr>
      <w:bookmarkStart w:id="86" w:name="_Ref164255604"/>
      <w:r w:rsidRPr="00F55938">
        <w:rPr>
          <w:rFonts w:asciiTheme="minorHAnsi" w:hAnsiTheme="minorHAnsi"/>
          <w:snapToGrid w:val="0"/>
        </w:rPr>
        <w:t>For transitions between Weeks 14 and 38, data on an exploratory outcome, sustained clinical (mPDAI) remission, w</w:t>
      </w:r>
      <w:r w:rsidR="00A35BCC" w:rsidRPr="00F55938">
        <w:rPr>
          <w:rFonts w:asciiTheme="minorHAnsi" w:hAnsiTheme="minorHAnsi"/>
          <w:snapToGrid w:val="0"/>
        </w:rPr>
        <w:t>ere</w:t>
      </w:r>
      <w:r w:rsidRPr="00F55938">
        <w:rPr>
          <w:rFonts w:asciiTheme="minorHAnsi" w:hAnsiTheme="minorHAnsi"/>
          <w:snapToGrid w:val="0"/>
        </w:rPr>
        <w:t xml:space="preserve"> used to inform the transition probabilities for remaining in the Remission health state. </w:t>
      </w:r>
      <w:r w:rsidR="005F5D75" w:rsidRPr="00F55938">
        <w:rPr>
          <w:rFonts w:asciiTheme="minorHAnsi" w:hAnsiTheme="minorHAnsi"/>
          <w:snapToGrid w:val="0"/>
        </w:rPr>
        <w:t xml:space="preserve">Concerns relating to </w:t>
      </w:r>
      <w:r w:rsidR="00024CF3" w:rsidRPr="00F55938">
        <w:rPr>
          <w:rFonts w:asciiTheme="minorHAnsi" w:hAnsiTheme="minorHAnsi"/>
          <w:snapToGrid w:val="0"/>
        </w:rPr>
        <w:t xml:space="preserve">this exploratory outcome </w:t>
      </w:r>
      <w:r w:rsidR="00582956" w:rsidRPr="00F55938">
        <w:rPr>
          <w:rFonts w:asciiTheme="minorHAnsi" w:hAnsiTheme="minorHAnsi"/>
          <w:snapToGrid w:val="0"/>
        </w:rPr>
        <w:t>were</w:t>
      </w:r>
      <w:r w:rsidR="00024CF3" w:rsidRPr="00F55938">
        <w:rPr>
          <w:rFonts w:asciiTheme="minorHAnsi" w:hAnsiTheme="minorHAnsi"/>
          <w:snapToGrid w:val="0"/>
        </w:rPr>
        <w:t xml:space="preserve"> described in paragraph </w:t>
      </w:r>
      <w:r w:rsidR="00024CF3" w:rsidRPr="00F55938">
        <w:rPr>
          <w:rFonts w:asciiTheme="minorHAnsi" w:hAnsiTheme="minorHAnsi"/>
          <w:snapToGrid w:val="0"/>
        </w:rPr>
        <w:fldChar w:fldCharType="begin" w:fldLock="1"/>
      </w:r>
      <w:r w:rsidR="00024CF3" w:rsidRPr="00F55938">
        <w:rPr>
          <w:rFonts w:asciiTheme="minorHAnsi" w:hAnsiTheme="minorHAnsi"/>
          <w:snapToGrid w:val="0"/>
        </w:rPr>
        <w:instrText xml:space="preserve"> REF _Ref166596101 \r \h </w:instrText>
      </w:r>
      <w:r w:rsidR="00582956" w:rsidRPr="00F55938">
        <w:rPr>
          <w:rFonts w:asciiTheme="minorHAnsi" w:hAnsiTheme="minorHAnsi"/>
          <w:snapToGrid w:val="0"/>
        </w:rPr>
        <w:instrText xml:space="preserve"> \* MERGEFORMAT </w:instrText>
      </w:r>
      <w:r w:rsidR="00024CF3" w:rsidRPr="00F55938">
        <w:rPr>
          <w:rFonts w:asciiTheme="minorHAnsi" w:hAnsiTheme="minorHAnsi"/>
          <w:snapToGrid w:val="0"/>
        </w:rPr>
      </w:r>
      <w:r w:rsidR="00024CF3" w:rsidRPr="00F55938">
        <w:rPr>
          <w:rFonts w:asciiTheme="minorHAnsi" w:hAnsiTheme="minorHAnsi"/>
          <w:snapToGrid w:val="0"/>
        </w:rPr>
        <w:fldChar w:fldCharType="separate"/>
      </w:r>
      <w:r w:rsidR="00DC7CC4">
        <w:rPr>
          <w:rFonts w:asciiTheme="minorHAnsi" w:hAnsiTheme="minorHAnsi"/>
          <w:snapToGrid w:val="0"/>
        </w:rPr>
        <w:t>6.22</w:t>
      </w:r>
      <w:r w:rsidR="00024CF3" w:rsidRPr="00F55938">
        <w:rPr>
          <w:rFonts w:asciiTheme="minorHAnsi" w:hAnsiTheme="minorHAnsi"/>
          <w:snapToGrid w:val="0"/>
        </w:rPr>
        <w:fldChar w:fldCharType="end"/>
      </w:r>
      <w:r w:rsidR="00582956" w:rsidRPr="00F55938">
        <w:rPr>
          <w:rFonts w:asciiTheme="minorHAnsi" w:hAnsiTheme="minorHAnsi"/>
          <w:snapToGrid w:val="0"/>
        </w:rPr>
        <w:t xml:space="preserve">. </w:t>
      </w:r>
      <w:r w:rsidRPr="00F55938">
        <w:rPr>
          <w:rFonts w:asciiTheme="minorHAnsi" w:hAnsiTheme="minorHAnsi"/>
          <w:snapToGrid w:val="0"/>
        </w:rPr>
        <w:t xml:space="preserve">Other transitions between health states were based on limited data on </w:t>
      </w:r>
      <w:r w:rsidR="00244C9B" w:rsidRPr="00F55938">
        <w:rPr>
          <w:rFonts w:asciiTheme="minorHAnsi" w:hAnsiTheme="minorHAnsi"/>
          <w:snapToGrid w:val="0"/>
        </w:rPr>
        <w:t xml:space="preserve">the </w:t>
      </w:r>
      <w:r w:rsidRPr="00F55938">
        <w:rPr>
          <w:rFonts w:asciiTheme="minorHAnsi" w:hAnsiTheme="minorHAnsi"/>
          <w:snapToGrid w:val="0"/>
        </w:rPr>
        <w:t>number of patients achieving the remission or response outcome at Week 34 and assumptions made. These assumptions include</w:t>
      </w:r>
      <w:r w:rsidR="00931EB3">
        <w:rPr>
          <w:rFonts w:asciiTheme="minorHAnsi" w:hAnsiTheme="minorHAnsi"/>
          <w:snapToGrid w:val="0"/>
        </w:rPr>
        <w:t>d</w:t>
      </w:r>
      <w:r w:rsidRPr="00F55938">
        <w:rPr>
          <w:rFonts w:asciiTheme="minorHAnsi" w:hAnsiTheme="minorHAnsi"/>
          <w:snapToGrid w:val="0"/>
        </w:rPr>
        <w:t>:</w:t>
      </w:r>
      <w:bookmarkEnd w:id="86"/>
    </w:p>
    <w:p w14:paraId="431E4322" w14:textId="0A6FB4E4" w:rsidR="007F5816" w:rsidRPr="00F55938" w:rsidRDefault="007F5816" w:rsidP="00B24069">
      <w:pPr>
        <w:numPr>
          <w:ilvl w:val="0"/>
          <w:numId w:val="12"/>
        </w:numPr>
        <w:spacing w:after="120"/>
        <w:rPr>
          <w:rFonts w:asciiTheme="minorHAnsi" w:hAnsiTheme="minorHAnsi"/>
          <w:snapToGrid w:val="0"/>
        </w:rPr>
      </w:pPr>
      <w:r w:rsidRPr="00F55938">
        <w:rPr>
          <w:rFonts w:asciiTheme="minorHAnsi" w:hAnsiTheme="minorHAnsi"/>
          <w:snapToGrid w:val="0"/>
        </w:rPr>
        <w:t>For the VEDO + SOC arm, among those who did not achieve sustained remission at Week 38, patients would be split equally (50%/50%) between the Response (without remission) and No response health state</w:t>
      </w:r>
      <w:r w:rsidR="00931EB3">
        <w:rPr>
          <w:rFonts w:asciiTheme="minorHAnsi" w:hAnsiTheme="minorHAnsi"/>
          <w:snapToGrid w:val="0"/>
        </w:rPr>
        <w:t>s</w:t>
      </w:r>
      <w:r w:rsidRPr="00F55938">
        <w:rPr>
          <w:rFonts w:asciiTheme="minorHAnsi" w:hAnsiTheme="minorHAnsi"/>
          <w:snapToGrid w:val="0"/>
        </w:rPr>
        <w:t>. However, for the PBO + SOC arm, all patients who did not achieve sustained remission were assumed to transition into the No response health state. This assumption favour</w:t>
      </w:r>
      <w:r w:rsidR="00931EB3">
        <w:rPr>
          <w:rFonts w:asciiTheme="minorHAnsi" w:hAnsiTheme="minorHAnsi"/>
          <w:snapToGrid w:val="0"/>
        </w:rPr>
        <w:t>ed</w:t>
      </w:r>
      <w:r w:rsidRPr="00F55938">
        <w:rPr>
          <w:rFonts w:asciiTheme="minorHAnsi" w:hAnsiTheme="minorHAnsi"/>
          <w:snapToGrid w:val="0"/>
        </w:rPr>
        <w:t xml:space="preserve"> vedolizumab.</w:t>
      </w:r>
    </w:p>
    <w:p w14:paraId="7B0255B3" w14:textId="3D07AD5E" w:rsidR="007F5816" w:rsidRPr="00F55938" w:rsidRDefault="00931EB3" w:rsidP="00B24069">
      <w:pPr>
        <w:numPr>
          <w:ilvl w:val="0"/>
          <w:numId w:val="12"/>
        </w:numPr>
        <w:spacing w:after="120"/>
        <w:rPr>
          <w:rFonts w:asciiTheme="minorHAnsi" w:hAnsiTheme="minorHAnsi"/>
          <w:snapToGrid w:val="0"/>
        </w:rPr>
      </w:pPr>
      <w:r>
        <w:rPr>
          <w:rFonts w:asciiTheme="minorHAnsi" w:hAnsiTheme="minorHAnsi"/>
          <w:snapToGrid w:val="0"/>
        </w:rPr>
        <w:t xml:space="preserve">In the </w:t>
      </w:r>
      <w:r w:rsidRPr="00F55938">
        <w:rPr>
          <w:rFonts w:asciiTheme="minorHAnsi" w:hAnsiTheme="minorHAnsi"/>
          <w:snapToGrid w:val="0"/>
        </w:rPr>
        <w:t>EARNEST trial</w:t>
      </w:r>
      <w:r>
        <w:rPr>
          <w:rFonts w:asciiTheme="minorHAnsi" w:hAnsiTheme="minorHAnsi"/>
          <w:snapToGrid w:val="0"/>
        </w:rPr>
        <w:t>, a</w:t>
      </w:r>
      <w:r w:rsidR="007F5816" w:rsidRPr="00F55938">
        <w:rPr>
          <w:rFonts w:asciiTheme="minorHAnsi" w:hAnsiTheme="minorHAnsi"/>
          <w:snapToGrid w:val="0"/>
        </w:rPr>
        <w:t xml:space="preserve">t Week 34, there were 4 additional patients in the VEDO + SOC arm that achieved remission who did not demonstrate remission at Week 14. The </w:t>
      </w:r>
      <w:r>
        <w:rPr>
          <w:rFonts w:asciiTheme="minorHAnsi" w:hAnsiTheme="minorHAnsi"/>
          <w:snapToGrid w:val="0"/>
        </w:rPr>
        <w:t>model</w:t>
      </w:r>
      <w:r w:rsidR="007F5816" w:rsidRPr="00F55938">
        <w:rPr>
          <w:rFonts w:asciiTheme="minorHAnsi" w:hAnsiTheme="minorHAnsi"/>
          <w:snapToGrid w:val="0"/>
        </w:rPr>
        <w:t xml:space="preserve"> assumed that half of these patients were previously from the Response (without remission)</w:t>
      </w:r>
      <w:r w:rsidR="00D940EF" w:rsidRPr="00F55938">
        <w:rPr>
          <w:rFonts w:asciiTheme="minorHAnsi" w:hAnsiTheme="minorHAnsi"/>
          <w:snapToGrid w:val="0"/>
        </w:rPr>
        <w:t xml:space="preserve"> state</w:t>
      </w:r>
      <w:r w:rsidR="007F5816" w:rsidRPr="00F55938">
        <w:rPr>
          <w:rFonts w:asciiTheme="minorHAnsi" w:hAnsiTheme="minorHAnsi"/>
          <w:snapToGrid w:val="0"/>
        </w:rPr>
        <w:t xml:space="preserve"> and half were from the No response health state. Given the proposed PBS continuing criteria, patients who did not achieve remission at Week 14 would not have been allowed to continue treatment, thus these patients should have been excluded.</w:t>
      </w:r>
    </w:p>
    <w:p w14:paraId="239EB8E1" w14:textId="69D5747E" w:rsidR="007F5816" w:rsidRPr="00F55938" w:rsidRDefault="007F5816" w:rsidP="00B24069">
      <w:pPr>
        <w:numPr>
          <w:ilvl w:val="0"/>
          <w:numId w:val="12"/>
        </w:numPr>
        <w:spacing w:after="120"/>
        <w:rPr>
          <w:rFonts w:asciiTheme="minorHAnsi" w:hAnsiTheme="minorHAnsi"/>
          <w:snapToGrid w:val="0"/>
        </w:rPr>
      </w:pPr>
      <w:r w:rsidRPr="00F55938">
        <w:rPr>
          <w:rFonts w:asciiTheme="minorHAnsi" w:hAnsiTheme="minorHAnsi"/>
          <w:snapToGrid w:val="0"/>
        </w:rPr>
        <w:t xml:space="preserve">The timing of the second cycle of the model (Week 38) did not align with the end of the trial period (Week 34) when outcomes were measured. The submission stated that differences in remission and response rates would be marginal and Week 38 would be considered a more appropriate time point reflecting the proposed PBS continuing criteria. This assumption could favour vedolizumab because the treatment effect attenuates over time. The EARNEST trial treatment </w:t>
      </w:r>
      <w:r w:rsidRPr="00F55938">
        <w:rPr>
          <w:rFonts w:asciiTheme="minorHAnsi" w:hAnsiTheme="minorHAnsi"/>
          <w:snapToGrid w:val="0"/>
        </w:rPr>
        <w:lastRenderedPageBreak/>
        <w:t xml:space="preserve">difference for the mPDAI remission outcome between the VEDO + SOC and PBO + SOC groups reduced from 22% (95% CI: 5, 38) at Week 14 to 18% (95% CI: 0.3, 35) at Week 34.  </w:t>
      </w:r>
    </w:p>
    <w:p w14:paraId="1EF1A3E2" w14:textId="5FB068F8" w:rsidR="006313FA" w:rsidRPr="00F55938" w:rsidRDefault="008F1132" w:rsidP="001F283D">
      <w:pPr>
        <w:pStyle w:val="3-BodyText"/>
      </w:pPr>
      <w:bookmarkStart w:id="87" w:name="_Ref169179088"/>
      <w:r w:rsidRPr="00F55938">
        <w:t xml:space="preserve">The ESC </w:t>
      </w:r>
      <w:r w:rsidR="00145EE1" w:rsidRPr="00F55938">
        <w:t>not</w:t>
      </w:r>
      <w:r w:rsidRPr="00F55938">
        <w:t xml:space="preserve">ed </w:t>
      </w:r>
      <w:r w:rsidR="00145EE1" w:rsidRPr="00F55938">
        <w:t xml:space="preserve">that </w:t>
      </w:r>
      <w:r w:rsidRPr="00F55938">
        <w:t>the model</w:t>
      </w:r>
      <w:r w:rsidR="00D67841" w:rsidRPr="00F55938">
        <w:t xml:space="preserve"> base case</w:t>
      </w:r>
      <w:r w:rsidR="00145EE1" w:rsidRPr="00F55938">
        <w:t xml:space="preserve"> </w:t>
      </w:r>
      <w:r w:rsidR="00D67841" w:rsidRPr="00F55938">
        <w:t xml:space="preserve">assumed that </w:t>
      </w:r>
      <w:r w:rsidR="00145EE1" w:rsidRPr="00F55938">
        <w:t xml:space="preserve">patients </w:t>
      </w:r>
      <w:r w:rsidR="00D67841" w:rsidRPr="00F55938">
        <w:t>w</w:t>
      </w:r>
      <w:r w:rsidR="00145EE1" w:rsidRPr="00F55938">
        <w:t>ould only continue vedolizumab if they experienced mPDAI-defined remission. This</w:t>
      </w:r>
      <w:r w:rsidRPr="00F55938">
        <w:t xml:space="preserve"> was inconsistent with the requested restriction, which </w:t>
      </w:r>
      <w:r w:rsidR="008D2D2B">
        <w:t xml:space="preserve">would </w:t>
      </w:r>
      <w:r w:rsidRPr="00F55938">
        <w:t>allow vedolizumab to be continued based on a clinical assessment of response</w:t>
      </w:r>
      <w:r w:rsidR="00D67841" w:rsidRPr="00F55938">
        <w:t xml:space="preserve"> (no criteria or definition of response was specified in the proposed restriction)</w:t>
      </w:r>
      <w:r w:rsidRPr="00F55938">
        <w:t>. Therefore, the ESC considered it w</w:t>
      </w:r>
      <w:r w:rsidR="00145EE1" w:rsidRPr="00F55938">
        <w:t>ould be</w:t>
      </w:r>
      <w:r w:rsidRPr="00F55938">
        <w:t xml:space="preserve"> more appropriate for the model to assume patients in the ‘Response (without remission)’ health state </w:t>
      </w:r>
      <w:r w:rsidR="00145EE1" w:rsidRPr="00F55938">
        <w:t xml:space="preserve">(which was based on the outcome of partial mPDAI-defined response, paragraph </w:t>
      </w:r>
      <w:r w:rsidR="00145EE1" w:rsidRPr="00F55938">
        <w:fldChar w:fldCharType="begin" w:fldLock="1"/>
      </w:r>
      <w:r w:rsidR="00145EE1" w:rsidRPr="00F55938">
        <w:instrText xml:space="preserve"> REF _Ref169633059 \r \h </w:instrText>
      </w:r>
      <w:r w:rsidR="00F55938" w:rsidRPr="00F55938">
        <w:instrText xml:space="preserve"> \* MERGEFORMAT </w:instrText>
      </w:r>
      <w:r w:rsidR="00145EE1" w:rsidRPr="00F55938">
        <w:fldChar w:fldCharType="separate"/>
      </w:r>
      <w:r w:rsidR="00DC7CC4">
        <w:t>6.28</w:t>
      </w:r>
      <w:r w:rsidR="00145EE1" w:rsidRPr="00F55938">
        <w:fldChar w:fldCharType="end"/>
      </w:r>
      <w:r w:rsidR="00145EE1" w:rsidRPr="00F55938">
        <w:t xml:space="preserve">) </w:t>
      </w:r>
      <w:r w:rsidRPr="00F55938">
        <w:t xml:space="preserve">would </w:t>
      </w:r>
      <w:r w:rsidR="00D67841" w:rsidRPr="00F55938">
        <w:t xml:space="preserve">also </w:t>
      </w:r>
      <w:r w:rsidRPr="00F55938">
        <w:t xml:space="preserve">continue treatment with vedolizumab to </w:t>
      </w:r>
      <w:r w:rsidR="00DD7379" w:rsidRPr="00F55938">
        <w:t xml:space="preserve">better </w:t>
      </w:r>
      <w:r w:rsidRPr="00F55938">
        <w:t xml:space="preserve">align with the proposed </w:t>
      </w:r>
      <w:r w:rsidR="00AA1F35" w:rsidRPr="00F55938">
        <w:t>restriction</w:t>
      </w:r>
      <w:r w:rsidRPr="00F55938">
        <w:t xml:space="preserve">, and noted this </w:t>
      </w:r>
      <w:bookmarkEnd w:id="87"/>
      <w:r w:rsidRPr="00F55938">
        <w:t xml:space="preserve">change increased the ICER by </w:t>
      </w:r>
      <w:r w:rsidR="00277410" w:rsidRPr="00F55938">
        <w:t>9</w:t>
      </w:r>
      <w:r w:rsidRPr="00F55938">
        <w:t xml:space="preserve">0% to </w:t>
      </w:r>
      <w:r w:rsidR="00277410" w:rsidRPr="00F55938">
        <w:t>$</w:t>
      </w:r>
      <w:r w:rsidR="00C45DDF" w:rsidRPr="00C45DDF">
        <w:t xml:space="preserve">55,000 to &lt; $75,000 </w:t>
      </w:r>
      <w:r w:rsidRPr="00F55938">
        <w:t>per QAL</w:t>
      </w:r>
      <w:r w:rsidR="008D2D2B">
        <w:t>Y</w:t>
      </w:r>
      <w:r w:rsidRPr="00F55938">
        <w:t>.</w:t>
      </w:r>
      <w:r w:rsidR="00DD7379" w:rsidRPr="00F55938">
        <w:t xml:space="preserve"> </w:t>
      </w:r>
      <w:r w:rsidR="00AA1F35" w:rsidRPr="00F55938">
        <w:t>W</w:t>
      </w:r>
      <w:r w:rsidR="00DD7379" w:rsidRPr="00F55938">
        <w:t>ith this assumption applied, the</w:t>
      </w:r>
      <w:r w:rsidR="004376C2" w:rsidRPr="00F55938">
        <w:t xml:space="preserve"> model estimated an</w:t>
      </w:r>
      <w:r w:rsidR="006313FA" w:rsidRPr="00F55938">
        <w:t xml:space="preserve"> average</w:t>
      </w:r>
      <w:r w:rsidR="004376C2" w:rsidRPr="00F55938">
        <w:t xml:space="preserve"> of 13.3</w:t>
      </w:r>
      <w:r w:rsidR="006313FA" w:rsidRPr="00F55938">
        <w:t xml:space="preserve"> </w:t>
      </w:r>
      <w:r w:rsidR="00DD7379" w:rsidRPr="00F55938">
        <w:t xml:space="preserve">vedolizumab </w:t>
      </w:r>
      <w:r w:rsidR="006313FA" w:rsidRPr="00F55938">
        <w:t>doses per patien</w:t>
      </w:r>
      <w:r w:rsidR="004376C2" w:rsidRPr="00F55938">
        <w:t>t (versus 9.2 in the base case)</w:t>
      </w:r>
      <w:r w:rsidR="006313FA" w:rsidRPr="00F55938">
        <w:t xml:space="preserve">. </w:t>
      </w:r>
    </w:p>
    <w:p w14:paraId="1077AF38" w14:textId="01C33A4D" w:rsidR="007F5816" w:rsidRPr="00F55938" w:rsidRDefault="00E53DAB" w:rsidP="004376C2">
      <w:pPr>
        <w:pStyle w:val="3-BodyText"/>
      </w:pPr>
      <w:r w:rsidRPr="00F55938">
        <w:t>Further, t</w:t>
      </w:r>
      <w:r w:rsidR="007F5816" w:rsidRPr="00F55938">
        <w:t>he submission assume</w:t>
      </w:r>
      <w:r w:rsidR="00322B6F" w:rsidRPr="00F55938">
        <w:t>d</w:t>
      </w:r>
      <w:r w:rsidR="007F5816" w:rsidRPr="00F55938">
        <w:t xml:space="preserve"> 100% compliance</w:t>
      </w:r>
      <w:r w:rsidR="00322B6F" w:rsidRPr="00F55938">
        <w:t xml:space="preserve"> with vedolizumab</w:t>
      </w:r>
      <w:r w:rsidR="00385189" w:rsidRPr="00F55938">
        <w:t xml:space="preserve"> i.e. all patients in the VEDO+SOC group were assumed to receive three doses of vedolizumab in the first model cycle, then all patients in VEDO+SOC group who remained in the ‘remission’ health state were assumed to continue vedolizumab treatment with 100% compliance. This was </w:t>
      </w:r>
      <w:r w:rsidR="00322B6F" w:rsidRPr="00F55938">
        <w:t>inconsistent with the trial which reported that</w:t>
      </w:r>
      <w:r w:rsidR="007F5816" w:rsidRPr="00F55938">
        <w:t xml:space="preserve"> 70.6% of patients in the VEDO + SOC group in the EARNEST trial completed all six doses</w:t>
      </w:r>
      <w:r w:rsidR="00FF0D80" w:rsidRPr="00F55938">
        <w:t xml:space="preserve"> (i.e. 29.4% of patients in the VEDO + SOC group discontinued the trial</w:t>
      </w:r>
      <w:r w:rsidR="00385189" w:rsidRPr="00F55938">
        <w:t xml:space="preserve"> before the 30-week treatment period</w:t>
      </w:r>
      <w:r w:rsidR="00FF0D80" w:rsidRPr="00F55938">
        <w:t>)</w:t>
      </w:r>
      <w:r w:rsidR="00322B6F" w:rsidRPr="00F55938">
        <w:t xml:space="preserve">, with some discontinuations due to reasons other than lack of efficacy (e.g. due to adverse events and </w:t>
      </w:r>
      <w:r w:rsidR="00385189" w:rsidRPr="00F55938">
        <w:t>voluntary withdrawal)</w:t>
      </w:r>
      <w:r w:rsidR="007F5816" w:rsidRPr="00F55938">
        <w:t>.</w:t>
      </w:r>
      <w:r w:rsidR="004376C2" w:rsidRPr="00F55938">
        <w:t xml:space="preserve"> The ESC considered the assumption</w:t>
      </w:r>
      <w:r w:rsidR="00950EC9" w:rsidRPr="00F55938">
        <w:t xml:space="preserve"> of 100% compliance with vedolizumab wa</w:t>
      </w:r>
      <w:r w:rsidR="004376C2" w:rsidRPr="00F55938">
        <w:t>s conservative (</w:t>
      </w:r>
      <w:r w:rsidR="00FA4963" w:rsidRPr="00F55938">
        <w:t xml:space="preserve">potentially </w:t>
      </w:r>
      <w:r w:rsidR="004376C2" w:rsidRPr="00F55938">
        <w:t>underestimated vedolizumab treatment costs)</w:t>
      </w:r>
      <w:r w:rsidR="004003CE" w:rsidRPr="00F55938">
        <w:t>.</w:t>
      </w:r>
    </w:p>
    <w:p w14:paraId="5A89A8F2" w14:textId="77777777"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The submission estimated utilities for the response-based health states by converting IBDQ scores to EQ-5D utility values using a published mapping algorithm (Buxton et al. 2007). The submission applied several steps for this translation. IBDQ scores for the proposed health states were reported in the trial CSR. It is unclear why the submission did not apply the observed IBDQ scores, and instead estimated the health state values by adding the change from baseline scores to averaged baseline scores. The extra steps applied another level of uncertainty the utility value estimates. The resulting utility estimates are higher than other published estimates and are an important driver of the ICER. </w:t>
      </w:r>
    </w:p>
    <w:p w14:paraId="6E232F31" w14:textId="42DDD4C5"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The base case health state costs applied in the model were from a UK study (Tsai, 2008) for the post-surgery remission and complications for moderate-to-severe </w:t>
      </w:r>
      <w:r w:rsidR="002841F3" w:rsidRPr="006B343C">
        <w:rPr>
          <w:rFonts w:asciiTheme="minorHAnsi" w:hAnsiTheme="minorHAnsi"/>
          <w:snapToGrid w:val="0"/>
        </w:rPr>
        <w:t>UC</w:t>
      </w:r>
      <w:r w:rsidRPr="006B343C">
        <w:rPr>
          <w:rFonts w:asciiTheme="minorHAnsi" w:hAnsiTheme="minorHAnsi"/>
          <w:snapToGrid w:val="0"/>
        </w:rPr>
        <w:t xml:space="preserve">. These costs were lower than those reported in two US-based studies (Holubar (2012) and Barnes (2022)) which were more recent and specific to the proposed population (IPAA with pouchitis). No Australian costs </w:t>
      </w:r>
      <w:r w:rsidR="000217DE">
        <w:rPr>
          <w:rFonts w:asciiTheme="minorHAnsi" w:hAnsiTheme="minorHAnsi"/>
          <w:snapToGrid w:val="0"/>
        </w:rPr>
        <w:t>we</w:t>
      </w:r>
      <w:r w:rsidRPr="006B343C">
        <w:rPr>
          <w:rFonts w:asciiTheme="minorHAnsi" w:hAnsiTheme="minorHAnsi"/>
          <w:snapToGrid w:val="0"/>
        </w:rPr>
        <w:t xml:space="preserve">re available, and the model </w:t>
      </w:r>
      <w:r w:rsidR="000217DE">
        <w:rPr>
          <w:rFonts w:asciiTheme="minorHAnsi" w:hAnsiTheme="minorHAnsi"/>
          <w:snapToGrid w:val="0"/>
        </w:rPr>
        <w:t>wa</w:t>
      </w:r>
      <w:r w:rsidRPr="006B343C">
        <w:rPr>
          <w:rFonts w:asciiTheme="minorHAnsi" w:hAnsiTheme="minorHAnsi"/>
          <w:snapToGrid w:val="0"/>
        </w:rPr>
        <w:t>s sensitive to this parameter.</w:t>
      </w:r>
    </w:p>
    <w:p w14:paraId="56D65E7D" w14:textId="4ECBB84F"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A summary of the key drivers of the model is presented in </w:t>
      </w:r>
      <w:r w:rsidRPr="006B343C">
        <w:rPr>
          <w:rFonts w:asciiTheme="minorHAnsi" w:hAnsiTheme="minorHAnsi"/>
          <w:snapToGrid w:val="0"/>
        </w:rPr>
        <w:fldChar w:fldCharType="begin" w:fldLock="1"/>
      </w:r>
      <w:r w:rsidRPr="006B343C">
        <w:rPr>
          <w:rFonts w:asciiTheme="minorHAnsi" w:hAnsiTheme="minorHAnsi"/>
          <w:snapToGrid w:val="0"/>
        </w:rPr>
        <w:instrText xml:space="preserve"> REF _Ref104805122 \h  \* MERGEFORMAT </w:instrText>
      </w:r>
      <w:r w:rsidRPr="006B343C">
        <w:rPr>
          <w:rFonts w:asciiTheme="minorHAnsi" w:hAnsiTheme="minorHAnsi"/>
          <w:snapToGrid w:val="0"/>
        </w:rPr>
      </w:r>
      <w:r w:rsidRPr="006B343C">
        <w:rPr>
          <w:rFonts w:asciiTheme="minorHAnsi" w:hAnsiTheme="minorHAnsi"/>
          <w:snapToGrid w:val="0"/>
        </w:rPr>
        <w:fldChar w:fldCharType="separate"/>
      </w:r>
      <w:r w:rsidR="00DC7CC4" w:rsidRPr="00DC7CC4">
        <w:rPr>
          <w:rFonts w:asciiTheme="minorHAnsi" w:hAnsiTheme="minorHAnsi"/>
          <w:snapToGrid w:val="0"/>
        </w:rPr>
        <w:t>Table 10</w:t>
      </w:r>
      <w:r w:rsidRPr="006B343C">
        <w:rPr>
          <w:rFonts w:asciiTheme="minorHAnsi" w:hAnsiTheme="minorHAnsi"/>
          <w:snapToGrid w:val="0"/>
        </w:rPr>
        <w:fldChar w:fldCharType="end"/>
      </w:r>
      <w:r w:rsidRPr="006B343C">
        <w:rPr>
          <w:rFonts w:asciiTheme="minorHAnsi" w:hAnsiTheme="minorHAnsi"/>
          <w:snapToGrid w:val="0"/>
        </w:rPr>
        <w:t>.</w:t>
      </w:r>
    </w:p>
    <w:p w14:paraId="78F3CCA1" w14:textId="39FA3ACC" w:rsidR="007F5816" w:rsidRPr="006B343C" w:rsidRDefault="007F5816" w:rsidP="007F5816">
      <w:pPr>
        <w:keepNext/>
        <w:keepLines/>
        <w:jc w:val="left"/>
        <w:rPr>
          <w:rFonts w:ascii="Arial Narrow" w:hAnsi="Arial Narrow"/>
          <w:b/>
          <w:bCs/>
          <w:sz w:val="20"/>
        </w:rPr>
      </w:pPr>
      <w:bookmarkStart w:id="88" w:name="_Ref104805122"/>
      <w:r w:rsidRPr="006B343C">
        <w:rPr>
          <w:rFonts w:ascii="Arial Narrow" w:hAnsi="Arial Narrow"/>
          <w:b/>
          <w:bCs/>
          <w:sz w:val="20"/>
          <w:szCs w:val="18"/>
        </w:rPr>
        <w:lastRenderedPageBreak/>
        <w:t xml:space="preserve">Table </w:t>
      </w:r>
      <w:r w:rsidRPr="006B343C">
        <w:rPr>
          <w:rFonts w:ascii="Arial Narrow" w:hAnsi="Arial Narrow"/>
          <w:b/>
          <w:bCs/>
          <w:sz w:val="20"/>
          <w:szCs w:val="18"/>
        </w:rPr>
        <w:fldChar w:fldCharType="begin" w:fldLock="1"/>
      </w:r>
      <w:r w:rsidRPr="006B343C">
        <w:rPr>
          <w:rFonts w:ascii="Arial Narrow" w:hAnsi="Arial Narrow"/>
          <w:b/>
          <w:bCs/>
          <w:sz w:val="20"/>
          <w:szCs w:val="18"/>
        </w:rPr>
        <w:instrText xml:space="preserve"> SEQ Table \* ARABIC </w:instrText>
      </w:r>
      <w:r w:rsidRPr="006B343C">
        <w:rPr>
          <w:rFonts w:ascii="Arial Narrow" w:hAnsi="Arial Narrow"/>
          <w:b/>
          <w:bCs/>
          <w:sz w:val="20"/>
          <w:szCs w:val="18"/>
        </w:rPr>
        <w:fldChar w:fldCharType="separate"/>
      </w:r>
      <w:r w:rsidR="00DC7CC4">
        <w:rPr>
          <w:rFonts w:ascii="Arial Narrow" w:hAnsi="Arial Narrow"/>
          <w:b/>
          <w:bCs/>
          <w:noProof/>
          <w:sz w:val="20"/>
          <w:szCs w:val="18"/>
        </w:rPr>
        <w:t>10</w:t>
      </w:r>
      <w:r w:rsidRPr="006B343C">
        <w:rPr>
          <w:rFonts w:ascii="Arial Narrow" w:hAnsi="Arial Narrow"/>
          <w:b/>
          <w:bCs/>
          <w:noProof/>
          <w:sz w:val="20"/>
          <w:szCs w:val="18"/>
        </w:rPr>
        <w:fldChar w:fldCharType="end"/>
      </w:r>
      <w:bookmarkEnd w:id="88"/>
      <w:r w:rsidRPr="006B343C">
        <w:rPr>
          <w:rFonts w:ascii="Arial Narrow" w:hAnsi="Arial Narrow"/>
          <w:b/>
          <w:bCs/>
          <w:sz w:val="20"/>
          <w:szCs w:val="18"/>
        </w:rPr>
        <w:t>:</w:t>
      </w:r>
      <w:r w:rsidRPr="006B343C">
        <w:rPr>
          <w:rFonts w:ascii="Arial Narrow" w:hAnsi="Arial Narrow"/>
          <w:b/>
          <w:bCs/>
          <w:sz w:val="20"/>
        </w:rPr>
        <w:t xml:space="preserve"> Key drivers of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1317"/>
        <w:gridCol w:w="5131"/>
        <w:gridCol w:w="2569"/>
      </w:tblGrid>
      <w:tr w:rsidR="00AA1F35" w:rsidRPr="00F55938" w14:paraId="7D489207" w14:textId="77777777">
        <w:trPr>
          <w:tblHeader/>
        </w:trPr>
        <w:tc>
          <w:tcPr>
            <w:tcW w:w="0" w:type="auto"/>
            <w:shd w:val="clear" w:color="auto" w:fill="auto"/>
            <w:vAlign w:val="center"/>
          </w:tcPr>
          <w:p w14:paraId="3BFE39EB" w14:textId="77777777" w:rsidR="007F5816" w:rsidRPr="00F55938" w:rsidRDefault="007F5816" w:rsidP="007F5816">
            <w:pPr>
              <w:keepNext/>
              <w:jc w:val="center"/>
              <w:rPr>
                <w:rFonts w:ascii="Arial Narrow" w:eastAsiaTheme="majorEastAsia" w:hAnsi="Arial Narrow" w:cs="Times New Roman"/>
                <w:b/>
                <w:sz w:val="20"/>
                <w:lang w:val="en-US"/>
              </w:rPr>
            </w:pPr>
            <w:r w:rsidRPr="00F55938">
              <w:rPr>
                <w:rFonts w:ascii="Arial Narrow" w:eastAsiaTheme="majorEastAsia" w:hAnsi="Arial Narrow" w:cs="Times New Roman"/>
                <w:b/>
                <w:sz w:val="20"/>
                <w:lang w:val="en-US"/>
              </w:rPr>
              <w:t>Description</w:t>
            </w:r>
          </w:p>
        </w:tc>
        <w:tc>
          <w:tcPr>
            <w:tcW w:w="0" w:type="auto"/>
            <w:shd w:val="clear" w:color="auto" w:fill="auto"/>
            <w:vAlign w:val="center"/>
          </w:tcPr>
          <w:p w14:paraId="2300C8E9" w14:textId="77777777" w:rsidR="007F5816" w:rsidRPr="00F55938" w:rsidRDefault="007F5816" w:rsidP="007F5816">
            <w:pPr>
              <w:keepNext/>
              <w:jc w:val="center"/>
              <w:rPr>
                <w:rFonts w:ascii="Arial Narrow" w:eastAsiaTheme="majorEastAsia" w:hAnsi="Arial Narrow" w:cs="Times New Roman"/>
                <w:b/>
                <w:sz w:val="20"/>
                <w:lang w:val="en-US"/>
              </w:rPr>
            </w:pPr>
            <w:r w:rsidRPr="00F55938">
              <w:rPr>
                <w:rFonts w:ascii="Arial Narrow" w:eastAsiaTheme="majorEastAsia" w:hAnsi="Arial Narrow" w:cs="Times New Roman"/>
                <w:b/>
                <w:sz w:val="20"/>
                <w:lang w:val="en-US"/>
              </w:rPr>
              <w:t>Method/Value</w:t>
            </w:r>
          </w:p>
        </w:tc>
        <w:tc>
          <w:tcPr>
            <w:tcW w:w="0" w:type="auto"/>
            <w:shd w:val="clear" w:color="auto" w:fill="auto"/>
            <w:vAlign w:val="center"/>
          </w:tcPr>
          <w:p w14:paraId="702852A1" w14:textId="77777777" w:rsidR="007F5816" w:rsidRPr="00F55938" w:rsidRDefault="007F5816" w:rsidP="007F5816">
            <w:pPr>
              <w:keepNext/>
              <w:jc w:val="center"/>
              <w:rPr>
                <w:rFonts w:ascii="Arial Narrow" w:eastAsiaTheme="majorEastAsia" w:hAnsi="Arial Narrow" w:cs="Times New Roman"/>
                <w:b/>
                <w:sz w:val="20"/>
                <w:lang w:val="en-US"/>
              </w:rPr>
            </w:pPr>
            <w:r w:rsidRPr="00F55938">
              <w:rPr>
                <w:rFonts w:ascii="Arial Narrow" w:eastAsiaTheme="majorEastAsia" w:hAnsi="Arial Narrow" w:cs="Times New Roman"/>
                <w:b/>
                <w:sz w:val="20"/>
                <w:lang w:val="en-US"/>
              </w:rPr>
              <w:t>Impact</w:t>
            </w:r>
          </w:p>
          <w:p w14:paraId="55F6EF56" w14:textId="1BE1D4E5" w:rsidR="007F5816" w:rsidRPr="00F55938" w:rsidRDefault="007F5816" w:rsidP="007F5816">
            <w:pPr>
              <w:keepNext/>
              <w:jc w:val="center"/>
              <w:rPr>
                <w:rFonts w:ascii="Arial Narrow" w:eastAsiaTheme="majorEastAsia" w:hAnsi="Arial Narrow" w:cs="Times New Roman"/>
                <w:b/>
                <w:sz w:val="20"/>
                <w:lang w:val="en-US"/>
              </w:rPr>
            </w:pPr>
            <w:r w:rsidRPr="00F55938">
              <w:rPr>
                <w:rFonts w:ascii="Arial Narrow" w:eastAsiaTheme="majorEastAsia" w:hAnsi="Arial Narrow"/>
                <w:b/>
                <w:sz w:val="20"/>
                <w:szCs w:val="20"/>
                <w:lang w:val="en-US"/>
              </w:rPr>
              <w:t xml:space="preserve"> Base case: $</w:t>
            </w:r>
            <w:r w:rsidR="00DC1AEB"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00DC1AEB" w:rsidRPr="008E5D18">
              <w:rPr>
                <w:rFonts w:ascii="Arial Narrow" w:eastAsiaTheme="majorEastAsia" w:hAnsi="Arial Narrow"/>
                <w:b/>
                <w:color w:val="000000"/>
                <w:w w:val="22"/>
                <w:sz w:val="20"/>
                <w:szCs w:val="20"/>
                <w:shd w:val="solid" w:color="000000" w:fill="000000"/>
                <w:fitText w:val="100" w:id="-894165750"/>
                <w:lang w:val="en-US"/>
                <w14:textFill>
                  <w14:solidFill>
                    <w14:srgbClr w14:val="000000">
                      <w14:alpha w14:val="100000"/>
                    </w14:srgbClr>
                  </w14:solidFill>
                </w14:textFill>
              </w:rPr>
              <w:t>|</w:t>
            </w:r>
            <w:r w:rsidR="00DC1AEB" w:rsidRPr="008E5D18">
              <w:rPr>
                <w:rFonts w:ascii="Arial Narrow" w:eastAsiaTheme="majorEastAsia" w:hAnsi="Arial Narrow" w:hint="eastAsia"/>
                <w:b/>
                <w:color w:val="000000"/>
                <w:spacing w:val="2"/>
                <w:w w:val="22"/>
                <w:sz w:val="20"/>
                <w:szCs w:val="20"/>
                <w:shd w:val="solid" w:color="000000" w:fill="000000"/>
                <w:fitText w:val="100" w:id="-894165750"/>
                <w:lang w:val="en-US"/>
                <w14:textFill>
                  <w14:solidFill>
                    <w14:srgbClr w14:val="000000">
                      <w14:alpha w14:val="100000"/>
                    </w14:srgbClr>
                  </w14:solidFill>
                </w14:textFill>
              </w:rPr>
              <w:t xml:space="preserve">　</w:t>
            </w:r>
            <w:r w:rsidR="00CD2148" w:rsidRPr="00CD2148">
              <w:rPr>
                <w:rFonts w:ascii="Arial Narrow" w:eastAsiaTheme="majorEastAsia" w:hAnsi="Arial Narrow"/>
                <w:b/>
                <w:sz w:val="20"/>
                <w:szCs w:val="20"/>
                <w:vertAlign w:val="superscript"/>
                <w:lang w:val="en-US"/>
              </w:rPr>
              <w:t>1</w:t>
            </w:r>
            <w:r w:rsidRPr="00F55938">
              <w:rPr>
                <w:rFonts w:ascii="Arial Narrow" w:eastAsiaTheme="majorEastAsia" w:hAnsi="Arial Narrow"/>
                <w:b/>
                <w:sz w:val="20"/>
                <w:szCs w:val="20"/>
                <w:lang w:val="en-US"/>
              </w:rPr>
              <w:t>/QALY gained</w:t>
            </w:r>
          </w:p>
        </w:tc>
      </w:tr>
      <w:tr w:rsidR="00AA1F35" w:rsidRPr="00F55938" w14:paraId="73FEAE4F" w14:textId="77777777">
        <w:tc>
          <w:tcPr>
            <w:tcW w:w="0" w:type="auto"/>
            <w:shd w:val="clear" w:color="auto" w:fill="auto"/>
            <w:vAlign w:val="center"/>
          </w:tcPr>
          <w:p w14:paraId="641703F0" w14:textId="1B628895"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 xml:space="preserve">Outcome applied to demonstrate remission or response </w:t>
            </w:r>
          </w:p>
        </w:tc>
        <w:tc>
          <w:tcPr>
            <w:tcW w:w="0" w:type="auto"/>
            <w:shd w:val="clear" w:color="auto" w:fill="auto"/>
            <w:vAlign w:val="center"/>
          </w:tcPr>
          <w:p w14:paraId="56871B47" w14:textId="2D889F54" w:rsidR="00F65189"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The submission applied mPDAI-defined remission at Weeks 14 and 34 from the EARNEST trial to inform on the proportion of patients that would be eligible to continue treatment with vedolizumab</w:t>
            </w:r>
            <w:r w:rsidR="00451B61" w:rsidRPr="00F55938">
              <w:rPr>
                <w:rFonts w:ascii="Arial Narrow" w:eastAsiaTheme="majorEastAsia" w:hAnsi="Arial Narrow" w:cstheme="majorBidi"/>
                <w:bCs/>
                <w:sz w:val="20"/>
                <w:lang w:val="en-US"/>
              </w:rPr>
              <w:t>, while the PBS restriction</w:t>
            </w:r>
            <w:r w:rsidR="00C70D7B" w:rsidRPr="00F55938">
              <w:rPr>
                <w:rFonts w:ascii="Arial Narrow" w:eastAsiaTheme="majorEastAsia" w:hAnsi="Arial Narrow" w:cstheme="majorBidi"/>
                <w:bCs/>
                <w:sz w:val="20"/>
                <w:lang w:val="en-US"/>
              </w:rPr>
              <w:t xml:space="preserve"> </w:t>
            </w:r>
            <w:r w:rsidR="00C07BEE" w:rsidRPr="00F55938">
              <w:rPr>
                <w:rFonts w:ascii="Arial Narrow" w:eastAsiaTheme="majorEastAsia" w:hAnsi="Arial Narrow" w:cstheme="majorBidi"/>
                <w:bCs/>
                <w:sz w:val="20"/>
                <w:lang w:val="en-US"/>
              </w:rPr>
              <w:t xml:space="preserve">did not define response </w:t>
            </w:r>
            <w:r w:rsidR="00F65189" w:rsidRPr="00F55938">
              <w:rPr>
                <w:rFonts w:ascii="Arial Narrow" w:eastAsiaTheme="majorEastAsia" w:hAnsi="Arial Narrow" w:cstheme="majorBidi"/>
                <w:bCs/>
                <w:sz w:val="20"/>
                <w:lang w:val="en-US"/>
              </w:rPr>
              <w:t xml:space="preserve">(paragraph </w:t>
            </w:r>
            <w:r w:rsidR="007A470D" w:rsidRPr="00F55938">
              <w:rPr>
                <w:rFonts w:ascii="Arial Narrow" w:eastAsiaTheme="majorEastAsia" w:hAnsi="Arial Narrow" w:cstheme="majorBidi"/>
                <w:bCs/>
                <w:sz w:val="20"/>
                <w:lang w:val="en-US"/>
              </w:rPr>
              <w:fldChar w:fldCharType="begin" w:fldLock="1"/>
            </w:r>
            <w:r w:rsidR="007A470D" w:rsidRPr="00F55938">
              <w:rPr>
                <w:rFonts w:ascii="Arial Narrow" w:eastAsiaTheme="majorEastAsia" w:hAnsi="Arial Narrow" w:cstheme="majorBidi"/>
                <w:bCs/>
                <w:sz w:val="20"/>
                <w:lang w:val="en-US"/>
              </w:rPr>
              <w:instrText xml:space="preserve"> REF _Ref166481082 \r \h </w:instrText>
            </w:r>
            <w:r w:rsidR="006B343C" w:rsidRPr="00F55938">
              <w:rPr>
                <w:rFonts w:ascii="Arial Narrow" w:eastAsiaTheme="majorEastAsia" w:hAnsi="Arial Narrow" w:cstheme="majorBidi"/>
                <w:bCs/>
                <w:sz w:val="20"/>
                <w:lang w:val="en-US"/>
              </w:rPr>
              <w:instrText xml:space="preserve"> \* MERGEFORMAT </w:instrText>
            </w:r>
            <w:r w:rsidR="007A470D" w:rsidRPr="00F55938">
              <w:rPr>
                <w:rFonts w:ascii="Arial Narrow" w:eastAsiaTheme="majorEastAsia" w:hAnsi="Arial Narrow" w:cstheme="majorBidi"/>
                <w:bCs/>
                <w:sz w:val="20"/>
                <w:lang w:val="en-US"/>
              </w:rPr>
            </w:r>
            <w:r w:rsidR="007A470D" w:rsidRPr="00F55938">
              <w:rPr>
                <w:rFonts w:ascii="Arial Narrow" w:eastAsiaTheme="majorEastAsia" w:hAnsi="Arial Narrow" w:cstheme="majorBidi"/>
                <w:bCs/>
                <w:sz w:val="20"/>
                <w:lang w:val="en-US"/>
              </w:rPr>
              <w:fldChar w:fldCharType="separate"/>
            </w:r>
            <w:r w:rsidR="00DC7CC4">
              <w:rPr>
                <w:rFonts w:ascii="Arial Narrow" w:eastAsiaTheme="majorEastAsia" w:hAnsi="Arial Narrow" w:cstheme="majorBidi"/>
                <w:bCs/>
                <w:sz w:val="20"/>
                <w:lang w:val="en-US"/>
              </w:rPr>
              <w:t>3.7</w:t>
            </w:r>
            <w:r w:rsidR="007A470D" w:rsidRPr="00F55938">
              <w:rPr>
                <w:rFonts w:ascii="Arial Narrow" w:eastAsiaTheme="majorEastAsia" w:hAnsi="Arial Narrow" w:cstheme="majorBidi"/>
                <w:bCs/>
                <w:sz w:val="20"/>
                <w:lang w:val="en-US"/>
              </w:rPr>
              <w:fldChar w:fldCharType="end"/>
            </w:r>
            <w:r w:rsidR="007A470D" w:rsidRPr="00F55938">
              <w:rPr>
                <w:rFonts w:ascii="Arial Narrow" w:eastAsiaTheme="majorEastAsia" w:hAnsi="Arial Narrow" w:cstheme="majorBidi"/>
                <w:bCs/>
                <w:sz w:val="20"/>
                <w:lang w:val="en-US"/>
              </w:rPr>
              <w:t>)</w:t>
            </w:r>
            <w:r w:rsidR="00F65189" w:rsidRPr="00F55938">
              <w:rPr>
                <w:rFonts w:ascii="Arial Narrow" w:eastAsiaTheme="majorEastAsia" w:hAnsi="Arial Narrow" w:cstheme="majorBidi"/>
                <w:bCs/>
                <w:sz w:val="20"/>
                <w:lang w:val="en-US"/>
              </w:rPr>
              <w:t xml:space="preserve">. </w:t>
            </w:r>
          </w:p>
          <w:p w14:paraId="61FEEF85" w14:textId="0A0A0AD4" w:rsidR="007F5816" w:rsidRPr="00F55938" w:rsidRDefault="007F5816" w:rsidP="007F5816">
            <w:pPr>
              <w:keepNext/>
              <w:jc w:val="left"/>
              <w:rPr>
                <w:rFonts w:ascii="Arial Narrow" w:eastAsiaTheme="majorEastAsia" w:hAnsi="Arial Narrow" w:cstheme="majorBidi"/>
                <w:bCs/>
                <w:sz w:val="20"/>
                <w:lang w:val="en-US"/>
              </w:rPr>
            </w:pPr>
          </w:p>
        </w:tc>
        <w:tc>
          <w:tcPr>
            <w:tcW w:w="0" w:type="auto"/>
            <w:shd w:val="clear" w:color="auto" w:fill="auto"/>
            <w:vAlign w:val="center"/>
          </w:tcPr>
          <w:p w14:paraId="0C379949" w14:textId="77777777"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 xml:space="preserve">High, favours vedolizumab. </w:t>
            </w:r>
          </w:p>
          <w:p w14:paraId="4C004270" w14:textId="77777777" w:rsidR="007F5816" w:rsidRPr="00F55938" w:rsidRDefault="007F5816" w:rsidP="007F5816">
            <w:pPr>
              <w:keepNext/>
              <w:jc w:val="left"/>
              <w:rPr>
                <w:rFonts w:ascii="Arial Narrow" w:eastAsiaTheme="majorEastAsia" w:hAnsi="Arial Narrow" w:cstheme="majorBidi"/>
                <w:bCs/>
                <w:sz w:val="20"/>
                <w:lang w:val="en-US"/>
              </w:rPr>
            </w:pPr>
          </w:p>
          <w:p w14:paraId="41019004" w14:textId="4163C3F0"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The use of the mPDAI-defined response outcome</w:t>
            </w:r>
            <w:r w:rsidR="008F1132" w:rsidRPr="00F55938">
              <w:rPr>
                <w:rFonts w:ascii="Arial Narrow" w:eastAsiaTheme="majorEastAsia" w:hAnsi="Arial Narrow" w:cstheme="majorBidi"/>
                <w:bCs/>
                <w:sz w:val="20"/>
                <w:lang w:val="en-US"/>
              </w:rPr>
              <w:t xml:space="preserve"> from </w:t>
            </w:r>
            <w:r w:rsidR="00277410" w:rsidRPr="00F55938">
              <w:rPr>
                <w:rFonts w:ascii="Arial Narrow" w:eastAsiaTheme="majorEastAsia" w:hAnsi="Arial Narrow" w:cstheme="majorBidi"/>
                <w:bCs/>
                <w:sz w:val="20"/>
                <w:lang w:val="en-US"/>
              </w:rPr>
              <w:t>14</w:t>
            </w:r>
            <w:r w:rsidR="008F1132" w:rsidRPr="00F55938">
              <w:rPr>
                <w:rFonts w:ascii="Arial Narrow" w:eastAsiaTheme="majorEastAsia" w:hAnsi="Arial Narrow" w:cstheme="majorBidi"/>
                <w:bCs/>
                <w:sz w:val="20"/>
                <w:lang w:val="en-US"/>
              </w:rPr>
              <w:t xml:space="preserve"> weeks</w:t>
            </w:r>
            <w:r w:rsidRPr="00F55938">
              <w:rPr>
                <w:rFonts w:ascii="Arial Narrow" w:eastAsiaTheme="majorEastAsia" w:hAnsi="Arial Narrow" w:cstheme="majorBidi"/>
                <w:bCs/>
                <w:sz w:val="20"/>
                <w:lang w:val="en-US"/>
              </w:rPr>
              <w:t xml:space="preserve"> </w:t>
            </w:r>
            <w:r w:rsidR="00F85854" w:rsidRPr="00F55938">
              <w:rPr>
                <w:rFonts w:ascii="Arial Narrow" w:eastAsiaTheme="majorEastAsia" w:hAnsi="Arial Narrow" w:cstheme="majorBidi"/>
                <w:bCs/>
                <w:sz w:val="20"/>
                <w:lang w:val="en-US"/>
              </w:rPr>
              <w:t xml:space="preserve">(an example of a </w:t>
            </w:r>
            <w:r w:rsidR="00C07BEE" w:rsidRPr="00F55938">
              <w:rPr>
                <w:rFonts w:ascii="Arial Narrow" w:eastAsiaTheme="majorEastAsia" w:hAnsi="Arial Narrow" w:cstheme="majorBidi"/>
                <w:bCs/>
                <w:sz w:val="20"/>
                <w:lang w:val="en-US"/>
              </w:rPr>
              <w:t xml:space="preserve">different </w:t>
            </w:r>
            <w:r w:rsidR="00F85854" w:rsidRPr="00F55938">
              <w:rPr>
                <w:rFonts w:ascii="Arial Narrow" w:eastAsiaTheme="majorEastAsia" w:hAnsi="Arial Narrow" w:cstheme="majorBidi"/>
                <w:bCs/>
                <w:sz w:val="20"/>
                <w:lang w:val="en-US"/>
              </w:rPr>
              <w:t xml:space="preserve">response criteria) </w:t>
            </w:r>
            <w:r w:rsidRPr="00F55938">
              <w:rPr>
                <w:rFonts w:ascii="Arial Narrow" w:eastAsiaTheme="majorEastAsia" w:hAnsi="Arial Narrow" w:cstheme="majorBidi"/>
                <w:bCs/>
                <w:sz w:val="20"/>
                <w:lang w:val="en-US"/>
              </w:rPr>
              <w:t xml:space="preserve">increased the ICER to </w:t>
            </w:r>
            <w:r w:rsidR="00277410" w:rsidRPr="00F55938">
              <w:rPr>
                <w:rFonts w:ascii="Arial Narrow" w:eastAsiaTheme="majorEastAsia" w:hAnsi="Arial Narrow" w:cstheme="majorBidi"/>
                <w:bCs/>
                <w:sz w:val="20"/>
                <w:lang w:val="en-US"/>
              </w:rPr>
              <w:t>$</w:t>
            </w:r>
            <w:r w:rsidR="00DC1AEB" w:rsidRPr="00DC1AEB">
              <w:rPr>
                <w:rFonts w:ascii="Arial Narrow" w:eastAsiaTheme="majorEastAsia" w:hAnsi="Arial Narrow" w:cstheme="majorBidi"/>
                <w:bCs/>
                <w:color w:val="000000"/>
                <w:spacing w:val="53"/>
                <w:sz w:val="20"/>
                <w:shd w:val="solid" w:color="000000" w:fill="000000"/>
                <w:fitText w:val="330" w:id="-894165749"/>
                <w:lang w:val="en-US"/>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330" w:id="-894165749"/>
                <w:lang w:val="en-US"/>
                <w14:textFill>
                  <w14:solidFill>
                    <w14:srgbClr w14:val="000000">
                      <w14:alpha w14:val="100000"/>
                    </w14:srgbClr>
                  </w14:solidFill>
                </w14:textFill>
              </w:rPr>
              <w:t>|</w:t>
            </w:r>
            <w:r w:rsidR="00CD2148" w:rsidRPr="00CD2148">
              <w:rPr>
                <w:rFonts w:ascii="Arial Narrow" w:eastAsiaTheme="majorEastAsia" w:hAnsi="Arial Narrow" w:cstheme="majorBidi"/>
                <w:bCs/>
                <w:sz w:val="20"/>
                <w:vertAlign w:val="superscript"/>
                <w:lang w:val="en-US"/>
              </w:rPr>
              <w:t>2</w:t>
            </w:r>
            <w:r w:rsidRPr="00F55938">
              <w:rPr>
                <w:rFonts w:ascii="Arial Narrow" w:eastAsiaTheme="majorEastAsia" w:hAnsi="Arial Narrow" w:cstheme="majorBidi"/>
                <w:bCs/>
                <w:sz w:val="20"/>
                <w:lang w:val="en-US"/>
              </w:rPr>
              <w:t>/QALY gained (+</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008E5D18" w:rsidRPr="008E5D18">
              <w:rPr>
                <w:rFonts w:ascii="Arial Narrow" w:eastAsiaTheme="majorEastAsia" w:hAnsi="Arial Narrow"/>
                <w:b/>
                <w:color w:val="000000"/>
                <w:w w:val="22"/>
                <w:sz w:val="20"/>
                <w:szCs w:val="20"/>
                <w:shd w:val="solid" w:color="000000" w:fill="000000"/>
                <w:fitText w:val="100" w:id="-894165750"/>
                <w:lang w:val="en-US"/>
                <w14:textFill>
                  <w14:solidFill>
                    <w14:srgbClr w14:val="000000">
                      <w14:alpha w14:val="100000"/>
                    </w14:srgbClr>
                  </w14:solidFill>
                </w14:textFill>
              </w:rPr>
              <w:t>|</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Pr="00F55938">
              <w:rPr>
                <w:rFonts w:ascii="Arial Narrow" w:eastAsiaTheme="majorEastAsia" w:hAnsi="Arial Narrow" w:cstheme="majorBidi"/>
                <w:bCs/>
                <w:sz w:val="20"/>
                <w:lang w:val="en-US"/>
              </w:rPr>
              <w:t xml:space="preserve">%). </w:t>
            </w:r>
          </w:p>
        </w:tc>
      </w:tr>
      <w:tr w:rsidR="00AA1F35" w:rsidRPr="00F55938" w14:paraId="1255E4AB" w14:textId="77777777">
        <w:tc>
          <w:tcPr>
            <w:tcW w:w="0" w:type="auto"/>
            <w:shd w:val="clear" w:color="auto" w:fill="auto"/>
            <w:vAlign w:val="center"/>
          </w:tcPr>
          <w:p w14:paraId="0C720A22" w14:textId="77777777"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Health state costs</w:t>
            </w:r>
          </w:p>
        </w:tc>
        <w:tc>
          <w:tcPr>
            <w:tcW w:w="0" w:type="auto"/>
            <w:shd w:val="clear" w:color="auto" w:fill="auto"/>
            <w:vAlign w:val="center"/>
          </w:tcPr>
          <w:p w14:paraId="0DFB7087" w14:textId="77777777" w:rsidR="007F5816" w:rsidRPr="00F55938" w:rsidRDefault="007F5816" w:rsidP="007F5816">
            <w:pPr>
              <w:jc w:val="left"/>
              <w:rPr>
                <w:rFonts w:ascii="Arial Narrow" w:hAnsi="Arial Narrow" w:cs="Times New Roman"/>
                <w:snapToGrid w:val="0"/>
                <w:sz w:val="20"/>
              </w:rPr>
            </w:pPr>
            <w:r w:rsidRPr="00F55938">
              <w:rPr>
                <w:rFonts w:ascii="Arial Narrow" w:hAnsi="Arial Narrow" w:cs="Times New Roman"/>
                <w:snapToGrid w:val="0"/>
                <w:sz w:val="20"/>
              </w:rPr>
              <w:t xml:space="preserve">Costs applied in the model are presented in the table below.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72"/>
              <w:gridCol w:w="1168"/>
              <w:gridCol w:w="1117"/>
            </w:tblGrid>
            <w:tr w:rsidR="00AA1F35" w:rsidRPr="00F55938" w14:paraId="26E7A50E" w14:textId="77777777">
              <w:tc>
                <w:tcPr>
                  <w:tcW w:w="0" w:type="auto"/>
                  <w:shd w:val="clear" w:color="auto" w:fill="auto"/>
                </w:tcPr>
                <w:p w14:paraId="0218AB09" w14:textId="77777777" w:rsidR="007F5816" w:rsidRPr="00F55938" w:rsidRDefault="007F5816" w:rsidP="007F5816">
                  <w:pPr>
                    <w:keepNext/>
                    <w:keepLines/>
                    <w:suppressLineNumbers/>
                    <w:spacing w:after="20"/>
                    <w:jc w:val="left"/>
                    <w:textboxTightWrap w:val="allLines"/>
                    <w:rPr>
                      <w:rFonts w:ascii="Arial Narrow" w:hAnsi="Arial Narrow"/>
                      <w:b/>
                      <w:sz w:val="20"/>
                      <w:lang w:eastAsia="en-GB"/>
                    </w:rPr>
                  </w:pPr>
                  <w:r w:rsidRPr="00F55938">
                    <w:rPr>
                      <w:rFonts w:ascii="Arial Narrow" w:hAnsi="Arial Narrow"/>
                      <w:b/>
                      <w:sz w:val="20"/>
                      <w:lang w:eastAsia="en-GB"/>
                    </w:rPr>
                    <w:t>Health state</w:t>
                  </w:r>
                </w:p>
              </w:tc>
              <w:tc>
                <w:tcPr>
                  <w:tcW w:w="0" w:type="auto"/>
                  <w:shd w:val="clear" w:color="auto" w:fill="auto"/>
                </w:tcPr>
                <w:p w14:paraId="07663065" w14:textId="77777777" w:rsidR="007F5816" w:rsidRPr="00F55938" w:rsidRDefault="007F5816" w:rsidP="007F5816">
                  <w:pPr>
                    <w:keepNext/>
                    <w:keepLines/>
                    <w:suppressLineNumbers/>
                    <w:spacing w:after="20"/>
                    <w:jc w:val="center"/>
                    <w:textboxTightWrap w:val="allLines"/>
                    <w:rPr>
                      <w:rFonts w:ascii="Arial Narrow" w:hAnsi="Arial Narrow"/>
                      <w:b/>
                      <w:sz w:val="20"/>
                      <w:lang w:eastAsia="en-GB"/>
                    </w:rPr>
                  </w:pPr>
                  <w:r w:rsidRPr="00F55938">
                    <w:rPr>
                      <w:rFonts w:ascii="Arial Narrow" w:hAnsi="Arial Narrow"/>
                      <w:b/>
                      <w:sz w:val="20"/>
                      <w:lang w:eastAsia="en-GB"/>
                    </w:rPr>
                    <w:t>Base case</w:t>
                  </w:r>
                </w:p>
              </w:tc>
              <w:tc>
                <w:tcPr>
                  <w:tcW w:w="0" w:type="auto"/>
                  <w:gridSpan w:val="2"/>
                </w:tcPr>
                <w:p w14:paraId="765B480A" w14:textId="77777777" w:rsidR="007F5816" w:rsidRPr="00F55938" w:rsidRDefault="007F5816" w:rsidP="007F5816">
                  <w:pPr>
                    <w:keepNext/>
                    <w:keepLines/>
                    <w:suppressLineNumbers/>
                    <w:spacing w:after="20"/>
                    <w:jc w:val="center"/>
                    <w:textboxTightWrap w:val="allLines"/>
                    <w:rPr>
                      <w:rFonts w:ascii="Arial Narrow" w:hAnsi="Arial Narrow"/>
                      <w:b/>
                      <w:sz w:val="20"/>
                      <w:lang w:eastAsia="en-GB"/>
                    </w:rPr>
                  </w:pPr>
                  <w:r w:rsidRPr="00F55938">
                    <w:rPr>
                      <w:rFonts w:ascii="Arial Narrow" w:hAnsi="Arial Narrow"/>
                      <w:b/>
                      <w:sz w:val="20"/>
                      <w:lang w:eastAsia="en-GB"/>
                    </w:rPr>
                    <w:t>Applied in sensitivity analyses</w:t>
                  </w:r>
                </w:p>
              </w:tc>
            </w:tr>
            <w:tr w:rsidR="00AA1F35" w:rsidRPr="00F55938" w14:paraId="35786832" w14:textId="77777777">
              <w:tc>
                <w:tcPr>
                  <w:tcW w:w="0" w:type="auto"/>
                  <w:shd w:val="clear" w:color="auto" w:fill="auto"/>
                </w:tcPr>
                <w:p w14:paraId="1FB3D757" w14:textId="77777777" w:rsidR="007F5816" w:rsidRPr="00F55938" w:rsidRDefault="007F5816" w:rsidP="007F5816">
                  <w:pPr>
                    <w:keepNext/>
                    <w:keepLines/>
                    <w:suppressLineNumbers/>
                    <w:spacing w:after="20"/>
                    <w:jc w:val="left"/>
                    <w:textboxTightWrap w:val="allLines"/>
                    <w:rPr>
                      <w:rFonts w:ascii="Arial Narrow" w:hAnsi="Arial Narrow"/>
                      <w:b/>
                      <w:sz w:val="20"/>
                      <w:lang w:eastAsia="en-GB"/>
                    </w:rPr>
                  </w:pPr>
                </w:p>
              </w:tc>
              <w:tc>
                <w:tcPr>
                  <w:tcW w:w="0" w:type="auto"/>
                  <w:shd w:val="clear" w:color="auto" w:fill="auto"/>
                </w:tcPr>
                <w:p w14:paraId="5158E27F" w14:textId="77777777" w:rsidR="007F5816" w:rsidRPr="00F55938" w:rsidRDefault="007F5816" w:rsidP="007F5816">
                  <w:pPr>
                    <w:keepNext/>
                    <w:keepLines/>
                    <w:suppressLineNumbers/>
                    <w:spacing w:after="20"/>
                    <w:jc w:val="center"/>
                    <w:textboxTightWrap w:val="allLines"/>
                    <w:rPr>
                      <w:rFonts w:ascii="Arial Narrow" w:hAnsi="Arial Narrow"/>
                      <w:b/>
                      <w:sz w:val="20"/>
                      <w:lang w:eastAsia="en-GB"/>
                    </w:rPr>
                  </w:pPr>
                  <w:r w:rsidRPr="00F55938">
                    <w:rPr>
                      <w:rFonts w:ascii="Arial Narrow" w:hAnsi="Arial Narrow"/>
                      <w:b/>
                      <w:sz w:val="20"/>
                      <w:lang w:eastAsia="en-GB"/>
                    </w:rPr>
                    <w:t>Tsai (2008)</w:t>
                  </w:r>
                </w:p>
              </w:tc>
              <w:tc>
                <w:tcPr>
                  <w:tcW w:w="0" w:type="auto"/>
                </w:tcPr>
                <w:p w14:paraId="59F5FD53" w14:textId="77777777" w:rsidR="007F5816" w:rsidRPr="00F55938" w:rsidRDefault="007F5816" w:rsidP="007F5816">
                  <w:pPr>
                    <w:keepNext/>
                    <w:keepLines/>
                    <w:suppressLineNumbers/>
                    <w:spacing w:after="20"/>
                    <w:jc w:val="center"/>
                    <w:textboxTightWrap w:val="allLines"/>
                    <w:rPr>
                      <w:rFonts w:ascii="Arial Narrow" w:hAnsi="Arial Narrow"/>
                      <w:b/>
                      <w:sz w:val="20"/>
                      <w:lang w:eastAsia="en-GB"/>
                    </w:rPr>
                  </w:pPr>
                  <w:r w:rsidRPr="00F55938">
                    <w:rPr>
                      <w:rFonts w:ascii="Arial Narrow" w:hAnsi="Arial Narrow"/>
                      <w:b/>
                      <w:sz w:val="20"/>
                      <w:lang w:eastAsia="en-GB"/>
                    </w:rPr>
                    <w:t>Holubar (2012)</w:t>
                  </w:r>
                </w:p>
              </w:tc>
              <w:tc>
                <w:tcPr>
                  <w:tcW w:w="0" w:type="auto"/>
                </w:tcPr>
                <w:p w14:paraId="4D04352A" w14:textId="77777777" w:rsidR="007F5816" w:rsidRPr="00F55938" w:rsidRDefault="007F5816" w:rsidP="007F5816">
                  <w:pPr>
                    <w:keepNext/>
                    <w:keepLines/>
                    <w:suppressLineNumbers/>
                    <w:spacing w:after="20"/>
                    <w:jc w:val="center"/>
                    <w:textboxTightWrap w:val="allLines"/>
                    <w:rPr>
                      <w:rFonts w:ascii="Arial Narrow" w:hAnsi="Arial Narrow"/>
                      <w:b/>
                      <w:sz w:val="20"/>
                      <w:lang w:eastAsia="en-GB"/>
                    </w:rPr>
                  </w:pPr>
                  <w:r w:rsidRPr="00F55938">
                    <w:rPr>
                      <w:rFonts w:ascii="Arial Narrow" w:hAnsi="Arial Narrow"/>
                      <w:b/>
                      <w:sz w:val="20"/>
                      <w:lang w:eastAsia="en-GB"/>
                    </w:rPr>
                    <w:t>Barnes (2022)</w:t>
                  </w:r>
                </w:p>
              </w:tc>
            </w:tr>
            <w:tr w:rsidR="00AA1F35" w:rsidRPr="00F55938" w14:paraId="71FA2787" w14:textId="77777777">
              <w:tc>
                <w:tcPr>
                  <w:tcW w:w="0" w:type="auto"/>
                  <w:shd w:val="clear" w:color="auto" w:fill="auto"/>
                </w:tcPr>
                <w:p w14:paraId="67421B21" w14:textId="77777777" w:rsidR="007F5816" w:rsidRPr="00F55938" w:rsidRDefault="007F5816" w:rsidP="007F5816">
                  <w:pPr>
                    <w:keepNext/>
                    <w:keepLines/>
                    <w:suppressLineNumbers/>
                    <w:spacing w:after="20"/>
                    <w:jc w:val="left"/>
                    <w:textboxTightWrap w:val="allLines"/>
                    <w:rPr>
                      <w:rFonts w:ascii="Arial Narrow" w:hAnsi="Arial Narrow"/>
                      <w:sz w:val="20"/>
                      <w:lang w:eastAsia="en-GB"/>
                    </w:rPr>
                  </w:pPr>
                  <w:r w:rsidRPr="00F55938">
                    <w:rPr>
                      <w:rFonts w:ascii="Arial Narrow" w:hAnsi="Arial Narrow"/>
                      <w:sz w:val="20"/>
                      <w:lang w:eastAsia="en-GB"/>
                    </w:rPr>
                    <w:t>Remission</w:t>
                  </w:r>
                </w:p>
              </w:tc>
              <w:tc>
                <w:tcPr>
                  <w:tcW w:w="0" w:type="auto"/>
                  <w:shd w:val="clear" w:color="auto" w:fill="auto"/>
                </w:tcPr>
                <w:p w14:paraId="6E17C070" w14:textId="77777777" w:rsidR="007F5816" w:rsidRPr="00F55938" w:rsidRDefault="007F5816" w:rsidP="007F5816">
                  <w:pPr>
                    <w:keepNext/>
                    <w:keepLines/>
                    <w:suppressLineNumbers/>
                    <w:spacing w:after="20"/>
                    <w:jc w:val="center"/>
                    <w:textboxTightWrap w:val="allLines"/>
                    <w:rPr>
                      <w:rFonts w:ascii="Arial Narrow" w:hAnsi="Arial Narrow"/>
                      <w:sz w:val="20"/>
                      <w:lang w:eastAsia="en-GB"/>
                    </w:rPr>
                  </w:pPr>
                  <w:r w:rsidRPr="00F55938">
                    <w:rPr>
                      <w:rFonts w:ascii="Arial Narrow" w:hAnsi="Arial Narrow"/>
                      <w:sz w:val="20"/>
                      <w:lang w:eastAsia="en-GB"/>
                    </w:rPr>
                    <w:t>$2,753</w:t>
                  </w:r>
                </w:p>
              </w:tc>
              <w:tc>
                <w:tcPr>
                  <w:tcW w:w="0" w:type="auto"/>
                </w:tcPr>
                <w:p w14:paraId="203E87C5" w14:textId="77777777" w:rsidR="007F5816" w:rsidRPr="00F55938" w:rsidRDefault="007F5816" w:rsidP="007F5816">
                  <w:pPr>
                    <w:keepNext/>
                    <w:keepLines/>
                    <w:suppressLineNumbers/>
                    <w:spacing w:after="20"/>
                    <w:jc w:val="center"/>
                    <w:textboxTightWrap w:val="allLines"/>
                    <w:rPr>
                      <w:rFonts w:ascii="Arial Narrow" w:hAnsi="Arial Narrow"/>
                      <w:sz w:val="20"/>
                      <w:lang w:eastAsia="en-GB"/>
                    </w:rPr>
                  </w:pPr>
                  <w:r w:rsidRPr="00F55938">
                    <w:rPr>
                      <w:rFonts w:ascii="Arial Narrow" w:hAnsi="Arial Narrow"/>
                      <w:sz w:val="20"/>
                      <w:lang w:eastAsia="en-GB"/>
                    </w:rPr>
                    <w:t>$5,818</w:t>
                  </w:r>
                </w:p>
              </w:tc>
              <w:tc>
                <w:tcPr>
                  <w:tcW w:w="0" w:type="auto"/>
                </w:tcPr>
                <w:p w14:paraId="19EB4671" w14:textId="77777777" w:rsidR="007F5816" w:rsidRPr="00F55938" w:rsidRDefault="007F5816" w:rsidP="007F5816">
                  <w:pPr>
                    <w:keepNext/>
                    <w:keepLines/>
                    <w:suppressLineNumbers/>
                    <w:spacing w:after="20"/>
                    <w:jc w:val="center"/>
                    <w:textboxTightWrap w:val="allLines"/>
                    <w:rPr>
                      <w:rFonts w:ascii="Arial Narrow" w:hAnsi="Arial Narrow"/>
                      <w:sz w:val="20"/>
                      <w:lang w:eastAsia="en-GB"/>
                    </w:rPr>
                  </w:pPr>
                  <w:r w:rsidRPr="00F55938">
                    <w:rPr>
                      <w:rFonts w:ascii="Arial Narrow" w:hAnsi="Arial Narrow"/>
                      <w:sz w:val="20"/>
                      <w:lang w:eastAsia="en-GB"/>
                    </w:rPr>
                    <w:t>$20,336</w:t>
                  </w:r>
                </w:p>
              </w:tc>
            </w:tr>
            <w:tr w:rsidR="00AA1F35" w:rsidRPr="00F55938" w14:paraId="5EB0F277" w14:textId="77777777">
              <w:tc>
                <w:tcPr>
                  <w:tcW w:w="0" w:type="auto"/>
                  <w:shd w:val="clear" w:color="auto" w:fill="auto"/>
                </w:tcPr>
                <w:p w14:paraId="24CB5504" w14:textId="77777777" w:rsidR="007F5816" w:rsidRPr="00F55938" w:rsidRDefault="007F5816" w:rsidP="007F5816">
                  <w:pPr>
                    <w:keepNext/>
                    <w:keepLines/>
                    <w:suppressLineNumbers/>
                    <w:spacing w:after="20"/>
                    <w:jc w:val="left"/>
                    <w:textboxTightWrap w:val="allLines"/>
                    <w:rPr>
                      <w:rFonts w:ascii="Arial Narrow" w:hAnsi="Arial Narrow"/>
                      <w:sz w:val="20"/>
                      <w:lang w:eastAsia="en-GB"/>
                    </w:rPr>
                  </w:pPr>
                  <w:r w:rsidRPr="00F55938">
                    <w:rPr>
                      <w:rFonts w:ascii="Arial Narrow" w:hAnsi="Arial Narrow"/>
                      <w:sz w:val="20"/>
                      <w:lang w:eastAsia="en-GB"/>
                    </w:rPr>
                    <w:t>Response (w/o remission)</w:t>
                  </w:r>
                </w:p>
              </w:tc>
              <w:tc>
                <w:tcPr>
                  <w:tcW w:w="0" w:type="auto"/>
                  <w:shd w:val="clear" w:color="auto" w:fill="auto"/>
                </w:tcPr>
                <w:p w14:paraId="27892E61" w14:textId="77777777" w:rsidR="007F5816" w:rsidRPr="00F55938" w:rsidRDefault="007F5816" w:rsidP="007F5816">
                  <w:pPr>
                    <w:keepNext/>
                    <w:keepLines/>
                    <w:suppressLineNumbers/>
                    <w:spacing w:after="20"/>
                    <w:jc w:val="center"/>
                    <w:textboxTightWrap w:val="allLines"/>
                    <w:rPr>
                      <w:rFonts w:ascii="Arial Narrow" w:hAnsi="Arial Narrow"/>
                      <w:sz w:val="20"/>
                      <w:vertAlign w:val="superscript"/>
                      <w:lang w:eastAsia="en-GB"/>
                    </w:rPr>
                  </w:pPr>
                  <w:r w:rsidRPr="00F55938">
                    <w:rPr>
                      <w:rFonts w:ascii="Arial Narrow" w:hAnsi="Arial Narrow"/>
                      <w:sz w:val="20"/>
                      <w:lang w:eastAsia="en-GB"/>
                    </w:rPr>
                    <w:t>$7,415</w:t>
                  </w:r>
                </w:p>
              </w:tc>
              <w:tc>
                <w:tcPr>
                  <w:tcW w:w="0" w:type="auto"/>
                </w:tcPr>
                <w:p w14:paraId="54C5145B" w14:textId="77777777" w:rsidR="007F5816" w:rsidRPr="00F55938" w:rsidRDefault="007F5816" w:rsidP="007F5816">
                  <w:pPr>
                    <w:jc w:val="center"/>
                    <w:rPr>
                      <w:rFonts w:ascii="Arial Narrow" w:hAnsi="Arial Narrow" w:cs="Times New Roman"/>
                      <w:snapToGrid w:val="0"/>
                      <w:sz w:val="20"/>
                    </w:rPr>
                  </w:pPr>
                  <w:r w:rsidRPr="00F55938">
                    <w:rPr>
                      <w:rFonts w:ascii="Arial Narrow" w:hAnsi="Arial Narrow" w:cs="Times New Roman"/>
                      <w:snapToGrid w:val="0"/>
                      <w:sz w:val="20"/>
                    </w:rPr>
                    <w:t>$11,154</w:t>
                  </w:r>
                </w:p>
              </w:tc>
              <w:tc>
                <w:tcPr>
                  <w:tcW w:w="0" w:type="auto"/>
                </w:tcPr>
                <w:p w14:paraId="27AACE16" w14:textId="77777777" w:rsidR="007F5816" w:rsidRPr="00F55938" w:rsidRDefault="007F5816" w:rsidP="007F5816">
                  <w:pPr>
                    <w:jc w:val="center"/>
                    <w:rPr>
                      <w:rFonts w:ascii="Arial Narrow" w:hAnsi="Arial Narrow" w:cs="Times New Roman"/>
                      <w:snapToGrid w:val="0"/>
                      <w:sz w:val="20"/>
                    </w:rPr>
                  </w:pPr>
                  <w:r w:rsidRPr="00F55938">
                    <w:rPr>
                      <w:rFonts w:ascii="Arial Narrow" w:hAnsi="Arial Narrow" w:cs="Times New Roman"/>
                      <w:snapToGrid w:val="0"/>
                      <w:sz w:val="20"/>
                    </w:rPr>
                    <w:t>$26,216</w:t>
                  </w:r>
                  <w:r w:rsidRPr="00F55938">
                    <w:rPr>
                      <w:rFonts w:ascii="Arial Narrow" w:hAnsi="Arial Narrow" w:cs="Times New Roman"/>
                      <w:snapToGrid w:val="0"/>
                      <w:sz w:val="20"/>
                      <w:vertAlign w:val="superscript"/>
                    </w:rPr>
                    <w:t xml:space="preserve"> </w:t>
                  </w:r>
                </w:p>
              </w:tc>
            </w:tr>
            <w:tr w:rsidR="00AA1F35" w:rsidRPr="00F55938" w14:paraId="65FCD9E4" w14:textId="77777777">
              <w:tc>
                <w:tcPr>
                  <w:tcW w:w="0" w:type="auto"/>
                  <w:shd w:val="clear" w:color="auto" w:fill="auto"/>
                </w:tcPr>
                <w:p w14:paraId="45529C37" w14:textId="77777777" w:rsidR="007F5816" w:rsidRPr="00F55938" w:rsidRDefault="007F5816" w:rsidP="007F5816">
                  <w:pPr>
                    <w:keepNext/>
                    <w:keepLines/>
                    <w:suppressLineNumbers/>
                    <w:spacing w:after="20"/>
                    <w:jc w:val="left"/>
                    <w:textboxTightWrap w:val="allLines"/>
                    <w:rPr>
                      <w:rFonts w:ascii="Arial Narrow" w:hAnsi="Arial Narrow"/>
                      <w:sz w:val="20"/>
                      <w:lang w:eastAsia="en-GB"/>
                    </w:rPr>
                  </w:pPr>
                  <w:r w:rsidRPr="00F55938">
                    <w:rPr>
                      <w:rFonts w:ascii="Arial Narrow" w:hAnsi="Arial Narrow"/>
                      <w:sz w:val="20"/>
                      <w:lang w:eastAsia="en-GB"/>
                    </w:rPr>
                    <w:t>No response</w:t>
                  </w:r>
                </w:p>
              </w:tc>
              <w:tc>
                <w:tcPr>
                  <w:tcW w:w="0" w:type="auto"/>
                  <w:shd w:val="clear" w:color="auto" w:fill="auto"/>
                </w:tcPr>
                <w:p w14:paraId="0D3FD3C8" w14:textId="77777777" w:rsidR="007F5816" w:rsidRPr="00F55938" w:rsidRDefault="007F5816" w:rsidP="007F5816">
                  <w:pPr>
                    <w:keepNext/>
                    <w:keepLines/>
                    <w:suppressLineNumbers/>
                    <w:spacing w:after="20"/>
                    <w:jc w:val="center"/>
                    <w:textboxTightWrap w:val="allLines"/>
                    <w:rPr>
                      <w:rFonts w:ascii="Arial Narrow" w:hAnsi="Arial Narrow"/>
                      <w:sz w:val="20"/>
                      <w:lang w:eastAsia="en-GB"/>
                    </w:rPr>
                  </w:pPr>
                  <w:r w:rsidRPr="00F55938">
                    <w:rPr>
                      <w:rFonts w:ascii="Arial Narrow" w:hAnsi="Arial Narrow"/>
                      <w:sz w:val="20"/>
                      <w:lang w:eastAsia="en-GB"/>
                    </w:rPr>
                    <w:t>$12,078</w:t>
                  </w:r>
                </w:p>
              </w:tc>
              <w:tc>
                <w:tcPr>
                  <w:tcW w:w="0" w:type="auto"/>
                </w:tcPr>
                <w:p w14:paraId="64AC656A" w14:textId="77777777" w:rsidR="007F5816" w:rsidRPr="00F55938" w:rsidRDefault="007F5816" w:rsidP="007F5816">
                  <w:pPr>
                    <w:jc w:val="center"/>
                    <w:rPr>
                      <w:rFonts w:ascii="Arial Narrow" w:hAnsi="Arial Narrow" w:cs="Times New Roman"/>
                      <w:snapToGrid w:val="0"/>
                      <w:sz w:val="20"/>
                    </w:rPr>
                  </w:pPr>
                  <w:r w:rsidRPr="00F55938">
                    <w:rPr>
                      <w:rFonts w:ascii="Arial Narrow" w:hAnsi="Arial Narrow" w:cs="Times New Roman"/>
                      <w:snapToGrid w:val="0"/>
                      <w:sz w:val="20"/>
                    </w:rPr>
                    <w:t>$16,489</w:t>
                  </w:r>
                </w:p>
              </w:tc>
              <w:tc>
                <w:tcPr>
                  <w:tcW w:w="0" w:type="auto"/>
                </w:tcPr>
                <w:p w14:paraId="44BB7178" w14:textId="77777777" w:rsidR="007F5816" w:rsidRPr="00F55938" w:rsidRDefault="007F5816" w:rsidP="007F5816">
                  <w:pPr>
                    <w:jc w:val="center"/>
                    <w:rPr>
                      <w:rFonts w:ascii="Arial Narrow" w:hAnsi="Arial Narrow" w:cs="Times New Roman"/>
                      <w:snapToGrid w:val="0"/>
                      <w:sz w:val="20"/>
                    </w:rPr>
                  </w:pPr>
                  <w:r w:rsidRPr="00F55938">
                    <w:rPr>
                      <w:rFonts w:ascii="Arial Narrow" w:hAnsi="Arial Narrow" w:cs="Times New Roman"/>
                      <w:snapToGrid w:val="0"/>
                      <w:sz w:val="20"/>
                    </w:rPr>
                    <w:t>$32,096</w:t>
                  </w:r>
                </w:p>
              </w:tc>
            </w:tr>
            <w:tr w:rsidR="00AA1F35" w:rsidRPr="00F55938" w14:paraId="57AB4E6E" w14:textId="77777777">
              <w:tc>
                <w:tcPr>
                  <w:tcW w:w="0" w:type="auto"/>
                  <w:shd w:val="clear" w:color="auto" w:fill="auto"/>
                </w:tcPr>
                <w:p w14:paraId="303FDCBE" w14:textId="77777777" w:rsidR="007F5816" w:rsidRPr="00F55938" w:rsidRDefault="007F5816" w:rsidP="007F5816">
                  <w:pPr>
                    <w:keepNext/>
                    <w:keepLines/>
                    <w:suppressLineNumbers/>
                    <w:spacing w:after="20"/>
                    <w:jc w:val="left"/>
                    <w:textboxTightWrap w:val="allLines"/>
                    <w:rPr>
                      <w:rFonts w:ascii="Arial Narrow" w:hAnsi="Arial Narrow"/>
                      <w:sz w:val="20"/>
                      <w:lang w:eastAsia="en-GB"/>
                    </w:rPr>
                  </w:pPr>
                  <w:r w:rsidRPr="00F55938">
                    <w:rPr>
                      <w:rFonts w:ascii="Arial Narrow" w:hAnsi="Arial Narrow"/>
                      <w:sz w:val="20"/>
                      <w:lang w:eastAsia="en-GB"/>
                    </w:rPr>
                    <w:t>Post-pouch failure</w:t>
                  </w:r>
                </w:p>
              </w:tc>
              <w:tc>
                <w:tcPr>
                  <w:tcW w:w="0" w:type="auto"/>
                  <w:shd w:val="clear" w:color="auto" w:fill="auto"/>
                </w:tcPr>
                <w:p w14:paraId="1D04217E" w14:textId="77777777" w:rsidR="007F5816" w:rsidRPr="00F55938" w:rsidRDefault="007F5816" w:rsidP="007F5816">
                  <w:pPr>
                    <w:jc w:val="center"/>
                    <w:rPr>
                      <w:rFonts w:ascii="Arial Narrow" w:hAnsi="Arial Narrow" w:cs="Times New Roman"/>
                      <w:snapToGrid w:val="0"/>
                      <w:sz w:val="20"/>
                    </w:rPr>
                  </w:pPr>
                  <w:r w:rsidRPr="00F55938">
                    <w:rPr>
                      <w:rFonts w:ascii="Arial Narrow" w:hAnsi="Arial Narrow" w:cs="Times New Roman"/>
                      <w:snapToGrid w:val="0"/>
                      <w:sz w:val="20"/>
                    </w:rPr>
                    <w:t>$12,078</w:t>
                  </w:r>
                </w:p>
              </w:tc>
              <w:tc>
                <w:tcPr>
                  <w:tcW w:w="0" w:type="auto"/>
                </w:tcPr>
                <w:p w14:paraId="4285A8A7" w14:textId="77777777" w:rsidR="007F5816" w:rsidRPr="00F55938" w:rsidRDefault="007F5816" w:rsidP="007F5816">
                  <w:pPr>
                    <w:jc w:val="center"/>
                    <w:rPr>
                      <w:rFonts w:ascii="Arial Narrow" w:hAnsi="Arial Narrow" w:cs="Times New Roman"/>
                      <w:snapToGrid w:val="0"/>
                      <w:sz w:val="20"/>
                    </w:rPr>
                  </w:pPr>
                  <w:r w:rsidRPr="00F55938">
                    <w:rPr>
                      <w:rFonts w:ascii="Arial Narrow" w:hAnsi="Arial Narrow" w:cs="Times New Roman"/>
                      <w:snapToGrid w:val="0"/>
                      <w:sz w:val="20"/>
                    </w:rPr>
                    <w:t>$16,489</w:t>
                  </w:r>
                </w:p>
              </w:tc>
              <w:tc>
                <w:tcPr>
                  <w:tcW w:w="0" w:type="auto"/>
                </w:tcPr>
                <w:p w14:paraId="1CA3EC42" w14:textId="77777777" w:rsidR="007F5816" w:rsidRPr="00F55938" w:rsidRDefault="007F5816" w:rsidP="007F5816">
                  <w:pPr>
                    <w:jc w:val="center"/>
                    <w:rPr>
                      <w:rFonts w:ascii="Arial Narrow" w:hAnsi="Arial Narrow" w:cs="Times New Roman"/>
                      <w:snapToGrid w:val="0"/>
                      <w:sz w:val="20"/>
                    </w:rPr>
                  </w:pPr>
                  <w:r w:rsidRPr="00F55938">
                    <w:rPr>
                      <w:rFonts w:ascii="Arial Narrow" w:hAnsi="Arial Narrow" w:cs="Times New Roman"/>
                      <w:snapToGrid w:val="0"/>
                      <w:sz w:val="20"/>
                    </w:rPr>
                    <w:t>$32,096</w:t>
                  </w:r>
                </w:p>
              </w:tc>
            </w:tr>
          </w:tbl>
          <w:p w14:paraId="61ECC37A" w14:textId="77777777" w:rsidR="007F5816" w:rsidRPr="00F55938" w:rsidRDefault="007F5816" w:rsidP="007F5816">
            <w:pPr>
              <w:keepNext/>
              <w:jc w:val="left"/>
              <w:rPr>
                <w:rFonts w:ascii="Arial Narrow" w:eastAsiaTheme="majorEastAsia" w:hAnsi="Arial Narrow" w:cstheme="majorBidi"/>
                <w:bCs/>
                <w:sz w:val="20"/>
                <w:lang w:val="en-US"/>
              </w:rPr>
            </w:pPr>
          </w:p>
        </w:tc>
        <w:tc>
          <w:tcPr>
            <w:tcW w:w="0" w:type="auto"/>
            <w:shd w:val="clear" w:color="auto" w:fill="auto"/>
            <w:vAlign w:val="center"/>
          </w:tcPr>
          <w:p w14:paraId="53140047" w14:textId="77777777"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High.</w:t>
            </w:r>
          </w:p>
          <w:p w14:paraId="415B7F48" w14:textId="77777777" w:rsidR="007F5816" w:rsidRPr="00F55938" w:rsidRDefault="007F5816" w:rsidP="007F5816">
            <w:pPr>
              <w:keepNext/>
              <w:jc w:val="left"/>
              <w:rPr>
                <w:rFonts w:ascii="Arial Narrow" w:eastAsiaTheme="majorEastAsia" w:hAnsi="Arial Narrow" w:cstheme="majorBidi"/>
                <w:bCs/>
                <w:sz w:val="20"/>
                <w:lang w:val="en-US"/>
              </w:rPr>
            </w:pPr>
          </w:p>
          <w:p w14:paraId="6E2EBEAD" w14:textId="189BC8C4"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Halving the health state costs increase</w:t>
            </w:r>
            <w:r w:rsidR="008B46C2">
              <w:rPr>
                <w:rFonts w:ascii="Arial Narrow" w:eastAsiaTheme="majorEastAsia" w:hAnsi="Arial Narrow" w:cstheme="majorBidi"/>
                <w:bCs/>
                <w:sz w:val="20"/>
                <w:lang w:val="en-US"/>
              </w:rPr>
              <w:t>d the</w:t>
            </w:r>
            <w:r w:rsidRPr="00F55938">
              <w:rPr>
                <w:rFonts w:ascii="Arial Narrow" w:eastAsiaTheme="majorEastAsia" w:hAnsi="Arial Narrow" w:cstheme="majorBidi"/>
                <w:bCs/>
                <w:sz w:val="20"/>
                <w:lang w:val="en-US"/>
              </w:rPr>
              <w:t xml:space="preserve"> ICER to $</w:t>
            </w:r>
            <w:r w:rsidR="00DC1AEB" w:rsidRPr="00DC1AEB">
              <w:rPr>
                <w:rFonts w:ascii="Arial Narrow" w:eastAsiaTheme="majorEastAsia" w:hAnsi="Arial Narrow" w:cstheme="majorBidi"/>
                <w:bCs/>
                <w:color w:val="000000"/>
                <w:spacing w:val="53"/>
                <w:sz w:val="20"/>
                <w:shd w:val="solid" w:color="000000" w:fill="000000"/>
                <w:fitText w:val="330" w:id="-894165748"/>
                <w:lang w:val="en-US"/>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330" w:id="-894165748"/>
                <w:lang w:val="en-US"/>
                <w14:textFill>
                  <w14:solidFill>
                    <w14:srgbClr w14:val="000000">
                      <w14:alpha w14:val="100000"/>
                    </w14:srgbClr>
                  </w14:solidFill>
                </w14:textFill>
              </w:rPr>
              <w:t>|</w:t>
            </w:r>
            <w:r w:rsidR="0096427D" w:rsidRPr="0096427D">
              <w:rPr>
                <w:rFonts w:ascii="Arial Narrow" w:eastAsiaTheme="majorEastAsia" w:hAnsi="Arial Narrow" w:cstheme="majorBidi"/>
                <w:bCs/>
                <w:sz w:val="20"/>
                <w:vertAlign w:val="superscript"/>
                <w:lang w:val="en-US"/>
              </w:rPr>
              <w:t>3</w:t>
            </w:r>
            <w:r w:rsidRPr="00F55938">
              <w:rPr>
                <w:rFonts w:ascii="Arial Narrow" w:eastAsiaTheme="majorEastAsia" w:hAnsi="Arial Narrow" w:cstheme="majorBidi"/>
                <w:bCs/>
                <w:sz w:val="20"/>
                <w:lang w:val="en-US"/>
              </w:rPr>
              <w:t>/QALY gained (+103%). Applying the costs from Barnes (2002) which reports higher health state costs decrease</w:t>
            </w:r>
            <w:r w:rsidR="008B46C2">
              <w:rPr>
                <w:rFonts w:ascii="Arial Narrow" w:eastAsiaTheme="majorEastAsia" w:hAnsi="Arial Narrow" w:cstheme="majorBidi"/>
                <w:bCs/>
                <w:sz w:val="20"/>
                <w:lang w:val="en-US"/>
              </w:rPr>
              <w:t>d</w:t>
            </w:r>
            <w:r w:rsidRPr="00F55938">
              <w:rPr>
                <w:rFonts w:ascii="Arial Narrow" w:eastAsiaTheme="majorEastAsia" w:hAnsi="Arial Narrow" w:cstheme="majorBidi"/>
                <w:bCs/>
                <w:sz w:val="20"/>
                <w:lang w:val="en-US"/>
              </w:rPr>
              <w:t xml:space="preserve"> the ICER to $</w:t>
            </w:r>
            <w:r w:rsidR="00DC1AEB" w:rsidRPr="00DC1AEB">
              <w:rPr>
                <w:rFonts w:ascii="Arial Narrow" w:eastAsiaTheme="majorEastAsia" w:hAnsi="Arial Narrow" w:cstheme="majorBidi"/>
                <w:bCs/>
                <w:color w:val="000000"/>
                <w:spacing w:val="53"/>
                <w:sz w:val="20"/>
                <w:shd w:val="solid" w:color="000000" w:fill="000000"/>
                <w:fitText w:val="330" w:id="-894165747"/>
                <w:lang w:val="en-US"/>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330" w:id="-894165747"/>
                <w:lang w:val="en-US"/>
                <w14:textFill>
                  <w14:solidFill>
                    <w14:srgbClr w14:val="000000">
                      <w14:alpha w14:val="100000"/>
                    </w14:srgbClr>
                  </w14:solidFill>
                </w14:textFill>
              </w:rPr>
              <w:t>|</w:t>
            </w:r>
            <w:r w:rsidR="007545FC" w:rsidRPr="007545FC">
              <w:rPr>
                <w:rFonts w:ascii="Arial Narrow" w:eastAsiaTheme="majorEastAsia" w:hAnsi="Arial Narrow" w:cstheme="majorBidi"/>
                <w:bCs/>
                <w:sz w:val="20"/>
                <w:vertAlign w:val="superscript"/>
                <w:lang w:val="en-US"/>
              </w:rPr>
              <w:t>4</w:t>
            </w:r>
            <w:r w:rsidRPr="00F55938">
              <w:rPr>
                <w:rFonts w:ascii="Arial Narrow" w:eastAsiaTheme="majorEastAsia" w:hAnsi="Arial Narrow" w:cstheme="majorBidi"/>
                <w:bCs/>
                <w:sz w:val="20"/>
                <w:lang w:val="en-US"/>
              </w:rPr>
              <w:t>/QALY gained (-</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008E5D18" w:rsidRPr="008E5D18">
              <w:rPr>
                <w:rFonts w:ascii="Arial Narrow" w:eastAsiaTheme="majorEastAsia" w:hAnsi="Arial Narrow"/>
                <w:b/>
                <w:color w:val="000000"/>
                <w:w w:val="22"/>
                <w:sz w:val="20"/>
                <w:szCs w:val="20"/>
                <w:shd w:val="solid" w:color="000000" w:fill="000000"/>
                <w:fitText w:val="100" w:id="-894165750"/>
                <w:lang w:val="en-US"/>
                <w14:textFill>
                  <w14:solidFill>
                    <w14:srgbClr w14:val="000000">
                      <w14:alpha w14:val="100000"/>
                    </w14:srgbClr>
                  </w14:solidFill>
                </w14:textFill>
              </w:rPr>
              <w:t>|</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Pr="00F55938">
              <w:rPr>
                <w:rFonts w:ascii="Arial Narrow" w:eastAsiaTheme="majorEastAsia" w:hAnsi="Arial Narrow" w:cstheme="majorBidi"/>
                <w:bCs/>
                <w:sz w:val="20"/>
                <w:lang w:val="en-US"/>
              </w:rPr>
              <w:t xml:space="preserve">%). </w:t>
            </w:r>
          </w:p>
        </w:tc>
      </w:tr>
      <w:tr w:rsidR="00AA1F35" w:rsidRPr="00F55938" w14:paraId="1313EB58" w14:textId="77777777">
        <w:tc>
          <w:tcPr>
            <w:tcW w:w="0" w:type="auto"/>
            <w:shd w:val="clear" w:color="auto" w:fill="auto"/>
            <w:vAlign w:val="center"/>
          </w:tcPr>
          <w:p w14:paraId="0432244E" w14:textId="77777777"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Utilities</w:t>
            </w:r>
          </w:p>
        </w:tc>
        <w:tc>
          <w:tcPr>
            <w:tcW w:w="0" w:type="auto"/>
            <w:shd w:val="clear" w:color="auto" w:fill="auto"/>
            <w:vAlign w:val="center"/>
          </w:tcPr>
          <w:p w14:paraId="12A76FF3" w14:textId="77777777"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 xml:space="preserve">Base case utility values estimated from IBDQ scores from the EARNEST trial. Remission: 0.784; Response (w/o remission): 0.754; No response: 0.672; Pouch failure: 0.550 (from Tsai, 2008). </w:t>
            </w:r>
          </w:p>
        </w:tc>
        <w:tc>
          <w:tcPr>
            <w:tcW w:w="0" w:type="auto"/>
            <w:shd w:val="clear" w:color="auto" w:fill="auto"/>
            <w:vAlign w:val="center"/>
          </w:tcPr>
          <w:p w14:paraId="3C7E65D0" w14:textId="2C03CC90"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High</w:t>
            </w:r>
            <w:r w:rsidR="00DA78C2" w:rsidRPr="00F55938">
              <w:rPr>
                <w:rFonts w:ascii="Arial Narrow" w:eastAsiaTheme="majorEastAsia" w:hAnsi="Arial Narrow" w:cstheme="majorBidi"/>
                <w:bCs/>
                <w:sz w:val="20"/>
                <w:lang w:val="en-US"/>
              </w:rPr>
              <w:t xml:space="preserve"> and uncertain</w:t>
            </w:r>
            <w:r w:rsidRPr="00F55938">
              <w:rPr>
                <w:rFonts w:ascii="Arial Narrow" w:eastAsiaTheme="majorEastAsia" w:hAnsi="Arial Narrow" w:cstheme="majorBidi"/>
                <w:bCs/>
                <w:sz w:val="20"/>
                <w:lang w:val="en-US"/>
              </w:rPr>
              <w:t>.</w:t>
            </w:r>
            <w:r w:rsidR="00DA78C2" w:rsidRPr="00F55938">
              <w:rPr>
                <w:rFonts w:ascii="Arial Narrow" w:eastAsiaTheme="majorEastAsia" w:hAnsi="Arial Narrow" w:cstheme="majorBidi"/>
                <w:bCs/>
                <w:sz w:val="20"/>
                <w:lang w:val="en-US"/>
              </w:rPr>
              <w:t xml:space="preserve"> Literature-based values are inconsistent.</w:t>
            </w:r>
          </w:p>
          <w:p w14:paraId="5814C0AA" w14:textId="77777777" w:rsidR="007F5816" w:rsidRPr="00F55938" w:rsidRDefault="007F5816" w:rsidP="007F5816">
            <w:pPr>
              <w:keepNext/>
              <w:jc w:val="left"/>
              <w:rPr>
                <w:rFonts w:ascii="Arial Narrow" w:eastAsiaTheme="majorEastAsia" w:hAnsi="Arial Narrow" w:cstheme="majorBidi"/>
                <w:bCs/>
                <w:sz w:val="20"/>
                <w:lang w:val="en-US"/>
              </w:rPr>
            </w:pPr>
          </w:p>
          <w:p w14:paraId="2F302D60" w14:textId="14B2B869" w:rsidR="007F5816" w:rsidRPr="00F55938" w:rsidRDefault="007F5816" w:rsidP="007F5816">
            <w:pPr>
              <w:keepNext/>
              <w:jc w:val="left"/>
              <w:rPr>
                <w:rFonts w:ascii="Arial Narrow" w:eastAsiaTheme="majorEastAsia" w:hAnsi="Arial Narrow" w:cstheme="majorBidi"/>
                <w:bCs/>
                <w:sz w:val="20"/>
              </w:rPr>
            </w:pPr>
            <w:r w:rsidRPr="00F55938">
              <w:rPr>
                <w:rFonts w:ascii="Arial Narrow" w:eastAsiaTheme="majorEastAsia" w:hAnsi="Arial Narrow" w:cstheme="majorBidi"/>
                <w:bCs/>
                <w:sz w:val="20"/>
                <w:lang w:val="en-US"/>
              </w:rPr>
              <w:t>Using utility values from Park (2012) – Remission (0.87); Response (w/o remission) (0.72); No response (0.57) decrease</w:t>
            </w:r>
            <w:r w:rsidR="008B46C2">
              <w:rPr>
                <w:rFonts w:ascii="Arial Narrow" w:eastAsiaTheme="majorEastAsia" w:hAnsi="Arial Narrow" w:cstheme="majorBidi"/>
                <w:bCs/>
                <w:sz w:val="20"/>
                <w:lang w:val="en-US"/>
              </w:rPr>
              <w:t>d</w:t>
            </w:r>
            <w:r w:rsidRPr="00F55938">
              <w:rPr>
                <w:rFonts w:ascii="Arial Narrow" w:eastAsiaTheme="majorEastAsia" w:hAnsi="Arial Narrow" w:cstheme="majorBidi"/>
                <w:bCs/>
                <w:sz w:val="20"/>
                <w:lang w:val="en-US"/>
              </w:rPr>
              <w:t xml:space="preserve"> the ICER to </w:t>
            </w:r>
            <w:r w:rsidRPr="00F55938">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53"/>
                <w:sz w:val="20"/>
                <w:shd w:val="solid" w:color="000000" w:fill="000000"/>
                <w:fitText w:val="330" w:id="-894165746"/>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330" w:id="-894165746"/>
                <w14:textFill>
                  <w14:solidFill>
                    <w14:srgbClr w14:val="000000">
                      <w14:alpha w14:val="100000"/>
                    </w14:srgbClr>
                  </w14:solidFill>
                </w14:textFill>
              </w:rPr>
              <w:t>|</w:t>
            </w:r>
            <w:r w:rsidR="00EB5F64" w:rsidRPr="00EB5F64">
              <w:rPr>
                <w:rFonts w:ascii="Arial Narrow" w:eastAsiaTheme="majorEastAsia" w:hAnsi="Arial Narrow" w:cstheme="majorBidi"/>
                <w:bCs/>
                <w:sz w:val="20"/>
                <w:vertAlign w:val="superscript"/>
              </w:rPr>
              <w:t>4</w:t>
            </w:r>
            <w:r w:rsidRPr="00F55938">
              <w:rPr>
                <w:rFonts w:ascii="Arial Narrow" w:eastAsiaTheme="majorEastAsia" w:hAnsi="Arial Narrow" w:cstheme="majorBidi"/>
                <w:bCs/>
                <w:sz w:val="20"/>
              </w:rPr>
              <w:t>/ QALY gained (-</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008E5D18" w:rsidRPr="008E5D18">
              <w:rPr>
                <w:rFonts w:ascii="Arial Narrow" w:eastAsiaTheme="majorEastAsia" w:hAnsi="Arial Narrow"/>
                <w:b/>
                <w:color w:val="000000"/>
                <w:w w:val="22"/>
                <w:sz w:val="20"/>
                <w:szCs w:val="20"/>
                <w:shd w:val="solid" w:color="000000" w:fill="000000"/>
                <w:fitText w:val="100" w:id="-894165750"/>
                <w:lang w:val="en-US"/>
                <w14:textFill>
                  <w14:solidFill>
                    <w14:srgbClr w14:val="000000">
                      <w14:alpha w14:val="100000"/>
                    </w14:srgbClr>
                  </w14:solidFill>
                </w14:textFill>
              </w:rPr>
              <w:t>|</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Pr="00F55938">
              <w:rPr>
                <w:rFonts w:ascii="Arial Narrow" w:eastAsiaTheme="majorEastAsia" w:hAnsi="Arial Narrow" w:cstheme="majorBidi"/>
                <w:bCs/>
                <w:sz w:val="20"/>
              </w:rPr>
              <w:t>%).</w:t>
            </w:r>
          </w:p>
          <w:p w14:paraId="664979C4" w14:textId="77777777" w:rsidR="007F5816" w:rsidRPr="00F55938" w:rsidRDefault="007F5816" w:rsidP="007F5816">
            <w:pPr>
              <w:keepNext/>
              <w:jc w:val="left"/>
              <w:rPr>
                <w:rFonts w:ascii="Arial Narrow" w:eastAsiaTheme="majorEastAsia" w:hAnsi="Arial Narrow" w:cstheme="majorBidi"/>
                <w:bCs/>
                <w:sz w:val="20"/>
                <w:lang w:val="en-US"/>
              </w:rPr>
            </w:pPr>
          </w:p>
          <w:p w14:paraId="2BD12F64" w14:textId="295B6D82"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Using utility values from Tsai (2008) – Remission (0.61); Response (w/o remission) (0.58); No response (0.55) increase</w:t>
            </w:r>
            <w:r w:rsidR="008B46C2">
              <w:rPr>
                <w:rFonts w:ascii="Arial Narrow" w:eastAsiaTheme="majorEastAsia" w:hAnsi="Arial Narrow" w:cstheme="majorBidi"/>
                <w:bCs/>
                <w:sz w:val="20"/>
                <w:lang w:val="en-US"/>
              </w:rPr>
              <w:t>d</w:t>
            </w:r>
            <w:r w:rsidRPr="00F55938">
              <w:rPr>
                <w:rFonts w:ascii="Arial Narrow" w:eastAsiaTheme="majorEastAsia" w:hAnsi="Arial Narrow" w:cstheme="majorBidi"/>
                <w:bCs/>
                <w:sz w:val="20"/>
                <w:lang w:val="en-US"/>
              </w:rPr>
              <w:t xml:space="preserve"> the ICER to $</w:t>
            </w:r>
            <w:r w:rsidR="00DC1AEB" w:rsidRPr="00DC1AEB">
              <w:rPr>
                <w:rFonts w:ascii="Arial Narrow" w:eastAsiaTheme="majorEastAsia" w:hAnsi="Arial Narrow" w:cstheme="majorBidi"/>
                <w:bCs/>
                <w:color w:val="000000"/>
                <w:spacing w:val="53"/>
                <w:sz w:val="20"/>
                <w:shd w:val="solid" w:color="000000" w:fill="000000"/>
                <w:fitText w:val="330" w:id="-894165745"/>
                <w:lang w:val="en-US"/>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330" w:id="-894165745"/>
                <w:lang w:val="en-US"/>
                <w14:textFill>
                  <w14:solidFill>
                    <w14:srgbClr w14:val="000000">
                      <w14:alpha w14:val="100000"/>
                    </w14:srgbClr>
                  </w14:solidFill>
                </w14:textFill>
              </w:rPr>
              <w:t>|</w:t>
            </w:r>
            <w:r w:rsidR="0096427D" w:rsidRPr="0096427D">
              <w:rPr>
                <w:rFonts w:ascii="Arial Narrow" w:eastAsiaTheme="majorEastAsia" w:hAnsi="Arial Narrow" w:cstheme="majorBidi"/>
                <w:bCs/>
                <w:sz w:val="20"/>
                <w:vertAlign w:val="superscript"/>
                <w:lang w:val="en-US"/>
              </w:rPr>
              <w:t>3</w:t>
            </w:r>
            <w:r w:rsidRPr="00F55938">
              <w:rPr>
                <w:rFonts w:ascii="Arial Narrow" w:eastAsiaTheme="majorEastAsia" w:hAnsi="Arial Narrow" w:cstheme="majorBidi"/>
                <w:bCs/>
                <w:sz w:val="20"/>
                <w:lang w:val="en-US"/>
              </w:rPr>
              <w:t>/QALY gained (+</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008E5D18" w:rsidRPr="008E5D18">
              <w:rPr>
                <w:rFonts w:ascii="Arial Narrow" w:eastAsiaTheme="majorEastAsia" w:hAnsi="Arial Narrow"/>
                <w:b/>
                <w:color w:val="000000"/>
                <w:w w:val="22"/>
                <w:sz w:val="20"/>
                <w:szCs w:val="20"/>
                <w:shd w:val="solid" w:color="000000" w:fill="000000"/>
                <w:fitText w:val="100" w:id="-894165750"/>
                <w:lang w:val="en-US"/>
                <w14:textFill>
                  <w14:solidFill>
                    <w14:srgbClr w14:val="000000">
                      <w14:alpha w14:val="100000"/>
                    </w14:srgbClr>
                  </w14:solidFill>
                </w14:textFill>
              </w:rPr>
              <w:t>|</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Pr="00F55938">
              <w:rPr>
                <w:rFonts w:ascii="Arial Narrow" w:eastAsiaTheme="majorEastAsia" w:hAnsi="Arial Narrow" w:cstheme="majorBidi"/>
                <w:bCs/>
                <w:sz w:val="20"/>
                <w:lang w:val="en-US"/>
              </w:rPr>
              <w:t>%).</w:t>
            </w:r>
          </w:p>
        </w:tc>
      </w:tr>
      <w:tr w:rsidR="00AA1F35" w:rsidRPr="00F55938" w14:paraId="15812255" w14:textId="77777777">
        <w:tc>
          <w:tcPr>
            <w:tcW w:w="0" w:type="auto"/>
            <w:shd w:val="clear" w:color="auto" w:fill="auto"/>
            <w:vAlign w:val="center"/>
          </w:tcPr>
          <w:p w14:paraId="7E38448A" w14:textId="77777777"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Extrapolation of treatment effect</w:t>
            </w:r>
          </w:p>
        </w:tc>
        <w:tc>
          <w:tcPr>
            <w:tcW w:w="0" w:type="auto"/>
            <w:shd w:val="clear" w:color="auto" w:fill="auto"/>
            <w:vAlign w:val="center"/>
          </w:tcPr>
          <w:p w14:paraId="4FAA5D77" w14:textId="77777777"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rPr>
              <w:t xml:space="preserve">The treatment effect from Week 34 observed in the EARNEST trial for mPDAI-defined remission was extrapolated over the proposed time horizon and assumed to be constant over time. </w:t>
            </w:r>
          </w:p>
        </w:tc>
        <w:tc>
          <w:tcPr>
            <w:tcW w:w="0" w:type="auto"/>
            <w:shd w:val="clear" w:color="auto" w:fill="auto"/>
            <w:vAlign w:val="center"/>
          </w:tcPr>
          <w:p w14:paraId="55D07778" w14:textId="4852524A"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Moderate</w:t>
            </w:r>
            <w:r w:rsidR="008F1132" w:rsidRPr="00F55938">
              <w:rPr>
                <w:rFonts w:ascii="Arial Narrow" w:eastAsiaTheme="majorEastAsia" w:hAnsi="Arial Narrow" w:cstheme="majorBidi"/>
                <w:bCs/>
                <w:sz w:val="20"/>
                <w:lang w:val="en-US"/>
              </w:rPr>
              <w:t xml:space="preserve"> to high</w:t>
            </w:r>
            <w:r w:rsidRPr="00F55938">
              <w:rPr>
                <w:rFonts w:ascii="Arial Narrow" w:eastAsiaTheme="majorEastAsia" w:hAnsi="Arial Narrow" w:cstheme="majorBidi"/>
                <w:bCs/>
                <w:sz w:val="20"/>
                <w:lang w:val="en-US"/>
              </w:rPr>
              <w:t>, favours vedolizumab.</w:t>
            </w:r>
          </w:p>
          <w:p w14:paraId="39841D3F" w14:textId="77777777" w:rsidR="007F5816" w:rsidRPr="00F55938" w:rsidRDefault="007F5816" w:rsidP="007F5816">
            <w:pPr>
              <w:keepNext/>
              <w:jc w:val="left"/>
              <w:rPr>
                <w:rFonts w:ascii="Arial Narrow" w:eastAsiaTheme="majorEastAsia" w:hAnsi="Arial Narrow" w:cstheme="majorBidi"/>
                <w:bCs/>
                <w:sz w:val="20"/>
                <w:lang w:val="en-US"/>
              </w:rPr>
            </w:pPr>
          </w:p>
          <w:p w14:paraId="1C62CDE2" w14:textId="4EE66B9A" w:rsidR="007F5816" w:rsidRPr="00F55938" w:rsidRDefault="007F5816" w:rsidP="007F5816">
            <w:pPr>
              <w:keepNext/>
              <w:jc w:val="left"/>
              <w:rPr>
                <w:rFonts w:ascii="Arial Narrow" w:eastAsiaTheme="majorEastAsia" w:hAnsi="Arial Narrow" w:cstheme="majorBidi"/>
                <w:bCs/>
                <w:sz w:val="20"/>
                <w:lang w:val="en-US"/>
              </w:rPr>
            </w:pPr>
            <w:r w:rsidRPr="00F55938">
              <w:rPr>
                <w:rFonts w:ascii="Arial Narrow" w:eastAsiaTheme="majorEastAsia" w:hAnsi="Arial Narrow" w:cstheme="majorBidi"/>
                <w:bCs/>
                <w:sz w:val="20"/>
                <w:lang w:val="en-US"/>
              </w:rPr>
              <w:t>Assuming that 10% of patients lose remission per cycle for both arms in the model increased the ICER to $</w:t>
            </w:r>
            <w:r w:rsidR="00DC1AEB" w:rsidRPr="00DC1AEB">
              <w:rPr>
                <w:rFonts w:ascii="Arial Narrow" w:eastAsiaTheme="majorEastAsia" w:hAnsi="Arial Narrow" w:cstheme="majorBidi"/>
                <w:bCs/>
                <w:color w:val="000000"/>
                <w:spacing w:val="53"/>
                <w:sz w:val="20"/>
                <w:shd w:val="solid" w:color="000000" w:fill="000000"/>
                <w:fitText w:val="330" w:id="-894165744"/>
                <w:lang w:val="en-US"/>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330" w:id="-894165744"/>
                <w:lang w:val="en-US"/>
                <w14:textFill>
                  <w14:solidFill>
                    <w14:srgbClr w14:val="000000">
                      <w14:alpha w14:val="100000"/>
                    </w14:srgbClr>
                  </w14:solidFill>
                </w14:textFill>
              </w:rPr>
              <w:t>|</w:t>
            </w:r>
            <w:r w:rsidR="00EB5F64" w:rsidRPr="00EB5F64">
              <w:rPr>
                <w:rFonts w:ascii="Arial Narrow" w:eastAsiaTheme="majorEastAsia" w:hAnsi="Arial Narrow" w:cstheme="majorBidi"/>
                <w:bCs/>
                <w:sz w:val="20"/>
                <w:vertAlign w:val="superscript"/>
                <w:lang w:val="en-US"/>
              </w:rPr>
              <w:t>5</w:t>
            </w:r>
            <w:r w:rsidRPr="00F55938">
              <w:rPr>
                <w:rFonts w:ascii="Arial Narrow" w:eastAsiaTheme="majorEastAsia" w:hAnsi="Arial Narrow" w:cstheme="majorBidi"/>
                <w:bCs/>
                <w:sz w:val="20"/>
                <w:lang w:val="en-US"/>
              </w:rPr>
              <w:t>/QALY gained (+</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008E5D18" w:rsidRPr="008E5D18">
              <w:rPr>
                <w:rFonts w:ascii="Arial Narrow" w:eastAsiaTheme="majorEastAsia" w:hAnsi="Arial Narrow"/>
                <w:b/>
                <w:color w:val="000000"/>
                <w:w w:val="22"/>
                <w:sz w:val="20"/>
                <w:szCs w:val="20"/>
                <w:shd w:val="solid" w:color="000000" w:fill="000000"/>
                <w:fitText w:val="100" w:id="-894165750"/>
                <w:lang w:val="en-US"/>
                <w14:textFill>
                  <w14:solidFill>
                    <w14:srgbClr w14:val="000000">
                      <w14:alpha w14:val="100000"/>
                    </w14:srgbClr>
                  </w14:solidFill>
                </w14:textFill>
              </w:rPr>
              <w:t>|</w:t>
            </w:r>
            <w:r w:rsidR="008E5D18" w:rsidRPr="008E5D18">
              <w:rPr>
                <w:rFonts w:ascii="Arial Narrow" w:eastAsiaTheme="majorEastAsia" w:hAnsi="Arial Narrow" w:hint="eastAsia"/>
                <w:b/>
                <w:color w:val="000000"/>
                <w:w w:val="22"/>
                <w:sz w:val="20"/>
                <w:szCs w:val="20"/>
                <w:shd w:val="solid" w:color="000000" w:fill="000000"/>
                <w:fitText w:val="100" w:id="-894165750"/>
                <w:lang w:val="en-US"/>
                <w14:textFill>
                  <w14:solidFill>
                    <w14:srgbClr w14:val="000000">
                      <w14:alpha w14:val="100000"/>
                    </w14:srgbClr>
                  </w14:solidFill>
                </w14:textFill>
              </w:rPr>
              <w:t xml:space="preserve">　</w:t>
            </w:r>
            <w:r w:rsidRPr="00F55938">
              <w:rPr>
                <w:rFonts w:ascii="Arial Narrow" w:eastAsiaTheme="majorEastAsia" w:hAnsi="Arial Narrow" w:cstheme="majorBidi"/>
                <w:bCs/>
                <w:sz w:val="20"/>
                <w:lang w:val="en-US"/>
              </w:rPr>
              <w:t>%)</w:t>
            </w:r>
            <w:r w:rsidR="008F1132" w:rsidRPr="00F55938">
              <w:rPr>
                <w:rFonts w:ascii="Arial Narrow" w:eastAsiaTheme="majorEastAsia" w:hAnsi="Arial Narrow" w:cstheme="majorBidi"/>
                <w:bCs/>
                <w:sz w:val="20"/>
                <w:lang w:val="en-US"/>
              </w:rPr>
              <w:t xml:space="preserve">, however the ESC noted a constant </w:t>
            </w:r>
            <w:r w:rsidR="00AA1F35" w:rsidRPr="00F55938">
              <w:rPr>
                <w:rFonts w:ascii="Arial Narrow" w:eastAsiaTheme="majorEastAsia" w:hAnsi="Arial Narrow" w:cstheme="majorBidi"/>
                <w:bCs/>
                <w:sz w:val="20"/>
                <w:lang w:val="en-US"/>
              </w:rPr>
              <w:t xml:space="preserve">treatment effect was also applied in this sensitivity analysis. </w:t>
            </w:r>
          </w:p>
        </w:tc>
      </w:tr>
    </w:tbl>
    <w:p w14:paraId="160ED872" w14:textId="77777777" w:rsidR="007F5816" w:rsidRPr="006B343C" w:rsidRDefault="007F5816" w:rsidP="007F5816">
      <w:pPr>
        <w:spacing w:after="120"/>
        <w:contextualSpacing/>
        <w:rPr>
          <w:rFonts w:ascii="Arial Narrow" w:hAnsi="Arial Narrow"/>
          <w:snapToGrid w:val="0"/>
          <w:sz w:val="18"/>
          <w:szCs w:val="18"/>
        </w:rPr>
      </w:pPr>
      <w:r w:rsidRPr="006B343C">
        <w:rPr>
          <w:rFonts w:ascii="Arial Narrow" w:hAnsi="Arial Narrow"/>
          <w:snapToGrid w:val="0"/>
          <w:sz w:val="18"/>
          <w:szCs w:val="18"/>
        </w:rPr>
        <w:t>Source: Compiled during the evaluation</w:t>
      </w:r>
    </w:p>
    <w:p w14:paraId="36DD9C7E" w14:textId="7C0E9C84" w:rsidR="00C17072" w:rsidRDefault="00C17072" w:rsidP="008E5D18">
      <w:pPr>
        <w:rPr>
          <w:rFonts w:ascii="Arial Narrow" w:hAnsi="Arial Narrow"/>
          <w:snapToGrid w:val="0"/>
          <w:sz w:val="18"/>
          <w:szCs w:val="18"/>
        </w:rPr>
      </w:pPr>
      <w:r w:rsidRPr="006B343C">
        <w:rPr>
          <w:rFonts w:ascii="Arial Narrow" w:hAnsi="Arial Narrow"/>
          <w:snapToGrid w:val="0"/>
          <w:sz w:val="18"/>
          <w:szCs w:val="18"/>
        </w:rPr>
        <w:t xml:space="preserve">Abbreviations: </w:t>
      </w:r>
      <w:r w:rsidR="004C0B0C" w:rsidRPr="006B343C">
        <w:rPr>
          <w:rFonts w:ascii="Arial Narrow" w:hAnsi="Arial Narrow"/>
          <w:snapToGrid w:val="0"/>
          <w:sz w:val="18"/>
          <w:szCs w:val="18"/>
        </w:rPr>
        <w:t xml:space="preserve">IBDQ; </w:t>
      </w:r>
      <w:r w:rsidR="00DA4C21" w:rsidRPr="006B343C">
        <w:rPr>
          <w:rFonts w:ascii="Arial Narrow" w:hAnsi="Arial Narrow"/>
          <w:snapToGrid w:val="0"/>
          <w:sz w:val="18"/>
          <w:szCs w:val="18"/>
        </w:rPr>
        <w:t xml:space="preserve">Inflammatory Bowel </w:t>
      </w:r>
      <w:r w:rsidR="00DB5FD2" w:rsidRPr="006B343C">
        <w:rPr>
          <w:rFonts w:ascii="Arial Narrow" w:hAnsi="Arial Narrow"/>
          <w:snapToGrid w:val="0"/>
          <w:sz w:val="18"/>
          <w:szCs w:val="18"/>
        </w:rPr>
        <w:t>Disease</w:t>
      </w:r>
      <w:r w:rsidR="00DA4C21" w:rsidRPr="006B343C">
        <w:rPr>
          <w:rFonts w:ascii="Arial Narrow" w:hAnsi="Arial Narrow"/>
          <w:snapToGrid w:val="0"/>
          <w:sz w:val="18"/>
          <w:szCs w:val="18"/>
        </w:rPr>
        <w:t xml:space="preserve"> </w:t>
      </w:r>
      <w:r w:rsidR="00DB5FD2" w:rsidRPr="006B343C">
        <w:rPr>
          <w:rFonts w:ascii="Arial Narrow" w:hAnsi="Arial Narrow"/>
          <w:snapToGrid w:val="0"/>
          <w:sz w:val="18"/>
          <w:szCs w:val="18"/>
        </w:rPr>
        <w:t>Questionnaire</w:t>
      </w:r>
      <w:r w:rsidR="00DA4C21" w:rsidRPr="006B343C">
        <w:rPr>
          <w:rFonts w:ascii="Arial Narrow" w:hAnsi="Arial Narrow"/>
          <w:snapToGrid w:val="0"/>
          <w:sz w:val="18"/>
          <w:szCs w:val="18"/>
        </w:rPr>
        <w:t>;</w:t>
      </w:r>
      <w:r w:rsidR="004C0B0C" w:rsidRPr="006B343C">
        <w:rPr>
          <w:rFonts w:ascii="Arial Narrow" w:hAnsi="Arial Narrow"/>
          <w:snapToGrid w:val="0"/>
          <w:sz w:val="18"/>
          <w:szCs w:val="18"/>
        </w:rPr>
        <w:t xml:space="preserve"> ICER, </w:t>
      </w:r>
      <w:r w:rsidR="0060493F" w:rsidRPr="006B343C">
        <w:rPr>
          <w:rFonts w:ascii="Arial Narrow" w:hAnsi="Arial Narrow"/>
          <w:snapToGrid w:val="0"/>
          <w:sz w:val="18"/>
          <w:szCs w:val="18"/>
        </w:rPr>
        <w:t>i</w:t>
      </w:r>
      <w:r w:rsidR="004C0B0C" w:rsidRPr="006B343C">
        <w:rPr>
          <w:rFonts w:ascii="Arial Narrow" w:hAnsi="Arial Narrow"/>
          <w:snapToGrid w:val="0"/>
          <w:sz w:val="18"/>
          <w:szCs w:val="18"/>
        </w:rPr>
        <w:t xml:space="preserve">ncremental </w:t>
      </w:r>
      <w:r w:rsidR="0060493F" w:rsidRPr="006B343C">
        <w:rPr>
          <w:rFonts w:ascii="Arial Narrow" w:hAnsi="Arial Narrow"/>
          <w:snapToGrid w:val="0"/>
          <w:sz w:val="18"/>
          <w:szCs w:val="18"/>
        </w:rPr>
        <w:t>c</w:t>
      </w:r>
      <w:r w:rsidR="004C0B0C" w:rsidRPr="006B343C">
        <w:rPr>
          <w:rFonts w:ascii="Arial Narrow" w:hAnsi="Arial Narrow"/>
          <w:snapToGrid w:val="0"/>
          <w:sz w:val="18"/>
          <w:szCs w:val="18"/>
        </w:rPr>
        <w:t>ost</w:t>
      </w:r>
      <w:r w:rsidR="0060493F" w:rsidRPr="006B343C">
        <w:rPr>
          <w:rFonts w:ascii="Arial Narrow" w:hAnsi="Arial Narrow"/>
          <w:snapToGrid w:val="0"/>
          <w:sz w:val="18"/>
          <w:szCs w:val="18"/>
        </w:rPr>
        <w:t>-e</w:t>
      </w:r>
      <w:r w:rsidR="004C0B0C" w:rsidRPr="006B343C">
        <w:rPr>
          <w:rFonts w:ascii="Arial Narrow" w:hAnsi="Arial Narrow"/>
          <w:snapToGrid w:val="0"/>
          <w:sz w:val="18"/>
          <w:szCs w:val="18"/>
        </w:rPr>
        <w:t xml:space="preserve">ffectiveness </w:t>
      </w:r>
      <w:r w:rsidR="0060493F" w:rsidRPr="006B343C">
        <w:rPr>
          <w:rFonts w:ascii="Arial Narrow" w:hAnsi="Arial Narrow"/>
          <w:snapToGrid w:val="0"/>
          <w:sz w:val="18"/>
          <w:szCs w:val="18"/>
        </w:rPr>
        <w:t>r</w:t>
      </w:r>
      <w:r w:rsidR="004C0B0C" w:rsidRPr="006B343C">
        <w:rPr>
          <w:rFonts w:ascii="Arial Narrow" w:hAnsi="Arial Narrow"/>
          <w:snapToGrid w:val="0"/>
          <w:sz w:val="18"/>
          <w:szCs w:val="18"/>
        </w:rPr>
        <w:t>atio; QALY, quality</w:t>
      </w:r>
      <w:r w:rsidR="0060493F" w:rsidRPr="006B343C">
        <w:rPr>
          <w:rFonts w:ascii="Arial Narrow" w:hAnsi="Arial Narrow"/>
          <w:snapToGrid w:val="0"/>
          <w:sz w:val="18"/>
          <w:szCs w:val="18"/>
        </w:rPr>
        <w:t xml:space="preserve"> </w:t>
      </w:r>
      <w:r w:rsidR="004C0B0C" w:rsidRPr="006B343C">
        <w:rPr>
          <w:rFonts w:ascii="Arial Narrow" w:hAnsi="Arial Narrow"/>
          <w:snapToGrid w:val="0"/>
          <w:sz w:val="18"/>
          <w:szCs w:val="18"/>
        </w:rPr>
        <w:t xml:space="preserve">adjusted life year; </w:t>
      </w:r>
      <w:r w:rsidR="00BA0FD0" w:rsidRPr="006B343C">
        <w:rPr>
          <w:rFonts w:ascii="Arial Narrow" w:hAnsi="Arial Narrow"/>
          <w:snapToGrid w:val="0"/>
          <w:sz w:val="18"/>
          <w:szCs w:val="18"/>
        </w:rPr>
        <w:t>mPDAI</w:t>
      </w:r>
      <w:r w:rsidR="00693388" w:rsidRPr="006B343C">
        <w:rPr>
          <w:rFonts w:ascii="Arial Narrow" w:hAnsi="Arial Narrow"/>
          <w:snapToGrid w:val="0"/>
          <w:sz w:val="18"/>
          <w:szCs w:val="18"/>
        </w:rPr>
        <w:t>, modified Pouchitis Disease Activity Index.</w:t>
      </w:r>
    </w:p>
    <w:p w14:paraId="61BEB04E" w14:textId="77777777" w:rsidR="00B87E0F" w:rsidRPr="00687558" w:rsidRDefault="00B87E0F" w:rsidP="008E5D18">
      <w:pPr>
        <w:pStyle w:val="TableFigureFooter"/>
        <w:spacing w:after="0"/>
        <w:contextualSpacing w:val="0"/>
        <w:rPr>
          <w:i/>
          <w:iCs/>
        </w:rPr>
      </w:pPr>
      <w:r w:rsidRPr="00687558">
        <w:rPr>
          <w:i/>
          <w:iCs/>
        </w:rPr>
        <w:t>The redacted values correspond to the following ranges:</w:t>
      </w:r>
    </w:p>
    <w:p w14:paraId="02DFF6A1" w14:textId="03081F1F" w:rsidR="00B87E0F" w:rsidRPr="00E36BE7" w:rsidRDefault="00F21115" w:rsidP="008E5D18">
      <w:pPr>
        <w:pStyle w:val="TableFigureFooter"/>
        <w:spacing w:after="0"/>
        <w:contextualSpacing w:val="0"/>
        <w:rPr>
          <w:i/>
          <w:iCs/>
        </w:rPr>
      </w:pPr>
      <w:r>
        <w:rPr>
          <w:i/>
          <w:iCs/>
          <w:vertAlign w:val="superscript"/>
        </w:rPr>
        <w:t>1</w:t>
      </w:r>
      <w:r w:rsidR="00B87E0F">
        <w:rPr>
          <w:i/>
          <w:iCs/>
        </w:rPr>
        <w:t xml:space="preserve"> </w:t>
      </w:r>
      <w:r w:rsidR="00B87E0F" w:rsidRPr="00E36BE7">
        <w:rPr>
          <w:i/>
          <w:iCs/>
        </w:rPr>
        <w:t>$35,000 to &lt; $45,000</w:t>
      </w:r>
    </w:p>
    <w:p w14:paraId="650522FA" w14:textId="3DF8D9D4" w:rsidR="00B87E0F" w:rsidRDefault="008D4C45" w:rsidP="008E5D18">
      <w:pPr>
        <w:pStyle w:val="TableFigureFooter"/>
        <w:spacing w:after="0"/>
        <w:contextualSpacing w:val="0"/>
        <w:rPr>
          <w:i/>
          <w:iCs/>
        </w:rPr>
      </w:pPr>
      <w:r>
        <w:rPr>
          <w:i/>
          <w:iCs/>
          <w:vertAlign w:val="superscript"/>
        </w:rPr>
        <w:t>2</w:t>
      </w:r>
      <w:r w:rsidR="00B87E0F" w:rsidRPr="00687558">
        <w:rPr>
          <w:i/>
          <w:iCs/>
        </w:rPr>
        <w:t>$55,000 to &lt; $75,000</w:t>
      </w:r>
    </w:p>
    <w:p w14:paraId="23EA8B41" w14:textId="6181C478" w:rsidR="008D4C45" w:rsidRDefault="008D4C45" w:rsidP="008E5D18">
      <w:pPr>
        <w:pStyle w:val="TableFigureFooter"/>
        <w:spacing w:after="0"/>
        <w:contextualSpacing w:val="0"/>
        <w:rPr>
          <w:i/>
          <w:iCs/>
        </w:rPr>
      </w:pPr>
      <w:r w:rsidRPr="008D4C45">
        <w:rPr>
          <w:i/>
          <w:iCs/>
          <w:vertAlign w:val="superscript"/>
        </w:rPr>
        <w:t>3</w:t>
      </w:r>
      <w:r>
        <w:rPr>
          <w:i/>
          <w:iCs/>
        </w:rPr>
        <w:t xml:space="preserve"> $</w:t>
      </w:r>
      <w:r w:rsidRPr="008D4C45">
        <w:rPr>
          <w:i/>
          <w:iCs/>
        </w:rPr>
        <w:t>75,000 to &lt; $95,000</w:t>
      </w:r>
    </w:p>
    <w:p w14:paraId="1D68A0C6" w14:textId="148EC3D7" w:rsidR="00EB5F64" w:rsidRPr="00687558" w:rsidRDefault="00EB5F64" w:rsidP="008E5D18">
      <w:pPr>
        <w:pStyle w:val="TableFigureFooter"/>
        <w:spacing w:after="0"/>
        <w:contextualSpacing w:val="0"/>
        <w:rPr>
          <w:i/>
          <w:iCs/>
        </w:rPr>
      </w:pPr>
      <w:r w:rsidRPr="00EB5F64">
        <w:rPr>
          <w:i/>
          <w:iCs/>
          <w:vertAlign w:val="superscript"/>
        </w:rPr>
        <w:t xml:space="preserve">4  </w:t>
      </w:r>
      <w:r w:rsidRPr="00EB5F64">
        <w:rPr>
          <w:i/>
          <w:iCs/>
        </w:rPr>
        <w:t>$15,000 to &lt; $25,000</w:t>
      </w:r>
    </w:p>
    <w:p w14:paraId="38109BD5" w14:textId="201E768A" w:rsidR="00B87E0F" w:rsidRPr="006B343C" w:rsidRDefault="00881389" w:rsidP="008E5D18">
      <w:pPr>
        <w:rPr>
          <w:rFonts w:ascii="Arial Narrow" w:hAnsi="Arial Narrow"/>
          <w:snapToGrid w:val="0"/>
          <w:sz w:val="18"/>
          <w:szCs w:val="18"/>
        </w:rPr>
      </w:pPr>
      <w:r>
        <w:rPr>
          <w:rFonts w:ascii="Arial Narrow" w:hAnsi="Arial Narrow"/>
          <w:snapToGrid w:val="0"/>
          <w:sz w:val="18"/>
          <w:szCs w:val="18"/>
          <w:vertAlign w:val="superscript"/>
        </w:rPr>
        <w:lastRenderedPageBreak/>
        <w:t>5</w:t>
      </w:r>
      <w:r w:rsidRPr="00881389">
        <w:rPr>
          <w:rFonts w:ascii="Arial Narrow" w:hAnsi="Arial Narrow"/>
          <w:snapToGrid w:val="0"/>
          <w:sz w:val="18"/>
          <w:szCs w:val="18"/>
        </w:rPr>
        <w:t>$45,000 to &lt; $55,000</w:t>
      </w:r>
    </w:p>
    <w:p w14:paraId="0E35159B" w14:textId="4980CED5" w:rsidR="00C1278B" w:rsidRPr="006B343C" w:rsidRDefault="00C1278B" w:rsidP="007F5816">
      <w:pPr>
        <w:spacing w:after="120"/>
        <w:contextualSpacing/>
        <w:rPr>
          <w:rFonts w:ascii="Arial Narrow" w:hAnsi="Arial Narrow"/>
          <w:snapToGrid w:val="0"/>
          <w:sz w:val="18"/>
          <w:szCs w:val="18"/>
        </w:rPr>
      </w:pPr>
    </w:p>
    <w:p w14:paraId="4F7160C4" w14:textId="3C334299" w:rsidR="007F5816" w:rsidRPr="007F5816" w:rsidRDefault="007F5816" w:rsidP="007F5816">
      <w:pPr>
        <w:numPr>
          <w:ilvl w:val="1"/>
          <w:numId w:val="1"/>
        </w:numPr>
        <w:spacing w:after="120"/>
        <w:rPr>
          <w:rFonts w:asciiTheme="minorHAnsi" w:hAnsiTheme="minorHAnsi"/>
          <w:snapToGrid w:val="0"/>
        </w:rPr>
      </w:pPr>
      <w:r w:rsidRPr="006B343C">
        <w:fldChar w:fldCharType="begin" w:fldLock="1"/>
      </w:r>
      <w:r w:rsidRPr="006B343C">
        <w:instrText xml:space="preserve"> REF _Ref164075150 \h </w:instrText>
      </w:r>
      <w:r w:rsidR="00D91672" w:rsidRPr="006B343C">
        <w:instrText xml:space="preserve"> \* MERGEFORMAT </w:instrText>
      </w:r>
      <w:r w:rsidRPr="006B343C">
        <w:fldChar w:fldCharType="separate"/>
      </w:r>
      <w:r w:rsidR="00DC7CC4" w:rsidRPr="00DC7CC4">
        <w:t>Figure 1</w:t>
      </w:r>
      <w:r w:rsidRPr="006B343C">
        <w:fldChar w:fldCharType="end"/>
      </w:r>
      <w:r w:rsidRPr="006B343C">
        <w:rPr>
          <w:rFonts w:asciiTheme="minorHAnsi" w:hAnsiTheme="minorHAnsi"/>
          <w:snapToGrid w:val="0"/>
        </w:rPr>
        <w:t xml:space="preserve"> shows the Markov traces to illustrate the proportion of patients</w:t>
      </w:r>
      <w:r w:rsidRPr="007F5816">
        <w:rPr>
          <w:rFonts w:asciiTheme="minorHAnsi" w:hAnsiTheme="minorHAnsi"/>
          <w:snapToGrid w:val="0"/>
        </w:rPr>
        <w:t xml:space="preserve"> in each of the health states over time. </w:t>
      </w:r>
    </w:p>
    <w:p w14:paraId="4B9A2D7F" w14:textId="7467927F" w:rsidR="007F5816" w:rsidRPr="007F5816" w:rsidRDefault="007F5816" w:rsidP="007F5816">
      <w:pPr>
        <w:keepNext/>
        <w:keepLines/>
        <w:rPr>
          <w:rFonts w:ascii="Arial Narrow" w:hAnsi="Arial Narrow"/>
          <w:b/>
          <w:bCs/>
          <w:sz w:val="20"/>
          <w:szCs w:val="18"/>
        </w:rPr>
      </w:pPr>
      <w:bookmarkStart w:id="89" w:name="_Ref164075150"/>
      <w:r w:rsidRPr="007F5816">
        <w:rPr>
          <w:rFonts w:ascii="Arial Narrow" w:hAnsi="Arial Narrow"/>
          <w:b/>
          <w:bCs/>
          <w:sz w:val="20"/>
          <w:szCs w:val="18"/>
        </w:rPr>
        <w:t xml:space="preserve">Figure </w:t>
      </w:r>
      <w:r w:rsidRPr="007F5816">
        <w:rPr>
          <w:rFonts w:ascii="Arial Narrow" w:hAnsi="Arial Narrow"/>
          <w:b/>
          <w:bCs/>
          <w:sz w:val="20"/>
          <w:szCs w:val="18"/>
        </w:rPr>
        <w:fldChar w:fldCharType="begin" w:fldLock="1"/>
      </w:r>
      <w:r w:rsidRPr="007F5816">
        <w:rPr>
          <w:rFonts w:ascii="Arial Narrow" w:hAnsi="Arial Narrow"/>
          <w:b/>
          <w:bCs/>
          <w:sz w:val="20"/>
          <w:szCs w:val="18"/>
        </w:rPr>
        <w:instrText xml:space="preserve"> SEQ Figure \* ARABIC </w:instrText>
      </w:r>
      <w:r w:rsidRPr="007F5816">
        <w:rPr>
          <w:rFonts w:ascii="Arial Narrow" w:hAnsi="Arial Narrow"/>
          <w:b/>
          <w:bCs/>
          <w:sz w:val="20"/>
          <w:szCs w:val="18"/>
        </w:rPr>
        <w:fldChar w:fldCharType="separate"/>
      </w:r>
      <w:r w:rsidR="00DC7CC4">
        <w:rPr>
          <w:rFonts w:ascii="Arial Narrow" w:hAnsi="Arial Narrow"/>
          <w:b/>
          <w:bCs/>
          <w:noProof/>
          <w:sz w:val="20"/>
          <w:szCs w:val="18"/>
        </w:rPr>
        <w:t>1</w:t>
      </w:r>
      <w:r w:rsidRPr="007F5816">
        <w:rPr>
          <w:rFonts w:ascii="Arial Narrow" w:hAnsi="Arial Narrow"/>
          <w:b/>
          <w:bCs/>
          <w:sz w:val="20"/>
          <w:szCs w:val="18"/>
        </w:rPr>
        <w:fldChar w:fldCharType="end"/>
      </w:r>
      <w:bookmarkEnd w:id="89"/>
      <w:r w:rsidRPr="007F5816">
        <w:rPr>
          <w:rFonts w:ascii="Arial Narrow" w:hAnsi="Arial Narrow"/>
          <w:b/>
          <w:bCs/>
          <w:sz w:val="20"/>
          <w:szCs w:val="18"/>
        </w:rPr>
        <w:t>: Markov traces – Solid lines for VEDO + SO</w:t>
      </w:r>
      <w:r w:rsidR="003B7318">
        <w:rPr>
          <w:rFonts w:ascii="Arial Narrow" w:hAnsi="Arial Narrow"/>
          <w:b/>
          <w:bCs/>
          <w:sz w:val="20"/>
          <w:szCs w:val="18"/>
        </w:rPr>
        <w:t>C</w:t>
      </w:r>
      <w:r w:rsidRPr="007F5816">
        <w:rPr>
          <w:rFonts w:ascii="Arial Narrow" w:hAnsi="Arial Narrow"/>
          <w:b/>
          <w:bCs/>
          <w:sz w:val="20"/>
          <w:szCs w:val="18"/>
        </w:rPr>
        <w:t xml:space="preserve"> and dashed lines for SOC</w:t>
      </w:r>
    </w:p>
    <w:p w14:paraId="74D0495C" w14:textId="77777777" w:rsidR="007F5816" w:rsidRPr="007F5816" w:rsidRDefault="007F5816" w:rsidP="007F5816">
      <w:pPr>
        <w:keepNext/>
        <w:keepLines/>
        <w:rPr>
          <w:rFonts w:ascii="Arial Narrow" w:hAnsi="Arial Narrow"/>
          <w:b/>
          <w:bCs/>
          <w:sz w:val="20"/>
          <w:szCs w:val="18"/>
        </w:rPr>
      </w:pPr>
      <w:r w:rsidRPr="007F5816">
        <w:rPr>
          <w:rFonts w:ascii="Arial Narrow" w:hAnsi="Arial Narrow"/>
          <w:b/>
          <w:bCs/>
          <w:noProof/>
          <w:sz w:val="20"/>
          <w:szCs w:val="18"/>
        </w:rPr>
        <w:drawing>
          <wp:inline distT="0" distB="0" distL="0" distR="0" wp14:anchorId="29EBDA46" wp14:editId="6B23794C">
            <wp:extent cx="5732145" cy="3486150"/>
            <wp:effectExtent l="0" t="0" r="1905" b="0"/>
            <wp:docPr id="2014077384" name="Chart 1" descr="Figure 1: Markov traces – Solid lines for VEDO + SOC and dashed lines for SOC">
              <a:extLst xmlns:a="http://schemas.openxmlformats.org/drawingml/2006/main">
                <a:ext uri="{FF2B5EF4-FFF2-40B4-BE49-F238E27FC236}">
                  <a16:creationId xmlns:a16="http://schemas.microsoft.com/office/drawing/2014/main" id="{7E1B6613-260A-43B0-AB78-38DA8FE3B8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9B41A9" w14:textId="77777777" w:rsidR="007F5816" w:rsidRDefault="007F5816" w:rsidP="007F5816">
      <w:pPr>
        <w:spacing w:after="120"/>
        <w:contextualSpacing/>
        <w:rPr>
          <w:rFonts w:ascii="Arial Narrow" w:hAnsi="Arial Narrow"/>
          <w:snapToGrid w:val="0"/>
          <w:sz w:val="18"/>
          <w:szCs w:val="18"/>
        </w:rPr>
      </w:pPr>
      <w:r w:rsidRPr="007F5816">
        <w:rPr>
          <w:rFonts w:ascii="Arial Narrow" w:hAnsi="Arial Narrow"/>
          <w:snapToGrid w:val="0"/>
          <w:sz w:val="18"/>
          <w:szCs w:val="18"/>
        </w:rPr>
        <w:t>Source: Generated from data sourced from tab ‘Model’ of the PBAC_Economicmodel_VEDO of the submission</w:t>
      </w:r>
    </w:p>
    <w:p w14:paraId="3E98B0E4" w14:textId="515B0311" w:rsidR="00D91672" w:rsidRDefault="00D91672" w:rsidP="007F5816">
      <w:pPr>
        <w:spacing w:after="120"/>
        <w:contextualSpacing/>
        <w:rPr>
          <w:rFonts w:ascii="Arial Narrow" w:hAnsi="Arial Narrow"/>
          <w:snapToGrid w:val="0"/>
          <w:sz w:val="18"/>
          <w:szCs w:val="18"/>
        </w:rPr>
      </w:pPr>
      <w:r>
        <w:rPr>
          <w:rFonts w:ascii="Arial Narrow" w:hAnsi="Arial Narrow"/>
          <w:snapToGrid w:val="0"/>
          <w:sz w:val="18"/>
          <w:szCs w:val="18"/>
        </w:rPr>
        <w:t xml:space="preserve">Abbreviations: </w:t>
      </w:r>
      <w:r w:rsidR="003B7318">
        <w:rPr>
          <w:rFonts w:ascii="Arial Narrow" w:hAnsi="Arial Narrow"/>
          <w:snapToGrid w:val="0"/>
          <w:sz w:val="18"/>
          <w:szCs w:val="18"/>
        </w:rPr>
        <w:t>SOC, standard of care</w:t>
      </w:r>
      <w:r w:rsidR="00192D93">
        <w:rPr>
          <w:rFonts w:ascii="Arial Narrow" w:hAnsi="Arial Narrow"/>
          <w:snapToGrid w:val="0"/>
          <w:sz w:val="18"/>
          <w:szCs w:val="18"/>
        </w:rPr>
        <w:t xml:space="preserve">; VEDO, vedolizumab; </w:t>
      </w:r>
      <w:r w:rsidR="005F39FB">
        <w:rPr>
          <w:rFonts w:ascii="Arial Narrow" w:hAnsi="Arial Narrow"/>
          <w:snapToGrid w:val="0"/>
          <w:sz w:val="18"/>
          <w:szCs w:val="18"/>
        </w:rPr>
        <w:t>w/o, without.</w:t>
      </w:r>
    </w:p>
    <w:p w14:paraId="36487AF8" w14:textId="5325C603" w:rsidR="00C1278B" w:rsidRPr="007F5816" w:rsidRDefault="00C1278B" w:rsidP="007F5816">
      <w:pPr>
        <w:spacing w:after="120"/>
        <w:contextualSpacing/>
        <w:rPr>
          <w:rFonts w:ascii="Arial Narrow" w:hAnsi="Arial Narrow"/>
          <w:snapToGrid w:val="0"/>
          <w:sz w:val="18"/>
          <w:szCs w:val="18"/>
        </w:rPr>
      </w:pPr>
    </w:p>
    <w:p w14:paraId="6032D852" w14:textId="04BC111A" w:rsidR="007F5816" w:rsidRDefault="00DC736B" w:rsidP="007F5816">
      <w:pPr>
        <w:numPr>
          <w:ilvl w:val="1"/>
          <w:numId w:val="1"/>
        </w:numPr>
        <w:spacing w:after="120"/>
        <w:rPr>
          <w:rFonts w:asciiTheme="minorHAnsi" w:hAnsiTheme="minorHAnsi"/>
          <w:snapToGrid w:val="0"/>
        </w:rPr>
      </w:pPr>
      <w:bookmarkStart w:id="90" w:name="_Ref166596881"/>
      <w:r w:rsidRPr="006B343C">
        <w:rPr>
          <w:rFonts w:asciiTheme="minorHAnsi" w:hAnsiTheme="minorHAnsi"/>
          <w:snapToGrid w:val="0"/>
        </w:rPr>
        <w:t xml:space="preserve">The Markov trace showed that, in the vedolizumab arm, more patients were in the remission health state at 1.5 years than at 14 weeks. </w:t>
      </w:r>
      <w:r w:rsidR="007F5816" w:rsidRPr="006B343C">
        <w:rPr>
          <w:rFonts w:asciiTheme="minorHAnsi" w:hAnsiTheme="minorHAnsi"/>
          <w:snapToGrid w:val="0"/>
        </w:rPr>
        <w:t>The Markov trace for the Remission health state of the VEDO + SOC arm suggests that up to 35% of patients would achieve remission (23% on VEDO + 11% on SOC) and this is higher compared to data from the EARNEST trial</w:t>
      </w:r>
      <w:r w:rsidRPr="006B343C">
        <w:rPr>
          <w:rFonts w:asciiTheme="minorHAnsi" w:hAnsiTheme="minorHAnsi"/>
          <w:snapToGrid w:val="0"/>
        </w:rPr>
        <w:t xml:space="preserve">, which reported </w:t>
      </w:r>
      <w:r w:rsidR="007F5816" w:rsidRPr="006B343C">
        <w:rPr>
          <w:rFonts w:asciiTheme="minorHAnsi" w:hAnsiTheme="minorHAnsi"/>
          <w:snapToGrid w:val="0"/>
        </w:rPr>
        <w:t>that 27% of patients in the VEDO + SOC arm achieved sustained remission. Patients on the VEDO + SOC arm in the EARNEST trial were on SOC concurrently therefore assuming a separate (SOC) group of patients in addition to the VEDO within the VEDO + SOC arm implies an additive effect that will overestimate the combined treatment effect.</w:t>
      </w:r>
      <w:bookmarkEnd w:id="90"/>
      <w:r w:rsidR="004F7C44" w:rsidRPr="006B343C">
        <w:rPr>
          <w:rFonts w:asciiTheme="minorHAnsi" w:hAnsiTheme="minorHAnsi"/>
          <w:snapToGrid w:val="0"/>
        </w:rPr>
        <w:t xml:space="preserve"> This is likely related to the structure of the model</w:t>
      </w:r>
      <w:r w:rsidR="00A21704" w:rsidRPr="006B343C">
        <w:rPr>
          <w:rFonts w:asciiTheme="minorHAnsi" w:hAnsiTheme="minorHAnsi"/>
          <w:snapToGrid w:val="0"/>
        </w:rPr>
        <w:t xml:space="preserve"> which splits health states of the vedolizumab treatment group into two further treatment arms (VEDO and SOC).</w:t>
      </w:r>
      <w:r w:rsidR="00B27D47">
        <w:rPr>
          <w:rFonts w:asciiTheme="minorHAnsi" w:hAnsiTheme="minorHAnsi"/>
          <w:snapToGrid w:val="0"/>
        </w:rPr>
        <w:t xml:space="preserve"> </w:t>
      </w:r>
    </w:p>
    <w:p w14:paraId="6C948D26" w14:textId="0DB7DC92" w:rsidR="00B27D47" w:rsidRPr="00F55938" w:rsidRDefault="00B27D47" w:rsidP="007F5816">
      <w:pPr>
        <w:numPr>
          <w:ilvl w:val="1"/>
          <w:numId w:val="1"/>
        </w:numPr>
        <w:spacing w:after="120"/>
        <w:rPr>
          <w:rFonts w:asciiTheme="minorHAnsi" w:hAnsiTheme="minorHAnsi"/>
          <w:snapToGrid w:val="0"/>
        </w:rPr>
      </w:pPr>
      <w:bookmarkStart w:id="91" w:name="_Ref169676724"/>
      <w:r w:rsidRPr="00F55938">
        <w:rPr>
          <w:rFonts w:asciiTheme="minorHAnsi" w:hAnsiTheme="minorHAnsi"/>
          <w:snapToGrid w:val="0"/>
        </w:rPr>
        <w:t>The PSCR argued that in the absence of longer-term data,</w:t>
      </w:r>
      <w:r w:rsidR="00F20C80" w:rsidRPr="00F55938">
        <w:rPr>
          <w:rFonts w:asciiTheme="minorHAnsi" w:hAnsiTheme="minorHAnsi"/>
          <w:snapToGrid w:val="0"/>
        </w:rPr>
        <w:t xml:space="preserve"> the</w:t>
      </w:r>
      <w:r w:rsidRPr="00F55938">
        <w:rPr>
          <w:rFonts w:asciiTheme="minorHAnsi" w:hAnsiTheme="minorHAnsi"/>
          <w:snapToGrid w:val="0"/>
        </w:rPr>
        <w:t xml:space="preserve"> </w:t>
      </w:r>
      <w:r w:rsidR="008F4C7C" w:rsidRPr="00F55938">
        <w:rPr>
          <w:rFonts w:asciiTheme="minorHAnsi" w:hAnsiTheme="minorHAnsi"/>
          <w:snapToGrid w:val="0"/>
        </w:rPr>
        <w:t>model used</w:t>
      </w:r>
      <w:r w:rsidRPr="00F55938">
        <w:rPr>
          <w:rFonts w:asciiTheme="minorHAnsi" w:hAnsiTheme="minorHAnsi"/>
          <w:snapToGrid w:val="0"/>
        </w:rPr>
        <w:t xml:space="preserve"> the best evidence-based approach to the extrapolation, and stated the higher proportion of patients in remission at 1.5 years compared to 14 weeks </w:t>
      </w:r>
      <w:r w:rsidR="00950EC9" w:rsidRPr="00F55938">
        <w:rPr>
          <w:rFonts w:asciiTheme="minorHAnsi" w:hAnsiTheme="minorHAnsi"/>
          <w:snapToGrid w:val="0"/>
        </w:rPr>
        <w:t>“</w:t>
      </w:r>
      <w:r w:rsidRPr="00F55938">
        <w:rPr>
          <w:rFonts w:asciiTheme="minorHAnsi" w:hAnsiTheme="minorHAnsi"/>
          <w:snapToGrid w:val="0"/>
        </w:rPr>
        <w:t xml:space="preserve">was an unfortunate artefact of the repeated application of the week 14 to 34 transition probability matrix, which includes a placebo effect </w:t>
      </w:r>
      <w:r w:rsidR="00950EC9" w:rsidRPr="00F55938">
        <w:rPr>
          <w:rFonts w:asciiTheme="minorHAnsi" w:hAnsiTheme="minorHAnsi"/>
          <w:snapToGrid w:val="0"/>
        </w:rPr>
        <w:t xml:space="preserve">that is then </w:t>
      </w:r>
      <w:r w:rsidRPr="00F55938">
        <w:rPr>
          <w:rFonts w:asciiTheme="minorHAnsi" w:hAnsiTheme="minorHAnsi"/>
          <w:snapToGrid w:val="0"/>
        </w:rPr>
        <w:t>applied to the vedolizumab non-responders</w:t>
      </w:r>
      <w:r w:rsidR="00950EC9" w:rsidRPr="00F55938">
        <w:rPr>
          <w:rFonts w:asciiTheme="minorHAnsi" w:hAnsiTheme="minorHAnsi"/>
          <w:snapToGrid w:val="0"/>
        </w:rPr>
        <w:t>”</w:t>
      </w:r>
      <w:r w:rsidRPr="00F55938">
        <w:rPr>
          <w:rFonts w:asciiTheme="minorHAnsi" w:hAnsiTheme="minorHAnsi"/>
          <w:snapToGrid w:val="0"/>
        </w:rPr>
        <w:t xml:space="preserve">. The ESC considered these results in the model trace </w:t>
      </w:r>
      <w:r w:rsidR="00221AFA" w:rsidRPr="00F55938">
        <w:rPr>
          <w:rFonts w:asciiTheme="minorHAnsi" w:hAnsiTheme="minorHAnsi"/>
          <w:snapToGrid w:val="0"/>
        </w:rPr>
        <w:t xml:space="preserve">were </w:t>
      </w:r>
      <w:r w:rsidR="00F20C80" w:rsidRPr="00F55938">
        <w:rPr>
          <w:rFonts w:asciiTheme="minorHAnsi" w:hAnsiTheme="minorHAnsi"/>
          <w:snapToGrid w:val="0"/>
        </w:rPr>
        <w:t xml:space="preserve">not clinically plausible and </w:t>
      </w:r>
      <w:r w:rsidR="00F20C80" w:rsidRPr="00F55938">
        <w:rPr>
          <w:rFonts w:asciiTheme="minorHAnsi" w:hAnsiTheme="minorHAnsi"/>
          <w:snapToGrid w:val="0"/>
        </w:rPr>
        <w:lastRenderedPageBreak/>
        <w:t xml:space="preserve">noted that many of the </w:t>
      </w:r>
      <w:r w:rsidR="00221AFA" w:rsidRPr="00F55938">
        <w:rPr>
          <w:rFonts w:asciiTheme="minorHAnsi" w:hAnsiTheme="minorHAnsi"/>
          <w:snapToGrid w:val="0"/>
        </w:rPr>
        <w:t xml:space="preserve">patients in the </w:t>
      </w:r>
      <w:r w:rsidR="00F20C80" w:rsidRPr="00F55938">
        <w:rPr>
          <w:rFonts w:asciiTheme="minorHAnsi" w:hAnsiTheme="minorHAnsi"/>
          <w:snapToGrid w:val="0"/>
        </w:rPr>
        <w:t xml:space="preserve">vedolizumab group who are in the </w:t>
      </w:r>
      <w:r w:rsidR="00221AFA" w:rsidRPr="00F55938">
        <w:rPr>
          <w:rFonts w:asciiTheme="minorHAnsi" w:hAnsiTheme="minorHAnsi"/>
          <w:snapToGrid w:val="0"/>
        </w:rPr>
        <w:t xml:space="preserve">remission health state at 1.5 years are </w:t>
      </w:r>
      <w:r w:rsidR="00F20C80" w:rsidRPr="00F55938">
        <w:rPr>
          <w:rFonts w:asciiTheme="minorHAnsi" w:hAnsiTheme="minorHAnsi"/>
          <w:snapToGrid w:val="0"/>
        </w:rPr>
        <w:t>not accruing vedolizumab costs (as they are assumed to have moved to SOC treatment after they fail to achieve remission with vedolizumab)</w:t>
      </w:r>
      <w:r w:rsidR="00221AFA" w:rsidRPr="00F55938">
        <w:rPr>
          <w:rFonts w:asciiTheme="minorHAnsi" w:hAnsiTheme="minorHAnsi"/>
          <w:snapToGrid w:val="0"/>
        </w:rPr>
        <w:t>.</w:t>
      </w:r>
      <w:r w:rsidR="004E6599" w:rsidRPr="00F55938">
        <w:rPr>
          <w:rFonts w:asciiTheme="minorHAnsi" w:hAnsiTheme="minorHAnsi"/>
          <w:snapToGrid w:val="0"/>
        </w:rPr>
        <w:t xml:space="preserve"> Further, the ESC noted there is a ‘long tail’ to the Markov traces for the remission health states for both groups, though after five years fewer than 5.2% of patients in the vedolizumab group are accruing vedolizumab costs.</w:t>
      </w:r>
      <w:bookmarkEnd w:id="91"/>
      <w:r w:rsidR="004E6599" w:rsidRPr="00F55938">
        <w:rPr>
          <w:rFonts w:asciiTheme="minorHAnsi" w:hAnsiTheme="minorHAnsi"/>
          <w:snapToGrid w:val="0"/>
        </w:rPr>
        <w:t xml:space="preserve"> </w:t>
      </w:r>
      <w:r w:rsidRPr="00F55938">
        <w:rPr>
          <w:rFonts w:asciiTheme="minorHAnsi" w:hAnsiTheme="minorHAnsi"/>
          <w:snapToGrid w:val="0"/>
        </w:rPr>
        <w:t xml:space="preserve"> </w:t>
      </w:r>
    </w:p>
    <w:p w14:paraId="19A1993C" w14:textId="7FEC8303" w:rsidR="007F5816" w:rsidRPr="006B343C" w:rsidRDefault="007F5816" w:rsidP="007F5816">
      <w:pPr>
        <w:numPr>
          <w:ilvl w:val="1"/>
          <w:numId w:val="1"/>
        </w:numPr>
        <w:spacing w:after="120"/>
        <w:rPr>
          <w:rFonts w:asciiTheme="minorHAnsi" w:hAnsiTheme="minorHAnsi"/>
          <w:snapToGrid w:val="0"/>
        </w:rPr>
      </w:pPr>
      <w:r w:rsidRPr="006B343C">
        <w:fldChar w:fldCharType="begin" w:fldLock="1"/>
      </w:r>
      <w:r w:rsidRPr="006B343C">
        <w:instrText xml:space="preserve"> REF _Ref104805160 \h </w:instrText>
      </w:r>
      <w:r w:rsidR="005F39FB" w:rsidRPr="006B343C">
        <w:instrText xml:space="preserve"> \* MERGEFORMAT </w:instrText>
      </w:r>
      <w:r w:rsidRPr="006B343C">
        <w:fldChar w:fldCharType="separate"/>
      </w:r>
      <w:r w:rsidR="00DC7CC4" w:rsidRPr="00DC7CC4">
        <w:t>Table 11</w:t>
      </w:r>
      <w:r w:rsidRPr="006B343C">
        <w:fldChar w:fldCharType="end"/>
      </w:r>
      <w:r w:rsidRPr="006B343C">
        <w:rPr>
          <w:rFonts w:asciiTheme="minorHAnsi" w:hAnsiTheme="minorHAnsi"/>
          <w:snapToGrid w:val="0"/>
        </w:rPr>
        <w:t xml:space="preserve"> shows the results of the stepped economic evaluation. </w:t>
      </w:r>
    </w:p>
    <w:p w14:paraId="6780454C" w14:textId="1E4F10DA" w:rsidR="007F5816" w:rsidRPr="006B343C" w:rsidRDefault="007F5816" w:rsidP="007F5816">
      <w:pPr>
        <w:keepNext/>
        <w:keepLines/>
        <w:rPr>
          <w:rFonts w:ascii="Arial Narrow" w:hAnsi="Arial Narrow"/>
          <w:b/>
          <w:bCs/>
          <w:sz w:val="20"/>
        </w:rPr>
      </w:pPr>
      <w:bookmarkStart w:id="92" w:name="_Ref104805160"/>
      <w:r w:rsidRPr="006B343C">
        <w:rPr>
          <w:rFonts w:ascii="Arial Narrow" w:hAnsi="Arial Narrow"/>
          <w:b/>
          <w:bCs/>
          <w:sz w:val="20"/>
          <w:szCs w:val="18"/>
        </w:rPr>
        <w:t xml:space="preserve">Table </w:t>
      </w:r>
      <w:r w:rsidRPr="006B343C">
        <w:rPr>
          <w:rFonts w:ascii="Arial Narrow" w:hAnsi="Arial Narrow"/>
          <w:b/>
          <w:bCs/>
          <w:sz w:val="20"/>
          <w:szCs w:val="18"/>
        </w:rPr>
        <w:fldChar w:fldCharType="begin" w:fldLock="1"/>
      </w:r>
      <w:r w:rsidRPr="006B343C">
        <w:rPr>
          <w:rFonts w:ascii="Arial Narrow" w:hAnsi="Arial Narrow"/>
          <w:b/>
          <w:bCs/>
          <w:sz w:val="20"/>
          <w:szCs w:val="18"/>
        </w:rPr>
        <w:instrText xml:space="preserve"> SEQ Table \* ARABIC </w:instrText>
      </w:r>
      <w:r w:rsidRPr="006B343C">
        <w:rPr>
          <w:rFonts w:ascii="Arial Narrow" w:hAnsi="Arial Narrow"/>
          <w:b/>
          <w:bCs/>
          <w:sz w:val="20"/>
          <w:szCs w:val="18"/>
        </w:rPr>
        <w:fldChar w:fldCharType="separate"/>
      </w:r>
      <w:r w:rsidR="00DC7CC4">
        <w:rPr>
          <w:rFonts w:ascii="Arial Narrow" w:hAnsi="Arial Narrow"/>
          <w:b/>
          <w:bCs/>
          <w:noProof/>
          <w:sz w:val="20"/>
          <w:szCs w:val="18"/>
        </w:rPr>
        <w:t>11</w:t>
      </w:r>
      <w:r w:rsidRPr="006B343C">
        <w:rPr>
          <w:rFonts w:ascii="Arial Narrow" w:hAnsi="Arial Narrow"/>
          <w:b/>
          <w:bCs/>
          <w:noProof/>
          <w:sz w:val="20"/>
          <w:szCs w:val="18"/>
        </w:rPr>
        <w:fldChar w:fldCharType="end"/>
      </w:r>
      <w:bookmarkEnd w:id="92"/>
      <w:r w:rsidRPr="006B343C">
        <w:rPr>
          <w:rFonts w:ascii="Arial Narrow" w:hAnsi="Arial Narrow"/>
          <w:b/>
          <w:bCs/>
          <w:sz w:val="20"/>
          <w:szCs w:val="18"/>
        </w:rPr>
        <w:t>:</w:t>
      </w:r>
      <w:r w:rsidRPr="006B343C">
        <w:rPr>
          <w:rFonts w:ascii="Arial Narrow" w:hAnsi="Arial Narrow"/>
          <w:b/>
          <w:bCs/>
          <w:sz w:val="20"/>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Results of the stepped economic evaluation"/>
      </w:tblPr>
      <w:tblGrid>
        <w:gridCol w:w="2757"/>
        <w:gridCol w:w="2451"/>
        <w:gridCol w:w="2298"/>
        <w:gridCol w:w="1511"/>
      </w:tblGrid>
      <w:tr w:rsidR="007F5816" w:rsidRPr="006B343C" w14:paraId="3F1B13AA" w14:textId="77777777">
        <w:trPr>
          <w:tblHeader/>
        </w:trPr>
        <w:tc>
          <w:tcPr>
            <w:tcW w:w="1529" w:type="pct"/>
            <w:vAlign w:val="center"/>
          </w:tcPr>
          <w:p w14:paraId="3EEF5EC8" w14:textId="77777777" w:rsidR="007F5816" w:rsidRPr="006B343C" w:rsidRDefault="007F5816" w:rsidP="007F5816">
            <w:pPr>
              <w:keepNext/>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Step and component</w:t>
            </w:r>
          </w:p>
        </w:tc>
        <w:tc>
          <w:tcPr>
            <w:tcW w:w="1359" w:type="pct"/>
            <w:vAlign w:val="center"/>
          </w:tcPr>
          <w:p w14:paraId="00140743"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Proposed medicine</w:t>
            </w:r>
          </w:p>
        </w:tc>
        <w:tc>
          <w:tcPr>
            <w:tcW w:w="1274" w:type="pct"/>
            <w:vAlign w:val="center"/>
          </w:tcPr>
          <w:p w14:paraId="1B673855"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Comparator</w:t>
            </w:r>
          </w:p>
        </w:tc>
        <w:tc>
          <w:tcPr>
            <w:tcW w:w="838" w:type="pct"/>
            <w:vAlign w:val="center"/>
          </w:tcPr>
          <w:p w14:paraId="61E8E80D"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Increment</w:t>
            </w:r>
          </w:p>
        </w:tc>
      </w:tr>
      <w:tr w:rsidR="007F5816" w:rsidRPr="006B343C" w14:paraId="00040875" w14:textId="77777777">
        <w:tc>
          <w:tcPr>
            <w:tcW w:w="5000" w:type="pct"/>
            <w:gridSpan w:val="4"/>
            <w:vAlign w:val="center"/>
          </w:tcPr>
          <w:p w14:paraId="0CCE2B8A" w14:textId="77777777" w:rsidR="007F5816" w:rsidRPr="006B343C" w:rsidRDefault="007F5816" w:rsidP="007F5816">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Step 1: Trial-based analysis</w:t>
            </w:r>
          </w:p>
          <w:p w14:paraId="5C690B3F"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Cost: Treatment cost (drug and administration)</w:t>
            </w:r>
          </w:p>
          <w:p w14:paraId="44E15FFB"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Outcomes: Remission and response</w:t>
            </w:r>
          </w:p>
          <w:p w14:paraId="152BEFD6" w14:textId="77777777" w:rsidR="007F5816" w:rsidRPr="006B343C" w:rsidRDefault="007F5816" w:rsidP="007F5816">
            <w:pPr>
              <w:keepNext/>
              <w:jc w:val="left"/>
              <w:rPr>
                <w:rFonts w:ascii="Arial Narrow" w:eastAsiaTheme="majorEastAsia" w:hAnsi="Arial Narrow" w:cstheme="majorBidi"/>
                <w:bCs/>
                <w:sz w:val="20"/>
                <w:vertAlign w:val="superscript"/>
              </w:rPr>
            </w:pPr>
            <w:r w:rsidRPr="006B343C">
              <w:rPr>
                <w:rFonts w:ascii="Arial Narrow" w:eastAsiaTheme="majorEastAsia" w:hAnsi="Arial Narrow" w:cstheme="majorBidi"/>
                <w:bCs/>
                <w:sz w:val="20"/>
              </w:rPr>
              <w:t xml:space="preserve">  Time horizon: 34 weeks</w:t>
            </w:r>
            <w:r w:rsidRPr="006B343C">
              <w:rPr>
                <w:rFonts w:ascii="Arial Narrow" w:eastAsiaTheme="majorEastAsia" w:hAnsi="Arial Narrow" w:cstheme="majorBidi"/>
                <w:bCs/>
                <w:sz w:val="20"/>
                <w:vertAlign w:val="superscript"/>
              </w:rPr>
              <w:t>a</w:t>
            </w:r>
          </w:p>
          <w:p w14:paraId="519C9B70" w14:textId="77777777" w:rsidR="007F5816" w:rsidRPr="006B343C" w:rsidRDefault="007F5816" w:rsidP="007F5816">
            <w:pPr>
              <w:keepNext/>
              <w:jc w:val="left"/>
              <w:rPr>
                <w:rFonts w:ascii="Arial Narrow" w:eastAsiaTheme="majorEastAsia" w:hAnsi="Arial Narrow" w:cstheme="majorBidi"/>
                <w:b/>
                <w:sz w:val="20"/>
              </w:rPr>
            </w:pPr>
            <w:r w:rsidRPr="006B343C">
              <w:rPr>
                <w:rFonts w:ascii="Arial Narrow" w:eastAsiaTheme="majorEastAsia" w:hAnsi="Arial Narrow" w:cstheme="majorBidi"/>
                <w:bCs/>
                <w:sz w:val="20"/>
              </w:rPr>
              <w:t xml:space="preserve">  No discounting applied</w:t>
            </w:r>
          </w:p>
        </w:tc>
      </w:tr>
      <w:tr w:rsidR="007F5816" w:rsidRPr="006B343C" w14:paraId="72423220" w14:textId="77777777">
        <w:tc>
          <w:tcPr>
            <w:tcW w:w="1529" w:type="pct"/>
            <w:vAlign w:val="center"/>
          </w:tcPr>
          <w:p w14:paraId="35C53224" w14:textId="77777777" w:rsidR="007F5816" w:rsidRPr="006B343C" w:rsidRDefault="007F5816" w:rsidP="007F5816">
            <w:pPr>
              <w:keepNext/>
              <w:jc w:val="left"/>
              <w:rPr>
                <w:rFonts w:ascii="Times" w:eastAsiaTheme="majorEastAsia" w:hAnsi="Times" w:cstheme="majorBidi"/>
                <w:bCs/>
                <w:sz w:val="20"/>
              </w:rPr>
            </w:pPr>
            <w:r w:rsidRPr="006B343C">
              <w:rPr>
                <w:rFonts w:ascii="Arial Narrow" w:eastAsiaTheme="majorEastAsia" w:hAnsi="Arial Narrow" w:cstheme="majorBidi"/>
                <w:bCs/>
                <w:sz w:val="20"/>
              </w:rPr>
              <w:t>Costs</w:t>
            </w:r>
          </w:p>
        </w:tc>
        <w:tc>
          <w:tcPr>
            <w:tcW w:w="1359" w:type="pct"/>
            <w:vAlign w:val="center"/>
          </w:tcPr>
          <w:p w14:paraId="69216D69" w14:textId="7BCAB067"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vAlign w:val="center"/>
          </w:tcPr>
          <w:p w14:paraId="426F5725" w14:textId="77777777"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$0</w:t>
            </w:r>
          </w:p>
        </w:tc>
        <w:tc>
          <w:tcPr>
            <w:tcW w:w="838" w:type="pct"/>
            <w:vAlign w:val="center"/>
          </w:tcPr>
          <w:p w14:paraId="446F05E6" w14:textId="0E381CBD"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7F5816" w:rsidRPr="006B343C" w14:paraId="0DAA24A0" w14:textId="77777777" w:rsidTr="00DC1AEB">
        <w:tc>
          <w:tcPr>
            <w:tcW w:w="1529" w:type="pct"/>
            <w:vAlign w:val="center"/>
          </w:tcPr>
          <w:p w14:paraId="7089F334" w14:textId="77777777" w:rsidR="007F5816" w:rsidRPr="006B343C" w:rsidRDefault="007F5816" w:rsidP="007F5816">
            <w:pPr>
              <w:keepNext/>
              <w:jc w:val="left"/>
              <w:rPr>
                <w:rFonts w:ascii="Times" w:eastAsiaTheme="majorEastAsia" w:hAnsi="Times" w:cstheme="majorBidi"/>
                <w:bCs/>
                <w:sz w:val="20"/>
              </w:rPr>
            </w:pPr>
            <w:r w:rsidRPr="006B343C">
              <w:rPr>
                <w:rFonts w:ascii="Arial Narrow" w:eastAsiaTheme="majorEastAsia" w:hAnsi="Arial Narrow" w:cstheme="majorBidi"/>
                <w:bCs/>
                <w:sz w:val="20"/>
              </w:rPr>
              <w:t>Outcome: Remission</w:t>
            </w:r>
            <w:r w:rsidRPr="006B343C">
              <w:rPr>
                <w:rFonts w:ascii="Arial Narrow" w:eastAsiaTheme="majorEastAsia" w:hAnsi="Arial Narrow" w:cstheme="majorBidi"/>
                <w:bCs/>
                <w:sz w:val="20"/>
                <w:vertAlign w:val="superscript"/>
              </w:rPr>
              <w:t xml:space="preserve"> b</w:t>
            </w:r>
          </w:p>
        </w:tc>
        <w:tc>
          <w:tcPr>
            <w:tcW w:w="1359" w:type="pct"/>
            <w:vAlign w:val="center"/>
          </w:tcPr>
          <w:p w14:paraId="7743FC36" w14:textId="77777777"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27.5%</w:t>
            </w:r>
          </w:p>
        </w:tc>
        <w:tc>
          <w:tcPr>
            <w:tcW w:w="1274" w:type="pct"/>
            <w:vAlign w:val="center"/>
          </w:tcPr>
          <w:p w14:paraId="062F9A3C" w14:textId="77777777"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5.9%</w:t>
            </w:r>
          </w:p>
        </w:tc>
        <w:tc>
          <w:tcPr>
            <w:tcW w:w="838" w:type="pct"/>
            <w:tcBorders>
              <w:bottom w:val="single" w:sz="4" w:space="0" w:color="auto"/>
            </w:tcBorders>
            <w:vAlign w:val="center"/>
          </w:tcPr>
          <w:p w14:paraId="6B3C9196" w14:textId="77777777" w:rsidR="007F5816" w:rsidRPr="006B343C" w:rsidRDefault="007F5816" w:rsidP="007F5816">
            <w:pPr>
              <w:keepNext/>
              <w:jc w:val="center"/>
              <w:rPr>
                <w:rFonts w:ascii="Arial Narrow" w:eastAsiaTheme="majorEastAsia" w:hAnsi="Arial Narrow" w:cstheme="majorBidi"/>
                <w:bCs/>
                <w:sz w:val="20"/>
                <w:vertAlign w:val="superscript"/>
              </w:rPr>
            </w:pPr>
            <w:r w:rsidRPr="006B343C">
              <w:rPr>
                <w:rFonts w:ascii="Arial Narrow" w:eastAsiaTheme="majorEastAsia" w:hAnsi="Arial Narrow" w:cstheme="majorBidi"/>
                <w:bCs/>
                <w:sz w:val="20"/>
              </w:rPr>
              <w:t>21.6%</w:t>
            </w:r>
          </w:p>
        </w:tc>
      </w:tr>
      <w:tr w:rsidR="00827768" w:rsidRPr="006B343C" w14:paraId="76BD57BE" w14:textId="77777777" w:rsidTr="00827768">
        <w:tc>
          <w:tcPr>
            <w:tcW w:w="4162" w:type="pct"/>
            <w:gridSpan w:val="3"/>
            <w:vAlign w:val="center"/>
          </w:tcPr>
          <w:p w14:paraId="643414CB" w14:textId="55A790E6" w:rsidR="00827768" w:rsidRPr="006B343C" w:rsidRDefault="00827768" w:rsidP="00827768">
            <w:pPr>
              <w:keepNext/>
              <w:jc w:val="right"/>
              <w:rPr>
                <w:rFonts w:ascii="Arial Narrow" w:eastAsiaTheme="majorEastAsia" w:hAnsi="Arial Narrow" w:cstheme="majorBidi"/>
                <w:bCs/>
                <w:sz w:val="20"/>
              </w:rPr>
            </w:pPr>
            <w:r w:rsidRPr="006B343C">
              <w:rPr>
                <w:rFonts w:ascii="Arial Narrow" w:eastAsiaTheme="majorEastAsia" w:hAnsi="Arial Narrow" w:cstheme="majorBidi"/>
                <w:b/>
                <w:sz w:val="20"/>
              </w:rPr>
              <w:t>Incremental cost/extra remission gained</w:t>
            </w:r>
          </w:p>
        </w:tc>
        <w:tc>
          <w:tcPr>
            <w:tcW w:w="838" w:type="pct"/>
            <w:tcBorders>
              <w:bottom w:val="single" w:sz="4" w:space="0" w:color="auto"/>
            </w:tcBorders>
            <w:vAlign w:val="center"/>
          </w:tcPr>
          <w:p w14:paraId="3D0EAADB" w14:textId="6339C982" w:rsidR="00827768" w:rsidRPr="006B343C" w:rsidRDefault="00827768"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
                <w:color w:val="000000"/>
                <w:sz w:val="20"/>
                <w:shd w:val="solid" w:color="000000" w:fill="000000"/>
                <w14:textFill>
                  <w14:solidFill>
                    <w14:srgbClr w14:val="000000">
                      <w14:alpha w14:val="100000"/>
                    </w14:srgbClr>
                  </w14:solidFill>
                </w14:textFill>
              </w:rPr>
              <w:t>|</w:t>
            </w:r>
            <w:r>
              <w:rPr>
                <w:rFonts w:ascii="Arial Narrow" w:eastAsiaTheme="majorEastAsia" w:hAnsi="Arial Narrow" w:cstheme="majorBidi"/>
                <w:b/>
                <w:sz w:val="20"/>
                <w:vertAlign w:val="superscript"/>
              </w:rPr>
              <w:t>1</w:t>
            </w:r>
          </w:p>
        </w:tc>
      </w:tr>
      <w:tr w:rsidR="007F5816" w:rsidRPr="006B343C" w14:paraId="707172B1" w14:textId="77777777">
        <w:tc>
          <w:tcPr>
            <w:tcW w:w="5000" w:type="pct"/>
            <w:gridSpan w:val="4"/>
            <w:vAlign w:val="center"/>
          </w:tcPr>
          <w:p w14:paraId="344D774C" w14:textId="77777777" w:rsidR="007F5816" w:rsidRPr="006B343C" w:rsidRDefault="007F5816" w:rsidP="007F5816">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Step 2: Trial-based analysis</w:t>
            </w:r>
          </w:p>
          <w:p w14:paraId="1AE6645F"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Cost: As per Step 1</w:t>
            </w:r>
          </w:p>
          <w:p w14:paraId="13A5481D" w14:textId="727843B6"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Outcomes: </w:t>
            </w:r>
            <w:r w:rsidR="001543E3" w:rsidRPr="006B343C">
              <w:rPr>
                <w:rFonts w:ascii="Arial Narrow" w:eastAsiaTheme="majorEastAsia" w:hAnsi="Arial Narrow" w:cstheme="majorBidi"/>
                <w:bCs/>
                <w:sz w:val="20"/>
              </w:rPr>
              <w:t>Quality-adjusted life years (QALYs)</w:t>
            </w:r>
          </w:p>
          <w:p w14:paraId="46CC2B78" w14:textId="77777777" w:rsidR="007F5816" w:rsidRPr="006B343C" w:rsidRDefault="007F5816" w:rsidP="007F5816">
            <w:pPr>
              <w:keepNext/>
              <w:jc w:val="left"/>
              <w:rPr>
                <w:rFonts w:ascii="Arial Narrow" w:eastAsiaTheme="majorEastAsia" w:hAnsi="Arial Narrow" w:cstheme="majorBidi"/>
                <w:bCs/>
                <w:sz w:val="20"/>
                <w:vertAlign w:val="superscript"/>
              </w:rPr>
            </w:pPr>
            <w:r w:rsidRPr="006B343C">
              <w:rPr>
                <w:rFonts w:ascii="Arial Narrow" w:eastAsiaTheme="majorEastAsia" w:hAnsi="Arial Narrow" w:cstheme="majorBidi"/>
                <w:bCs/>
                <w:sz w:val="20"/>
              </w:rPr>
              <w:t xml:space="preserve">  Time horizon: 34 weeks</w:t>
            </w:r>
            <w:r w:rsidRPr="006B343C">
              <w:rPr>
                <w:rFonts w:ascii="Arial Narrow" w:eastAsiaTheme="majorEastAsia" w:hAnsi="Arial Narrow" w:cstheme="majorBidi"/>
                <w:bCs/>
                <w:sz w:val="20"/>
                <w:vertAlign w:val="superscript"/>
              </w:rPr>
              <w:t>a</w:t>
            </w:r>
          </w:p>
          <w:p w14:paraId="21AC7782"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No discounting applied</w:t>
            </w:r>
          </w:p>
        </w:tc>
      </w:tr>
      <w:tr w:rsidR="007F5816" w:rsidRPr="006B343C" w14:paraId="42E0BD91" w14:textId="77777777">
        <w:tc>
          <w:tcPr>
            <w:tcW w:w="1529" w:type="pct"/>
            <w:vAlign w:val="center"/>
          </w:tcPr>
          <w:p w14:paraId="4B49E08B"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Costs</w:t>
            </w:r>
          </w:p>
        </w:tc>
        <w:tc>
          <w:tcPr>
            <w:tcW w:w="1359" w:type="pct"/>
            <w:vAlign w:val="center"/>
          </w:tcPr>
          <w:p w14:paraId="6C38123B" w14:textId="2BFB03B1"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vAlign w:val="center"/>
          </w:tcPr>
          <w:p w14:paraId="3E204431"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w:t>
            </w:r>
          </w:p>
        </w:tc>
        <w:tc>
          <w:tcPr>
            <w:tcW w:w="838" w:type="pct"/>
            <w:vAlign w:val="center"/>
          </w:tcPr>
          <w:p w14:paraId="76E4CEDC" w14:textId="7FCB37BE"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7F5816" w:rsidRPr="006B343C" w14:paraId="2594350C" w14:textId="77777777">
        <w:tc>
          <w:tcPr>
            <w:tcW w:w="1529" w:type="pct"/>
            <w:vAlign w:val="center"/>
          </w:tcPr>
          <w:p w14:paraId="42D53007"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Outcome: QALYs </w:t>
            </w:r>
          </w:p>
        </w:tc>
        <w:tc>
          <w:tcPr>
            <w:tcW w:w="1359" w:type="pct"/>
          </w:tcPr>
          <w:p w14:paraId="07A059E8"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0.457</w:t>
            </w:r>
          </w:p>
        </w:tc>
        <w:tc>
          <w:tcPr>
            <w:tcW w:w="1274" w:type="pct"/>
          </w:tcPr>
          <w:p w14:paraId="2DA5D932"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0.424</w:t>
            </w:r>
          </w:p>
        </w:tc>
        <w:tc>
          <w:tcPr>
            <w:tcW w:w="838" w:type="pct"/>
            <w:vAlign w:val="center"/>
          </w:tcPr>
          <w:p w14:paraId="4E8A2AAE"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0.032</w:t>
            </w:r>
            <w:r w:rsidRPr="006B343C">
              <w:rPr>
                <w:rFonts w:ascii="Arial Narrow" w:eastAsiaTheme="majorEastAsia" w:hAnsi="Arial Narrow" w:cstheme="majorBidi"/>
                <w:bCs/>
                <w:sz w:val="20"/>
                <w:vertAlign w:val="superscript"/>
              </w:rPr>
              <w:t xml:space="preserve"> d</w:t>
            </w:r>
          </w:p>
        </w:tc>
      </w:tr>
      <w:tr w:rsidR="007F5816" w:rsidRPr="006B343C" w14:paraId="42645F13" w14:textId="77777777">
        <w:tc>
          <w:tcPr>
            <w:tcW w:w="4162" w:type="pct"/>
            <w:gridSpan w:val="3"/>
            <w:vAlign w:val="center"/>
          </w:tcPr>
          <w:p w14:paraId="41C3CD0C" w14:textId="77777777" w:rsidR="007F5816" w:rsidRPr="006B343C" w:rsidRDefault="007F5816" w:rsidP="007F5816">
            <w:pPr>
              <w:keepNext/>
              <w:jc w:val="right"/>
              <w:rPr>
                <w:rFonts w:ascii="Arial Narrow" w:eastAsiaTheme="majorEastAsia" w:hAnsi="Arial Narrow" w:cstheme="majorBidi"/>
                <w:b/>
                <w:sz w:val="20"/>
              </w:rPr>
            </w:pPr>
            <w:r w:rsidRPr="006B343C">
              <w:rPr>
                <w:rFonts w:ascii="Arial Narrow" w:eastAsiaTheme="majorEastAsia" w:hAnsi="Arial Narrow" w:cstheme="majorBidi"/>
                <w:b/>
                <w:sz w:val="20"/>
              </w:rPr>
              <w:t>Incremental cost/extra QALY gained</w:t>
            </w:r>
          </w:p>
        </w:tc>
        <w:tc>
          <w:tcPr>
            <w:tcW w:w="838" w:type="pct"/>
            <w:vAlign w:val="center"/>
          </w:tcPr>
          <w:p w14:paraId="0F9E2E56" w14:textId="0471E41B" w:rsidR="007F5816" w:rsidRPr="006B343C" w:rsidRDefault="00DC1AEB" w:rsidP="007F5816">
            <w:pPr>
              <w:keepNext/>
              <w:jc w:val="center"/>
              <w:rPr>
                <w:rFonts w:ascii="Arial Narrow" w:eastAsiaTheme="majorEastAsia" w:hAnsi="Arial Narrow" w:cstheme="majorBidi"/>
                <w:b/>
                <w:sz w:val="20"/>
              </w:rPr>
            </w:pPr>
            <w:r w:rsidRPr="00DC1AEB">
              <w:rPr>
                <w:rFonts w:ascii="Arial Narrow" w:eastAsiaTheme="majorEastAsia" w:hAnsi="Arial Narrow" w:cstheme="majorBidi"/>
                <w:b/>
                <w:color w:val="000000"/>
                <w:sz w:val="20"/>
                <w:shd w:val="solid" w:color="000000" w:fill="000000"/>
                <w14:textFill>
                  <w14:solidFill>
                    <w14:srgbClr w14:val="000000">
                      <w14:alpha w14:val="100000"/>
                    </w14:srgbClr>
                  </w14:solidFill>
                </w14:textFill>
              </w:rPr>
              <w:t>|</w:t>
            </w:r>
            <w:r w:rsidR="00A44B4B" w:rsidRPr="00A44B4B">
              <w:rPr>
                <w:rFonts w:ascii="Arial Narrow" w:eastAsiaTheme="majorEastAsia" w:hAnsi="Arial Narrow" w:cstheme="majorBidi"/>
                <w:b/>
                <w:sz w:val="20"/>
                <w:vertAlign w:val="superscript"/>
              </w:rPr>
              <w:t>2</w:t>
            </w:r>
          </w:p>
        </w:tc>
      </w:tr>
      <w:tr w:rsidR="007F5816" w:rsidRPr="006B343C" w14:paraId="6C68030F" w14:textId="77777777">
        <w:tc>
          <w:tcPr>
            <w:tcW w:w="5000" w:type="pct"/>
            <w:gridSpan w:val="4"/>
            <w:vAlign w:val="center"/>
          </w:tcPr>
          <w:p w14:paraId="1FA040D5" w14:textId="77777777" w:rsidR="007F5816" w:rsidRPr="006B343C" w:rsidRDefault="007F5816" w:rsidP="007F5816">
            <w:pPr>
              <w:keepNext/>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Step 3: Modelled evaluation</w:t>
            </w:r>
          </w:p>
          <w:p w14:paraId="61E3F88E"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Costs: As per Step 1</w:t>
            </w:r>
          </w:p>
          <w:p w14:paraId="01C33CE0"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Outcomes: Quality-adjusted life years (QALYs)</w:t>
            </w:r>
          </w:p>
          <w:p w14:paraId="3A031652"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Time horizon: 10 years</w:t>
            </w:r>
          </w:p>
          <w:p w14:paraId="237C236E" w14:textId="77777777" w:rsidR="007F5816" w:rsidRPr="006B343C" w:rsidRDefault="007F5816" w:rsidP="007F5816">
            <w:pPr>
              <w:keepNext/>
              <w:jc w:val="left"/>
              <w:rPr>
                <w:rFonts w:ascii="Arial Narrow" w:eastAsiaTheme="majorEastAsia" w:hAnsi="Arial Narrow" w:cs="Times New Roman"/>
                <w:bCs/>
                <w:sz w:val="20"/>
                <w:lang w:val="en-US"/>
              </w:rPr>
            </w:pPr>
            <w:r w:rsidRPr="006B343C">
              <w:rPr>
                <w:rFonts w:ascii="Arial Narrow" w:eastAsiaTheme="majorEastAsia" w:hAnsi="Arial Narrow" w:cs="Times New Roman"/>
                <w:b/>
                <w:sz w:val="20"/>
                <w:lang w:val="en-US"/>
              </w:rPr>
              <w:t xml:space="preserve">  </w:t>
            </w:r>
            <w:r w:rsidRPr="006B343C">
              <w:rPr>
                <w:rFonts w:ascii="Arial Narrow" w:eastAsiaTheme="majorEastAsia" w:hAnsi="Arial Narrow" w:cs="Times New Roman"/>
                <w:bCs/>
                <w:sz w:val="20"/>
                <w:lang w:val="en-US"/>
              </w:rPr>
              <w:t>Discounting applied at 5% per annum</w:t>
            </w:r>
          </w:p>
        </w:tc>
      </w:tr>
      <w:tr w:rsidR="007F5816" w:rsidRPr="006B343C" w14:paraId="0DC4CAD9" w14:textId="77777777">
        <w:tc>
          <w:tcPr>
            <w:tcW w:w="1529" w:type="pct"/>
            <w:vAlign w:val="center"/>
          </w:tcPr>
          <w:p w14:paraId="6D4A36F4" w14:textId="77777777" w:rsidR="007F5816" w:rsidRPr="006B343C" w:rsidRDefault="007F5816" w:rsidP="007F5816">
            <w:pPr>
              <w:keepNext/>
              <w:jc w:val="left"/>
              <w:rPr>
                <w:rFonts w:ascii="Times" w:eastAsiaTheme="majorEastAsia" w:hAnsi="Times" w:cstheme="majorBidi"/>
                <w:bCs/>
                <w:sz w:val="20"/>
              </w:rPr>
            </w:pPr>
            <w:r w:rsidRPr="006B343C">
              <w:rPr>
                <w:rFonts w:ascii="Arial Narrow" w:eastAsiaTheme="majorEastAsia" w:hAnsi="Arial Narrow" w:cstheme="majorBidi"/>
                <w:bCs/>
                <w:sz w:val="20"/>
              </w:rPr>
              <w:t>Costs</w:t>
            </w:r>
          </w:p>
        </w:tc>
        <w:tc>
          <w:tcPr>
            <w:tcW w:w="1359" w:type="pct"/>
            <w:vAlign w:val="center"/>
          </w:tcPr>
          <w:p w14:paraId="532B2D0B" w14:textId="6879886A"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vAlign w:val="center"/>
          </w:tcPr>
          <w:p w14:paraId="3A6BE952" w14:textId="77777777"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$0</w:t>
            </w:r>
          </w:p>
        </w:tc>
        <w:tc>
          <w:tcPr>
            <w:tcW w:w="838" w:type="pct"/>
            <w:vAlign w:val="center"/>
          </w:tcPr>
          <w:p w14:paraId="58E2BEF6" w14:textId="7D8C02E2"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7F5816" w:rsidRPr="006B343C" w14:paraId="1F315BC9" w14:textId="77777777">
        <w:tc>
          <w:tcPr>
            <w:tcW w:w="1529" w:type="pct"/>
            <w:vAlign w:val="center"/>
          </w:tcPr>
          <w:p w14:paraId="51A69463" w14:textId="77777777" w:rsidR="007F5816" w:rsidRPr="006B343C" w:rsidRDefault="007F5816" w:rsidP="007F5816">
            <w:pPr>
              <w:keepNext/>
              <w:jc w:val="left"/>
              <w:rPr>
                <w:rFonts w:ascii="Times" w:eastAsiaTheme="majorEastAsia" w:hAnsi="Times" w:cstheme="majorBidi"/>
                <w:bCs/>
                <w:sz w:val="20"/>
              </w:rPr>
            </w:pPr>
            <w:r w:rsidRPr="006B343C">
              <w:rPr>
                <w:rFonts w:ascii="Arial Narrow" w:eastAsiaTheme="majorEastAsia" w:hAnsi="Arial Narrow" w:cstheme="majorBidi"/>
                <w:bCs/>
                <w:sz w:val="20"/>
              </w:rPr>
              <w:t>QALY</w:t>
            </w:r>
          </w:p>
        </w:tc>
        <w:tc>
          <w:tcPr>
            <w:tcW w:w="1359" w:type="pct"/>
          </w:tcPr>
          <w:p w14:paraId="7E978496" w14:textId="77777777" w:rsidR="007F5816" w:rsidRPr="00AA337F" w:rsidRDefault="007F5816" w:rsidP="007F5816">
            <w:pPr>
              <w:keepNext/>
              <w:jc w:val="center"/>
              <w:rPr>
                <w:rFonts w:ascii="Times" w:eastAsiaTheme="majorEastAsia" w:hAnsi="Times" w:cstheme="majorBidi"/>
                <w:bCs/>
                <w:sz w:val="20"/>
              </w:rPr>
            </w:pPr>
            <w:r w:rsidRPr="00AA337F">
              <w:rPr>
                <w:rFonts w:ascii="Arial Narrow" w:eastAsiaTheme="majorEastAsia" w:hAnsi="Arial Narrow" w:cstheme="majorBidi"/>
                <w:bCs/>
                <w:sz w:val="20"/>
              </w:rPr>
              <w:t>5.850</w:t>
            </w:r>
          </w:p>
        </w:tc>
        <w:tc>
          <w:tcPr>
            <w:tcW w:w="1274" w:type="pct"/>
          </w:tcPr>
          <w:p w14:paraId="15C65A8B" w14:textId="77777777" w:rsidR="007F5816" w:rsidRPr="00AA337F" w:rsidRDefault="007F5816" w:rsidP="007F5816">
            <w:pPr>
              <w:keepNext/>
              <w:jc w:val="center"/>
              <w:rPr>
                <w:rFonts w:ascii="Times" w:eastAsiaTheme="majorEastAsia" w:hAnsi="Times" w:cstheme="majorBidi"/>
                <w:bCs/>
                <w:sz w:val="20"/>
              </w:rPr>
            </w:pPr>
            <w:r w:rsidRPr="00AA337F">
              <w:rPr>
                <w:rFonts w:ascii="Arial Narrow" w:eastAsiaTheme="majorEastAsia" w:hAnsi="Arial Narrow" w:cstheme="majorBidi"/>
                <w:bCs/>
                <w:sz w:val="20"/>
              </w:rPr>
              <w:t>5.767</w:t>
            </w:r>
          </w:p>
        </w:tc>
        <w:tc>
          <w:tcPr>
            <w:tcW w:w="838" w:type="pct"/>
            <w:vAlign w:val="center"/>
          </w:tcPr>
          <w:p w14:paraId="758C3745"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0.083</w:t>
            </w:r>
          </w:p>
        </w:tc>
      </w:tr>
      <w:tr w:rsidR="007F5816" w:rsidRPr="006B343C" w14:paraId="04B15C7C" w14:textId="77777777">
        <w:trPr>
          <w:trHeight w:val="271"/>
        </w:trPr>
        <w:tc>
          <w:tcPr>
            <w:tcW w:w="4162" w:type="pct"/>
            <w:gridSpan w:val="3"/>
            <w:vAlign w:val="center"/>
          </w:tcPr>
          <w:p w14:paraId="439B0277" w14:textId="77777777" w:rsidR="007F5816" w:rsidRPr="006B343C" w:rsidRDefault="007F5816" w:rsidP="007F5816">
            <w:pPr>
              <w:keepNext/>
              <w:jc w:val="right"/>
              <w:rPr>
                <w:rFonts w:ascii="Times" w:eastAsiaTheme="majorEastAsia" w:hAnsi="Times" w:cstheme="majorBidi"/>
                <w:b/>
                <w:sz w:val="20"/>
              </w:rPr>
            </w:pPr>
            <w:r w:rsidRPr="006B343C">
              <w:rPr>
                <w:rFonts w:ascii="Arial Narrow" w:eastAsiaTheme="majorEastAsia" w:hAnsi="Arial Narrow" w:cstheme="majorBidi"/>
                <w:b/>
                <w:sz w:val="20"/>
              </w:rPr>
              <w:t>Incremental cost/extra QALY gained</w:t>
            </w:r>
          </w:p>
        </w:tc>
        <w:tc>
          <w:tcPr>
            <w:tcW w:w="838" w:type="pct"/>
            <w:vAlign w:val="center"/>
          </w:tcPr>
          <w:p w14:paraId="2CBA5DE8" w14:textId="58A85122" w:rsidR="007F5816" w:rsidRPr="006B343C" w:rsidRDefault="00DC1AEB" w:rsidP="007F5816">
            <w:pPr>
              <w:keepNext/>
              <w:jc w:val="center"/>
              <w:rPr>
                <w:rFonts w:ascii="Times" w:eastAsiaTheme="majorEastAsia" w:hAnsi="Times" w:cstheme="majorBidi"/>
                <w:b/>
                <w:sz w:val="20"/>
              </w:rPr>
            </w:pPr>
            <w:r w:rsidRPr="00DC1AEB">
              <w:rPr>
                <w:rFonts w:ascii="Arial Narrow" w:eastAsiaTheme="majorEastAsia" w:hAnsi="Arial Narrow" w:cstheme="majorBidi"/>
                <w:b/>
                <w:color w:val="000000"/>
                <w:sz w:val="20"/>
                <w:shd w:val="solid" w:color="000000" w:fill="000000"/>
                <w14:textFill>
                  <w14:solidFill>
                    <w14:srgbClr w14:val="000000">
                      <w14:alpha w14:val="100000"/>
                    </w14:srgbClr>
                  </w14:solidFill>
                </w14:textFill>
              </w:rPr>
              <w:t>|</w:t>
            </w:r>
            <w:r w:rsidR="00A22B74" w:rsidRPr="00A22B74">
              <w:rPr>
                <w:rFonts w:ascii="Arial Narrow" w:eastAsiaTheme="majorEastAsia" w:hAnsi="Arial Narrow" w:cstheme="majorBidi"/>
                <w:b/>
                <w:sz w:val="20"/>
                <w:vertAlign w:val="superscript"/>
              </w:rPr>
              <w:t>3</w:t>
            </w:r>
          </w:p>
        </w:tc>
      </w:tr>
      <w:tr w:rsidR="007F5816" w:rsidRPr="006B343C" w14:paraId="4687B457" w14:textId="77777777">
        <w:tc>
          <w:tcPr>
            <w:tcW w:w="5000" w:type="pct"/>
            <w:gridSpan w:val="4"/>
            <w:vAlign w:val="center"/>
          </w:tcPr>
          <w:p w14:paraId="2335B44D" w14:textId="77777777" w:rsidR="007F5816" w:rsidRPr="006B343C" w:rsidRDefault="007F5816" w:rsidP="007F5816">
            <w:pPr>
              <w:keepNext/>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Step 4: Modelled evaluation</w:t>
            </w:r>
          </w:p>
          <w:p w14:paraId="5E52AABD"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Costs: As per Step 1 plus health state, safety and pouch failure costs</w:t>
            </w:r>
          </w:p>
          <w:p w14:paraId="246CFA6A"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Outcomes: Quality-adjusted life years (QALYs)</w:t>
            </w:r>
          </w:p>
          <w:p w14:paraId="03CF819D"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  Time horizon: 10 years</w:t>
            </w:r>
          </w:p>
          <w:p w14:paraId="4AAC13FD" w14:textId="77777777" w:rsidR="007F5816" w:rsidRPr="006B343C" w:rsidRDefault="007F5816" w:rsidP="007F5816">
            <w:pPr>
              <w:keepNext/>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 xml:space="preserve">  </w:t>
            </w:r>
            <w:r w:rsidRPr="006B343C">
              <w:rPr>
                <w:rFonts w:ascii="Arial Narrow" w:eastAsiaTheme="majorEastAsia" w:hAnsi="Arial Narrow" w:cs="Times New Roman"/>
                <w:bCs/>
                <w:sz w:val="20"/>
                <w:lang w:val="en-US"/>
              </w:rPr>
              <w:t>Discounting applied at 5% per annum</w:t>
            </w:r>
          </w:p>
        </w:tc>
      </w:tr>
      <w:tr w:rsidR="007F5816" w:rsidRPr="006B343C" w14:paraId="4BFB7CC7" w14:textId="77777777">
        <w:tc>
          <w:tcPr>
            <w:tcW w:w="1529" w:type="pct"/>
            <w:vAlign w:val="center"/>
          </w:tcPr>
          <w:p w14:paraId="5F1E48DE" w14:textId="77777777" w:rsidR="007F5816" w:rsidRPr="006B343C" w:rsidRDefault="007F5816" w:rsidP="007F5816">
            <w:pPr>
              <w:keepNext/>
              <w:jc w:val="left"/>
              <w:rPr>
                <w:rFonts w:ascii="Times" w:eastAsiaTheme="majorEastAsia" w:hAnsi="Times" w:cstheme="majorBidi"/>
                <w:bCs/>
                <w:sz w:val="20"/>
              </w:rPr>
            </w:pPr>
            <w:r w:rsidRPr="006B343C">
              <w:rPr>
                <w:rFonts w:ascii="Arial Narrow" w:eastAsiaTheme="majorEastAsia" w:hAnsi="Arial Narrow" w:cstheme="majorBidi"/>
                <w:bCs/>
                <w:sz w:val="20"/>
              </w:rPr>
              <w:t>Costs</w:t>
            </w:r>
          </w:p>
        </w:tc>
        <w:tc>
          <w:tcPr>
            <w:tcW w:w="1359" w:type="pct"/>
          </w:tcPr>
          <w:p w14:paraId="27DE4FA1" w14:textId="71C82969"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tcPr>
          <w:p w14:paraId="16A1AB4F" w14:textId="77777777"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$88,324</w:t>
            </w:r>
          </w:p>
        </w:tc>
        <w:tc>
          <w:tcPr>
            <w:tcW w:w="838" w:type="pct"/>
            <w:vAlign w:val="center"/>
          </w:tcPr>
          <w:p w14:paraId="5335A4AE" w14:textId="0A080B56" w:rsidR="007F5816" w:rsidRPr="006B343C" w:rsidRDefault="007F5816" w:rsidP="007F5816">
            <w:pPr>
              <w:keepNext/>
              <w:jc w:val="center"/>
              <w:rPr>
                <w:rFonts w:ascii="Times" w:eastAsiaTheme="majorEastAsia" w:hAnsi="Times"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7F5816" w:rsidRPr="006B343C" w14:paraId="4D09145F" w14:textId="77777777">
        <w:tc>
          <w:tcPr>
            <w:tcW w:w="1529" w:type="pct"/>
            <w:vAlign w:val="center"/>
          </w:tcPr>
          <w:p w14:paraId="09EEC8C5" w14:textId="77777777" w:rsidR="007F5816" w:rsidRPr="006B343C" w:rsidRDefault="007F5816" w:rsidP="007F5816">
            <w:pPr>
              <w:keepNext/>
              <w:jc w:val="left"/>
              <w:rPr>
                <w:rFonts w:ascii="Times" w:eastAsiaTheme="majorEastAsia" w:hAnsi="Times" w:cstheme="majorBidi"/>
                <w:bCs/>
                <w:sz w:val="20"/>
              </w:rPr>
            </w:pPr>
            <w:r w:rsidRPr="006B343C">
              <w:rPr>
                <w:rFonts w:ascii="Arial Narrow" w:eastAsiaTheme="majorEastAsia" w:hAnsi="Arial Narrow" w:cstheme="majorBidi"/>
                <w:bCs/>
                <w:sz w:val="20"/>
              </w:rPr>
              <w:t>QALY</w:t>
            </w:r>
          </w:p>
        </w:tc>
        <w:tc>
          <w:tcPr>
            <w:tcW w:w="1359" w:type="pct"/>
          </w:tcPr>
          <w:p w14:paraId="2898E551" w14:textId="77777777" w:rsidR="007F5816" w:rsidRPr="0069070C" w:rsidRDefault="007F5816" w:rsidP="007F5816">
            <w:pPr>
              <w:keepNext/>
              <w:jc w:val="center"/>
              <w:rPr>
                <w:rFonts w:ascii="Times" w:eastAsiaTheme="majorEastAsia" w:hAnsi="Times" w:cstheme="majorBidi"/>
                <w:bCs/>
                <w:sz w:val="20"/>
              </w:rPr>
            </w:pPr>
            <w:r w:rsidRPr="0069070C">
              <w:rPr>
                <w:rFonts w:ascii="Arial Narrow" w:eastAsiaTheme="majorEastAsia" w:hAnsi="Arial Narrow" w:cstheme="majorBidi"/>
                <w:bCs/>
                <w:sz w:val="20"/>
              </w:rPr>
              <w:t>5.850</w:t>
            </w:r>
          </w:p>
        </w:tc>
        <w:tc>
          <w:tcPr>
            <w:tcW w:w="1274" w:type="pct"/>
          </w:tcPr>
          <w:p w14:paraId="0CA20D4D" w14:textId="77777777" w:rsidR="007F5816" w:rsidRPr="0069070C" w:rsidRDefault="007F5816" w:rsidP="007F5816">
            <w:pPr>
              <w:keepNext/>
              <w:jc w:val="center"/>
              <w:rPr>
                <w:rFonts w:ascii="Times" w:eastAsiaTheme="majorEastAsia" w:hAnsi="Times" w:cstheme="majorBidi"/>
                <w:bCs/>
                <w:sz w:val="20"/>
              </w:rPr>
            </w:pPr>
            <w:r w:rsidRPr="0069070C">
              <w:rPr>
                <w:rFonts w:ascii="Arial Narrow" w:eastAsiaTheme="majorEastAsia" w:hAnsi="Arial Narrow" w:cstheme="majorBidi"/>
                <w:bCs/>
                <w:sz w:val="20"/>
              </w:rPr>
              <w:t>5.767</w:t>
            </w:r>
          </w:p>
        </w:tc>
        <w:tc>
          <w:tcPr>
            <w:tcW w:w="838" w:type="pct"/>
            <w:vAlign w:val="center"/>
          </w:tcPr>
          <w:p w14:paraId="3FE4F147"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0.083</w:t>
            </w:r>
          </w:p>
        </w:tc>
      </w:tr>
      <w:tr w:rsidR="007F5816" w:rsidRPr="006B343C" w14:paraId="6FEFBB32" w14:textId="77777777">
        <w:tc>
          <w:tcPr>
            <w:tcW w:w="4162" w:type="pct"/>
            <w:gridSpan w:val="3"/>
            <w:vAlign w:val="center"/>
          </w:tcPr>
          <w:p w14:paraId="705F69B5" w14:textId="77777777" w:rsidR="007F5816" w:rsidRPr="006B343C" w:rsidRDefault="007F5816" w:rsidP="007F5816">
            <w:pPr>
              <w:keepNext/>
              <w:jc w:val="right"/>
              <w:rPr>
                <w:rFonts w:ascii="Times" w:eastAsiaTheme="majorEastAsia" w:hAnsi="Times" w:cstheme="majorBidi"/>
                <w:b/>
                <w:sz w:val="20"/>
              </w:rPr>
            </w:pPr>
            <w:r w:rsidRPr="006B343C">
              <w:rPr>
                <w:rFonts w:ascii="Arial Narrow" w:eastAsiaTheme="majorEastAsia" w:hAnsi="Arial Narrow" w:cstheme="majorBidi"/>
                <w:b/>
                <w:sz w:val="20"/>
              </w:rPr>
              <w:t>Incremental cost/extra QALY gained</w:t>
            </w:r>
          </w:p>
        </w:tc>
        <w:tc>
          <w:tcPr>
            <w:tcW w:w="838" w:type="pct"/>
            <w:vAlign w:val="center"/>
          </w:tcPr>
          <w:p w14:paraId="176745DC" w14:textId="1AB0D0A4" w:rsidR="007F5816" w:rsidRPr="006B343C" w:rsidRDefault="00DC1AEB" w:rsidP="007F5816">
            <w:pPr>
              <w:keepNext/>
              <w:jc w:val="center"/>
              <w:rPr>
                <w:rFonts w:ascii="Times" w:eastAsiaTheme="majorEastAsia" w:hAnsi="Times" w:cstheme="majorBidi"/>
                <w:b/>
                <w:sz w:val="20"/>
              </w:rPr>
            </w:pPr>
            <w:r w:rsidRPr="00DC1AEB">
              <w:rPr>
                <w:rFonts w:ascii="Arial Narrow" w:eastAsiaTheme="majorEastAsia" w:hAnsi="Arial Narrow" w:cstheme="majorBidi"/>
                <w:b/>
                <w:color w:val="000000"/>
                <w:sz w:val="20"/>
                <w:shd w:val="solid" w:color="000000" w:fill="000000"/>
                <w14:textFill>
                  <w14:solidFill>
                    <w14:srgbClr w14:val="000000">
                      <w14:alpha w14:val="100000"/>
                    </w14:srgbClr>
                  </w14:solidFill>
                </w14:textFill>
              </w:rPr>
              <w:t>|</w:t>
            </w:r>
            <w:r w:rsidR="00A22B74" w:rsidRPr="00A22B74">
              <w:rPr>
                <w:rFonts w:ascii="Arial Narrow" w:eastAsiaTheme="majorEastAsia" w:hAnsi="Arial Narrow" w:cstheme="majorBidi"/>
                <w:b/>
                <w:sz w:val="20"/>
                <w:vertAlign w:val="superscript"/>
              </w:rPr>
              <w:t>4</w:t>
            </w:r>
          </w:p>
        </w:tc>
      </w:tr>
    </w:tbl>
    <w:p w14:paraId="5AED68CB" w14:textId="26426674"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rPr>
        <w:t xml:space="preserve">Source: Table 82 of the submission and corrected during the evaluation to use trial data at Step 1 and 2. </w:t>
      </w:r>
    </w:p>
    <w:p w14:paraId="60DA28DB" w14:textId="77777777"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rPr>
        <w:t xml:space="preserve">Abbreviations: ICER, incremental cost-effectiveness ratio; QALY, quality adjusted life year. </w:t>
      </w:r>
    </w:p>
    <w:p w14:paraId="2C5E5617" w14:textId="77777777"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vertAlign w:val="superscript"/>
        </w:rPr>
        <w:t>a</w:t>
      </w:r>
      <w:r w:rsidRPr="006B343C">
        <w:rPr>
          <w:rFonts w:ascii="Arial Narrow" w:hAnsi="Arial Narrow"/>
          <w:snapToGrid w:val="0"/>
          <w:sz w:val="18"/>
          <w:szCs w:val="22"/>
        </w:rPr>
        <w:t xml:space="preserve"> Based on timing of the outcome as per trial </w:t>
      </w:r>
    </w:p>
    <w:p w14:paraId="3A1985D9" w14:textId="77777777"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vertAlign w:val="superscript"/>
        </w:rPr>
        <w:t>b</w:t>
      </w:r>
      <w:r w:rsidRPr="006B343C">
        <w:rPr>
          <w:rFonts w:ascii="Arial Narrow" w:hAnsi="Arial Narrow"/>
          <w:snapToGrid w:val="0"/>
          <w:sz w:val="18"/>
          <w:szCs w:val="22"/>
        </w:rPr>
        <w:t xml:space="preserve"> Based on sustained remission (mPDAI) outcome data at Week 34 from the EARNEST trial (Table 2.5.1)</w:t>
      </w:r>
    </w:p>
    <w:p w14:paraId="0030B957" w14:textId="77777777"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vertAlign w:val="superscript"/>
        </w:rPr>
        <w:t xml:space="preserve">c </w:t>
      </w:r>
      <w:r w:rsidRPr="006B343C">
        <w:rPr>
          <w:rFonts w:ascii="Arial Narrow" w:hAnsi="Arial Narrow"/>
          <w:snapToGrid w:val="0"/>
          <w:sz w:val="18"/>
          <w:szCs w:val="22"/>
        </w:rPr>
        <w:t>Calculated based on public/private weighted DPMQ + administration cost for 6 doses at a compliance rate of 70.6% as per EARNEST trial</w:t>
      </w:r>
    </w:p>
    <w:p w14:paraId="6842FA79" w14:textId="77777777" w:rsidR="007F5816" w:rsidRDefault="007F5816" w:rsidP="007F5816">
      <w:pPr>
        <w:spacing w:after="120"/>
        <w:contextualSpacing/>
        <w:rPr>
          <w:rFonts w:ascii="Arial Narrow" w:hAnsi="Arial Narrow"/>
          <w:snapToGrid w:val="0"/>
          <w:sz w:val="18"/>
          <w:szCs w:val="18"/>
        </w:rPr>
      </w:pPr>
      <w:r w:rsidRPr="006B343C">
        <w:rPr>
          <w:rFonts w:ascii="Arial Narrow" w:hAnsi="Arial Narrow"/>
          <w:snapToGrid w:val="0"/>
          <w:sz w:val="18"/>
          <w:szCs w:val="18"/>
          <w:vertAlign w:val="superscript"/>
        </w:rPr>
        <w:t xml:space="preserve">d </w:t>
      </w:r>
      <w:r w:rsidRPr="006B343C">
        <w:rPr>
          <w:rFonts w:ascii="Arial Narrow" w:hAnsi="Arial Narrow"/>
          <w:snapToGrid w:val="0"/>
          <w:sz w:val="18"/>
          <w:szCs w:val="18"/>
        </w:rPr>
        <w:t>Calculated based on observed baseline and Week 34 IBDQ scores converted to EQ-5D utility values as reported for each of the treatment arms in EARNEST. Should be interpreted with caution as these were based on small numbers (n=35 for VEDO + SOC and n=30 for PBO + SOC) and the difference between the two arms were not statistically significant.</w:t>
      </w:r>
    </w:p>
    <w:p w14:paraId="3F9C6F4A" w14:textId="77777777" w:rsidR="0043564F" w:rsidRDefault="0043564F" w:rsidP="0043564F">
      <w:pPr>
        <w:spacing w:after="120"/>
        <w:contextualSpacing/>
        <w:rPr>
          <w:rFonts w:ascii="Arial Narrow" w:hAnsi="Arial Narrow"/>
          <w:snapToGrid w:val="0"/>
          <w:sz w:val="18"/>
          <w:szCs w:val="18"/>
        </w:rPr>
      </w:pPr>
      <w:bookmarkStart w:id="93" w:name="_Hlk176357394"/>
      <w:r w:rsidRPr="0043564F">
        <w:rPr>
          <w:rFonts w:ascii="Arial Narrow" w:hAnsi="Arial Narrow"/>
          <w:snapToGrid w:val="0"/>
          <w:sz w:val="18"/>
          <w:szCs w:val="18"/>
        </w:rPr>
        <w:t>The redacted values correspond to the following ranges:</w:t>
      </w:r>
    </w:p>
    <w:p w14:paraId="6595219C" w14:textId="56C89D16" w:rsidR="0043564F" w:rsidRDefault="0043564F" w:rsidP="0043564F">
      <w:pPr>
        <w:spacing w:after="120"/>
        <w:contextualSpacing/>
        <w:rPr>
          <w:rFonts w:ascii="Arial Narrow" w:hAnsi="Arial Narrow"/>
          <w:snapToGrid w:val="0"/>
          <w:sz w:val="18"/>
          <w:szCs w:val="18"/>
        </w:rPr>
      </w:pPr>
      <w:r>
        <w:rPr>
          <w:rFonts w:ascii="Arial Narrow" w:hAnsi="Arial Narrow"/>
          <w:snapToGrid w:val="0"/>
          <w:sz w:val="18"/>
          <w:szCs w:val="18"/>
        </w:rPr>
        <w:t xml:space="preserve">1 </w:t>
      </w:r>
      <w:r w:rsidRPr="0043564F">
        <w:rPr>
          <w:rFonts w:ascii="Arial Narrow" w:hAnsi="Arial Narrow"/>
          <w:snapToGrid w:val="0"/>
          <w:sz w:val="18"/>
          <w:szCs w:val="18"/>
        </w:rPr>
        <w:t>$15,000 to &lt; $25,000</w:t>
      </w:r>
    </w:p>
    <w:p w14:paraId="70FB8255" w14:textId="593A64E9" w:rsidR="00083CE0" w:rsidRDefault="00083CE0" w:rsidP="0043564F">
      <w:pPr>
        <w:spacing w:after="120"/>
        <w:contextualSpacing/>
        <w:rPr>
          <w:rFonts w:ascii="Arial Narrow" w:hAnsi="Arial Narrow"/>
          <w:snapToGrid w:val="0"/>
          <w:sz w:val="18"/>
          <w:szCs w:val="18"/>
        </w:rPr>
      </w:pPr>
      <w:r>
        <w:rPr>
          <w:rFonts w:ascii="Arial Narrow" w:hAnsi="Arial Narrow"/>
          <w:snapToGrid w:val="0"/>
          <w:sz w:val="18"/>
          <w:szCs w:val="18"/>
        </w:rPr>
        <w:t xml:space="preserve">2 </w:t>
      </w:r>
      <w:r w:rsidRPr="00083CE0">
        <w:rPr>
          <w:rFonts w:ascii="Arial Narrow" w:hAnsi="Arial Narrow"/>
          <w:snapToGrid w:val="0"/>
          <w:sz w:val="18"/>
          <w:szCs w:val="18"/>
        </w:rPr>
        <w:t>$135,000 to &lt; $155,000</w:t>
      </w:r>
    </w:p>
    <w:p w14:paraId="2473EF6E" w14:textId="5948866D" w:rsidR="00CC332B" w:rsidRDefault="00CC332B" w:rsidP="0043564F">
      <w:pPr>
        <w:spacing w:after="120"/>
        <w:contextualSpacing/>
        <w:rPr>
          <w:rFonts w:ascii="Arial Narrow" w:hAnsi="Arial Narrow"/>
          <w:snapToGrid w:val="0"/>
          <w:sz w:val="18"/>
          <w:szCs w:val="18"/>
        </w:rPr>
      </w:pPr>
      <w:r>
        <w:rPr>
          <w:rFonts w:ascii="Arial Narrow" w:hAnsi="Arial Narrow"/>
          <w:snapToGrid w:val="0"/>
          <w:sz w:val="18"/>
          <w:szCs w:val="18"/>
        </w:rPr>
        <w:lastRenderedPageBreak/>
        <w:t xml:space="preserve">3 </w:t>
      </w:r>
      <w:r w:rsidRPr="00CC332B">
        <w:rPr>
          <w:rFonts w:ascii="Arial Narrow" w:hAnsi="Arial Narrow"/>
          <w:snapToGrid w:val="0"/>
          <w:sz w:val="18"/>
          <w:szCs w:val="18"/>
        </w:rPr>
        <w:t>$95,000 to &lt; $115,000</w:t>
      </w:r>
    </w:p>
    <w:p w14:paraId="2FB32DF5" w14:textId="20A1CCD3" w:rsidR="00C44AB3" w:rsidRPr="0043564F" w:rsidRDefault="00C44AB3" w:rsidP="008E5D18">
      <w:pPr>
        <w:spacing w:after="120"/>
        <w:rPr>
          <w:rFonts w:ascii="Arial Narrow" w:hAnsi="Arial Narrow"/>
          <w:snapToGrid w:val="0"/>
          <w:sz w:val="18"/>
          <w:szCs w:val="18"/>
        </w:rPr>
      </w:pPr>
      <w:r>
        <w:rPr>
          <w:rFonts w:ascii="Arial Narrow" w:hAnsi="Arial Narrow"/>
          <w:snapToGrid w:val="0"/>
          <w:sz w:val="18"/>
          <w:szCs w:val="18"/>
        </w:rPr>
        <w:t xml:space="preserve">4 </w:t>
      </w:r>
      <w:r w:rsidRPr="00C44AB3">
        <w:rPr>
          <w:rFonts w:ascii="Arial Narrow" w:hAnsi="Arial Narrow"/>
          <w:snapToGrid w:val="0"/>
          <w:sz w:val="18"/>
          <w:szCs w:val="18"/>
        </w:rPr>
        <w:t>$35,000 to &lt; $45,000</w:t>
      </w:r>
    </w:p>
    <w:bookmarkEnd w:id="93"/>
    <w:p w14:paraId="71C1FE60" w14:textId="20F61EAC" w:rsidR="000A1BCC" w:rsidRPr="00A12502" w:rsidRDefault="000A1BCC" w:rsidP="008E5D18">
      <w:pPr>
        <w:numPr>
          <w:ilvl w:val="1"/>
          <w:numId w:val="1"/>
        </w:numPr>
        <w:spacing w:before="120" w:after="120"/>
        <w:rPr>
          <w:rFonts w:asciiTheme="minorHAnsi" w:hAnsiTheme="minorHAnsi"/>
          <w:snapToGrid w:val="0"/>
          <w:lang w:val="en-US"/>
        </w:rPr>
      </w:pPr>
      <w:r w:rsidRPr="006B343C">
        <w:rPr>
          <w:rFonts w:asciiTheme="minorHAnsi" w:hAnsiTheme="minorHAnsi"/>
          <w:snapToGrid w:val="0"/>
          <w:lang w:val="en-US"/>
        </w:rPr>
        <w:t>Given the</w:t>
      </w:r>
      <w:r w:rsidR="00F67B01" w:rsidRPr="006B343C">
        <w:rPr>
          <w:rFonts w:asciiTheme="minorHAnsi" w:hAnsiTheme="minorHAnsi"/>
          <w:snapToGrid w:val="0"/>
          <w:lang w:val="en-US"/>
        </w:rPr>
        <w:t xml:space="preserve"> key concerns </w:t>
      </w:r>
      <w:r w:rsidR="00F20C80">
        <w:rPr>
          <w:rFonts w:asciiTheme="minorHAnsi" w:hAnsiTheme="minorHAnsi"/>
          <w:snapToGrid w:val="0"/>
          <w:lang w:val="en-US"/>
        </w:rPr>
        <w:t>with the</w:t>
      </w:r>
      <w:r w:rsidR="0063315C" w:rsidRPr="006B343C">
        <w:rPr>
          <w:rFonts w:asciiTheme="minorHAnsi" w:hAnsiTheme="minorHAnsi"/>
          <w:snapToGrid w:val="0"/>
          <w:lang w:val="en-US"/>
        </w:rPr>
        <w:t xml:space="preserve"> extrapolation</w:t>
      </w:r>
      <w:r w:rsidRPr="006B343C">
        <w:rPr>
          <w:rFonts w:asciiTheme="minorHAnsi" w:hAnsiTheme="minorHAnsi"/>
          <w:snapToGrid w:val="0"/>
          <w:lang w:val="en-US"/>
        </w:rPr>
        <w:t xml:space="preserve">, </w:t>
      </w:r>
      <w:r w:rsidR="000217DE">
        <w:rPr>
          <w:rFonts w:asciiTheme="minorHAnsi" w:hAnsiTheme="minorHAnsi"/>
          <w:snapToGrid w:val="0"/>
          <w:lang w:val="en-US"/>
        </w:rPr>
        <w:t xml:space="preserve">the evaluation considered the </w:t>
      </w:r>
      <w:r w:rsidRPr="006B343C">
        <w:rPr>
          <w:rFonts w:asciiTheme="minorHAnsi" w:hAnsiTheme="minorHAnsi"/>
          <w:snapToGrid w:val="0"/>
          <w:lang w:val="en-US"/>
        </w:rPr>
        <w:t xml:space="preserve">trial-based analyses (Steps 1 and 2) of the cost per remission gained </w:t>
      </w:r>
      <w:r w:rsidR="00A60905" w:rsidRPr="006B343C">
        <w:rPr>
          <w:rFonts w:asciiTheme="minorHAnsi" w:hAnsiTheme="minorHAnsi"/>
          <w:snapToGrid w:val="0"/>
          <w:lang w:val="en-US"/>
        </w:rPr>
        <w:t>may provide a more reliable basis for decision making.</w:t>
      </w:r>
      <w:r w:rsidR="00D80030" w:rsidRPr="006B343C">
        <w:rPr>
          <w:rFonts w:asciiTheme="minorHAnsi" w:hAnsiTheme="minorHAnsi"/>
          <w:snapToGrid w:val="0"/>
          <w:lang w:val="en-US"/>
        </w:rPr>
        <w:t xml:space="preserve"> </w:t>
      </w:r>
      <w:r w:rsidR="000217DE">
        <w:rPr>
          <w:rFonts w:asciiTheme="minorHAnsi" w:hAnsiTheme="minorHAnsi"/>
          <w:snapToGrid w:val="0"/>
          <w:lang w:val="en-US"/>
        </w:rPr>
        <w:t>However, the evaluation considered t</w:t>
      </w:r>
      <w:r w:rsidR="000D3FF3" w:rsidRPr="006B343C">
        <w:rPr>
          <w:rFonts w:asciiTheme="minorHAnsi" w:hAnsiTheme="minorHAnsi"/>
          <w:snapToGrid w:val="0"/>
          <w:lang w:val="en-US"/>
        </w:rPr>
        <w:t>hese</w:t>
      </w:r>
      <w:r w:rsidR="00597C29" w:rsidRPr="006B343C">
        <w:rPr>
          <w:rFonts w:asciiTheme="minorHAnsi" w:hAnsiTheme="minorHAnsi"/>
          <w:snapToGrid w:val="0"/>
          <w:lang w:val="en-US"/>
        </w:rPr>
        <w:t xml:space="preserve"> results should </w:t>
      </w:r>
      <w:r w:rsidR="000217DE">
        <w:rPr>
          <w:rFonts w:asciiTheme="minorHAnsi" w:hAnsiTheme="minorHAnsi"/>
          <w:snapToGrid w:val="0"/>
          <w:lang w:val="en-US"/>
        </w:rPr>
        <w:t xml:space="preserve">also </w:t>
      </w:r>
      <w:r w:rsidR="00597C29" w:rsidRPr="006B343C">
        <w:rPr>
          <w:rFonts w:asciiTheme="minorHAnsi" w:hAnsiTheme="minorHAnsi"/>
          <w:snapToGrid w:val="0"/>
          <w:lang w:val="en-US"/>
        </w:rPr>
        <w:t>be interpreted with caution</w:t>
      </w:r>
      <w:r w:rsidR="000D3FF3" w:rsidRPr="006B343C">
        <w:rPr>
          <w:rFonts w:asciiTheme="minorHAnsi" w:hAnsiTheme="minorHAnsi"/>
          <w:snapToGrid w:val="0"/>
          <w:lang w:val="en-US"/>
        </w:rPr>
        <w:t xml:space="preserve"> as </w:t>
      </w:r>
      <w:r w:rsidR="00BC458E" w:rsidRPr="006B343C">
        <w:rPr>
          <w:rFonts w:asciiTheme="minorHAnsi" w:hAnsiTheme="minorHAnsi"/>
          <w:snapToGrid w:val="0"/>
          <w:lang w:val="en-US"/>
        </w:rPr>
        <w:t xml:space="preserve">the </w:t>
      </w:r>
      <w:r w:rsidR="00A06A79" w:rsidRPr="006B343C">
        <w:rPr>
          <w:rFonts w:asciiTheme="minorHAnsi" w:hAnsiTheme="minorHAnsi"/>
          <w:snapToGrid w:val="0"/>
          <w:lang w:val="en-US"/>
        </w:rPr>
        <w:t xml:space="preserve">clinical evidence and </w:t>
      </w:r>
      <w:r w:rsidR="00BC458E" w:rsidRPr="006B343C">
        <w:rPr>
          <w:rFonts w:asciiTheme="minorHAnsi" w:hAnsiTheme="minorHAnsi"/>
          <w:snapToGrid w:val="0"/>
          <w:lang w:val="en-US"/>
        </w:rPr>
        <w:t xml:space="preserve">clinical significance of </w:t>
      </w:r>
      <w:r w:rsidR="00C523F3" w:rsidRPr="006B343C">
        <w:rPr>
          <w:rFonts w:asciiTheme="minorHAnsi" w:hAnsiTheme="minorHAnsi"/>
          <w:snapToGrid w:val="0"/>
          <w:lang w:val="en-US"/>
        </w:rPr>
        <w:t xml:space="preserve">remission as defined in the trial </w:t>
      </w:r>
      <w:r w:rsidR="000217DE">
        <w:rPr>
          <w:rFonts w:asciiTheme="minorHAnsi" w:hAnsiTheme="minorHAnsi"/>
          <w:snapToGrid w:val="0"/>
          <w:lang w:val="en-US"/>
        </w:rPr>
        <w:t>was</w:t>
      </w:r>
      <w:r w:rsidR="00C523F3" w:rsidRPr="006B343C">
        <w:rPr>
          <w:rFonts w:asciiTheme="minorHAnsi" w:hAnsiTheme="minorHAnsi"/>
          <w:snapToGrid w:val="0"/>
          <w:lang w:val="en-US"/>
        </w:rPr>
        <w:t xml:space="preserve"> uncertain</w:t>
      </w:r>
      <w:r w:rsidR="00524542" w:rsidRPr="006B343C">
        <w:rPr>
          <w:rFonts w:asciiTheme="minorHAnsi" w:hAnsiTheme="minorHAnsi"/>
          <w:snapToGrid w:val="0"/>
          <w:lang w:val="en-US"/>
        </w:rPr>
        <w:t xml:space="preserve">. </w:t>
      </w:r>
      <w:r w:rsidR="00F20C80" w:rsidRPr="00F55938">
        <w:rPr>
          <w:rFonts w:asciiTheme="minorHAnsi" w:hAnsiTheme="minorHAnsi"/>
          <w:snapToGrid w:val="0"/>
          <w:lang w:val="en-US"/>
        </w:rPr>
        <w:t>Further, th</w:t>
      </w:r>
      <w:r w:rsidR="000217DE">
        <w:rPr>
          <w:rFonts w:asciiTheme="minorHAnsi" w:hAnsiTheme="minorHAnsi"/>
          <w:snapToGrid w:val="0"/>
          <w:lang w:val="en-US"/>
        </w:rPr>
        <w:t>ese analyses were</w:t>
      </w:r>
      <w:r w:rsidR="00F20C80" w:rsidRPr="00F55938">
        <w:rPr>
          <w:rFonts w:asciiTheme="minorHAnsi" w:hAnsiTheme="minorHAnsi"/>
          <w:snapToGrid w:val="0"/>
          <w:lang w:val="en-US"/>
        </w:rPr>
        <w:t xml:space="preserve"> based on a maximum </w:t>
      </w:r>
      <w:r w:rsidR="00A00A52" w:rsidRPr="00F55938">
        <w:rPr>
          <w:rFonts w:asciiTheme="minorHAnsi" w:hAnsiTheme="minorHAnsi"/>
          <w:snapToGrid w:val="0"/>
          <w:lang w:val="en-US"/>
        </w:rPr>
        <w:t xml:space="preserve">vedolizumab </w:t>
      </w:r>
      <w:r w:rsidR="00F20C80" w:rsidRPr="00F55938">
        <w:rPr>
          <w:rFonts w:asciiTheme="minorHAnsi" w:hAnsiTheme="minorHAnsi"/>
          <w:snapToGrid w:val="0"/>
          <w:lang w:val="en-US"/>
        </w:rPr>
        <w:t>treatment duration of 34 weeks</w:t>
      </w:r>
      <w:r w:rsidR="00A00A52" w:rsidRPr="00F55938">
        <w:rPr>
          <w:rFonts w:asciiTheme="minorHAnsi" w:hAnsiTheme="minorHAnsi"/>
          <w:snapToGrid w:val="0"/>
          <w:lang w:val="en-US"/>
        </w:rPr>
        <w:t>, while some patients will continue for longer</w:t>
      </w:r>
      <w:r w:rsidR="00C26EF3" w:rsidRPr="00F55938">
        <w:rPr>
          <w:rFonts w:asciiTheme="minorHAnsi" w:hAnsiTheme="minorHAnsi"/>
          <w:snapToGrid w:val="0"/>
          <w:lang w:val="en-US"/>
        </w:rPr>
        <w:t>. The ESC noted that the incremental cost per responder approach can be more difficult to justify and value for a chronic therapy</w:t>
      </w:r>
      <w:r w:rsidR="00A00A52" w:rsidRPr="00F55938">
        <w:rPr>
          <w:rFonts w:asciiTheme="minorHAnsi" w:hAnsiTheme="minorHAnsi"/>
          <w:snapToGrid w:val="0"/>
          <w:lang w:val="en-US"/>
        </w:rPr>
        <w:t xml:space="preserve">. </w:t>
      </w:r>
      <w:r w:rsidR="00C26EF3" w:rsidRPr="00F55938">
        <w:rPr>
          <w:rFonts w:asciiTheme="minorHAnsi" w:hAnsiTheme="minorHAnsi"/>
          <w:snapToGrid w:val="0"/>
          <w:lang w:val="en-US"/>
        </w:rPr>
        <w:t>Further, the ESC noted the value of a remission was unclear given the issues</w:t>
      </w:r>
      <w:r w:rsidR="00AD784A" w:rsidRPr="00F55938">
        <w:rPr>
          <w:rFonts w:asciiTheme="minorHAnsi" w:hAnsiTheme="minorHAnsi"/>
          <w:snapToGrid w:val="0"/>
          <w:lang w:val="en-US"/>
        </w:rPr>
        <w:t xml:space="preserve"> </w:t>
      </w:r>
      <w:r w:rsidR="00C26EF3" w:rsidRPr="00F55938">
        <w:rPr>
          <w:rFonts w:asciiTheme="minorHAnsi" w:hAnsiTheme="minorHAnsi"/>
          <w:snapToGrid w:val="0"/>
          <w:lang w:val="en-US"/>
        </w:rPr>
        <w:t>with the mPDAI scale.</w:t>
      </w:r>
    </w:p>
    <w:p w14:paraId="653FCEA3" w14:textId="39EF4020" w:rsidR="00A12502" w:rsidRPr="00F55938" w:rsidRDefault="00A12502" w:rsidP="000A1BCC">
      <w:pPr>
        <w:numPr>
          <w:ilvl w:val="1"/>
          <w:numId w:val="1"/>
        </w:numPr>
        <w:spacing w:after="120"/>
        <w:rPr>
          <w:rFonts w:asciiTheme="minorHAnsi" w:hAnsiTheme="minorHAnsi"/>
          <w:snapToGrid w:val="0"/>
          <w:lang w:val="en-US"/>
        </w:rPr>
      </w:pPr>
      <w:r w:rsidRPr="00F55938">
        <w:rPr>
          <w:rFonts w:asciiTheme="minorHAnsi" w:hAnsiTheme="minorHAnsi"/>
          <w:snapToGrid w:val="0"/>
          <w:lang w:val="en-US"/>
        </w:rPr>
        <w:t xml:space="preserve">The </w:t>
      </w:r>
      <w:r w:rsidR="000217DE">
        <w:rPr>
          <w:rFonts w:asciiTheme="minorHAnsi" w:hAnsiTheme="minorHAnsi"/>
          <w:snapToGrid w:val="0"/>
          <w:lang w:val="en-US"/>
        </w:rPr>
        <w:t xml:space="preserve">ESC noted that the </w:t>
      </w:r>
      <w:r w:rsidRPr="00F55938">
        <w:rPr>
          <w:rFonts w:asciiTheme="minorHAnsi" w:hAnsiTheme="minorHAnsi"/>
          <w:snapToGrid w:val="0"/>
          <w:lang w:val="en-US"/>
        </w:rPr>
        <w:t xml:space="preserve">vial price </w:t>
      </w:r>
      <w:r w:rsidR="000217DE">
        <w:rPr>
          <w:rFonts w:asciiTheme="minorHAnsi" w:hAnsiTheme="minorHAnsi"/>
          <w:snapToGrid w:val="0"/>
          <w:lang w:val="en-US"/>
        </w:rPr>
        <w:t>proposed in the submission wa</w:t>
      </w:r>
      <w:r w:rsidRPr="00F55938">
        <w:rPr>
          <w:rFonts w:asciiTheme="minorHAnsi" w:hAnsiTheme="minorHAnsi"/>
          <w:snapToGrid w:val="0"/>
          <w:lang w:val="en-US"/>
        </w:rPr>
        <w:t xml:space="preserve">s the same as the current vial price </w:t>
      </w:r>
      <w:r w:rsidR="00985069" w:rsidRPr="00F55938">
        <w:rPr>
          <w:rFonts w:asciiTheme="minorHAnsi" w:hAnsiTheme="minorHAnsi"/>
          <w:snapToGrid w:val="0"/>
          <w:lang w:val="en-US"/>
        </w:rPr>
        <w:t>in</w:t>
      </w:r>
      <w:r w:rsidRPr="00F55938">
        <w:rPr>
          <w:rFonts w:asciiTheme="minorHAnsi" w:hAnsiTheme="minorHAnsi"/>
          <w:snapToGrid w:val="0"/>
          <w:lang w:val="en-US"/>
        </w:rPr>
        <w:t xml:space="preserve"> ulcerative colitis (</w:t>
      </w:r>
      <w:r w:rsidR="00AD784A">
        <w:rPr>
          <w:rFonts w:asciiTheme="minorHAnsi" w:hAnsiTheme="minorHAnsi"/>
          <w:snapToGrid w:val="0"/>
          <w:lang w:val="en-US"/>
        </w:rPr>
        <w:t>’</w:t>
      </w:r>
      <w:r w:rsidR="000217DE">
        <w:rPr>
          <w:rFonts w:asciiTheme="minorHAnsi" w:hAnsiTheme="minorHAnsi"/>
          <w:snapToGrid w:val="0"/>
          <w:lang w:val="en-US"/>
        </w:rPr>
        <w:t xml:space="preserve">noting a revised price was proposed in the pre-PBAC response, per paragraph </w:t>
      </w:r>
      <w:r w:rsidR="000217DE">
        <w:rPr>
          <w:rFonts w:asciiTheme="minorHAnsi" w:hAnsiTheme="minorHAnsi"/>
          <w:snapToGrid w:val="0"/>
          <w:lang w:val="en-US"/>
        </w:rPr>
        <w:fldChar w:fldCharType="begin" w:fldLock="1"/>
      </w:r>
      <w:r w:rsidR="000217DE">
        <w:rPr>
          <w:rFonts w:asciiTheme="minorHAnsi" w:hAnsiTheme="minorHAnsi"/>
          <w:snapToGrid w:val="0"/>
          <w:lang w:val="en-US"/>
        </w:rPr>
        <w:instrText xml:space="preserve"> REF _Ref172200904 \r \h </w:instrText>
      </w:r>
      <w:r w:rsidR="000217DE">
        <w:rPr>
          <w:rFonts w:asciiTheme="minorHAnsi" w:hAnsiTheme="minorHAnsi"/>
          <w:snapToGrid w:val="0"/>
          <w:lang w:val="en-US"/>
        </w:rPr>
      </w:r>
      <w:r w:rsidR="000217DE">
        <w:rPr>
          <w:rFonts w:asciiTheme="minorHAnsi" w:hAnsiTheme="minorHAnsi"/>
          <w:snapToGrid w:val="0"/>
          <w:lang w:val="en-US"/>
        </w:rPr>
        <w:fldChar w:fldCharType="separate"/>
      </w:r>
      <w:r w:rsidR="00DC7CC4">
        <w:rPr>
          <w:rFonts w:asciiTheme="minorHAnsi" w:hAnsiTheme="minorHAnsi"/>
          <w:snapToGrid w:val="0"/>
          <w:lang w:val="en-US"/>
        </w:rPr>
        <w:t>3.1</w:t>
      </w:r>
      <w:r w:rsidR="000217DE">
        <w:rPr>
          <w:rFonts w:asciiTheme="minorHAnsi" w:hAnsiTheme="minorHAnsi"/>
          <w:snapToGrid w:val="0"/>
          <w:lang w:val="en-US"/>
        </w:rPr>
        <w:fldChar w:fldCharType="end"/>
      </w:r>
      <w:r w:rsidRPr="00F55938">
        <w:rPr>
          <w:rFonts w:asciiTheme="minorHAnsi" w:hAnsiTheme="minorHAnsi"/>
          <w:snapToGrid w:val="0"/>
          <w:lang w:val="en-US"/>
        </w:rPr>
        <w:t xml:space="preserve">). In the context of the small financial spend, </w:t>
      </w:r>
      <w:r w:rsidR="000217DE">
        <w:rPr>
          <w:rFonts w:asciiTheme="minorHAnsi" w:hAnsiTheme="minorHAnsi"/>
          <w:snapToGrid w:val="0"/>
          <w:lang w:val="en-US"/>
        </w:rPr>
        <w:t xml:space="preserve">the ESC considered </w:t>
      </w:r>
      <w:r w:rsidR="00985069" w:rsidRPr="00F55938">
        <w:rPr>
          <w:rFonts w:asciiTheme="minorHAnsi" w:hAnsiTheme="minorHAnsi"/>
          <w:snapToGrid w:val="0"/>
          <w:lang w:val="en-US"/>
        </w:rPr>
        <w:t>this</w:t>
      </w:r>
      <w:r w:rsidRPr="00F55938">
        <w:rPr>
          <w:rFonts w:asciiTheme="minorHAnsi" w:hAnsiTheme="minorHAnsi"/>
          <w:snapToGrid w:val="0"/>
          <w:lang w:val="en-US"/>
        </w:rPr>
        <w:t xml:space="preserve"> may provide a frame of reference for interpreting the cost-effectiveness results.</w:t>
      </w:r>
    </w:p>
    <w:p w14:paraId="6C8FD2D1" w14:textId="4D9427CC"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The results of key univariate sensitivity analyses are summarised in </w:t>
      </w:r>
      <w:r w:rsidRPr="006B343C">
        <w:fldChar w:fldCharType="begin" w:fldLock="1"/>
      </w:r>
      <w:r w:rsidRPr="006B343C">
        <w:instrText xml:space="preserve"> REF _Ref104804865 \h </w:instrText>
      </w:r>
      <w:r w:rsidR="00966EAE" w:rsidRPr="006B343C">
        <w:instrText xml:space="preserve"> \* MERGEFORMAT </w:instrText>
      </w:r>
      <w:r w:rsidRPr="006B343C">
        <w:fldChar w:fldCharType="separate"/>
      </w:r>
      <w:r w:rsidR="00DC7CC4" w:rsidRPr="00DC7CC4">
        <w:t>Table 12</w:t>
      </w:r>
      <w:r w:rsidRPr="006B343C">
        <w:fldChar w:fldCharType="end"/>
      </w:r>
      <w:r w:rsidRPr="006B343C">
        <w:rPr>
          <w:rFonts w:asciiTheme="minorHAnsi" w:hAnsiTheme="minorHAnsi"/>
          <w:snapToGrid w:val="0"/>
        </w:rPr>
        <w:t xml:space="preserve">. </w:t>
      </w:r>
    </w:p>
    <w:p w14:paraId="64978280" w14:textId="3E8B118B" w:rsidR="007F5816" w:rsidRPr="006B343C" w:rsidRDefault="007F5816" w:rsidP="007F5816">
      <w:pPr>
        <w:keepNext/>
        <w:keepLines/>
        <w:rPr>
          <w:rFonts w:ascii="Arial Narrow" w:hAnsi="Arial Narrow"/>
          <w:b/>
          <w:bCs/>
          <w:sz w:val="20"/>
        </w:rPr>
      </w:pPr>
      <w:bookmarkStart w:id="94" w:name="_Ref104804865"/>
      <w:r w:rsidRPr="006B343C">
        <w:rPr>
          <w:rFonts w:ascii="Arial Narrow" w:hAnsi="Arial Narrow"/>
          <w:b/>
          <w:bCs/>
          <w:sz w:val="20"/>
          <w:szCs w:val="18"/>
        </w:rPr>
        <w:lastRenderedPageBreak/>
        <w:t xml:space="preserve">Table </w:t>
      </w:r>
      <w:r w:rsidRPr="006B343C">
        <w:rPr>
          <w:rFonts w:ascii="Arial Narrow" w:hAnsi="Arial Narrow"/>
          <w:b/>
          <w:bCs/>
          <w:sz w:val="20"/>
          <w:szCs w:val="18"/>
        </w:rPr>
        <w:fldChar w:fldCharType="begin" w:fldLock="1"/>
      </w:r>
      <w:r w:rsidRPr="006B343C">
        <w:rPr>
          <w:rFonts w:ascii="Arial Narrow" w:hAnsi="Arial Narrow"/>
          <w:b/>
          <w:bCs/>
          <w:sz w:val="20"/>
          <w:szCs w:val="18"/>
        </w:rPr>
        <w:instrText xml:space="preserve"> SEQ Table \* ARABIC </w:instrText>
      </w:r>
      <w:r w:rsidRPr="006B343C">
        <w:rPr>
          <w:rFonts w:ascii="Arial Narrow" w:hAnsi="Arial Narrow"/>
          <w:b/>
          <w:bCs/>
          <w:sz w:val="20"/>
          <w:szCs w:val="18"/>
        </w:rPr>
        <w:fldChar w:fldCharType="separate"/>
      </w:r>
      <w:r w:rsidR="00DC7CC4">
        <w:rPr>
          <w:rFonts w:ascii="Arial Narrow" w:hAnsi="Arial Narrow"/>
          <w:b/>
          <w:bCs/>
          <w:noProof/>
          <w:sz w:val="20"/>
          <w:szCs w:val="18"/>
        </w:rPr>
        <w:t>12</w:t>
      </w:r>
      <w:r w:rsidRPr="006B343C">
        <w:rPr>
          <w:rFonts w:ascii="Arial Narrow" w:hAnsi="Arial Narrow"/>
          <w:b/>
          <w:bCs/>
          <w:noProof/>
          <w:sz w:val="20"/>
          <w:szCs w:val="18"/>
        </w:rPr>
        <w:fldChar w:fldCharType="end"/>
      </w:r>
      <w:bookmarkEnd w:id="94"/>
      <w:r w:rsidRPr="006B343C">
        <w:rPr>
          <w:rFonts w:ascii="Arial Narrow" w:hAnsi="Arial Narrow"/>
          <w:b/>
          <w:bCs/>
          <w:sz w:val="20"/>
          <w:szCs w:val="18"/>
        </w:rPr>
        <w:t>:</w:t>
      </w:r>
      <w:r w:rsidRPr="006B343C">
        <w:rPr>
          <w:rFonts w:ascii="Arial Narrow" w:hAnsi="Arial Narrow"/>
          <w:b/>
          <w:bCs/>
          <w:sz w:val="20"/>
        </w:rPr>
        <w:t xml:space="preserv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Sensitivity analyses"/>
      </w:tblPr>
      <w:tblGrid>
        <w:gridCol w:w="4086"/>
        <w:gridCol w:w="1331"/>
        <w:gridCol w:w="1452"/>
        <w:gridCol w:w="1075"/>
        <w:gridCol w:w="1073"/>
      </w:tblGrid>
      <w:tr w:rsidR="007F5816" w:rsidRPr="006B343C" w14:paraId="714EB10D" w14:textId="77777777" w:rsidTr="00DC1AEB">
        <w:trPr>
          <w:tblHeader/>
        </w:trPr>
        <w:tc>
          <w:tcPr>
            <w:tcW w:w="2266" w:type="pct"/>
          </w:tcPr>
          <w:p w14:paraId="23765BF7" w14:textId="77777777" w:rsidR="007F5816" w:rsidRPr="006B343C" w:rsidRDefault="007F5816" w:rsidP="007F5816">
            <w:pPr>
              <w:keepNext/>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Analyses</w:t>
            </w:r>
          </w:p>
        </w:tc>
        <w:tc>
          <w:tcPr>
            <w:tcW w:w="738" w:type="pct"/>
            <w:tcBorders>
              <w:bottom w:val="single" w:sz="4" w:space="0" w:color="auto"/>
            </w:tcBorders>
          </w:tcPr>
          <w:p w14:paraId="0EB2E90D"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Incremental cost</w:t>
            </w:r>
          </w:p>
        </w:tc>
        <w:tc>
          <w:tcPr>
            <w:tcW w:w="805" w:type="pct"/>
          </w:tcPr>
          <w:p w14:paraId="00A354CB"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Incremental QALY</w:t>
            </w:r>
          </w:p>
        </w:tc>
        <w:tc>
          <w:tcPr>
            <w:tcW w:w="596" w:type="pct"/>
          </w:tcPr>
          <w:p w14:paraId="5B69DD76"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ICER</w:t>
            </w:r>
          </w:p>
          <w:p w14:paraId="14F8A4A6" w14:textId="689E6FF2" w:rsidR="0035678C" w:rsidRPr="006B343C" w:rsidRDefault="0035678C"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($/QALY)</w:t>
            </w:r>
          </w:p>
        </w:tc>
        <w:tc>
          <w:tcPr>
            <w:tcW w:w="595" w:type="pct"/>
          </w:tcPr>
          <w:p w14:paraId="21D130ED"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Change to ICER</w:t>
            </w:r>
          </w:p>
        </w:tc>
      </w:tr>
      <w:tr w:rsidR="007F5816" w:rsidRPr="006B343C" w14:paraId="37065C66" w14:textId="77777777" w:rsidTr="00DC1AEB">
        <w:tc>
          <w:tcPr>
            <w:tcW w:w="2266" w:type="pct"/>
          </w:tcPr>
          <w:p w14:paraId="72EB23B6" w14:textId="77777777" w:rsidR="007F5816" w:rsidRPr="006B343C" w:rsidRDefault="007F5816" w:rsidP="007F5816">
            <w:pPr>
              <w:keepNext/>
              <w:jc w:val="left"/>
              <w:rPr>
                <w:rFonts w:ascii="Arial Narrow" w:eastAsiaTheme="majorEastAsia" w:hAnsi="Arial Narrow" w:cstheme="majorBidi"/>
                <w:b/>
                <w:bCs/>
                <w:sz w:val="20"/>
              </w:rPr>
            </w:pPr>
            <w:r w:rsidRPr="006B343C">
              <w:rPr>
                <w:rFonts w:ascii="Arial Narrow" w:eastAsiaTheme="majorEastAsia" w:hAnsi="Arial Narrow" w:cstheme="majorBidi"/>
                <w:b/>
                <w:bCs/>
                <w:sz w:val="20"/>
              </w:rPr>
              <w:t>Base case</w:t>
            </w:r>
          </w:p>
        </w:tc>
        <w:tc>
          <w:tcPr>
            <w:tcW w:w="738" w:type="pct"/>
            <w:shd w:val="solid" w:color="000000" w:fill="000000"/>
          </w:tcPr>
          <w:p w14:paraId="41C5F993" w14:textId="6B4679B5" w:rsidR="007F5816" w:rsidRPr="00F65B80" w:rsidRDefault="00DC1AEB" w:rsidP="007F5816">
            <w:pPr>
              <w:keepNext/>
              <w:jc w:val="center"/>
              <w:rPr>
                <w:rFonts w:ascii="Arial Narrow" w:eastAsiaTheme="majorEastAsia" w:hAnsi="Arial Narrow" w:cstheme="majorBidi"/>
                <w:b/>
                <w:sz w:val="20"/>
                <w:highlight w:val="lightGray"/>
              </w:rPr>
            </w:pPr>
            <w:r w:rsidRPr="00DC1AEB">
              <w:rPr>
                <w:rFonts w:ascii="Arial Narrow" w:eastAsiaTheme="majorEastAsia" w:hAnsi="Arial Narrow" w:cstheme="majorBidi" w:hint="eastAsia"/>
                <w:b/>
                <w:color w:val="000000"/>
                <w:w w:val="15"/>
                <w:sz w:val="20"/>
                <w:fitText w:val="30" w:id="-894165760"/>
                <w14:textFill>
                  <w14:solidFill>
                    <w14:srgbClr w14:val="000000">
                      <w14:alpha w14:val="100000"/>
                    </w14:srgbClr>
                  </w14:solidFill>
                </w14:textFill>
              </w:rPr>
              <w:t xml:space="preserve">　</w:t>
            </w:r>
            <w:r w:rsidRPr="00DC1AEB">
              <w:rPr>
                <w:rFonts w:ascii="Arial Narrow" w:eastAsiaTheme="majorEastAsia" w:hAnsi="Arial Narrow" w:cstheme="majorBidi"/>
                <w:b/>
                <w:color w:val="000000"/>
                <w:w w:val="15"/>
                <w:sz w:val="20"/>
                <w:fitText w:val="30" w:id="-894165760"/>
                <w14:textFill>
                  <w14:solidFill>
                    <w14:srgbClr w14:val="000000">
                      <w14:alpha w14:val="100000"/>
                    </w14:srgbClr>
                  </w14:solidFill>
                </w14:textFill>
              </w:rPr>
              <w:t>|</w:t>
            </w:r>
            <w:r w:rsidRPr="00DC1AEB">
              <w:rPr>
                <w:rFonts w:ascii="Arial Narrow" w:eastAsiaTheme="majorEastAsia" w:hAnsi="Arial Narrow" w:cstheme="majorBidi" w:hint="eastAsia"/>
                <w:b/>
                <w:color w:val="000000"/>
                <w:spacing w:val="-36"/>
                <w:w w:val="15"/>
                <w:sz w:val="20"/>
                <w:fitText w:val="30" w:id="-894165760"/>
                <w14:textFill>
                  <w14:solidFill>
                    <w14:srgbClr w14:val="000000">
                      <w14:alpha w14:val="100000"/>
                    </w14:srgbClr>
                  </w14:solidFill>
                </w14:textFill>
              </w:rPr>
              <w:t xml:space="preserve">　</w:t>
            </w:r>
          </w:p>
        </w:tc>
        <w:tc>
          <w:tcPr>
            <w:tcW w:w="805" w:type="pct"/>
          </w:tcPr>
          <w:p w14:paraId="63044B00" w14:textId="77777777" w:rsidR="007F5816" w:rsidRPr="006B343C" w:rsidRDefault="007F5816" w:rsidP="007F5816">
            <w:pPr>
              <w:keepNext/>
              <w:jc w:val="center"/>
              <w:rPr>
                <w:rFonts w:ascii="Arial Narrow" w:eastAsiaTheme="majorEastAsia" w:hAnsi="Arial Narrow" w:cstheme="majorBidi"/>
                <w:b/>
                <w:sz w:val="20"/>
              </w:rPr>
            </w:pPr>
            <w:r w:rsidRPr="006B343C">
              <w:rPr>
                <w:rFonts w:ascii="Arial Narrow" w:eastAsiaTheme="majorEastAsia" w:hAnsi="Arial Narrow" w:cstheme="majorBidi"/>
                <w:bCs/>
                <w:sz w:val="20"/>
              </w:rPr>
              <w:t>0.083</w:t>
            </w:r>
          </w:p>
        </w:tc>
        <w:tc>
          <w:tcPr>
            <w:tcW w:w="596" w:type="pct"/>
          </w:tcPr>
          <w:p w14:paraId="36BE2D98" w14:textId="57BAB913" w:rsidR="007F5816" w:rsidRPr="006B343C" w:rsidRDefault="00DC1AEB" w:rsidP="007F5816">
            <w:pPr>
              <w:keepNext/>
              <w:jc w:val="center"/>
              <w:rPr>
                <w:rFonts w:ascii="Arial Narrow" w:eastAsiaTheme="majorEastAsia" w:hAnsi="Arial Narrow" w:cstheme="majorBidi"/>
                <w:b/>
                <w:sz w:val="20"/>
              </w:rPr>
            </w:pPr>
            <w:r w:rsidRPr="00DC1AEB">
              <w:rPr>
                <w:rFonts w:ascii="Arial Narrow" w:eastAsiaTheme="majorEastAsia" w:hAnsi="Arial Narrow" w:cstheme="majorBidi"/>
                <w:b/>
                <w:color w:val="000000"/>
                <w:spacing w:val="108"/>
                <w:sz w:val="20"/>
                <w:shd w:val="solid" w:color="000000" w:fill="000000"/>
                <w:fitText w:val="200" w:id="-894165759"/>
                <w14:textFill>
                  <w14:solidFill>
                    <w14:srgbClr w14:val="000000">
                      <w14:alpha w14:val="100000"/>
                    </w14:srgbClr>
                  </w14:solidFill>
                </w14:textFill>
              </w:rPr>
              <w:t>|</w:t>
            </w:r>
            <w:r w:rsidRPr="00DC1AEB">
              <w:rPr>
                <w:rFonts w:ascii="Arial Narrow" w:eastAsiaTheme="majorEastAsia" w:hAnsi="Arial Narrow" w:cstheme="majorBidi"/>
                <w:b/>
                <w:color w:val="000000"/>
                <w:spacing w:val="1"/>
                <w:sz w:val="20"/>
                <w:shd w:val="solid" w:color="000000" w:fill="000000"/>
                <w:fitText w:val="200" w:id="-894165759"/>
                <w14:textFill>
                  <w14:solidFill>
                    <w14:srgbClr w14:val="000000">
                      <w14:alpha w14:val="100000"/>
                    </w14:srgbClr>
                  </w14:solidFill>
                </w14:textFill>
              </w:rPr>
              <w:t>|</w:t>
            </w:r>
            <w:r w:rsidR="00B54B7C" w:rsidRPr="00B54B7C">
              <w:rPr>
                <w:rFonts w:ascii="Arial Narrow" w:eastAsiaTheme="majorEastAsia" w:hAnsi="Arial Narrow" w:cstheme="majorBidi"/>
                <w:b/>
                <w:sz w:val="20"/>
                <w:vertAlign w:val="superscript"/>
              </w:rPr>
              <w:t>1</w:t>
            </w:r>
          </w:p>
        </w:tc>
        <w:tc>
          <w:tcPr>
            <w:tcW w:w="595" w:type="pct"/>
          </w:tcPr>
          <w:p w14:paraId="38E7FDF4" w14:textId="77777777" w:rsidR="007F5816" w:rsidRPr="006B343C" w:rsidRDefault="007F5816" w:rsidP="007F5816">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w:t>
            </w:r>
          </w:p>
        </w:tc>
      </w:tr>
      <w:tr w:rsidR="007F5816" w:rsidRPr="006B343C" w14:paraId="27EE2070" w14:textId="77777777">
        <w:tc>
          <w:tcPr>
            <w:tcW w:w="5000" w:type="pct"/>
            <w:gridSpan w:val="5"/>
          </w:tcPr>
          <w:p w14:paraId="0A1377F8" w14:textId="77777777" w:rsidR="007F5816" w:rsidRPr="006B343C" w:rsidRDefault="007F5816" w:rsidP="007F5816">
            <w:pPr>
              <w:keepNext/>
              <w:jc w:val="left"/>
              <w:rPr>
                <w:rFonts w:ascii="Arial Narrow" w:eastAsiaTheme="majorEastAsia" w:hAnsi="Arial Narrow" w:cstheme="majorBidi"/>
                <w:b/>
                <w:sz w:val="20"/>
              </w:rPr>
            </w:pPr>
            <w:r w:rsidRPr="006B343C">
              <w:rPr>
                <w:rFonts w:ascii="Arial Narrow" w:eastAsiaTheme="majorEastAsia" w:hAnsi="Arial Narrow" w:cstheme="majorBidi"/>
                <w:bCs/>
                <w:sz w:val="20"/>
              </w:rPr>
              <w:t>Discount rate (base case 5% costs and outcomes)</w:t>
            </w:r>
          </w:p>
        </w:tc>
      </w:tr>
      <w:tr w:rsidR="007F5816" w:rsidRPr="006B343C" w14:paraId="23FF7F21" w14:textId="77777777" w:rsidTr="00DC1AEB">
        <w:tc>
          <w:tcPr>
            <w:tcW w:w="2266" w:type="pct"/>
          </w:tcPr>
          <w:p w14:paraId="755F3D21"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0% costs and outcomes</w:t>
            </w:r>
          </w:p>
        </w:tc>
        <w:tc>
          <w:tcPr>
            <w:tcW w:w="738" w:type="pct"/>
            <w:tcBorders>
              <w:bottom w:val="single" w:sz="4" w:space="0" w:color="auto"/>
            </w:tcBorders>
            <w:shd w:val="solid" w:color="000000" w:fill="000000"/>
          </w:tcPr>
          <w:p w14:paraId="61B91006" w14:textId="6A229018"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13A8ABE5"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0.085</w:t>
            </w:r>
          </w:p>
        </w:tc>
        <w:tc>
          <w:tcPr>
            <w:tcW w:w="596" w:type="pct"/>
          </w:tcPr>
          <w:p w14:paraId="48D73161" w14:textId="7E3743C5"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8"/>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8"/>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8"/>
                <w14:textFill>
                  <w14:solidFill>
                    <w14:srgbClr w14:val="000000">
                      <w14:alpha w14:val="100000"/>
                    </w14:srgbClr>
                  </w14:solidFill>
                </w14:textFill>
              </w:rPr>
              <w:t xml:space="preserve">　</w:t>
            </w:r>
            <w:r w:rsidR="0053682F" w:rsidRPr="00B54B7C">
              <w:rPr>
                <w:rFonts w:ascii="Arial Narrow" w:eastAsiaTheme="majorEastAsia" w:hAnsi="Arial Narrow" w:cstheme="majorBidi"/>
                <w:b/>
                <w:sz w:val="20"/>
                <w:vertAlign w:val="superscript"/>
              </w:rPr>
              <w:t>1</w:t>
            </w:r>
          </w:p>
        </w:tc>
        <w:tc>
          <w:tcPr>
            <w:tcW w:w="595" w:type="pct"/>
          </w:tcPr>
          <w:p w14:paraId="028E3121" w14:textId="54903516"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46"/>
                <w:sz w:val="20"/>
                <w:shd w:val="solid" w:color="000000" w:fill="000000"/>
                <w:fitText w:val="220" w:id="-894165757"/>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220" w:id="-894165757"/>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r w:rsidR="007F5816" w:rsidRPr="006B343C" w14:paraId="3C2E0641" w14:textId="77777777" w:rsidTr="00DC1AEB">
        <w:tc>
          <w:tcPr>
            <w:tcW w:w="2266" w:type="pct"/>
          </w:tcPr>
          <w:p w14:paraId="1BBCDB0D"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3.5% costs and outcomes</w:t>
            </w:r>
          </w:p>
        </w:tc>
        <w:tc>
          <w:tcPr>
            <w:tcW w:w="738" w:type="pct"/>
            <w:shd w:val="solid" w:color="000000" w:fill="000000"/>
          </w:tcPr>
          <w:p w14:paraId="372C45D5" w14:textId="7A961414"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387FDA7D"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0.092</w:t>
            </w:r>
          </w:p>
        </w:tc>
        <w:tc>
          <w:tcPr>
            <w:tcW w:w="596" w:type="pct"/>
          </w:tcPr>
          <w:p w14:paraId="1BEDCCA6" w14:textId="577C7AB4"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6"/>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6"/>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6"/>
                <w14:textFill>
                  <w14:solidFill>
                    <w14:srgbClr w14:val="000000">
                      <w14:alpha w14:val="100000"/>
                    </w14:srgbClr>
                  </w14:solidFill>
                </w14:textFill>
              </w:rPr>
              <w:t xml:space="preserve">　</w:t>
            </w:r>
            <w:r w:rsidR="006E7C25" w:rsidRPr="006E7C25">
              <w:rPr>
                <w:rFonts w:ascii="Arial Narrow" w:eastAsiaTheme="majorEastAsia" w:hAnsi="Arial Narrow" w:cstheme="majorBidi"/>
                <w:bCs/>
                <w:sz w:val="20"/>
                <w:vertAlign w:val="superscript"/>
              </w:rPr>
              <w:t>2</w:t>
            </w:r>
          </w:p>
        </w:tc>
        <w:tc>
          <w:tcPr>
            <w:tcW w:w="595" w:type="pct"/>
          </w:tcPr>
          <w:p w14:paraId="0CD0AA9D" w14:textId="3EF6DAF6"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46"/>
                <w:sz w:val="20"/>
                <w:shd w:val="solid" w:color="000000" w:fill="000000"/>
                <w:fitText w:val="220" w:id="-894165755"/>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220" w:id="-894165755"/>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r w:rsidR="007F5816" w:rsidRPr="006B343C" w14:paraId="5AA088E6" w14:textId="77777777" w:rsidTr="00DC1AEB">
        <w:tc>
          <w:tcPr>
            <w:tcW w:w="2266" w:type="pct"/>
          </w:tcPr>
          <w:p w14:paraId="4CB2AE73"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Time horizon (base case 10 years)</w:t>
            </w:r>
          </w:p>
        </w:tc>
        <w:tc>
          <w:tcPr>
            <w:tcW w:w="738" w:type="pct"/>
            <w:tcBorders>
              <w:bottom w:val="single" w:sz="4" w:space="0" w:color="auto"/>
            </w:tcBorders>
          </w:tcPr>
          <w:p w14:paraId="7DDB4C83" w14:textId="77777777" w:rsidR="007F5816" w:rsidRPr="006B343C" w:rsidRDefault="007F5816" w:rsidP="007F5816">
            <w:pPr>
              <w:keepNext/>
              <w:jc w:val="center"/>
              <w:rPr>
                <w:rFonts w:ascii="Arial Narrow" w:eastAsiaTheme="majorEastAsia" w:hAnsi="Arial Narrow" w:cstheme="majorBidi"/>
                <w:bCs/>
                <w:sz w:val="20"/>
              </w:rPr>
            </w:pPr>
          </w:p>
        </w:tc>
        <w:tc>
          <w:tcPr>
            <w:tcW w:w="805" w:type="pct"/>
          </w:tcPr>
          <w:p w14:paraId="61133C84" w14:textId="77777777" w:rsidR="007F5816" w:rsidRPr="006B343C" w:rsidRDefault="007F5816" w:rsidP="007F5816">
            <w:pPr>
              <w:keepNext/>
              <w:jc w:val="center"/>
              <w:rPr>
                <w:rFonts w:ascii="Arial Narrow" w:eastAsiaTheme="majorEastAsia" w:hAnsi="Arial Narrow" w:cstheme="majorBidi"/>
                <w:bCs/>
                <w:sz w:val="20"/>
              </w:rPr>
            </w:pPr>
          </w:p>
        </w:tc>
        <w:tc>
          <w:tcPr>
            <w:tcW w:w="596" w:type="pct"/>
            <w:tcBorders>
              <w:bottom w:val="single" w:sz="4" w:space="0" w:color="auto"/>
            </w:tcBorders>
          </w:tcPr>
          <w:p w14:paraId="3A0588C4" w14:textId="77777777" w:rsidR="007F5816" w:rsidRPr="006B343C" w:rsidRDefault="007F5816" w:rsidP="007F5816">
            <w:pPr>
              <w:keepNext/>
              <w:jc w:val="center"/>
              <w:rPr>
                <w:rFonts w:ascii="Arial Narrow" w:eastAsiaTheme="majorEastAsia" w:hAnsi="Arial Narrow" w:cstheme="majorBidi"/>
                <w:bCs/>
                <w:sz w:val="20"/>
              </w:rPr>
            </w:pPr>
          </w:p>
        </w:tc>
        <w:tc>
          <w:tcPr>
            <w:tcW w:w="595" w:type="pct"/>
          </w:tcPr>
          <w:p w14:paraId="015CA7DD" w14:textId="77777777" w:rsidR="007F5816" w:rsidRPr="006B343C" w:rsidRDefault="007F5816" w:rsidP="007F5816">
            <w:pPr>
              <w:keepNext/>
              <w:jc w:val="center"/>
              <w:rPr>
                <w:rFonts w:ascii="Arial Narrow" w:eastAsiaTheme="majorEastAsia" w:hAnsi="Arial Narrow" w:cstheme="majorBidi"/>
                <w:bCs/>
                <w:sz w:val="20"/>
              </w:rPr>
            </w:pPr>
          </w:p>
        </w:tc>
      </w:tr>
      <w:tr w:rsidR="00E44785" w:rsidRPr="006B343C" w14:paraId="68116E1B" w14:textId="77777777" w:rsidTr="00DC1AEB">
        <w:tc>
          <w:tcPr>
            <w:tcW w:w="2266" w:type="pct"/>
          </w:tcPr>
          <w:p w14:paraId="31A39611" w14:textId="29C10B4B" w:rsidR="00E44785" w:rsidRPr="006B343C" w:rsidRDefault="00E44785"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3 years</w:t>
            </w:r>
          </w:p>
        </w:tc>
        <w:tc>
          <w:tcPr>
            <w:tcW w:w="738" w:type="pct"/>
            <w:tcBorders>
              <w:bottom w:val="single" w:sz="4" w:space="0" w:color="auto"/>
            </w:tcBorders>
            <w:shd w:val="solid" w:color="000000" w:fill="000000"/>
          </w:tcPr>
          <w:p w14:paraId="6BC0C7FD" w14:textId="77777777" w:rsidR="00E44785" w:rsidRPr="00DC1AEB" w:rsidRDefault="00E44785" w:rsidP="007F5816">
            <w:pPr>
              <w:keepNext/>
              <w:jc w:val="center"/>
              <w:rPr>
                <w:rFonts w:ascii="Arial Narrow" w:eastAsiaTheme="majorEastAsia" w:hAnsi="Arial Narrow" w:cstheme="majorBidi"/>
                <w:bCs/>
                <w:color w:val="000000"/>
                <w:sz w:val="20"/>
                <w14:textFill>
                  <w14:solidFill>
                    <w14:srgbClr w14:val="000000">
                      <w14:alpha w14:val="100000"/>
                    </w14:srgbClr>
                  </w14:solidFill>
                </w14:textFill>
              </w:rPr>
            </w:pPr>
          </w:p>
        </w:tc>
        <w:tc>
          <w:tcPr>
            <w:tcW w:w="805" w:type="pct"/>
          </w:tcPr>
          <w:p w14:paraId="5DC52F7E" w14:textId="5B50C3B7" w:rsidR="00E44785" w:rsidRPr="006B343C" w:rsidRDefault="00E44785"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0.056</w:t>
            </w:r>
          </w:p>
        </w:tc>
        <w:tc>
          <w:tcPr>
            <w:tcW w:w="596" w:type="pct"/>
          </w:tcPr>
          <w:p w14:paraId="70BBD4E7" w14:textId="367F91A4" w:rsidR="00E44785" w:rsidRPr="00DC1AEB" w:rsidRDefault="00E44785" w:rsidP="007F5816">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E44785">
              <w:rPr>
                <w:rFonts w:ascii="Arial Narrow" w:eastAsiaTheme="majorEastAsia" w:hAnsi="Arial Narrow" w:cstheme="majorBidi" w:hint="eastAsia"/>
                <w:bCs/>
                <w:color w:val="000000"/>
                <w:w w:val="33"/>
                <w:sz w:val="20"/>
                <w:shd w:val="solid" w:color="000000" w:fill="000000"/>
                <w:fitText w:val="150" w:id="-894165752"/>
                <w14:textFill>
                  <w14:solidFill>
                    <w14:srgbClr w14:val="000000">
                      <w14:alpha w14:val="100000"/>
                    </w14:srgbClr>
                  </w14:solidFill>
                </w14:textFill>
              </w:rPr>
              <w:t xml:space="preserve">　</w:t>
            </w:r>
            <w:r w:rsidRPr="00E44785">
              <w:rPr>
                <w:rFonts w:ascii="Arial Narrow" w:eastAsiaTheme="majorEastAsia" w:hAnsi="Arial Narrow" w:cstheme="majorBidi"/>
                <w:bCs/>
                <w:color w:val="000000"/>
                <w:w w:val="33"/>
                <w:sz w:val="20"/>
                <w:shd w:val="solid" w:color="000000" w:fill="000000"/>
                <w:fitText w:val="150" w:id="-894165752"/>
                <w14:textFill>
                  <w14:solidFill>
                    <w14:srgbClr w14:val="000000">
                      <w14:alpha w14:val="100000"/>
                    </w14:srgbClr>
                  </w14:solidFill>
                </w14:textFill>
              </w:rPr>
              <w:t>|</w:t>
            </w:r>
            <w:r w:rsidRPr="00E44785">
              <w:rPr>
                <w:rFonts w:ascii="Arial Narrow" w:eastAsiaTheme="majorEastAsia" w:hAnsi="Arial Narrow" w:cstheme="majorBidi" w:hint="eastAsia"/>
                <w:bCs/>
                <w:color w:val="000000"/>
                <w:w w:val="33"/>
                <w:sz w:val="20"/>
                <w:shd w:val="solid" w:color="000000" w:fill="000000"/>
                <w:fitText w:val="150" w:id="-894165752"/>
                <w14:textFill>
                  <w14:solidFill>
                    <w14:srgbClr w14:val="000000">
                      <w14:alpha w14:val="100000"/>
                    </w14:srgbClr>
                  </w14:solidFill>
                </w14:textFill>
              </w:rPr>
              <w:t xml:space="preserve">　</w:t>
            </w:r>
            <w:r>
              <w:rPr>
                <w:rFonts w:ascii="Arial Narrow" w:eastAsiaTheme="majorEastAsia" w:hAnsi="Arial Narrow" w:cstheme="majorBidi"/>
                <w:b/>
                <w:sz w:val="20"/>
                <w:vertAlign w:val="superscript"/>
              </w:rPr>
              <w:t>3</w:t>
            </w:r>
          </w:p>
        </w:tc>
        <w:tc>
          <w:tcPr>
            <w:tcW w:w="595" w:type="pct"/>
          </w:tcPr>
          <w:p w14:paraId="70E3A3D7" w14:textId="1B6557E2" w:rsidR="00E44785" w:rsidRPr="00DC1AEB" w:rsidRDefault="00E44785" w:rsidP="007F5816">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E44785">
              <w:rPr>
                <w:rFonts w:ascii="Arial Narrow" w:eastAsiaTheme="majorEastAsia" w:hAnsi="Arial Narrow" w:cstheme="majorBidi"/>
                <w:bCs/>
                <w:color w:val="000000"/>
                <w:spacing w:val="137"/>
                <w:sz w:val="20"/>
                <w:shd w:val="solid" w:color="000000" w:fill="000000"/>
                <w:fitText w:val="180" w:id="-894165753"/>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r w:rsidR="007F5816" w:rsidRPr="006B343C" w14:paraId="7713B6D6" w14:textId="77777777" w:rsidTr="00DC1AEB">
        <w:tc>
          <w:tcPr>
            <w:tcW w:w="2266" w:type="pct"/>
          </w:tcPr>
          <w:p w14:paraId="312400A2"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5 years</w:t>
            </w:r>
          </w:p>
        </w:tc>
        <w:tc>
          <w:tcPr>
            <w:tcW w:w="738" w:type="pct"/>
            <w:tcBorders>
              <w:bottom w:val="single" w:sz="4" w:space="0" w:color="auto"/>
            </w:tcBorders>
            <w:shd w:val="solid" w:color="000000" w:fill="000000"/>
          </w:tcPr>
          <w:p w14:paraId="4D390604" w14:textId="6902D42C"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1FA8A604"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0.073</w:t>
            </w:r>
          </w:p>
        </w:tc>
        <w:tc>
          <w:tcPr>
            <w:tcW w:w="596" w:type="pct"/>
          </w:tcPr>
          <w:p w14:paraId="23F5A3C6" w14:textId="27EA8243" w:rsidR="007F5816" w:rsidRPr="00392B7C" w:rsidRDefault="00DC1AEB" w:rsidP="007F5816">
            <w:pPr>
              <w:keepNext/>
              <w:jc w:val="center"/>
              <w:rPr>
                <w:rFonts w:ascii="Arial Narrow" w:eastAsiaTheme="majorEastAsia" w:hAnsi="Arial Narrow" w:cstheme="majorBidi"/>
                <w:bCs/>
                <w:sz w:val="20"/>
                <w:highlight w:val="lightGray"/>
              </w:rPr>
            </w:pPr>
            <w:r w:rsidRPr="00E44785">
              <w:rPr>
                <w:rFonts w:ascii="Arial Narrow" w:eastAsiaTheme="majorEastAsia" w:hAnsi="Arial Narrow" w:cstheme="majorBidi" w:hint="eastAsia"/>
                <w:bCs/>
                <w:color w:val="000000"/>
                <w:w w:val="33"/>
                <w:sz w:val="20"/>
                <w:shd w:val="solid" w:color="000000" w:fill="000000"/>
                <w:fitText w:val="150" w:id="-894165752"/>
                <w14:textFill>
                  <w14:solidFill>
                    <w14:srgbClr w14:val="000000">
                      <w14:alpha w14:val="100000"/>
                    </w14:srgbClr>
                  </w14:solidFill>
                </w14:textFill>
              </w:rPr>
              <w:t xml:space="preserve">　</w:t>
            </w:r>
            <w:r w:rsidRPr="00E44785">
              <w:rPr>
                <w:rFonts w:ascii="Arial Narrow" w:eastAsiaTheme="majorEastAsia" w:hAnsi="Arial Narrow" w:cstheme="majorBidi"/>
                <w:bCs/>
                <w:color w:val="000000"/>
                <w:w w:val="33"/>
                <w:sz w:val="20"/>
                <w:shd w:val="solid" w:color="000000" w:fill="000000"/>
                <w:fitText w:val="150" w:id="-894165752"/>
                <w14:textFill>
                  <w14:solidFill>
                    <w14:srgbClr w14:val="000000">
                      <w14:alpha w14:val="100000"/>
                    </w14:srgbClr>
                  </w14:solidFill>
                </w14:textFill>
              </w:rPr>
              <w:t>|</w:t>
            </w:r>
            <w:r w:rsidRPr="00E44785">
              <w:rPr>
                <w:rFonts w:ascii="Arial Narrow" w:eastAsiaTheme="majorEastAsia" w:hAnsi="Arial Narrow" w:cstheme="majorBidi" w:hint="eastAsia"/>
                <w:bCs/>
                <w:color w:val="000000"/>
                <w:spacing w:val="4"/>
                <w:w w:val="33"/>
                <w:sz w:val="20"/>
                <w:shd w:val="solid" w:color="000000" w:fill="000000"/>
                <w:fitText w:val="150" w:id="-894165752"/>
                <w14:textFill>
                  <w14:solidFill>
                    <w14:srgbClr w14:val="000000">
                      <w14:alpha w14:val="100000"/>
                    </w14:srgbClr>
                  </w14:solidFill>
                </w14:textFill>
              </w:rPr>
              <w:t xml:space="preserve">　</w:t>
            </w:r>
            <w:r w:rsidR="0053682F" w:rsidRPr="00B54B7C">
              <w:rPr>
                <w:rFonts w:ascii="Arial Narrow" w:eastAsiaTheme="majorEastAsia" w:hAnsi="Arial Narrow" w:cstheme="majorBidi"/>
                <w:b/>
                <w:sz w:val="20"/>
                <w:vertAlign w:val="superscript"/>
              </w:rPr>
              <w:t>1</w:t>
            </w:r>
          </w:p>
        </w:tc>
        <w:tc>
          <w:tcPr>
            <w:tcW w:w="595" w:type="pct"/>
          </w:tcPr>
          <w:p w14:paraId="21989EE0" w14:textId="48F06EB3"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51"/>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51"/>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3F16C799" w14:textId="77777777" w:rsidTr="00DC1AEB">
        <w:tc>
          <w:tcPr>
            <w:tcW w:w="2266" w:type="pct"/>
          </w:tcPr>
          <w:p w14:paraId="4A5A2A2D"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15 years</w:t>
            </w:r>
          </w:p>
        </w:tc>
        <w:tc>
          <w:tcPr>
            <w:tcW w:w="738" w:type="pct"/>
            <w:tcBorders>
              <w:bottom w:val="single" w:sz="4" w:space="0" w:color="auto"/>
            </w:tcBorders>
            <w:shd w:val="solid" w:color="000000" w:fill="000000"/>
          </w:tcPr>
          <w:p w14:paraId="0010D2B3" w14:textId="51727361"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206FC20B"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0.084</w:t>
            </w:r>
          </w:p>
        </w:tc>
        <w:tc>
          <w:tcPr>
            <w:tcW w:w="596" w:type="pct"/>
          </w:tcPr>
          <w:p w14:paraId="7A73EF7E" w14:textId="1E2DD484"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0"/>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0"/>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0"/>
                <w14:textFill>
                  <w14:solidFill>
                    <w14:srgbClr w14:val="000000">
                      <w14:alpha w14:val="100000"/>
                    </w14:srgbClr>
                  </w14:solidFill>
                </w14:textFill>
              </w:rPr>
              <w:t xml:space="preserve">　</w:t>
            </w:r>
            <w:r w:rsidR="0053682F" w:rsidRPr="00B54B7C">
              <w:rPr>
                <w:rFonts w:ascii="Arial Narrow" w:eastAsiaTheme="majorEastAsia" w:hAnsi="Arial Narrow" w:cstheme="majorBidi"/>
                <w:b/>
                <w:sz w:val="20"/>
                <w:vertAlign w:val="superscript"/>
              </w:rPr>
              <w:t>1</w:t>
            </w:r>
          </w:p>
        </w:tc>
        <w:tc>
          <w:tcPr>
            <w:tcW w:w="595" w:type="pct"/>
          </w:tcPr>
          <w:p w14:paraId="4CB7B7E6" w14:textId="65D1CC36"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46"/>
                <w:sz w:val="20"/>
                <w:shd w:val="solid" w:color="000000" w:fill="000000"/>
                <w:fitText w:val="220" w:id="-894165749"/>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220" w:id="-894165749"/>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r w:rsidR="007F5816" w:rsidRPr="006B343C" w14:paraId="42680439" w14:textId="77777777" w:rsidTr="00DC1AEB">
        <w:tc>
          <w:tcPr>
            <w:tcW w:w="2266" w:type="pct"/>
          </w:tcPr>
          <w:p w14:paraId="67F418A3"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20 years</w:t>
            </w:r>
          </w:p>
        </w:tc>
        <w:tc>
          <w:tcPr>
            <w:tcW w:w="738" w:type="pct"/>
            <w:shd w:val="solid" w:color="000000" w:fill="000000"/>
          </w:tcPr>
          <w:p w14:paraId="1A62202D" w14:textId="49924D4F"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41791499"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0.084</w:t>
            </w:r>
          </w:p>
        </w:tc>
        <w:tc>
          <w:tcPr>
            <w:tcW w:w="596" w:type="pct"/>
          </w:tcPr>
          <w:p w14:paraId="5D17F88A" w14:textId="568428DB"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48"/>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48"/>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48"/>
                <w14:textFill>
                  <w14:solidFill>
                    <w14:srgbClr w14:val="000000">
                      <w14:alpha w14:val="100000"/>
                    </w14:srgbClr>
                  </w14:solidFill>
                </w14:textFill>
              </w:rPr>
              <w:t xml:space="preserve">　</w:t>
            </w:r>
            <w:r w:rsidR="0053682F" w:rsidRPr="00B54B7C">
              <w:rPr>
                <w:rFonts w:ascii="Arial Narrow" w:eastAsiaTheme="majorEastAsia" w:hAnsi="Arial Narrow" w:cstheme="majorBidi"/>
                <w:b/>
                <w:sz w:val="20"/>
                <w:vertAlign w:val="superscript"/>
              </w:rPr>
              <w:t>1</w:t>
            </w:r>
          </w:p>
        </w:tc>
        <w:tc>
          <w:tcPr>
            <w:tcW w:w="595" w:type="pct"/>
          </w:tcPr>
          <w:p w14:paraId="7BA6A07E" w14:textId="4B7FF78C"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46"/>
                <w:sz w:val="20"/>
                <w:shd w:val="solid" w:color="000000" w:fill="000000"/>
                <w:fitText w:val="220" w:id="-894165747"/>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220" w:id="-894165747"/>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r w:rsidR="007F5816" w:rsidRPr="006B343C" w14:paraId="0ABCF4C2" w14:textId="77777777">
        <w:tc>
          <w:tcPr>
            <w:tcW w:w="5000" w:type="pct"/>
            <w:gridSpan w:val="5"/>
          </w:tcPr>
          <w:p w14:paraId="2B76E1B0"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Continuing criteria (base case required to demonstrate remission at Week 14) </w:t>
            </w:r>
            <w:r w:rsidRPr="006B343C">
              <w:rPr>
                <w:rFonts w:ascii="Arial Narrow" w:eastAsiaTheme="majorEastAsia" w:hAnsi="Arial Narrow" w:cstheme="majorBidi"/>
                <w:bCs/>
                <w:sz w:val="20"/>
                <w:vertAlign w:val="superscript"/>
              </w:rPr>
              <w:t>a</w:t>
            </w:r>
          </w:p>
        </w:tc>
      </w:tr>
      <w:tr w:rsidR="007F5816" w:rsidRPr="006B343C" w14:paraId="0EFB8D83" w14:textId="77777777" w:rsidTr="00DC1AEB">
        <w:tc>
          <w:tcPr>
            <w:tcW w:w="2266" w:type="pct"/>
          </w:tcPr>
          <w:p w14:paraId="0E066576"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Response from 14 weeks </w:t>
            </w:r>
            <w:r w:rsidRPr="006B343C">
              <w:rPr>
                <w:rFonts w:ascii="Arial Narrow" w:eastAsiaTheme="majorEastAsia" w:hAnsi="Arial Narrow" w:cstheme="majorBidi"/>
                <w:bCs/>
                <w:sz w:val="20"/>
                <w:vertAlign w:val="superscript"/>
              </w:rPr>
              <w:t>a</w:t>
            </w:r>
          </w:p>
        </w:tc>
        <w:tc>
          <w:tcPr>
            <w:tcW w:w="738" w:type="pct"/>
            <w:tcBorders>
              <w:bottom w:val="single" w:sz="4" w:space="0" w:color="auto"/>
            </w:tcBorders>
            <w:shd w:val="solid" w:color="000000" w:fill="000000"/>
          </w:tcPr>
          <w:p w14:paraId="266F0F13" w14:textId="66E1717C"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0DA21004"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0.091</w:t>
            </w:r>
          </w:p>
        </w:tc>
        <w:tc>
          <w:tcPr>
            <w:tcW w:w="596" w:type="pct"/>
          </w:tcPr>
          <w:p w14:paraId="1D4D2134" w14:textId="56B5D8DF"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46"/>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46"/>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46"/>
                <w14:textFill>
                  <w14:solidFill>
                    <w14:srgbClr w14:val="000000">
                      <w14:alpha w14:val="100000"/>
                    </w14:srgbClr>
                  </w14:solidFill>
                </w14:textFill>
              </w:rPr>
              <w:t xml:space="preserve">　</w:t>
            </w:r>
            <w:r w:rsidR="00EE0800" w:rsidRPr="00C2713E">
              <w:rPr>
                <w:rFonts w:ascii="Arial Narrow" w:eastAsiaTheme="majorEastAsia" w:hAnsi="Arial Narrow" w:cstheme="majorBidi"/>
                <w:bCs/>
                <w:sz w:val="20"/>
                <w:vertAlign w:val="superscript"/>
              </w:rPr>
              <w:t>3</w:t>
            </w:r>
          </w:p>
        </w:tc>
        <w:tc>
          <w:tcPr>
            <w:tcW w:w="595" w:type="pct"/>
          </w:tcPr>
          <w:p w14:paraId="32FF80C3" w14:textId="158BBFB8"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45"/>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45"/>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27A65A79" w14:textId="77777777" w:rsidTr="00DC1AEB">
        <w:tc>
          <w:tcPr>
            <w:tcW w:w="2266" w:type="pct"/>
          </w:tcPr>
          <w:p w14:paraId="637097CE"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Remission from 38 weeks </w:t>
            </w:r>
            <w:r w:rsidRPr="006B343C">
              <w:rPr>
                <w:rFonts w:ascii="Arial Narrow" w:eastAsiaTheme="majorEastAsia" w:hAnsi="Arial Narrow" w:cstheme="majorBidi"/>
                <w:bCs/>
                <w:sz w:val="20"/>
                <w:vertAlign w:val="superscript"/>
              </w:rPr>
              <w:t>a</w:t>
            </w:r>
          </w:p>
        </w:tc>
        <w:tc>
          <w:tcPr>
            <w:tcW w:w="738" w:type="pct"/>
            <w:tcBorders>
              <w:bottom w:val="single" w:sz="4" w:space="0" w:color="auto"/>
            </w:tcBorders>
            <w:shd w:val="solid" w:color="000000" w:fill="000000"/>
          </w:tcPr>
          <w:p w14:paraId="717CA308" w14:textId="5F1556C8"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55876B02"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0.100</w:t>
            </w:r>
          </w:p>
        </w:tc>
        <w:tc>
          <w:tcPr>
            <w:tcW w:w="596" w:type="pct"/>
          </w:tcPr>
          <w:p w14:paraId="4721045E" w14:textId="3A464C99"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44"/>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44"/>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44"/>
                <w14:textFill>
                  <w14:solidFill>
                    <w14:srgbClr w14:val="000000">
                      <w14:alpha w14:val="100000"/>
                    </w14:srgbClr>
                  </w14:solidFill>
                </w14:textFill>
              </w:rPr>
              <w:t xml:space="preserve">　</w:t>
            </w:r>
            <w:r w:rsidR="00B032EC" w:rsidRPr="00B032EC">
              <w:rPr>
                <w:rFonts w:ascii="Arial Narrow" w:eastAsiaTheme="majorEastAsia" w:hAnsi="Arial Narrow" w:cstheme="majorBidi"/>
                <w:bCs/>
                <w:sz w:val="20"/>
                <w:vertAlign w:val="superscript"/>
              </w:rPr>
              <w:t>4</w:t>
            </w:r>
          </w:p>
        </w:tc>
        <w:tc>
          <w:tcPr>
            <w:tcW w:w="595" w:type="pct"/>
          </w:tcPr>
          <w:p w14:paraId="58B15F6A" w14:textId="2B1D6429"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60"/>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60"/>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7F1C3FD9" w14:textId="77777777" w:rsidTr="00DC1AEB">
        <w:tc>
          <w:tcPr>
            <w:tcW w:w="2266" w:type="pct"/>
          </w:tcPr>
          <w:p w14:paraId="33E99C30"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Response from 38 weeks </w:t>
            </w:r>
            <w:r w:rsidRPr="006B343C">
              <w:rPr>
                <w:rFonts w:ascii="Arial Narrow" w:eastAsiaTheme="majorEastAsia" w:hAnsi="Arial Narrow" w:cstheme="majorBidi"/>
                <w:bCs/>
                <w:sz w:val="20"/>
                <w:vertAlign w:val="superscript"/>
              </w:rPr>
              <w:t>a</w:t>
            </w:r>
          </w:p>
        </w:tc>
        <w:tc>
          <w:tcPr>
            <w:tcW w:w="738" w:type="pct"/>
            <w:shd w:val="solid" w:color="000000" w:fill="000000"/>
          </w:tcPr>
          <w:p w14:paraId="2419BB2D" w14:textId="5062F482"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0A2E69BE"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0.101</w:t>
            </w:r>
          </w:p>
        </w:tc>
        <w:tc>
          <w:tcPr>
            <w:tcW w:w="596" w:type="pct"/>
          </w:tcPr>
          <w:p w14:paraId="319B60F0" w14:textId="6DF1DF88"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9"/>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9"/>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9"/>
                <w14:textFill>
                  <w14:solidFill>
                    <w14:srgbClr w14:val="000000">
                      <w14:alpha w14:val="100000"/>
                    </w14:srgbClr>
                  </w14:solidFill>
                </w14:textFill>
              </w:rPr>
              <w:t xml:space="preserve">　</w:t>
            </w:r>
            <w:r w:rsidR="003A552E" w:rsidRPr="003A552E">
              <w:rPr>
                <w:rFonts w:ascii="Arial Narrow" w:eastAsiaTheme="majorEastAsia" w:hAnsi="Arial Narrow" w:cstheme="majorBidi"/>
                <w:bCs/>
                <w:sz w:val="20"/>
                <w:vertAlign w:val="superscript"/>
              </w:rPr>
              <w:t>5</w:t>
            </w:r>
          </w:p>
        </w:tc>
        <w:tc>
          <w:tcPr>
            <w:tcW w:w="595" w:type="pct"/>
          </w:tcPr>
          <w:p w14:paraId="30E29288" w14:textId="4003CE8F"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58"/>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58"/>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6359A65C" w14:textId="77777777">
        <w:tc>
          <w:tcPr>
            <w:tcW w:w="5000" w:type="pct"/>
            <w:gridSpan w:val="5"/>
          </w:tcPr>
          <w:p w14:paraId="79CA5CDE"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Assumptions applied for extrapolations (base case data from EARNEST extrapolated over time horizon </w:t>
            </w:r>
            <w:r w:rsidRPr="006B343C">
              <w:rPr>
                <w:rFonts w:ascii="Arial Narrow" w:eastAsiaTheme="majorEastAsia" w:hAnsi="Arial Narrow" w:cstheme="majorBidi"/>
                <w:bCs/>
                <w:sz w:val="20"/>
                <w:vertAlign w:val="superscript"/>
              </w:rPr>
              <w:t>c</w:t>
            </w:r>
            <w:r w:rsidRPr="006B343C">
              <w:rPr>
                <w:rFonts w:ascii="Arial Narrow" w:eastAsiaTheme="majorEastAsia" w:hAnsi="Arial Narrow" w:cstheme="majorBidi"/>
                <w:bCs/>
                <w:sz w:val="20"/>
              </w:rPr>
              <w:t>)</w:t>
            </w:r>
          </w:p>
        </w:tc>
      </w:tr>
      <w:tr w:rsidR="007F5816" w:rsidRPr="006B343C" w14:paraId="163A97BE" w14:textId="77777777" w:rsidTr="00DC1AEB">
        <w:tc>
          <w:tcPr>
            <w:tcW w:w="2266" w:type="pct"/>
          </w:tcPr>
          <w:p w14:paraId="014FFF0D"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On VEDO: 2.5% lose remission (to SOC response) per cycle</w:t>
            </w:r>
            <w:r w:rsidRPr="006B343C">
              <w:rPr>
                <w:rFonts w:ascii="Arial Narrow" w:eastAsiaTheme="majorEastAsia" w:hAnsi="Arial Narrow" w:cstheme="majorBidi"/>
                <w:bCs/>
                <w:sz w:val="20"/>
              </w:rPr>
              <w:br/>
              <w:t>On SOC: 5% lose remission (to response) and response (to no response) per cycle</w:t>
            </w:r>
          </w:p>
        </w:tc>
        <w:tc>
          <w:tcPr>
            <w:tcW w:w="738" w:type="pct"/>
            <w:tcBorders>
              <w:bottom w:val="single" w:sz="4" w:space="0" w:color="auto"/>
            </w:tcBorders>
            <w:shd w:val="solid" w:color="000000" w:fill="000000"/>
          </w:tcPr>
          <w:p w14:paraId="74F85136" w14:textId="5D9E470E"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75508D5C"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0.137</w:t>
            </w:r>
          </w:p>
        </w:tc>
        <w:tc>
          <w:tcPr>
            <w:tcW w:w="596" w:type="pct"/>
          </w:tcPr>
          <w:p w14:paraId="2E4BFAD5" w14:textId="52BF839B"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7"/>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7"/>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7"/>
                <w14:textFill>
                  <w14:solidFill>
                    <w14:srgbClr w14:val="000000">
                      <w14:alpha w14:val="100000"/>
                    </w14:srgbClr>
                  </w14:solidFill>
                </w14:textFill>
              </w:rPr>
              <w:t xml:space="preserve">　</w:t>
            </w:r>
            <w:r w:rsidR="0053682F" w:rsidRPr="00B54B7C">
              <w:rPr>
                <w:rFonts w:ascii="Arial Narrow" w:eastAsiaTheme="majorEastAsia" w:hAnsi="Arial Narrow" w:cstheme="majorBidi"/>
                <w:b/>
                <w:sz w:val="20"/>
                <w:vertAlign w:val="superscript"/>
              </w:rPr>
              <w:t>1</w:t>
            </w:r>
          </w:p>
        </w:tc>
        <w:tc>
          <w:tcPr>
            <w:tcW w:w="595" w:type="pct"/>
          </w:tcPr>
          <w:p w14:paraId="33E29353" w14:textId="6781D18F"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56"/>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56"/>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4B4826E3" w14:textId="77777777" w:rsidTr="00DC1AEB">
        <w:tc>
          <w:tcPr>
            <w:tcW w:w="2266" w:type="pct"/>
          </w:tcPr>
          <w:p w14:paraId="60DC1D87"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On VEDO: 5% lose remission per cycle</w:t>
            </w:r>
            <w:r w:rsidRPr="006B343C">
              <w:rPr>
                <w:rFonts w:ascii="Arial Narrow" w:eastAsiaTheme="majorEastAsia" w:hAnsi="Arial Narrow" w:cstheme="majorBidi"/>
                <w:bCs/>
                <w:sz w:val="20"/>
              </w:rPr>
              <w:br/>
              <w:t>On SOC: 10% lose remission (to response) and response (to no response) per cycle</w:t>
            </w:r>
          </w:p>
        </w:tc>
        <w:tc>
          <w:tcPr>
            <w:tcW w:w="738" w:type="pct"/>
            <w:tcBorders>
              <w:bottom w:val="single" w:sz="4" w:space="0" w:color="auto"/>
            </w:tcBorders>
            <w:shd w:val="solid" w:color="000000" w:fill="000000"/>
          </w:tcPr>
          <w:p w14:paraId="7765A526" w14:textId="70326758"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117D8C3B"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0.124</w:t>
            </w:r>
          </w:p>
        </w:tc>
        <w:tc>
          <w:tcPr>
            <w:tcW w:w="596" w:type="pct"/>
          </w:tcPr>
          <w:p w14:paraId="18797CCB" w14:textId="4A51CD73"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5"/>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5"/>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5"/>
                <w14:textFill>
                  <w14:solidFill>
                    <w14:srgbClr w14:val="000000">
                      <w14:alpha w14:val="100000"/>
                    </w14:srgbClr>
                  </w14:solidFill>
                </w14:textFill>
              </w:rPr>
              <w:t xml:space="preserve">　</w:t>
            </w:r>
            <w:r w:rsidR="0053682F" w:rsidRPr="00B54B7C">
              <w:rPr>
                <w:rFonts w:ascii="Arial Narrow" w:eastAsiaTheme="majorEastAsia" w:hAnsi="Arial Narrow" w:cstheme="majorBidi"/>
                <w:b/>
                <w:sz w:val="20"/>
                <w:vertAlign w:val="superscript"/>
              </w:rPr>
              <w:t>1</w:t>
            </w:r>
          </w:p>
        </w:tc>
        <w:tc>
          <w:tcPr>
            <w:tcW w:w="595" w:type="pct"/>
          </w:tcPr>
          <w:p w14:paraId="07B5248F" w14:textId="268B44DF"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46"/>
                <w:sz w:val="20"/>
                <w:shd w:val="solid" w:color="000000" w:fill="000000"/>
                <w:fitText w:val="220" w:id="-894165754"/>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220" w:id="-894165754"/>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r w:rsidR="007F5816" w:rsidRPr="006B343C" w14:paraId="093031EE" w14:textId="77777777" w:rsidTr="00DC1AEB">
        <w:tc>
          <w:tcPr>
            <w:tcW w:w="2266" w:type="pct"/>
          </w:tcPr>
          <w:p w14:paraId="2A08C15C"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On VEDO: 5% lose remission per cycle</w:t>
            </w:r>
            <w:r w:rsidRPr="006B343C">
              <w:rPr>
                <w:rFonts w:ascii="Arial Narrow" w:eastAsiaTheme="majorEastAsia" w:hAnsi="Arial Narrow" w:cstheme="majorBidi"/>
                <w:bCs/>
                <w:sz w:val="20"/>
              </w:rPr>
              <w:br/>
              <w:t>On SOC: 5% lose remission (to response) and response (to no response) per cycle</w:t>
            </w:r>
          </w:p>
        </w:tc>
        <w:tc>
          <w:tcPr>
            <w:tcW w:w="738" w:type="pct"/>
            <w:tcBorders>
              <w:bottom w:val="single" w:sz="4" w:space="0" w:color="auto"/>
            </w:tcBorders>
            <w:shd w:val="solid" w:color="000000" w:fill="000000"/>
          </w:tcPr>
          <w:p w14:paraId="2CEEB9AB" w14:textId="6A0FB50B"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5D55A764"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0.121</w:t>
            </w:r>
          </w:p>
        </w:tc>
        <w:tc>
          <w:tcPr>
            <w:tcW w:w="596" w:type="pct"/>
          </w:tcPr>
          <w:p w14:paraId="3A03921A" w14:textId="780DF8F8"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3"/>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3"/>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3"/>
                <w14:textFill>
                  <w14:solidFill>
                    <w14:srgbClr w14:val="000000">
                      <w14:alpha w14:val="100000"/>
                    </w14:srgbClr>
                  </w14:solidFill>
                </w14:textFill>
              </w:rPr>
              <w:t xml:space="preserve">　</w:t>
            </w:r>
            <w:r w:rsidR="003A552E" w:rsidRPr="00B032EC">
              <w:rPr>
                <w:rFonts w:ascii="Arial Narrow" w:eastAsiaTheme="majorEastAsia" w:hAnsi="Arial Narrow" w:cstheme="majorBidi"/>
                <w:bCs/>
                <w:sz w:val="20"/>
                <w:vertAlign w:val="superscript"/>
              </w:rPr>
              <w:t>4</w:t>
            </w:r>
          </w:p>
        </w:tc>
        <w:tc>
          <w:tcPr>
            <w:tcW w:w="595" w:type="pct"/>
          </w:tcPr>
          <w:p w14:paraId="3608C311" w14:textId="6E57BD86"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52"/>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52"/>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01A39F14" w14:textId="77777777" w:rsidTr="00DC1AEB">
        <w:tc>
          <w:tcPr>
            <w:tcW w:w="2266" w:type="pct"/>
          </w:tcPr>
          <w:p w14:paraId="18F82745"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On VEDO: 10% lose remission per cycle</w:t>
            </w:r>
            <w:r w:rsidRPr="006B343C">
              <w:rPr>
                <w:rFonts w:ascii="Arial Narrow" w:eastAsiaTheme="majorEastAsia" w:hAnsi="Arial Narrow" w:cstheme="majorBidi"/>
                <w:bCs/>
                <w:sz w:val="20"/>
              </w:rPr>
              <w:br/>
              <w:t>On SOC: 10% lose remission (to response) and response (to no response) per cycle</w:t>
            </w:r>
          </w:p>
        </w:tc>
        <w:tc>
          <w:tcPr>
            <w:tcW w:w="738" w:type="pct"/>
            <w:shd w:val="solid" w:color="000000" w:fill="000000"/>
          </w:tcPr>
          <w:p w14:paraId="03073133" w14:textId="5B57759C"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45F72EAB"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0.096</w:t>
            </w:r>
          </w:p>
        </w:tc>
        <w:tc>
          <w:tcPr>
            <w:tcW w:w="596" w:type="pct"/>
          </w:tcPr>
          <w:p w14:paraId="36C6385B" w14:textId="67696561"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1"/>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1"/>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1"/>
                <w14:textFill>
                  <w14:solidFill>
                    <w14:srgbClr w14:val="000000">
                      <w14:alpha w14:val="100000"/>
                    </w14:srgbClr>
                  </w14:solidFill>
                </w14:textFill>
              </w:rPr>
              <w:t xml:space="preserve">　</w:t>
            </w:r>
            <w:r w:rsidR="003A552E" w:rsidRPr="00B032EC">
              <w:rPr>
                <w:rFonts w:ascii="Arial Narrow" w:eastAsiaTheme="majorEastAsia" w:hAnsi="Arial Narrow" w:cstheme="majorBidi"/>
                <w:bCs/>
                <w:sz w:val="20"/>
                <w:vertAlign w:val="superscript"/>
              </w:rPr>
              <w:t>4</w:t>
            </w:r>
          </w:p>
        </w:tc>
        <w:tc>
          <w:tcPr>
            <w:tcW w:w="595" w:type="pct"/>
          </w:tcPr>
          <w:p w14:paraId="6D6CCA8E" w14:textId="68357790"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50"/>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50"/>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7A0FD81C" w14:textId="77777777">
        <w:tc>
          <w:tcPr>
            <w:tcW w:w="5000" w:type="pct"/>
            <w:gridSpan w:val="5"/>
          </w:tcPr>
          <w:p w14:paraId="7D1A6E8B"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Utility values (base case estimated based on changes at Week 34)</w:t>
            </w:r>
          </w:p>
        </w:tc>
      </w:tr>
      <w:tr w:rsidR="007F5816" w:rsidRPr="006B343C" w14:paraId="02B5B657" w14:textId="77777777" w:rsidTr="00DC1AEB">
        <w:tc>
          <w:tcPr>
            <w:tcW w:w="2266" w:type="pct"/>
          </w:tcPr>
          <w:p w14:paraId="4CE29B17"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14 trial data – treatment arm specific</w:t>
            </w:r>
          </w:p>
        </w:tc>
        <w:tc>
          <w:tcPr>
            <w:tcW w:w="738" w:type="pct"/>
            <w:tcBorders>
              <w:bottom w:val="single" w:sz="4" w:space="0" w:color="auto"/>
            </w:tcBorders>
            <w:shd w:val="solid" w:color="000000" w:fill="000000"/>
          </w:tcPr>
          <w:p w14:paraId="2C649101" w14:textId="23D02E90"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291BB06D"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0.059</w:t>
            </w:r>
          </w:p>
        </w:tc>
        <w:tc>
          <w:tcPr>
            <w:tcW w:w="596" w:type="pct"/>
          </w:tcPr>
          <w:p w14:paraId="264C1001" w14:textId="2785F774"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49"/>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49"/>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49"/>
                <w14:textFill>
                  <w14:solidFill>
                    <w14:srgbClr w14:val="000000">
                      <w14:alpha w14:val="100000"/>
                    </w14:srgbClr>
                  </w14:solidFill>
                </w14:textFill>
              </w:rPr>
              <w:t xml:space="preserve">　</w:t>
            </w:r>
            <w:r w:rsidR="003A552E" w:rsidRPr="00B032EC">
              <w:rPr>
                <w:rFonts w:ascii="Arial Narrow" w:eastAsiaTheme="majorEastAsia" w:hAnsi="Arial Narrow" w:cstheme="majorBidi"/>
                <w:bCs/>
                <w:sz w:val="20"/>
                <w:vertAlign w:val="superscript"/>
              </w:rPr>
              <w:t>4</w:t>
            </w:r>
          </w:p>
        </w:tc>
        <w:tc>
          <w:tcPr>
            <w:tcW w:w="595" w:type="pct"/>
          </w:tcPr>
          <w:p w14:paraId="4F0EB800" w14:textId="2D8D1ED0"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48"/>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48"/>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16244DC3" w14:textId="77777777" w:rsidTr="00DC1AEB">
        <w:tc>
          <w:tcPr>
            <w:tcW w:w="2266" w:type="pct"/>
          </w:tcPr>
          <w:p w14:paraId="1020CF05"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34 trial data – treatment arm specific</w:t>
            </w:r>
          </w:p>
        </w:tc>
        <w:tc>
          <w:tcPr>
            <w:tcW w:w="738" w:type="pct"/>
            <w:tcBorders>
              <w:bottom w:val="single" w:sz="4" w:space="0" w:color="auto"/>
            </w:tcBorders>
            <w:shd w:val="solid" w:color="000000" w:fill="000000"/>
          </w:tcPr>
          <w:p w14:paraId="55B2BB20" w14:textId="1FBA7BC5"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44C18FF8"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0.077</w:t>
            </w:r>
          </w:p>
        </w:tc>
        <w:tc>
          <w:tcPr>
            <w:tcW w:w="596" w:type="pct"/>
          </w:tcPr>
          <w:p w14:paraId="50BCF2A9" w14:textId="5A2DC177"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47"/>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47"/>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47"/>
                <w14:textFill>
                  <w14:solidFill>
                    <w14:srgbClr w14:val="000000">
                      <w14:alpha w14:val="100000"/>
                    </w14:srgbClr>
                  </w14:solidFill>
                </w14:textFill>
              </w:rPr>
              <w:t xml:space="preserve">　</w:t>
            </w:r>
            <w:r w:rsidR="0053682F" w:rsidRPr="00B54B7C">
              <w:rPr>
                <w:rFonts w:ascii="Arial Narrow" w:eastAsiaTheme="majorEastAsia" w:hAnsi="Arial Narrow" w:cstheme="majorBidi"/>
                <w:b/>
                <w:sz w:val="20"/>
                <w:vertAlign w:val="superscript"/>
              </w:rPr>
              <w:t>1</w:t>
            </w:r>
          </w:p>
        </w:tc>
        <w:tc>
          <w:tcPr>
            <w:tcW w:w="595" w:type="pct"/>
          </w:tcPr>
          <w:p w14:paraId="7BB627DD" w14:textId="0A767BAD"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46"/>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46"/>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02A38E56" w14:textId="77777777" w:rsidTr="00DC1AEB">
        <w:tc>
          <w:tcPr>
            <w:tcW w:w="2266" w:type="pct"/>
          </w:tcPr>
          <w:p w14:paraId="09C7EAB7"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Week 14 trial data – pooled</w:t>
            </w:r>
          </w:p>
        </w:tc>
        <w:tc>
          <w:tcPr>
            <w:tcW w:w="738" w:type="pct"/>
            <w:tcBorders>
              <w:bottom w:val="single" w:sz="4" w:space="0" w:color="auto"/>
            </w:tcBorders>
            <w:shd w:val="solid" w:color="000000" w:fill="000000"/>
          </w:tcPr>
          <w:p w14:paraId="55841CC9" w14:textId="28684ADE"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48512E99"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0.075</w:t>
            </w:r>
          </w:p>
        </w:tc>
        <w:tc>
          <w:tcPr>
            <w:tcW w:w="596" w:type="pct"/>
          </w:tcPr>
          <w:p w14:paraId="6D758CC7" w14:textId="12C8AD28"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45"/>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45"/>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45"/>
                <w14:textFill>
                  <w14:solidFill>
                    <w14:srgbClr w14:val="000000">
                      <w14:alpha w14:val="100000"/>
                    </w14:srgbClr>
                  </w14:solidFill>
                </w14:textFill>
              </w:rPr>
              <w:t xml:space="preserve">　</w:t>
            </w:r>
            <w:r w:rsidR="0053682F" w:rsidRPr="00B54B7C">
              <w:rPr>
                <w:rFonts w:ascii="Arial Narrow" w:eastAsiaTheme="majorEastAsia" w:hAnsi="Arial Narrow" w:cstheme="majorBidi"/>
                <w:b/>
                <w:sz w:val="20"/>
                <w:vertAlign w:val="superscript"/>
              </w:rPr>
              <w:t>1</w:t>
            </w:r>
          </w:p>
        </w:tc>
        <w:tc>
          <w:tcPr>
            <w:tcW w:w="595" w:type="pct"/>
          </w:tcPr>
          <w:p w14:paraId="51A6AF65" w14:textId="600CA648"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44"/>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44"/>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0ABD309B" w14:textId="77777777" w:rsidTr="00DC1AEB">
        <w:tc>
          <w:tcPr>
            <w:tcW w:w="2266" w:type="pct"/>
          </w:tcPr>
          <w:p w14:paraId="57982825"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Arsenau 2006</w:t>
            </w:r>
          </w:p>
        </w:tc>
        <w:tc>
          <w:tcPr>
            <w:tcW w:w="738" w:type="pct"/>
            <w:tcBorders>
              <w:bottom w:val="single" w:sz="4" w:space="0" w:color="auto"/>
            </w:tcBorders>
            <w:shd w:val="solid" w:color="000000" w:fill="000000"/>
          </w:tcPr>
          <w:p w14:paraId="03490869" w14:textId="3AEA5866"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23D45D04"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0.270</w:t>
            </w:r>
          </w:p>
        </w:tc>
        <w:tc>
          <w:tcPr>
            <w:tcW w:w="596" w:type="pct"/>
          </w:tcPr>
          <w:p w14:paraId="25013720" w14:textId="7BACA492"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60"/>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60"/>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60"/>
                <w14:textFill>
                  <w14:solidFill>
                    <w14:srgbClr w14:val="000000">
                      <w14:alpha w14:val="100000"/>
                    </w14:srgbClr>
                  </w14:solidFill>
                </w14:textFill>
              </w:rPr>
              <w:t xml:space="preserve">　</w:t>
            </w:r>
            <w:r w:rsidR="004A12CE" w:rsidRPr="00A90AFB">
              <w:rPr>
                <w:rFonts w:ascii="Arial Narrow" w:eastAsiaTheme="majorEastAsia" w:hAnsi="Arial Narrow" w:cstheme="majorBidi"/>
                <w:bCs/>
                <w:sz w:val="20"/>
                <w:vertAlign w:val="superscript"/>
              </w:rPr>
              <w:t>6</w:t>
            </w:r>
          </w:p>
        </w:tc>
        <w:tc>
          <w:tcPr>
            <w:tcW w:w="595" w:type="pct"/>
          </w:tcPr>
          <w:p w14:paraId="3AAC9AD8" w14:textId="13459F6B"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46"/>
                <w:sz w:val="20"/>
                <w:shd w:val="solid" w:color="000000" w:fill="000000"/>
                <w:fitText w:val="220" w:id="-894165759"/>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220" w:id="-894165759"/>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r w:rsidR="007F5816" w:rsidRPr="006B343C" w14:paraId="3C8946CE" w14:textId="77777777" w:rsidTr="00DC1AEB">
        <w:tc>
          <w:tcPr>
            <w:tcW w:w="2266" w:type="pct"/>
          </w:tcPr>
          <w:p w14:paraId="16FE5F83"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Tsai 2008 </w:t>
            </w:r>
          </w:p>
        </w:tc>
        <w:tc>
          <w:tcPr>
            <w:tcW w:w="738" w:type="pct"/>
            <w:tcBorders>
              <w:bottom w:val="single" w:sz="4" w:space="0" w:color="auto"/>
            </w:tcBorders>
            <w:shd w:val="solid" w:color="000000" w:fill="000000"/>
          </w:tcPr>
          <w:p w14:paraId="37A2D6B8" w14:textId="2553897C"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7D14182C"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0.042</w:t>
            </w:r>
          </w:p>
        </w:tc>
        <w:tc>
          <w:tcPr>
            <w:tcW w:w="596" w:type="pct"/>
          </w:tcPr>
          <w:p w14:paraId="06F04D32" w14:textId="73BB24A2"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8"/>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8"/>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8"/>
                <w14:textFill>
                  <w14:solidFill>
                    <w14:srgbClr w14:val="000000">
                      <w14:alpha w14:val="100000"/>
                    </w14:srgbClr>
                  </w14:solidFill>
                </w14:textFill>
              </w:rPr>
              <w:t xml:space="preserve">　</w:t>
            </w:r>
            <w:r w:rsidR="00460E11" w:rsidRPr="00460E11">
              <w:rPr>
                <w:rFonts w:ascii="Arial Narrow" w:eastAsiaTheme="majorEastAsia" w:hAnsi="Arial Narrow" w:cstheme="majorBidi"/>
                <w:bCs/>
                <w:sz w:val="20"/>
                <w:vertAlign w:val="superscript"/>
              </w:rPr>
              <w:t>5</w:t>
            </w:r>
          </w:p>
        </w:tc>
        <w:tc>
          <w:tcPr>
            <w:tcW w:w="595" w:type="pct"/>
          </w:tcPr>
          <w:p w14:paraId="4BCE185B" w14:textId="3E94079D"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57"/>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57"/>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3C11779F" w14:textId="77777777" w:rsidTr="00DC1AEB">
        <w:tc>
          <w:tcPr>
            <w:tcW w:w="2266" w:type="pct"/>
          </w:tcPr>
          <w:p w14:paraId="796E2E51"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Park 2012</w:t>
            </w:r>
          </w:p>
        </w:tc>
        <w:tc>
          <w:tcPr>
            <w:tcW w:w="738" w:type="pct"/>
            <w:shd w:val="solid" w:color="000000" w:fill="000000"/>
          </w:tcPr>
          <w:p w14:paraId="12F3BF55" w14:textId="485FC5A1"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2BFFD48E"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0.208</w:t>
            </w:r>
          </w:p>
        </w:tc>
        <w:tc>
          <w:tcPr>
            <w:tcW w:w="596" w:type="pct"/>
          </w:tcPr>
          <w:p w14:paraId="108A19AA" w14:textId="78E52E28" w:rsidR="007F5816" w:rsidRPr="00392B7C" w:rsidRDefault="00DC1AEB" w:rsidP="007F5816">
            <w:pPr>
              <w:keepNext/>
              <w:jc w:val="center"/>
              <w:rPr>
                <w:rFonts w:ascii="Arial Narrow" w:eastAsiaTheme="majorEastAsia" w:hAnsi="Arial Narrow" w:cstheme="majorBidi"/>
                <w:bCs/>
                <w:sz w:val="20"/>
                <w:highlight w:val="lightGray"/>
              </w:rPr>
            </w:pPr>
            <w:r w:rsidRPr="00E44785">
              <w:rPr>
                <w:rFonts w:ascii="Arial Narrow" w:eastAsiaTheme="majorEastAsia" w:hAnsi="Arial Narrow" w:cstheme="majorBidi" w:hint="eastAsia"/>
                <w:bCs/>
                <w:color w:val="000000"/>
                <w:w w:val="33"/>
                <w:sz w:val="20"/>
                <w:shd w:val="solid" w:color="000000" w:fill="000000"/>
                <w:fitText w:val="150" w:id="-894165756"/>
                <w14:textFill>
                  <w14:solidFill>
                    <w14:srgbClr w14:val="000000">
                      <w14:alpha w14:val="100000"/>
                    </w14:srgbClr>
                  </w14:solidFill>
                </w14:textFill>
              </w:rPr>
              <w:t xml:space="preserve">　</w:t>
            </w:r>
            <w:r w:rsidRPr="00E44785">
              <w:rPr>
                <w:rFonts w:ascii="Arial Narrow" w:eastAsiaTheme="majorEastAsia" w:hAnsi="Arial Narrow" w:cstheme="majorBidi"/>
                <w:bCs/>
                <w:color w:val="000000"/>
                <w:w w:val="33"/>
                <w:sz w:val="20"/>
                <w:shd w:val="solid" w:color="000000" w:fill="000000"/>
                <w:fitText w:val="150" w:id="-894165756"/>
                <w14:textFill>
                  <w14:solidFill>
                    <w14:srgbClr w14:val="000000">
                      <w14:alpha w14:val="100000"/>
                    </w14:srgbClr>
                  </w14:solidFill>
                </w14:textFill>
              </w:rPr>
              <w:t>|</w:t>
            </w:r>
            <w:r w:rsidRPr="00E44785">
              <w:rPr>
                <w:rFonts w:ascii="Arial Narrow" w:eastAsiaTheme="majorEastAsia" w:hAnsi="Arial Narrow" w:cstheme="majorBidi" w:hint="eastAsia"/>
                <w:bCs/>
                <w:color w:val="000000"/>
                <w:spacing w:val="4"/>
                <w:w w:val="33"/>
                <w:sz w:val="20"/>
                <w:shd w:val="solid" w:color="000000" w:fill="000000"/>
                <w:fitText w:val="150" w:id="-894165756"/>
                <w14:textFill>
                  <w14:solidFill>
                    <w14:srgbClr w14:val="000000">
                      <w14:alpha w14:val="100000"/>
                    </w14:srgbClr>
                  </w14:solidFill>
                </w14:textFill>
              </w:rPr>
              <w:t xml:space="preserve">　</w:t>
            </w:r>
            <w:r w:rsidR="00460E11" w:rsidRPr="00460E11">
              <w:rPr>
                <w:rFonts w:ascii="Arial Narrow" w:eastAsiaTheme="majorEastAsia" w:hAnsi="Arial Narrow" w:cstheme="majorBidi"/>
                <w:bCs/>
                <w:sz w:val="20"/>
                <w:vertAlign w:val="superscript"/>
              </w:rPr>
              <w:t>7</w:t>
            </w:r>
          </w:p>
        </w:tc>
        <w:tc>
          <w:tcPr>
            <w:tcW w:w="595" w:type="pct"/>
          </w:tcPr>
          <w:p w14:paraId="1D074C93" w14:textId="72F399F5"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46"/>
                <w:sz w:val="20"/>
                <w:shd w:val="solid" w:color="000000" w:fill="000000"/>
                <w:fitText w:val="220" w:id="-894165755"/>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220" w:id="-894165755"/>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r w:rsidR="007F5816" w:rsidRPr="006B343C" w14:paraId="296C57B8" w14:textId="77777777" w:rsidTr="00DC1AEB">
        <w:tc>
          <w:tcPr>
            <w:tcW w:w="2266" w:type="pct"/>
          </w:tcPr>
          <w:p w14:paraId="0526EEE6" w14:textId="77777777" w:rsidR="007F5816" w:rsidRPr="006B343C" w:rsidRDefault="007F5816" w:rsidP="007F5816">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Health state costs (base case </w:t>
            </w:r>
            <w:r w:rsidRPr="006B343C">
              <w:rPr>
                <w:rFonts w:ascii="Arial Narrow" w:eastAsiaTheme="majorEastAsia" w:hAnsi="Arial Narrow" w:cstheme="majorBidi"/>
                <w:bCs/>
                <w:sz w:val="20"/>
                <w:vertAlign w:val="superscript"/>
              </w:rPr>
              <w:t>b</w:t>
            </w:r>
            <w:r w:rsidRPr="006B343C">
              <w:rPr>
                <w:rFonts w:ascii="Arial Narrow" w:eastAsiaTheme="majorEastAsia" w:hAnsi="Arial Narrow" w:cstheme="majorBidi"/>
                <w:bCs/>
                <w:sz w:val="20"/>
              </w:rPr>
              <w:t>)</w:t>
            </w:r>
          </w:p>
        </w:tc>
        <w:tc>
          <w:tcPr>
            <w:tcW w:w="738" w:type="pct"/>
            <w:tcBorders>
              <w:bottom w:val="single" w:sz="4" w:space="0" w:color="auto"/>
            </w:tcBorders>
          </w:tcPr>
          <w:p w14:paraId="41A7A2C1" w14:textId="77777777" w:rsidR="007F5816" w:rsidRPr="006B343C" w:rsidRDefault="007F5816" w:rsidP="007F5816">
            <w:pPr>
              <w:keepNext/>
              <w:jc w:val="center"/>
              <w:rPr>
                <w:rFonts w:ascii="Arial Narrow" w:eastAsiaTheme="majorEastAsia" w:hAnsi="Arial Narrow" w:cstheme="majorBidi"/>
                <w:bCs/>
                <w:sz w:val="20"/>
              </w:rPr>
            </w:pPr>
          </w:p>
        </w:tc>
        <w:tc>
          <w:tcPr>
            <w:tcW w:w="805" w:type="pct"/>
          </w:tcPr>
          <w:p w14:paraId="571B9E9A" w14:textId="77777777" w:rsidR="007F5816" w:rsidRPr="006B343C" w:rsidRDefault="007F5816" w:rsidP="007F5816">
            <w:pPr>
              <w:keepNext/>
              <w:jc w:val="center"/>
              <w:rPr>
                <w:rFonts w:ascii="Arial Narrow" w:eastAsiaTheme="majorEastAsia" w:hAnsi="Arial Narrow" w:cstheme="majorBidi"/>
                <w:bCs/>
                <w:sz w:val="20"/>
              </w:rPr>
            </w:pPr>
          </w:p>
        </w:tc>
        <w:tc>
          <w:tcPr>
            <w:tcW w:w="596" w:type="pct"/>
          </w:tcPr>
          <w:p w14:paraId="59A067A4" w14:textId="77777777" w:rsidR="007F5816" w:rsidRPr="006B343C" w:rsidRDefault="007F5816" w:rsidP="007F5816">
            <w:pPr>
              <w:keepNext/>
              <w:jc w:val="center"/>
              <w:rPr>
                <w:rFonts w:ascii="Arial Narrow" w:eastAsiaTheme="majorEastAsia" w:hAnsi="Arial Narrow" w:cstheme="majorBidi"/>
                <w:bCs/>
                <w:sz w:val="20"/>
              </w:rPr>
            </w:pPr>
          </w:p>
        </w:tc>
        <w:tc>
          <w:tcPr>
            <w:tcW w:w="595" w:type="pct"/>
          </w:tcPr>
          <w:p w14:paraId="79B4D56B" w14:textId="77777777" w:rsidR="007F5816" w:rsidRPr="006B343C" w:rsidRDefault="007F5816" w:rsidP="007F5816">
            <w:pPr>
              <w:keepNext/>
              <w:jc w:val="center"/>
              <w:rPr>
                <w:rFonts w:ascii="Arial Narrow" w:eastAsiaTheme="majorEastAsia" w:hAnsi="Arial Narrow" w:cstheme="majorBidi"/>
                <w:bCs/>
                <w:sz w:val="20"/>
              </w:rPr>
            </w:pPr>
          </w:p>
        </w:tc>
      </w:tr>
      <w:tr w:rsidR="007F5816" w:rsidRPr="006B343C" w14:paraId="53687412" w14:textId="77777777" w:rsidTr="00DC1AEB">
        <w:tc>
          <w:tcPr>
            <w:tcW w:w="2266" w:type="pct"/>
          </w:tcPr>
          <w:p w14:paraId="3C6DEC69"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Halved (x50%)</w:t>
            </w:r>
          </w:p>
        </w:tc>
        <w:tc>
          <w:tcPr>
            <w:tcW w:w="738" w:type="pct"/>
            <w:shd w:val="solid" w:color="000000" w:fill="000000"/>
          </w:tcPr>
          <w:p w14:paraId="60134552" w14:textId="13554687"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5E573813"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0.083</w:t>
            </w:r>
          </w:p>
        </w:tc>
        <w:tc>
          <w:tcPr>
            <w:tcW w:w="596" w:type="pct"/>
          </w:tcPr>
          <w:p w14:paraId="530F1036" w14:textId="28507579"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hint="eastAsia"/>
                <w:bCs/>
                <w:color w:val="000000"/>
                <w:w w:val="33"/>
                <w:sz w:val="20"/>
                <w:shd w:val="solid" w:color="000000" w:fill="000000"/>
                <w:fitText w:val="150" w:id="-894165754"/>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4"/>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4"/>
                <w14:textFill>
                  <w14:solidFill>
                    <w14:srgbClr w14:val="000000">
                      <w14:alpha w14:val="100000"/>
                    </w14:srgbClr>
                  </w14:solidFill>
                </w14:textFill>
              </w:rPr>
              <w:t xml:space="preserve">　</w:t>
            </w:r>
            <w:r w:rsidR="002669D9" w:rsidRPr="002669D9">
              <w:rPr>
                <w:rFonts w:ascii="Arial Narrow" w:eastAsiaTheme="majorEastAsia" w:hAnsi="Arial Narrow" w:cstheme="majorBidi"/>
                <w:bCs/>
                <w:sz w:val="20"/>
                <w:vertAlign w:val="superscript"/>
              </w:rPr>
              <w:t>5</w:t>
            </w:r>
          </w:p>
        </w:tc>
        <w:tc>
          <w:tcPr>
            <w:tcW w:w="595" w:type="pct"/>
          </w:tcPr>
          <w:p w14:paraId="03EDC342" w14:textId="6C56090A" w:rsidR="007F5816" w:rsidRPr="006B343C" w:rsidRDefault="00DC1AEB" w:rsidP="007F5816">
            <w:pPr>
              <w:keepNext/>
              <w:jc w:val="center"/>
              <w:rPr>
                <w:rFonts w:ascii="Arial Narrow" w:eastAsiaTheme="majorEastAsia" w:hAnsi="Arial Narrow" w:cstheme="majorBidi"/>
                <w:bCs/>
                <w:sz w:val="20"/>
              </w:rPr>
            </w:pPr>
            <w:r w:rsidRPr="00DC1AEB">
              <w:rPr>
                <w:rFonts w:ascii="Arial Narrow" w:eastAsiaTheme="majorEastAsia" w:hAnsi="Arial Narrow" w:cstheme="majorBidi"/>
                <w:bCs/>
                <w:color w:val="000000"/>
                <w:spacing w:val="94"/>
                <w:sz w:val="20"/>
                <w:shd w:val="solid" w:color="000000" w:fill="000000"/>
                <w:fitText w:val="180" w:id="-894165753"/>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180" w:id="-894165753"/>
                <w14:textFill>
                  <w14:solidFill>
                    <w14:srgbClr w14:val="000000">
                      <w14:alpha w14:val="100000"/>
                    </w14:srgbClr>
                  </w14:solidFill>
                </w14:textFill>
              </w:rPr>
              <w:t>|</w:t>
            </w:r>
            <w:r w:rsidR="007F5816" w:rsidRPr="006B343C">
              <w:rPr>
                <w:rFonts w:ascii="Arial Narrow" w:eastAsiaTheme="majorEastAsia" w:hAnsi="Arial Narrow" w:cstheme="majorBidi"/>
                <w:bCs/>
                <w:sz w:val="20"/>
              </w:rPr>
              <w:t>%</w:t>
            </w:r>
          </w:p>
        </w:tc>
      </w:tr>
      <w:tr w:rsidR="007F5816" w:rsidRPr="006B343C" w14:paraId="0C221CE7" w14:textId="77777777" w:rsidTr="00DC1AEB">
        <w:tc>
          <w:tcPr>
            <w:tcW w:w="2266" w:type="pct"/>
          </w:tcPr>
          <w:p w14:paraId="6939C01C"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Doubled (x200%)</w:t>
            </w:r>
          </w:p>
        </w:tc>
        <w:tc>
          <w:tcPr>
            <w:tcW w:w="738" w:type="pct"/>
            <w:tcBorders>
              <w:bottom w:val="single" w:sz="4" w:space="0" w:color="auto"/>
            </w:tcBorders>
          </w:tcPr>
          <w:p w14:paraId="678BEFC0" w14:textId="44F8ABE2" w:rsidR="007F5816" w:rsidRPr="00806578" w:rsidRDefault="007F5816" w:rsidP="007F5816">
            <w:pPr>
              <w:keepNext/>
              <w:jc w:val="center"/>
              <w:rPr>
                <w:rFonts w:ascii="Arial Narrow" w:eastAsiaTheme="majorEastAsia" w:hAnsi="Arial Narrow" w:cstheme="majorBidi"/>
                <w:bCs/>
                <w:sz w:val="20"/>
                <w:highlight w:val="lightGray"/>
              </w:rPr>
            </w:pPr>
            <w:r w:rsidRPr="00392B7C">
              <w:rPr>
                <w:rFonts w:ascii="Arial Narrow" w:eastAsiaTheme="majorEastAsia" w:hAnsi="Arial Narrow" w:cstheme="majorBidi"/>
                <w:bCs/>
                <w:sz w:val="20"/>
              </w:rPr>
              <w:t>-</w:t>
            </w:r>
            <w:r w:rsidR="00DC1AEB" w:rsidRPr="00827768">
              <w:rPr>
                <w:rFonts w:ascii="Arial Narrow" w:eastAsiaTheme="majorEastAsia" w:hAnsi="Arial Narrow" w:cstheme="majorBidi" w:hint="eastAsia"/>
                <w:bCs/>
                <w:color w:val="000000"/>
                <w:w w:val="15"/>
                <w:sz w:val="20"/>
                <w:shd w:val="solid" w:color="000000" w:fill="000000"/>
                <w:fitText w:val="10" w:id="-894165752"/>
                <w14:textFill>
                  <w14:solidFill>
                    <w14:srgbClr w14:val="000000">
                      <w14:alpha w14:val="100000"/>
                    </w14:srgbClr>
                  </w14:solidFill>
                </w14:textFill>
              </w:rPr>
              <w:t xml:space="preserve">　</w:t>
            </w:r>
            <w:r w:rsidR="00DC1AEB" w:rsidRPr="00827768">
              <w:rPr>
                <w:rFonts w:ascii="Arial Narrow" w:eastAsiaTheme="majorEastAsia" w:hAnsi="Arial Narrow" w:cstheme="majorBidi"/>
                <w:bCs/>
                <w:color w:val="000000"/>
                <w:w w:val="15"/>
                <w:sz w:val="20"/>
                <w:shd w:val="solid" w:color="000000" w:fill="000000"/>
                <w:fitText w:val="10" w:id="-894165752"/>
                <w14:textFill>
                  <w14:solidFill>
                    <w14:srgbClr w14:val="000000">
                      <w14:alpha w14:val="100000"/>
                    </w14:srgbClr>
                  </w14:solidFill>
                </w14:textFill>
              </w:rPr>
              <w:t>|</w:t>
            </w:r>
            <w:r w:rsidR="00DC1AEB" w:rsidRPr="00827768">
              <w:rPr>
                <w:rFonts w:ascii="Arial Narrow" w:eastAsiaTheme="majorEastAsia" w:hAnsi="Arial Narrow" w:cstheme="majorBidi" w:hint="eastAsia"/>
                <w:bCs/>
                <w:color w:val="000000"/>
                <w:spacing w:val="-56"/>
                <w:w w:val="15"/>
                <w:sz w:val="20"/>
                <w:shd w:val="solid" w:color="000000" w:fill="000000"/>
                <w:fitText w:val="10" w:id="-894165752"/>
                <w14:textFill>
                  <w14:solidFill>
                    <w14:srgbClr w14:val="000000">
                      <w14:alpha w14:val="100000"/>
                    </w14:srgbClr>
                  </w14:solidFill>
                </w14:textFill>
              </w:rPr>
              <w:t xml:space="preserve">　</w:t>
            </w:r>
          </w:p>
        </w:tc>
        <w:tc>
          <w:tcPr>
            <w:tcW w:w="805" w:type="pct"/>
          </w:tcPr>
          <w:p w14:paraId="7E798312"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0.083</w:t>
            </w:r>
          </w:p>
        </w:tc>
        <w:tc>
          <w:tcPr>
            <w:tcW w:w="596" w:type="pct"/>
          </w:tcPr>
          <w:p w14:paraId="16A64014"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Dominant</w:t>
            </w:r>
          </w:p>
        </w:tc>
        <w:tc>
          <w:tcPr>
            <w:tcW w:w="595" w:type="pct"/>
          </w:tcPr>
          <w:p w14:paraId="02F50088"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p>
        </w:tc>
      </w:tr>
      <w:tr w:rsidR="007F5816" w:rsidRPr="006B343C" w14:paraId="51AB484B" w14:textId="77777777" w:rsidTr="00DC1AEB">
        <w:tc>
          <w:tcPr>
            <w:tcW w:w="2266" w:type="pct"/>
          </w:tcPr>
          <w:p w14:paraId="13BB85F1" w14:textId="77777777" w:rsidR="007F5816" w:rsidRPr="006B343C" w:rsidRDefault="007F5816"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Holubar 2012 </w:t>
            </w:r>
            <w:r w:rsidRPr="006B343C">
              <w:rPr>
                <w:rFonts w:ascii="Arial Narrow" w:eastAsiaTheme="majorEastAsia" w:hAnsi="Arial Narrow" w:cstheme="majorBidi"/>
                <w:bCs/>
                <w:sz w:val="20"/>
                <w:vertAlign w:val="superscript"/>
              </w:rPr>
              <w:t>b</w:t>
            </w:r>
          </w:p>
        </w:tc>
        <w:tc>
          <w:tcPr>
            <w:tcW w:w="738" w:type="pct"/>
            <w:tcBorders>
              <w:bottom w:val="single" w:sz="4" w:space="0" w:color="auto"/>
            </w:tcBorders>
            <w:shd w:val="solid" w:color="000000" w:fill="000000"/>
          </w:tcPr>
          <w:p w14:paraId="1C0E259E" w14:textId="2AFC0B9C" w:rsidR="007F5816" w:rsidRPr="00806578"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bCs/>
                <w:color w:val="000000"/>
                <w:sz w:val="20"/>
                <w14:textFill>
                  <w14:solidFill>
                    <w14:srgbClr w14:val="000000">
                      <w14:alpha w14:val="100000"/>
                    </w14:srgbClr>
                  </w14:solidFill>
                </w14:textFill>
              </w:rPr>
              <w:t>|</w:t>
            </w:r>
          </w:p>
        </w:tc>
        <w:tc>
          <w:tcPr>
            <w:tcW w:w="805" w:type="pct"/>
          </w:tcPr>
          <w:p w14:paraId="65C5D608" w14:textId="77777777"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0.083</w:t>
            </w:r>
          </w:p>
        </w:tc>
        <w:tc>
          <w:tcPr>
            <w:tcW w:w="596" w:type="pct"/>
            <w:tcBorders>
              <w:bottom w:val="single" w:sz="4" w:space="0" w:color="auto"/>
            </w:tcBorders>
          </w:tcPr>
          <w:p w14:paraId="71B0D8DE" w14:textId="2F271EC0" w:rsidR="007F5816" w:rsidRPr="00392B7C" w:rsidRDefault="00DC1AEB" w:rsidP="007F5816">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33"/>
                <w:sz w:val="20"/>
                <w:shd w:val="solid" w:color="000000" w:fill="000000"/>
                <w:fitText w:val="150" w:id="-894165751"/>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1"/>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1"/>
                <w14:textFill>
                  <w14:solidFill>
                    <w14:srgbClr w14:val="000000">
                      <w14:alpha w14:val="100000"/>
                    </w14:srgbClr>
                  </w14:solidFill>
                </w14:textFill>
              </w:rPr>
              <w:t xml:space="preserve">　</w:t>
            </w:r>
            <w:r w:rsidR="00EE0800" w:rsidRPr="006E7C25">
              <w:rPr>
                <w:rFonts w:ascii="Arial Narrow" w:eastAsiaTheme="majorEastAsia" w:hAnsi="Arial Narrow" w:cstheme="majorBidi"/>
                <w:bCs/>
                <w:sz w:val="20"/>
                <w:vertAlign w:val="superscript"/>
              </w:rPr>
              <w:t>2</w:t>
            </w:r>
          </w:p>
        </w:tc>
        <w:tc>
          <w:tcPr>
            <w:tcW w:w="595" w:type="pct"/>
          </w:tcPr>
          <w:p w14:paraId="287CAAA5" w14:textId="2018CD48" w:rsidR="007F5816" w:rsidRPr="006B343C" w:rsidRDefault="007F5816"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46"/>
                <w:sz w:val="20"/>
                <w:shd w:val="solid" w:color="000000" w:fill="000000"/>
                <w:fitText w:val="220" w:id="-894165750"/>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220" w:id="-894165750"/>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r w:rsidR="00E44785" w:rsidRPr="006B343C" w14:paraId="6F0083CD" w14:textId="77777777" w:rsidTr="00DC1AEB">
        <w:tc>
          <w:tcPr>
            <w:tcW w:w="2266" w:type="pct"/>
          </w:tcPr>
          <w:p w14:paraId="6FCC401F" w14:textId="22D355B6" w:rsidR="00E44785" w:rsidRPr="006B343C" w:rsidRDefault="00E44785" w:rsidP="00B24069">
            <w:pPr>
              <w:keepNext/>
              <w:numPr>
                <w:ilvl w:val="0"/>
                <w:numId w:val="10"/>
              </w:numPr>
              <w:jc w:val="left"/>
              <w:rPr>
                <w:rFonts w:ascii="Arial Narrow" w:eastAsiaTheme="majorEastAsia" w:hAnsi="Arial Narrow" w:cstheme="majorBidi"/>
                <w:bCs/>
                <w:sz w:val="20"/>
              </w:rPr>
            </w:pPr>
            <w:r w:rsidRPr="006B343C">
              <w:rPr>
                <w:rFonts w:ascii="Arial Narrow" w:eastAsiaTheme="majorEastAsia" w:hAnsi="Arial Narrow" w:cstheme="majorBidi"/>
                <w:bCs/>
                <w:sz w:val="20"/>
              </w:rPr>
              <w:t xml:space="preserve">Barnes 2022 </w:t>
            </w:r>
            <w:r w:rsidRPr="006B343C">
              <w:rPr>
                <w:rFonts w:ascii="Arial Narrow" w:eastAsiaTheme="majorEastAsia" w:hAnsi="Arial Narrow" w:cstheme="majorBidi"/>
                <w:bCs/>
                <w:sz w:val="20"/>
                <w:vertAlign w:val="superscript"/>
              </w:rPr>
              <w:t>b</w:t>
            </w:r>
          </w:p>
        </w:tc>
        <w:tc>
          <w:tcPr>
            <w:tcW w:w="738" w:type="pct"/>
            <w:tcBorders>
              <w:bottom w:val="single" w:sz="4" w:space="0" w:color="auto"/>
            </w:tcBorders>
            <w:shd w:val="solid" w:color="000000" w:fill="000000"/>
          </w:tcPr>
          <w:p w14:paraId="09C4D2BC" w14:textId="77777777" w:rsidR="00E44785" w:rsidRPr="00DC1AEB" w:rsidRDefault="00E44785" w:rsidP="007F5816">
            <w:pPr>
              <w:keepNext/>
              <w:jc w:val="center"/>
              <w:rPr>
                <w:rFonts w:ascii="Arial Narrow" w:eastAsiaTheme="majorEastAsia" w:hAnsi="Arial Narrow" w:cstheme="majorBidi"/>
                <w:bCs/>
                <w:color w:val="000000"/>
                <w:sz w:val="20"/>
                <w14:textFill>
                  <w14:solidFill>
                    <w14:srgbClr w14:val="000000">
                      <w14:alpha w14:val="100000"/>
                    </w14:srgbClr>
                  </w14:solidFill>
                </w14:textFill>
              </w:rPr>
            </w:pPr>
          </w:p>
        </w:tc>
        <w:tc>
          <w:tcPr>
            <w:tcW w:w="805" w:type="pct"/>
          </w:tcPr>
          <w:p w14:paraId="5ED5384F" w14:textId="7841524B" w:rsidR="00E44785" w:rsidRPr="006B343C" w:rsidRDefault="00E44785"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0.083</w:t>
            </w:r>
          </w:p>
        </w:tc>
        <w:tc>
          <w:tcPr>
            <w:tcW w:w="596" w:type="pct"/>
            <w:tcBorders>
              <w:bottom w:val="single" w:sz="4" w:space="0" w:color="auto"/>
            </w:tcBorders>
          </w:tcPr>
          <w:p w14:paraId="34DE0983" w14:textId="6D568610" w:rsidR="00E44785" w:rsidRPr="00DC1AEB" w:rsidRDefault="00E44785" w:rsidP="007F5816">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DC1AEB">
              <w:rPr>
                <w:rFonts w:ascii="Arial Narrow" w:eastAsiaTheme="majorEastAsia" w:hAnsi="Arial Narrow" w:cstheme="majorBidi" w:hint="eastAsia"/>
                <w:bCs/>
                <w:color w:val="000000"/>
                <w:w w:val="33"/>
                <w:sz w:val="20"/>
                <w:shd w:val="solid" w:color="000000" w:fill="000000"/>
                <w:fitText w:val="150" w:id="-894165756"/>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33"/>
                <w:sz w:val="20"/>
                <w:shd w:val="solid" w:color="000000" w:fill="000000"/>
                <w:fitText w:val="150" w:id="-894165756"/>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4"/>
                <w:w w:val="33"/>
                <w:sz w:val="20"/>
                <w:shd w:val="solid" w:color="000000" w:fill="000000"/>
                <w:fitText w:val="150" w:id="-894165756"/>
                <w14:textFill>
                  <w14:solidFill>
                    <w14:srgbClr w14:val="000000">
                      <w14:alpha w14:val="100000"/>
                    </w14:srgbClr>
                  </w14:solidFill>
                </w14:textFill>
              </w:rPr>
              <w:t xml:space="preserve">　</w:t>
            </w:r>
            <w:r w:rsidRPr="00460E11">
              <w:rPr>
                <w:rFonts w:ascii="Arial Narrow" w:eastAsiaTheme="majorEastAsia" w:hAnsi="Arial Narrow" w:cstheme="majorBidi"/>
                <w:bCs/>
                <w:sz w:val="20"/>
                <w:vertAlign w:val="superscript"/>
              </w:rPr>
              <w:t>7</w:t>
            </w:r>
          </w:p>
        </w:tc>
        <w:tc>
          <w:tcPr>
            <w:tcW w:w="595" w:type="pct"/>
          </w:tcPr>
          <w:p w14:paraId="451FC620" w14:textId="55AB4239" w:rsidR="00E44785" w:rsidRPr="006B343C" w:rsidRDefault="00E44785" w:rsidP="007F5816">
            <w:pPr>
              <w:keepNext/>
              <w:jc w:val="center"/>
              <w:rPr>
                <w:rFonts w:ascii="Arial Narrow" w:eastAsiaTheme="majorEastAsia" w:hAnsi="Arial Narrow" w:cstheme="majorBidi"/>
                <w:bCs/>
                <w:sz w:val="20"/>
              </w:rPr>
            </w:pPr>
            <w:r w:rsidRPr="006B343C">
              <w:rPr>
                <w:rFonts w:ascii="Arial Narrow" w:eastAsiaTheme="majorEastAsia" w:hAnsi="Arial Narrow" w:cstheme="majorBidi"/>
                <w:bCs/>
                <w:sz w:val="20"/>
              </w:rPr>
              <w:t>-</w:t>
            </w:r>
            <w:r w:rsidRPr="00E44785">
              <w:rPr>
                <w:rFonts w:ascii="Arial Narrow" w:eastAsiaTheme="majorEastAsia" w:hAnsi="Arial Narrow" w:cstheme="majorBidi"/>
                <w:bCs/>
                <w:color w:val="000000"/>
                <w:spacing w:val="46"/>
                <w:sz w:val="20"/>
                <w:shd w:val="solid" w:color="000000" w:fill="000000"/>
                <w:fitText w:val="220" w:id="-894165748"/>
                <w14:textFill>
                  <w14:solidFill>
                    <w14:srgbClr w14:val="000000">
                      <w14:alpha w14:val="100000"/>
                    </w14:srgbClr>
                  </w14:solidFill>
                </w14:textFill>
              </w:rPr>
              <w:t>||</w:t>
            </w:r>
            <w:r w:rsidRPr="00E44785">
              <w:rPr>
                <w:rFonts w:ascii="Arial Narrow" w:eastAsiaTheme="majorEastAsia" w:hAnsi="Arial Narrow" w:cstheme="majorBidi"/>
                <w:bCs/>
                <w:color w:val="000000"/>
                <w:spacing w:val="1"/>
                <w:sz w:val="20"/>
                <w:shd w:val="solid" w:color="000000" w:fill="000000"/>
                <w:fitText w:val="220" w:id="-894165748"/>
                <w14:textFill>
                  <w14:solidFill>
                    <w14:srgbClr w14:val="000000">
                      <w14:alpha w14:val="100000"/>
                    </w14:srgbClr>
                  </w14:solidFill>
                </w14:textFill>
              </w:rPr>
              <w:t>|</w:t>
            </w:r>
            <w:r w:rsidRPr="006B343C">
              <w:rPr>
                <w:rFonts w:ascii="Arial Narrow" w:eastAsiaTheme="majorEastAsia" w:hAnsi="Arial Narrow" w:cstheme="majorBidi"/>
                <w:bCs/>
                <w:sz w:val="20"/>
              </w:rPr>
              <w:t>%</w:t>
            </w:r>
          </w:p>
        </w:tc>
      </w:tr>
    </w:tbl>
    <w:p w14:paraId="11771879" w14:textId="196F56DE"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rPr>
        <w:t>Source: Tables 87, 88, 89 and 90of the submission and added to during the evaluation</w:t>
      </w:r>
    </w:p>
    <w:p w14:paraId="20F29740" w14:textId="77777777"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rPr>
        <w:t xml:space="preserve">Abbreviations: ICER, incremental cost-effectiveness ratio; QALY, quality adjusted life year; </w:t>
      </w:r>
      <w:r w:rsidRPr="006B343C">
        <w:rPr>
          <w:rFonts w:ascii="Arial Narrow" w:hAnsi="Arial Narrow"/>
          <w:snapToGrid w:val="0"/>
          <w:sz w:val="18"/>
          <w:szCs w:val="18"/>
          <w:lang w:val="en-US"/>
        </w:rPr>
        <w:t>SOC, standard-of-care; VEDO, vedolizumab</w:t>
      </w:r>
    </w:p>
    <w:p w14:paraId="15A13C0F" w14:textId="0FABBDD2"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vertAlign w:val="superscript"/>
        </w:rPr>
        <w:t>a</w:t>
      </w:r>
      <w:r w:rsidRPr="006B343C">
        <w:rPr>
          <w:rFonts w:ascii="Arial Narrow" w:hAnsi="Arial Narrow"/>
          <w:snapToGrid w:val="0"/>
          <w:sz w:val="18"/>
          <w:szCs w:val="22"/>
        </w:rPr>
        <w:t xml:space="preserve"> Remission = applying mPDAI remission outcome data from the EARNEST trial and re</w:t>
      </w:r>
      <w:r w:rsidR="005E7D30" w:rsidRPr="006B343C">
        <w:rPr>
          <w:rFonts w:ascii="Arial Narrow" w:hAnsi="Arial Narrow"/>
          <w:snapToGrid w:val="0"/>
          <w:sz w:val="18"/>
          <w:szCs w:val="22"/>
        </w:rPr>
        <w:t>s</w:t>
      </w:r>
      <w:r w:rsidRPr="006B343C">
        <w:rPr>
          <w:rFonts w:ascii="Arial Narrow" w:hAnsi="Arial Narrow"/>
          <w:snapToGrid w:val="0"/>
          <w:sz w:val="18"/>
          <w:szCs w:val="22"/>
        </w:rPr>
        <w:t>ponse = applying mPDAI re</w:t>
      </w:r>
      <w:r w:rsidR="005E7D30" w:rsidRPr="006B343C">
        <w:rPr>
          <w:rFonts w:ascii="Arial Narrow" w:hAnsi="Arial Narrow"/>
          <w:snapToGrid w:val="0"/>
          <w:sz w:val="18"/>
          <w:szCs w:val="22"/>
        </w:rPr>
        <w:t>s</w:t>
      </w:r>
      <w:r w:rsidRPr="006B343C">
        <w:rPr>
          <w:rFonts w:ascii="Arial Narrow" w:hAnsi="Arial Narrow"/>
          <w:snapToGrid w:val="0"/>
          <w:sz w:val="18"/>
          <w:szCs w:val="22"/>
        </w:rPr>
        <w:t>ponse outcome data</w:t>
      </w:r>
    </w:p>
    <w:p w14:paraId="6589BBB3" w14:textId="77777777"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vertAlign w:val="superscript"/>
        </w:rPr>
        <w:t>b</w:t>
      </w:r>
      <w:r w:rsidRPr="006B343C">
        <w:rPr>
          <w:rFonts w:ascii="Arial Narrow" w:hAnsi="Arial Narrow"/>
          <w:snapToGrid w:val="0"/>
          <w:sz w:val="18"/>
          <w:szCs w:val="22"/>
        </w:rPr>
        <w:t xml:space="preserve"> As described in Table 3.6.3</w:t>
      </w:r>
    </w:p>
    <w:p w14:paraId="6FF2C154" w14:textId="77777777" w:rsidR="007F5816" w:rsidRDefault="007F5816" w:rsidP="007F5816">
      <w:pPr>
        <w:spacing w:after="120"/>
        <w:contextualSpacing/>
        <w:rPr>
          <w:rFonts w:ascii="Arial Narrow" w:hAnsi="Arial Narrow"/>
          <w:snapToGrid w:val="0"/>
          <w:sz w:val="18"/>
          <w:szCs w:val="18"/>
        </w:rPr>
      </w:pPr>
      <w:r w:rsidRPr="006B343C">
        <w:rPr>
          <w:rFonts w:ascii="Arial Narrow" w:hAnsi="Arial Narrow"/>
          <w:snapToGrid w:val="0"/>
          <w:sz w:val="18"/>
          <w:szCs w:val="18"/>
          <w:vertAlign w:val="superscript"/>
        </w:rPr>
        <w:t>c</w:t>
      </w:r>
      <w:r w:rsidRPr="006B343C">
        <w:rPr>
          <w:rFonts w:ascii="Arial Narrow" w:hAnsi="Arial Narrow"/>
          <w:snapToGrid w:val="0"/>
          <w:sz w:val="18"/>
          <w:szCs w:val="18"/>
        </w:rPr>
        <w:t xml:space="preserve"> ; i.e. assumes treatment effect carried and remains constant over time horizon</w:t>
      </w:r>
    </w:p>
    <w:p w14:paraId="7622AC11" w14:textId="77777777" w:rsidR="00B54B7C" w:rsidRDefault="00DA62A6" w:rsidP="00DA62A6">
      <w:pPr>
        <w:spacing w:after="120"/>
        <w:contextualSpacing/>
        <w:rPr>
          <w:rFonts w:ascii="Arial Narrow" w:hAnsi="Arial Narrow"/>
          <w:snapToGrid w:val="0"/>
          <w:sz w:val="18"/>
          <w:szCs w:val="18"/>
        </w:rPr>
      </w:pPr>
      <w:bookmarkStart w:id="95" w:name="_Hlk176358390"/>
      <w:r w:rsidRPr="00DA62A6">
        <w:rPr>
          <w:rFonts w:ascii="Arial Narrow" w:hAnsi="Arial Narrow"/>
          <w:snapToGrid w:val="0"/>
          <w:sz w:val="18"/>
          <w:szCs w:val="18"/>
        </w:rPr>
        <w:t>The redacted values correspond to the following ranges</w:t>
      </w:r>
    </w:p>
    <w:p w14:paraId="4E7886B4" w14:textId="72FD2044" w:rsidR="00B54B7C" w:rsidRPr="00DA62A6" w:rsidRDefault="00B54B7C" w:rsidP="00B54B7C">
      <w:pPr>
        <w:spacing w:after="120"/>
        <w:contextualSpacing/>
        <w:rPr>
          <w:rFonts w:ascii="Arial Narrow" w:hAnsi="Arial Narrow"/>
          <w:snapToGrid w:val="0"/>
          <w:sz w:val="18"/>
          <w:szCs w:val="18"/>
        </w:rPr>
      </w:pPr>
      <w:r>
        <w:rPr>
          <w:rFonts w:ascii="Arial Narrow" w:hAnsi="Arial Narrow"/>
          <w:snapToGrid w:val="0"/>
          <w:sz w:val="18"/>
          <w:szCs w:val="18"/>
        </w:rPr>
        <w:t>1</w:t>
      </w:r>
      <w:r w:rsidRPr="00DA62A6">
        <w:rPr>
          <w:rFonts w:ascii="Arial Narrow" w:hAnsi="Arial Narrow"/>
          <w:snapToGrid w:val="0"/>
          <w:sz w:val="18"/>
          <w:szCs w:val="18"/>
        </w:rPr>
        <w:t xml:space="preserve"> $35,000 to &lt; $45,000</w:t>
      </w:r>
    </w:p>
    <w:p w14:paraId="5913728B" w14:textId="6C873926" w:rsidR="00DA62A6" w:rsidRDefault="00BF1D4A" w:rsidP="00DA62A6">
      <w:pPr>
        <w:spacing w:after="120"/>
        <w:contextualSpacing/>
        <w:rPr>
          <w:rFonts w:ascii="Arial Narrow" w:hAnsi="Arial Narrow"/>
          <w:snapToGrid w:val="0"/>
          <w:sz w:val="18"/>
          <w:szCs w:val="18"/>
        </w:rPr>
      </w:pPr>
      <w:r>
        <w:rPr>
          <w:rFonts w:ascii="Arial Narrow" w:hAnsi="Arial Narrow"/>
          <w:snapToGrid w:val="0"/>
          <w:sz w:val="18"/>
          <w:szCs w:val="18"/>
        </w:rPr>
        <w:t xml:space="preserve">2 </w:t>
      </w:r>
      <w:r w:rsidRPr="00BF1D4A">
        <w:rPr>
          <w:rFonts w:ascii="Arial Narrow" w:hAnsi="Arial Narrow"/>
          <w:snapToGrid w:val="0"/>
          <w:sz w:val="18"/>
          <w:szCs w:val="18"/>
        </w:rPr>
        <w:t>$25,000 to &lt; $35,000</w:t>
      </w:r>
    </w:p>
    <w:p w14:paraId="10BA24A5" w14:textId="31FF37A8" w:rsidR="008F4195" w:rsidRDefault="008F4195" w:rsidP="00DA62A6">
      <w:pPr>
        <w:spacing w:after="120"/>
        <w:contextualSpacing/>
        <w:rPr>
          <w:rFonts w:ascii="Arial Narrow" w:hAnsi="Arial Narrow"/>
          <w:snapToGrid w:val="0"/>
          <w:sz w:val="18"/>
          <w:szCs w:val="18"/>
        </w:rPr>
      </w:pPr>
      <w:r>
        <w:rPr>
          <w:rFonts w:ascii="Arial Narrow" w:hAnsi="Arial Narrow"/>
          <w:snapToGrid w:val="0"/>
          <w:sz w:val="18"/>
          <w:szCs w:val="18"/>
        </w:rPr>
        <w:t xml:space="preserve">3 </w:t>
      </w:r>
      <w:r w:rsidRPr="008F4195">
        <w:rPr>
          <w:rFonts w:ascii="Arial Narrow" w:hAnsi="Arial Narrow"/>
          <w:snapToGrid w:val="0"/>
          <w:sz w:val="18"/>
          <w:szCs w:val="18"/>
        </w:rPr>
        <w:t>$55,000 to &lt; $75,000</w:t>
      </w:r>
    </w:p>
    <w:p w14:paraId="41164208" w14:textId="655F1AE9" w:rsidR="008F4195" w:rsidRDefault="00892676" w:rsidP="00DA62A6">
      <w:pPr>
        <w:spacing w:after="120"/>
        <w:contextualSpacing/>
        <w:rPr>
          <w:rFonts w:ascii="Arial Narrow" w:hAnsi="Arial Narrow"/>
          <w:snapToGrid w:val="0"/>
          <w:sz w:val="18"/>
          <w:szCs w:val="18"/>
        </w:rPr>
      </w:pPr>
      <w:r>
        <w:rPr>
          <w:rFonts w:ascii="Arial Narrow" w:hAnsi="Arial Narrow"/>
          <w:snapToGrid w:val="0"/>
          <w:sz w:val="18"/>
          <w:szCs w:val="18"/>
        </w:rPr>
        <w:t xml:space="preserve">4 </w:t>
      </w:r>
      <w:r w:rsidRPr="00892676">
        <w:rPr>
          <w:rFonts w:ascii="Arial Narrow" w:hAnsi="Arial Narrow"/>
          <w:snapToGrid w:val="0"/>
          <w:sz w:val="18"/>
          <w:szCs w:val="18"/>
        </w:rPr>
        <w:t>$45,000 to &lt; $55,000</w:t>
      </w:r>
    </w:p>
    <w:p w14:paraId="75A5FADF" w14:textId="346D9CDF" w:rsidR="002669D9" w:rsidRDefault="002669D9" w:rsidP="00DA62A6">
      <w:pPr>
        <w:spacing w:after="120"/>
        <w:contextualSpacing/>
        <w:rPr>
          <w:rFonts w:ascii="Arial Narrow" w:hAnsi="Arial Narrow"/>
          <w:snapToGrid w:val="0"/>
          <w:sz w:val="18"/>
          <w:szCs w:val="18"/>
        </w:rPr>
      </w:pPr>
      <w:r>
        <w:rPr>
          <w:rFonts w:ascii="Arial Narrow" w:hAnsi="Arial Narrow"/>
          <w:snapToGrid w:val="0"/>
          <w:sz w:val="18"/>
          <w:szCs w:val="18"/>
        </w:rPr>
        <w:t xml:space="preserve">5 </w:t>
      </w:r>
      <w:r w:rsidRPr="002669D9">
        <w:rPr>
          <w:rFonts w:ascii="Arial Narrow" w:hAnsi="Arial Narrow"/>
          <w:snapToGrid w:val="0"/>
          <w:sz w:val="18"/>
          <w:szCs w:val="18"/>
        </w:rPr>
        <w:t>$75,000 to &lt; $95,000</w:t>
      </w:r>
    </w:p>
    <w:p w14:paraId="4AB5313D" w14:textId="45D4B732" w:rsidR="002669D9" w:rsidRDefault="00D660EB" w:rsidP="00DA62A6">
      <w:pPr>
        <w:spacing w:after="120"/>
        <w:contextualSpacing/>
        <w:rPr>
          <w:rFonts w:ascii="Arial Narrow" w:hAnsi="Arial Narrow"/>
          <w:snapToGrid w:val="0"/>
          <w:sz w:val="18"/>
          <w:szCs w:val="18"/>
        </w:rPr>
      </w:pPr>
      <w:r>
        <w:rPr>
          <w:rFonts w:ascii="Arial Narrow" w:hAnsi="Arial Narrow"/>
          <w:snapToGrid w:val="0"/>
          <w:sz w:val="18"/>
          <w:szCs w:val="18"/>
        </w:rPr>
        <w:t xml:space="preserve">6 </w:t>
      </w:r>
      <w:r w:rsidRPr="00D660EB">
        <w:rPr>
          <w:rFonts w:ascii="Arial Narrow" w:hAnsi="Arial Narrow"/>
          <w:snapToGrid w:val="0"/>
          <w:sz w:val="18"/>
          <w:szCs w:val="18"/>
        </w:rPr>
        <w:t>$5,000 to &lt; $15,000</w:t>
      </w:r>
    </w:p>
    <w:p w14:paraId="7545360B" w14:textId="675C26B8" w:rsidR="00D660EB" w:rsidRDefault="00B60142" w:rsidP="00DA62A6">
      <w:pPr>
        <w:spacing w:after="120"/>
        <w:contextualSpacing/>
        <w:rPr>
          <w:rFonts w:ascii="Arial Narrow" w:hAnsi="Arial Narrow"/>
          <w:snapToGrid w:val="0"/>
          <w:sz w:val="18"/>
          <w:szCs w:val="18"/>
        </w:rPr>
      </w:pPr>
      <w:r>
        <w:rPr>
          <w:rFonts w:ascii="Arial Narrow" w:hAnsi="Arial Narrow"/>
          <w:snapToGrid w:val="0"/>
          <w:sz w:val="18"/>
          <w:szCs w:val="18"/>
        </w:rPr>
        <w:lastRenderedPageBreak/>
        <w:t xml:space="preserve">7 </w:t>
      </w:r>
      <w:r w:rsidRPr="00B60142">
        <w:rPr>
          <w:rFonts w:ascii="Arial Narrow" w:hAnsi="Arial Narrow"/>
          <w:snapToGrid w:val="0"/>
          <w:sz w:val="18"/>
          <w:szCs w:val="18"/>
        </w:rPr>
        <w:t>$15,000 to &lt; $25,000</w:t>
      </w:r>
    </w:p>
    <w:bookmarkEnd w:id="95"/>
    <w:p w14:paraId="46BBAAAD" w14:textId="77777777" w:rsidR="00B60142" w:rsidRPr="00DA62A6" w:rsidRDefault="00B60142" w:rsidP="00DA62A6">
      <w:pPr>
        <w:spacing w:after="120"/>
        <w:contextualSpacing/>
        <w:rPr>
          <w:rFonts w:ascii="Arial Narrow" w:hAnsi="Arial Narrow"/>
          <w:snapToGrid w:val="0"/>
          <w:sz w:val="18"/>
          <w:szCs w:val="18"/>
        </w:rPr>
      </w:pPr>
    </w:p>
    <w:p w14:paraId="38525534" w14:textId="5B977EE4" w:rsidR="00C00FB6" w:rsidRPr="00F55938" w:rsidRDefault="00C00FB6" w:rsidP="00DD7379">
      <w:pPr>
        <w:numPr>
          <w:ilvl w:val="1"/>
          <w:numId w:val="1"/>
        </w:numPr>
        <w:spacing w:after="120"/>
        <w:rPr>
          <w:rFonts w:asciiTheme="minorHAnsi" w:hAnsiTheme="minorHAnsi"/>
          <w:snapToGrid w:val="0"/>
        </w:rPr>
      </w:pPr>
      <w:bookmarkStart w:id="96" w:name="_Ref169680329"/>
      <w:bookmarkStart w:id="97" w:name="_Toc22897646"/>
      <w:bookmarkStart w:id="98" w:name="_Toc107927632"/>
      <w:r w:rsidRPr="00F55938">
        <w:rPr>
          <w:rFonts w:asciiTheme="minorHAnsi" w:hAnsiTheme="minorHAnsi"/>
          <w:snapToGrid w:val="0"/>
        </w:rPr>
        <w:t xml:space="preserve">The ESC considered the </w:t>
      </w:r>
      <w:r w:rsidR="00FD6B9B">
        <w:rPr>
          <w:rFonts w:asciiTheme="minorHAnsi" w:hAnsiTheme="minorHAnsi"/>
          <w:snapToGrid w:val="0"/>
        </w:rPr>
        <w:t>economic</w:t>
      </w:r>
      <w:r w:rsidRPr="00F55938">
        <w:rPr>
          <w:rFonts w:asciiTheme="minorHAnsi" w:hAnsiTheme="minorHAnsi"/>
          <w:snapToGrid w:val="0"/>
        </w:rPr>
        <w:t xml:space="preserve"> model</w:t>
      </w:r>
      <w:r w:rsidR="00FD6B9B">
        <w:rPr>
          <w:rFonts w:asciiTheme="minorHAnsi" w:hAnsiTheme="minorHAnsi"/>
          <w:snapToGrid w:val="0"/>
        </w:rPr>
        <w:t xml:space="preserve"> presented </w:t>
      </w:r>
      <w:r w:rsidR="00C02FE6">
        <w:rPr>
          <w:rFonts w:asciiTheme="minorHAnsi" w:hAnsiTheme="minorHAnsi"/>
          <w:snapToGrid w:val="0"/>
        </w:rPr>
        <w:t>may not</w:t>
      </w:r>
      <w:r w:rsidRPr="00F55938">
        <w:rPr>
          <w:rFonts w:asciiTheme="minorHAnsi" w:hAnsiTheme="minorHAnsi"/>
          <w:snapToGrid w:val="0"/>
        </w:rPr>
        <w:t xml:space="preserve"> be informative for decision-making. In particular, the ESC </w:t>
      </w:r>
      <w:r w:rsidR="00C02FE6">
        <w:rPr>
          <w:rFonts w:asciiTheme="minorHAnsi" w:hAnsiTheme="minorHAnsi"/>
          <w:snapToGrid w:val="0"/>
        </w:rPr>
        <w:t>considered the key issues with the economic model were that it</w:t>
      </w:r>
      <w:r w:rsidRPr="00F55938">
        <w:rPr>
          <w:rFonts w:asciiTheme="minorHAnsi" w:hAnsiTheme="minorHAnsi"/>
          <w:snapToGrid w:val="0"/>
        </w:rPr>
        <w:t>:</w:t>
      </w:r>
      <w:bookmarkEnd w:id="96"/>
    </w:p>
    <w:p w14:paraId="1A1B4FD3" w14:textId="2BF166BD" w:rsidR="00C00FB6" w:rsidRPr="00F55938" w:rsidRDefault="00B42E46" w:rsidP="00B24069">
      <w:pPr>
        <w:pStyle w:val="ListParagraph"/>
        <w:numPr>
          <w:ilvl w:val="0"/>
          <w:numId w:val="10"/>
        </w:numPr>
        <w:ind w:left="851"/>
      </w:pPr>
      <w:r w:rsidRPr="00F55938">
        <w:t>was based on the EARNEST trial results and thus</w:t>
      </w:r>
      <w:r w:rsidR="00C02FE6">
        <w:t xml:space="preserve"> the model</w:t>
      </w:r>
      <w:r w:rsidRPr="00F55938">
        <w:t xml:space="preserve"> inherits the highly uncertain treatment effect from the trial. Further, </w:t>
      </w:r>
      <w:r w:rsidR="00C00FB6" w:rsidRPr="00F55938">
        <w:t xml:space="preserve">the </w:t>
      </w:r>
      <w:r w:rsidRPr="00F55938">
        <w:t xml:space="preserve">model relied on </w:t>
      </w:r>
      <w:r w:rsidR="00C00FB6" w:rsidRPr="00F55938">
        <w:t>measurement instrument</w:t>
      </w:r>
      <w:r w:rsidRPr="00F55938">
        <w:t>s</w:t>
      </w:r>
      <w:r w:rsidR="00C00FB6" w:rsidRPr="00F55938">
        <w:t xml:space="preserve"> that </w:t>
      </w:r>
      <w:r w:rsidRPr="00F55938">
        <w:t>are</w:t>
      </w:r>
      <w:r w:rsidR="00C00FB6" w:rsidRPr="00F55938">
        <w:t xml:space="preserve"> not well validated. The ESC acknowledged, however, that </w:t>
      </w:r>
      <w:r w:rsidR="003B5743" w:rsidRPr="00F55938">
        <w:t>it was unlikely that</w:t>
      </w:r>
      <w:r w:rsidR="00C00FB6" w:rsidRPr="00F55938">
        <w:t xml:space="preserve"> further evidence will be forthcoming </w:t>
      </w:r>
      <w:r w:rsidR="003B5743" w:rsidRPr="00F55938">
        <w:t xml:space="preserve">in </w:t>
      </w:r>
      <w:r w:rsidR="00C00FB6" w:rsidRPr="00F55938">
        <w:t xml:space="preserve">the </w:t>
      </w:r>
      <w:r w:rsidR="008F05C1" w:rsidRPr="00F55938">
        <w:t>foreseeable</w:t>
      </w:r>
      <w:r w:rsidR="00C00FB6" w:rsidRPr="00F55938">
        <w:t xml:space="preserve"> future; </w:t>
      </w:r>
    </w:p>
    <w:p w14:paraId="2C0105B0" w14:textId="577AF20A" w:rsidR="00C02FE6" w:rsidRDefault="00C02FE6" w:rsidP="00C02FE6">
      <w:pPr>
        <w:pStyle w:val="ListParagraph"/>
        <w:numPr>
          <w:ilvl w:val="0"/>
          <w:numId w:val="10"/>
        </w:numPr>
        <w:ind w:left="851"/>
      </w:pPr>
      <w:r>
        <w:t>assumed the trial results observed from Week 14 to 34 continue repeatedly, each model cycle, throughout the 10.4 year time horizon. The ESC considered a shorter time horizon may be more appropriate given the lack of data beyond 34 weeks and noted that a 5 year time horizon increased the ICER by 14% (from $</w:t>
      </w:r>
      <w:r w:rsidR="0022224B" w:rsidRPr="0022224B">
        <w:t>35,000 to &lt; $45,000</w:t>
      </w:r>
      <w:r w:rsidR="00E44785">
        <w:t xml:space="preserve"> per QALY </w:t>
      </w:r>
      <w:r>
        <w:t>to $</w:t>
      </w:r>
      <w:bookmarkStart w:id="99" w:name="_Hlk176358211"/>
      <w:r w:rsidR="0022224B" w:rsidRPr="0022224B">
        <w:t>35,000 to &lt; $45,000</w:t>
      </w:r>
      <w:bookmarkEnd w:id="99"/>
      <w:r w:rsidR="00E44785">
        <w:t xml:space="preserve"> </w:t>
      </w:r>
      <w:r>
        <w:t xml:space="preserve">per QALY). </w:t>
      </w:r>
    </w:p>
    <w:p w14:paraId="3E43EF0E" w14:textId="2FE6B376" w:rsidR="00C02FE6" w:rsidRDefault="00C02FE6" w:rsidP="00C02FE6">
      <w:pPr>
        <w:pStyle w:val="ListParagraph"/>
        <w:numPr>
          <w:ilvl w:val="0"/>
          <w:numId w:val="10"/>
        </w:numPr>
        <w:ind w:left="851"/>
      </w:pPr>
      <w:r>
        <w:t>assumed patients would only continue vedolizumab if they experienced mPDAI-defined remission, which was inconsistent with the requested restriction which allowed vedolizumab to be continued in patients experiencing an “adequate response” (no criteria or definition of response was specified in the proposed restriction). The ESC considered that, unless a more objective response assessment was included in the continuing restriction, the model should assume patients in the ‘Response (without remission)’ health state (which was based on the outcome of partial mPDAI-defined response) are also allowed to continue vedolizumab. This increased the ICER by 90% to $</w:t>
      </w:r>
      <w:r w:rsidR="00E6686C" w:rsidRPr="00E6686C">
        <w:t xml:space="preserve">55,000 to &lt; $75,000 </w:t>
      </w:r>
      <w:r>
        <w:t xml:space="preserve">per QALY. </w:t>
      </w:r>
    </w:p>
    <w:p w14:paraId="4F36B5D1" w14:textId="4E4FE3C0" w:rsidR="00C02FE6" w:rsidRDefault="00C02FE6" w:rsidP="00C02FE6">
      <w:pPr>
        <w:pStyle w:val="ListParagraph"/>
        <w:numPr>
          <w:ilvl w:val="0"/>
          <w:numId w:val="10"/>
        </w:numPr>
        <w:ind w:left="851"/>
      </w:pPr>
      <w:r>
        <w:t xml:space="preserve">The vedolizumab group was split into two further treatment arms (VEDO and SOC), i.e. when patients in the vedolizumab group cease treatment with vedolizumab (due to not meeting the mPDAI-remission criteria) the transition probabilities for the SOC group are applied, which is associated with a large placebo effect (as shown in the Markov trace). </w:t>
      </w:r>
      <w:r w:rsidRPr="00C02FE6">
        <w:t xml:space="preserve">The ESC advised a simpler model </w:t>
      </w:r>
      <w:r>
        <w:t>that</w:t>
      </w:r>
      <w:r w:rsidRPr="00C02FE6">
        <w:t xml:space="preserve"> did not apply a placebo effect to the vedolizumab non-responders would likely be more informative.</w:t>
      </w:r>
    </w:p>
    <w:p w14:paraId="129BDE99" w14:textId="3E8FEC59" w:rsidR="00C2545F" w:rsidRDefault="00D95853" w:rsidP="00D95853">
      <w:pPr>
        <w:numPr>
          <w:ilvl w:val="1"/>
          <w:numId w:val="1"/>
        </w:numPr>
        <w:spacing w:after="120"/>
      </w:pPr>
      <w:r>
        <w:t xml:space="preserve">The pre-PBAC response </w:t>
      </w:r>
      <w:r w:rsidR="00C2545F">
        <w:t xml:space="preserve">proposed a revised price (paragraph </w:t>
      </w:r>
      <w:r w:rsidR="006304C8">
        <w:fldChar w:fldCharType="begin" w:fldLock="1"/>
      </w:r>
      <w:r w:rsidR="006304C8">
        <w:instrText xml:space="preserve"> REF _Ref172200904 \r \h </w:instrText>
      </w:r>
      <w:r w:rsidR="006304C8">
        <w:fldChar w:fldCharType="separate"/>
      </w:r>
      <w:r w:rsidR="00DC7CC4">
        <w:t>3.1</w:t>
      </w:r>
      <w:r w:rsidR="006304C8">
        <w:fldChar w:fldCharType="end"/>
      </w:r>
      <w:r w:rsidR="006304C8">
        <w:t xml:space="preserve">), which reduced the base case ICER from </w:t>
      </w:r>
      <w:r w:rsidR="006304C8" w:rsidRPr="006304C8">
        <w:t>$</w:t>
      </w:r>
      <w:r w:rsidR="00E6686C" w:rsidRPr="00E6686C">
        <w:t>35,000 to &lt; $45,000</w:t>
      </w:r>
      <w:r w:rsidR="00E44785">
        <w:t xml:space="preserve"> </w:t>
      </w:r>
      <w:r w:rsidR="006304C8">
        <w:t xml:space="preserve">per QALY to </w:t>
      </w:r>
      <w:r w:rsidR="006304C8" w:rsidRPr="006304C8">
        <w:t>$</w:t>
      </w:r>
      <w:r w:rsidR="000B75FC" w:rsidRPr="000B75FC">
        <w:t>25,000 to &lt; $35,000</w:t>
      </w:r>
      <w:r w:rsidR="00E44785">
        <w:t xml:space="preserve"> </w:t>
      </w:r>
      <w:r w:rsidR="006304C8">
        <w:t xml:space="preserve">per QALY. </w:t>
      </w:r>
    </w:p>
    <w:p w14:paraId="48280F17" w14:textId="7049FF6C" w:rsidR="0021533F" w:rsidRDefault="00B12658" w:rsidP="007E4030">
      <w:pPr>
        <w:numPr>
          <w:ilvl w:val="1"/>
          <w:numId w:val="1"/>
        </w:numPr>
        <w:spacing w:after="120"/>
      </w:pPr>
      <w:r>
        <w:t xml:space="preserve">As shown in </w:t>
      </w:r>
      <w:r>
        <w:fldChar w:fldCharType="begin" w:fldLock="1"/>
      </w:r>
      <w:r>
        <w:instrText xml:space="preserve"> REF _Ref172202552 \h </w:instrText>
      </w:r>
      <w:r>
        <w:fldChar w:fldCharType="separate"/>
      </w:r>
      <w:r w:rsidR="00DC7CC4">
        <w:t xml:space="preserve">Table </w:t>
      </w:r>
      <w:r w:rsidR="00DC7CC4">
        <w:rPr>
          <w:noProof/>
        </w:rPr>
        <w:t>13</w:t>
      </w:r>
      <w:r>
        <w:fldChar w:fldCharType="end"/>
      </w:r>
      <w:r>
        <w:t>, t</w:t>
      </w:r>
      <w:r w:rsidR="006304C8">
        <w:t xml:space="preserve">he pre-PBAC response </w:t>
      </w:r>
      <w:r w:rsidR="00FD6B9B">
        <w:t xml:space="preserve">also </w:t>
      </w:r>
      <w:r w:rsidR="00C2545F">
        <w:t xml:space="preserve">presented multivariate sensitivity analyses that </w:t>
      </w:r>
      <w:r w:rsidR="002C74B6">
        <w:t xml:space="preserve">included the revised price and </w:t>
      </w:r>
      <w:r w:rsidR="00C2545F">
        <w:t xml:space="preserve">addressed </w:t>
      </w:r>
      <w:r w:rsidR="0021533F">
        <w:t xml:space="preserve">some of </w:t>
      </w:r>
      <w:r w:rsidR="00C2545F">
        <w:t>the key issues raised by the ESC</w:t>
      </w:r>
      <w:r w:rsidR="0021533F">
        <w:t xml:space="preserve"> including</w:t>
      </w:r>
      <w:r>
        <w:t xml:space="preserve"> the</w:t>
      </w:r>
      <w:r w:rsidR="00FD6B9B">
        <w:t>: lack of long</w:t>
      </w:r>
      <w:r w:rsidR="00772600">
        <w:t>-</w:t>
      </w:r>
      <w:r w:rsidR="00FD6B9B">
        <w:t>term data (addressed by applying a shorter t</w:t>
      </w:r>
      <w:r w:rsidR="0021533F" w:rsidRPr="00FD6B9B">
        <w:t>ime horizon</w:t>
      </w:r>
      <w:r w:rsidR="001A4A35">
        <w:t xml:space="preserve"> of five years</w:t>
      </w:r>
      <w:r w:rsidR="00FD6B9B">
        <w:t xml:space="preserve">); </w:t>
      </w:r>
      <w:r w:rsidR="0021533F">
        <w:t>continuation</w:t>
      </w:r>
      <w:r w:rsidR="0021533F" w:rsidRPr="0021533F">
        <w:t xml:space="preserve"> criteria</w:t>
      </w:r>
      <w:r w:rsidR="00FD6B9B">
        <w:t xml:space="preserve"> applied in the model</w:t>
      </w:r>
      <w:r w:rsidR="006D7631">
        <w:t xml:space="preserve"> </w:t>
      </w:r>
      <w:r w:rsidR="006D7631" w:rsidRPr="006D7631">
        <w:t>(based on ‘partial mPDAI-defined response’ rather than ‘mPDAI-defined remission’</w:t>
      </w:r>
      <w:r w:rsidR="006D7631">
        <w:t>)</w:t>
      </w:r>
      <w:r w:rsidR="00FD6B9B">
        <w:t xml:space="preserve">; and </w:t>
      </w:r>
      <w:r w:rsidR="0021533F">
        <w:t>extrapolation</w:t>
      </w:r>
      <w:r w:rsidR="00FD6B9B">
        <w:t xml:space="preserve"> method</w:t>
      </w:r>
      <w:r w:rsidR="006D7631">
        <w:t xml:space="preserve"> (by</w:t>
      </w:r>
      <w:r w:rsidR="006D7631" w:rsidRPr="006D7631">
        <w:t xml:space="preserve"> assuming </w:t>
      </w:r>
      <w:r w:rsidR="006D7631">
        <w:t xml:space="preserve">either </w:t>
      </w:r>
      <w:r w:rsidR="006D7631" w:rsidRPr="006D7631">
        <w:t xml:space="preserve">no transitions beyond the trial period </w:t>
      </w:r>
      <w:r w:rsidR="006D7631">
        <w:t>or that</w:t>
      </w:r>
      <w:r w:rsidR="006D7631" w:rsidRPr="006D7631">
        <w:t xml:space="preserve"> 5% of patients worsen by one health state per cycle</w:t>
      </w:r>
      <w:r w:rsidR="006D7631">
        <w:t>)</w:t>
      </w:r>
      <w:r w:rsidR="00FD6B9B">
        <w:t>.</w:t>
      </w:r>
      <w:r w:rsidR="0021533F" w:rsidRPr="0021533F">
        <w:t xml:space="preserve"> </w:t>
      </w:r>
    </w:p>
    <w:p w14:paraId="738D9FC8" w14:textId="4037CB46" w:rsidR="002C74B6" w:rsidRPr="00DB75CF" w:rsidRDefault="00B12658" w:rsidP="00B12658">
      <w:pPr>
        <w:pStyle w:val="Caption"/>
      </w:pPr>
      <w:bookmarkStart w:id="100" w:name="_Ref172202552"/>
      <w:r>
        <w:lastRenderedPageBreak/>
        <w:t xml:space="preserve">Table </w:t>
      </w:r>
      <w:r>
        <w:fldChar w:fldCharType="begin" w:fldLock="1"/>
      </w:r>
      <w:r>
        <w:instrText xml:space="preserve"> SEQ Table \* ARABIC </w:instrText>
      </w:r>
      <w:r>
        <w:fldChar w:fldCharType="separate"/>
      </w:r>
      <w:r w:rsidR="00DC7CC4">
        <w:rPr>
          <w:noProof/>
        </w:rPr>
        <w:t>13</w:t>
      </w:r>
      <w:r>
        <w:rPr>
          <w:noProof/>
        </w:rPr>
        <w:fldChar w:fldCharType="end"/>
      </w:r>
      <w:bookmarkEnd w:id="100"/>
      <w:r w:rsidR="002C74B6" w:rsidRPr="006B343C">
        <w:t>: Sensitivity analyses</w:t>
      </w:r>
      <w:r w:rsidR="002C74B6" w:rsidRPr="00DB75CF">
        <w:t xml:space="preserve"> presented in the pre-PBAC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Sensitivity analyses presented in the pre-PBAC response"/>
      </w:tblPr>
      <w:tblGrid>
        <w:gridCol w:w="1414"/>
        <w:gridCol w:w="2653"/>
        <w:gridCol w:w="1320"/>
        <w:gridCol w:w="1443"/>
        <w:gridCol w:w="1127"/>
        <w:gridCol w:w="1060"/>
      </w:tblGrid>
      <w:tr w:rsidR="006A4458" w:rsidRPr="006B343C" w14:paraId="4CDD1E1D" w14:textId="77777777" w:rsidTr="00DC1AEB">
        <w:trPr>
          <w:tblHeader/>
        </w:trPr>
        <w:tc>
          <w:tcPr>
            <w:tcW w:w="2255" w:type="pct"/>
            <w:gridSpan w:val="2"/>
          </w:tcPr>
          <w:p w14:paraId="1B37BE42" w14:textId="77777777" w:rsidR="002C74B6" w:rsidRPr="006B343C" w:rsidRDefault="002C74B6" w:rsidP="003B1EE0">
            <w:pPr>
              <w:keepNext/>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Analyses</w:t>
            </w:r>
          </w:p>
        </w:tc>
        <w:tc>
          <w:tcPr>
            <w:tcW w:w="732" w:type="pct"/>
            <w:tcBorders>
              <w:bottom w:val="single" w:sz="4" w:space="0" w:color="auto"/>
            </w:tcBorders>
          </w:tcPr>
          <w:p w14:paraId="448AB488" w14:textId="77777777" w:rsidR="002C74B6" w:rsidRPr="006B343C" w:rsidRDefault="002C74B6" w:rsidP="003B1EE0">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Incremental cost</w:t>
            </w:r>
          </w:p>
        </w:tc>
        <w:tc>
          <w:tcPr>
            <w:tcW w:w="800" w:type="pct"/>
          </w:tcPr>
          <w:p w14:paraId="183C94FC" w14:textId="77777777" w:rsidR="002C74B6" w:rsidRPr="006B343C" w:rsidRDefault="002C74B6" w:rsidP="003B1EE0">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Incremental QALY</w:t>
            </w:r>
          </w:p>
        </w:tc>
        <w:tc>
          <w:tcPr>
            <w:tcW w:w="625" w:type="pct"/>
          </w:tcPr>
          <w:p w14:paraId="672C3746" w14:textId="77777777" w:rsidR="002C74B6" w:rsidRPr="006B343C" w:rsidRDefault="002C74B6" w:rsidP="003B1EE0">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ICER</w:t>
            </w:r>
          </w:p>
          <w:p w14:paraId="26516D52" w14:textId="77777777" w:rsidR="002C74B6" w:rsidRPr="006B343C" w:rsidRDefault="002C74B6" w:rsidP="003B1EE0">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($/QALY)</w:t>
            </w:r>
          </w:p>
        </w:tc>
        <w:tc>
          <w:tcPr>
            <w:tcW w:w="588" w:type="pct"/>
          </w:tcPr>
          <w:p w14:paraId="1CDBA40E" w14:textId="77777777" w:rsidR="002C74B6" w:rsidRPr="006B343C" w:rsidRDefault="002C74B6" w:rsidP="003B1EE0">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Change to ICER</w:t>
            </w:r>
          </w:p>
        </w:tc>
      </w:tr>
      <w:tr w:rsidR="006A4458" w:rsidRPr="006B343C" w14:paraId="3E77D32C" w14:textId="77777777" w:rsidTr="00DC1AEB">
        <w:tc>
          <w:tcPr>
            <w:tcW w:w="2255" w:type="pct"/>
            <w:gridSpan w:val="2"/>
          </w:tcPr>
          <w:p w14:paraId="4F85D825" w14:textId="2C9C84C6" w:rsidR="002C74B6" w:rsidRPr="006B343C" w:rsidRDefault="002C74B6" w:rsidP="003B1EE0">
            <w:pPr>
              <w:keepNext/>
              <w:jc w:val="left"/>
              <w:rPr>
                <w:rFonts w:ascii="Arial Narrow" w:eastAsiaTheme="majorEastAsia" w:hAnsi="Arial Narrow" w:cstheme="majorBidi"/>
                <w:b/>
                <w:bCs/>
                <w:sz w:val="20"/>
              </w:rPr>
            </w:pPr>
            <w:r w:rsidRPr="006B343C">
              <w:rPr>
                <w:rFonts w:ascii="Arial Narrow" w:eastAsiaTheme="majorEastAsia" w:hAnsi="Arial Narrow" w:cstheme="majorBidi"/>
                <w:b/>
                <w:bCs/>
                <w:sz w:val="20"/>
              </w:rPr>
              <w:t>Base case</w:t>
            </w:r>
            <w:r>
              <w:rPr>
                <w:rFonts w:ascii="Arial Narrow" w:eastAsiaTheme="majorEastAsia" w:hAnsi="Arial Narrow" w:cstheme="majorBidi"/>
                <w:b/>
                <w:bCs/>
                <w:sz w:val="20"/>
              </w:rPr>
              <w:t xml:space="preserve"> in submission</w:t>
            </w:r>
          </w:p>
        </w:tc>
        <w:tc>
          <w:tcPr>
            <w:tcW w:w="732" w:type="pct"/>
            <w:tcBorders>
              <w:bottom w:val="single" w:sz="4" w:space="0" w:color="auto"/>
            </w:tcBorders>
            <w:shd w:val="solid" w:color="000000" w:fill="000000"/>
          </w:tcPr>
          <w:p w14:paraId="5CC1F03C" w14:textId="23EED9C4" w:rsidR="002C74B6" w:rsidRPr="004E4EB3" w:rsidRDefault="00DC1AEB" w:rsidP="003B1EE0">
            <w:pPr>
              <w:keepNext/>
              <w:jc w:val="center"/>
              <w:rPr>
                <w:rFonts w:ascii="Arial Narrow" w:eastAsiaTheme="majorEastAsia" w:hAnsi="Arial Narrow" w:cstheme="majorBidi"/>
                <w:b/>
                <w:sz w:val="20"/>
                <w:highlight w:val="lightGray"/>
              </w:rPr>
            </w:pPr>
            <w:r w:rsidRPr="00DC1AEB">
              <w:rPr>
                <w:rFonts w:ascii="Arial Narrow" w:eastAsiaTheme="majorEastAsia" w:hAnsi="Arial Narrow" w:cstheme="majorBidi" w:hint="eastAsia"/>
                <w:b/>
                <w:color w:val="000000"/>
                <w:w w:val="15"/>
                <w:sz w:val="20"/>
                <w:fitText w:val="40" w:id="-894165747"/>
                <w14:textFill>
                  <w14:solidFill>
                    <w14:srgbClr w14:val="000000">
                      <w14:alpha w14:val="100000"/>
                    </w14:srgbClr>
                  </w14:solidFill>
                </w14:textFill>
              </w:rPr>
              <w:t xml:space="preserve">　</w:t>
            </w:r>
            <w:r w:rsidRPr="00DC1AEB">
              <w:rPr>
                <w:rFonts w:ascii="Arial Narrow" w:eastAsiaTheme="majorEastAsia" w:hAnsi="Arial Narrow" w:cstheme="majorBidi"/>
                <w:b/>
                <w:color w:val="000000"/>
                <w:w w:val="15"/>
                <w:sz w:val="20"/>
                <w:fitText w:val="40" w:id="-894165747"/>
                <w14:textFill>
                  <w14:solidFill>
                    <w14:srgbClr w14:val="000000">
                      <w14:alpha w14:val="100000"/>
                    </w14:srgbClr>
                  </w14:solidFill>
                </w14:textFill>
              </w:rPr>
              <w:t>|</w:t>
            </w:r>
            <w:r w:rsidRPr="00DC1AEB">
              <w:rPr>
                <w:rFonts w:ascii="Arial Narrow" w:eastAsiaTheme="majorEastAsia" w:hAnsi="Arial Narrow" w:cstheme="majorBidi" w:hint="eastAsia"/>
                <w:b/>
                <w:color w:val="000000"/>
                <w:spacing w:val="-26"/>
                <w:w w:val="15"/>
                <w:sz w:val="20"/>
                <w:fitText w:val="40" w:id="-894165747"/>
                <w14:textFill>
                  <w14:solidFill>
                    <w14:srgbClr w14:val="000000">
                      <w14:alpha w14:val="100000"/>
                    </w14:srgbClr>
                  </w14:solidFill>
                </w14:textFill>
              </w:rPr>
              <w:t xml:space="preserve">　</w:t>
            </w:r>
          </w:p>
        </w:tc>
        <w:tc>
          <w:tcPr>
            <w:tcW w:w="800" w:type="pct"/>
          </w:tcPr>
          <w:p w14:paraId="172A241D" w14:textId="77777777" w:rsidR="002C74B6" w:rsidRPr="006B343C" w:rsidRDefault="002C74B6" w:rsidP="003B1EE0">
            <w:pPr>
              <w:keepNext/>
              <w:jc w:val="center"/>
              <w:rPr>
                <w:rFonts w:ascii="Arial Narrow" w:eastAsiaTheme="majorEastAsia" w:hAnsi="Arial Narrow" w:cstheme="majorBidi"/>
                <w:b/>
                <w:sz w:val="20"/>
              </w:rPr>
            </w:pPr>
            <w:r w:rsidRPr="006B343C">
              <w:rPr>
                <w:rFonts w:ascii="Arial Narrow" w:eastAsiaTheme="majorEastAsia" w:hAnsi="Arial Narrow" w:cstheme="majorBidi"/>
                <w:bCs/>
                <w:sz w:val="20"/>
              </w:rPr>
              <w:t>0.083</w:t>
            </w:r>
          </w:p>
        </w:tc>
        <w:tc>
          <w:tcPr>
            <w:tcW w:w="625" w:type="pct"/>
          </w:tcPr>
          <w:p w14:paraId="46B818BE" w14:textId="02ED87A0" w:rsidR="002C74B6" w:rsidRPr="004E4EB3" w:rsidRDefault="00DC1AEB" w:rsidP="003B1EE0">
            <w:pPr>
              <w:keepNext/>
              <w:jc w:val="center"/>
              <w:rPr>
                <w:rFonts w:ascii="Arial Narrow" w:eastAsiaTheme="majorEastAsia" w:hAnsi="Arial Narrow" w:cstheme="majorBidi"/>
                <w:b/>
                <w:sz w:val="20"/>
                <w:highlight w:val="lightGray"/>
              </w:rPr>
            </w:pPr>
            <w:r w:rsidRPr="00DC1AEB">
              <w:rPr>
                <w:rFonts w:ascii="Arial Narrow" w:eastAsiaTheme="majorEastAsia" w:hAnsi="Arial Narrow" w:cstheme="majorBidi"/>
                <w:b/>
                <w:color w:val="000000"/>
                <w:spacing w:val="68"/>
                <w:sz w:val="20"/>
                <w:shd w:val="solid" w:color="000000" w:fill="000000"/>
                <w:fitText w:val="160" w:id="-894165746"/>
                <w14:textFill>
                  <w14:solidFill>
                    <w14:srgbClr w14:val="000000">
                      <w14:alpha w14:val="100000"/>
                    </w14:srgbClr>
                  </w14:solidFill>
                </w14:textFill>
              </w:rPr>
              <w:t>|</w:t>
            </w:r>
            <w:r w:rsidRPr="00DC1AEB">
              <w:rPr>
                <w:rFonts w:ascii="Arial Narrow" w:eastAsiaTheme="majorEastAsia" w:hAnsi="Arial Narrow" w:cstheme="majorBidi"/>
                <w:b/>
                <w:color w:val="000000"/>
                <w:spacing w:val="1"/>
                <w:sz w:val="20"/>
                <w:shd w:val="solid" w:color="000000" w:fill="000000"/>
                <w:fitText w:val="160" w:id="-894165746"/>
                <w14:textFill>
                  <w14:solidFill>
                    <w14:srgbClr w14:val="000000">
                      <w14:alpha w14:val="100000"/>
                    </w14:srgbClr>
                  </w14:solidFill>
                </w14:textFill>
              </w:rPr>
              <w:t>|</w:t>
            </w:r>
            <w:r w:rsidR="00D44A50" w:rsidRPr="00AE6396">
              <w:rPr>
                <w:rFonts w:ascii="Arial Narrow" w:eastAsiaTheme="majorEastAsia" w:hAnsi="Arial Narrow" w:cstheme="majorBidi"/>
                <w:b/>
                <w:sz w:val="20"/>
                <w:vertAlign w:val="superscript"/>
              </w:rPr>
              <w:t>1</w:t>
            </w:r>
          </w:p>
        </w:tc>
        <w:tc>
          <w:tcPr>
            <w:tcW w:w="588" w:type="pct"/>
          </w:tcPr>
          <w:p w14:paraId="1F9A114F" w14:textId="77777777" w:rsidR="002C74B6" w:rsidRPr="006B343C" w:rsidRDefault="002C74B6" w:rsidP="003B1EE0">
            <w:pPr>
              <w:keepNext/>
              <w:jc w:val="center"/>
              <w:rPr>
                <w:rFonts w:ascii="Arial Narrow" w:eastAsiaTheme="majorEastAsia" w:hAnsi="Arial Narrow" w:cstheme="majorBidi"/>
                <w:b/>
                <w:sz w:val="20"/>
              </w:rPr>
            </w:pPr>
            <w:r w:rsidRPr="006B343C">
              <w:rPr>
                <w:rFonts w:ascii="Arial Narrow" w:eastAsiaTheme="majorEastAsia" w:hAnsi="Arial Narrow" w:cstheme="majorBidi"/>
                <w:b/>
                <w:sz w:val="20"/>
              </w:rPr>
              <w:t>-</w:t>
            </w:r>
          </w:p>
        </w:tc>
      </w:tr>
      <w:tr w:rsidR="006A4458" w:rsidRPr="006B343C" w14:paraId="5945CA03" w14:textId="77777777" w:rsidTr="00DC1AEB">
        <w:tc>
          <w:tcPr>
            <w:tcW w:w="2255" w:type="pct"/>
            <w:gridSpan w:val="2"/>
          </w:tcPr>
          <w:p w14:paraId="1B081C17" w14:textId="234223BC" w:rsidR="0021533F" w:rsidRPr="006B343C" w:rsidRDefault="0021533F" w:rsidP="0021533F">
            <w:pPr>
              <w:keepNext/>
              <w:jc w:val="left"/>
              <w:rPr>
                <w:rFonts w:ascii="Arial Narrow" w:eastAsiaTheme="majorEastAsia" w:hAnsi="Arial Narrow" w:cstheme="majorBidi"/>
                <w:b/>
                <w:bCs/>
                <w:sz w:val="20"/>
              </w:rPr>
            </w:pPr>
            <w:r>
              <w:rPr>
                <w:rFonts w:ascii="Arial Narrow" w:eastAsiaTheme="majorEastAsia" w:hAnsi="Arial Narrow"/>
                <w:sz w:val="20"/>
                <w:szCs w:val="20"/>
              </w:rPr>
              <w:t>Apply revised price ($951.33)</w:t>
            </w:r>
          </w:p>
        </w:tc>
        <w:tc>
          <w:tcPr>
            <w:tcW w:w="732" w:type="pct"/>
            <w:tcBorders>
              <w:bottom w:val="single" w:sz="4" w:space="0" w:color="auto"/>
            </w:tcBorders>
            <w:shd w:val="solid" w:color="000000" w:fill="000000"/>
          </w:tcPr>
          <w:p w14:paraId="212A51AF" w14:textId="7049C5C6" w:rsidR="0021533F" w:rsidRPr="004E4EB3" w:rsidRDefault="00DC1AEB" w:rsidP="0021533F">
            <w:pPr>
              <w:keepNext/>
              <w:jc w:val="center"/>
              <w:rPr>
                <w:rFonts w:ascii="Arial Narrow" w:eastAsiaTheme="majorEastAsia" w:hAnsi="Arial Narrow" w:cstheme="majorBidi"/>
                <w:b/>
                <w:sz w:val="20"/>
                <w:highlight w:val="lightGray"/>
              </w:rPr>
            </w:pPr>
            <w:r w:rsidRPr="00DC1AEB">
              <w:rPr>
                <w:rFonts w:ascii="Arial Narrow" w:eastAsiaTheme="majorEastAsia" w:hAnsi="Arial Narrow"/>
                <w:color w:val="000000"/>
                <w:sz w:val="20"/>
                <w:szCs w:val="20"/>
                <w14:textFill>
                  <w14:solidFill>
                    <w14:srgbClr w14:val="000000">
                      <w14:alpha w14:val="100000"/>
                    </w14:srgbClr>
                  </w14:solidFill>
                </w14:textFill>
              </w:rPr>
              <w:t>|</w:t>
            </w:r>
          </w:p>
        </w:tc>
        <w:tc>
          <w:tcPr>
            <w:tcW w:w="800" w:type="pct"/>
          </w:tcPr>
          <w:p w14:paraId="6F8C6A4F" w14:textId="1EBA741E" w:rsidR="0021533F" w:rsidRPr="006B343C" w:rsidRDefault="0021533F" w:rsidP="0021533F">
            <w:pPr>
              <w:keepNext/>
              <w:jc w:val="center"/>
              <w:rPr>
                <w:rFonts w:ascii="Arial Narrow" w:eastAsiaTheme="majorEastAsia" w:hAnsi="Arial Narrow" w:cstheme="majorBidi"/>
                <w:bCs/>
                <w:sz w:val="20"/>
              </w:rPr>
            </w:pPr>
            <w:r w:rsidRPr="0095617D">
              <w:rPr>
                <w:rFonts w:ascii="Arial Narrow" w:eastAsiaTheme="majorEastAsia" w:hAnsi="Arial Narrow"/>
                <w:sz w:val="20"/>
                <w:szCs w:val="20"/>
              </w:rPr>
              <w:t>0.08</w:t>
            </w:r>
            <w:r>
              <w:rPr>
                <w:rFonts w:ascii="Arial Narrow" w:eastAsiaTheme="majorEastAsia" w:hAnsi="Arial Narrow"/>
                <w:sz w:val="20"/>
                <w:szCs w:val="20"/>
              </w:rPr>
              <w:t>3</w:t>
            </w:r>
          </w:p>
        </w:tc>
        <w:tc>
          <w:tcPr>
            <w:tcW w:w="625" w:type="pct"/>
          </w:tcPr>
          <w:p w14:paraId="78D73A54" w14:textId="448344B8" w:rsidR="0021533F" w:rsidRPr="004E4EB3" w:rsidRDefault="00DC1AEB" w:rsidP="0021533F">
            <w:pPr>
              <w:keepNext/>
              <w:jc w:val="center"/>
              <w:rPr>
                <w:rFonts w:ascii="Arial Narrow" w:eastAsiaTheme="majorEastAsia" w:hAnsi="Arial Narrow" w:cstheme="majorBidi"/>
                <w:b/>
                <w:sz w:val="20"/>
                <w:highlight w:val="lightGray"/>
              </w:rPr>
            </w:pPr>
            <w:r w:rsidRPr="00DC1AEB">
              <w:rPr>
                <w:rFonts w:ascii="Arial Narrow" w:eastAsiaTheme="majorEastAsia" w:hAnsi="Arial Narrow" w:hint="eastAsia"/>
                <w:color w:val="000000"/>
                <w:w w:val="24"/>
                <w:sz w:val="20"/>
                <w:szCs w:val="20"/>
                <w:shd w:val="solid" w:color="000000" w:fill="000000"/>
                <w:fitText w:val="110" w:id="-894165745"/>
                <w14:textFill>
                  <w14:solidFill>
                    <w14:srgbClr w14:val="000000">
                      <w14:alpha w14:val="100000"/>
                    </w14:srgbClr>
                  </w14:solidFill>
                </w14:textFill>
              </w:rPr>
              <w:t xml:space="preserve">　</w:t>
            </w:r>
            <w:r w:rsidRPr="00DC1AEB">
              <w:rPr>
                <w:rFonts w:ascii="Arial Narrow" w:eastAsiaTheme="majorEastAsia" w:hAnsi="Arial Narrow"/>
                <w:color w:val="000000"/>
                <w:w w:val="24"/>
                <w:sz w:val="20"/>
                <w:szCs w:val="20"/>
                <w:shd w:val="solid" w:color="000000" w:fill="000000"/>
                <w:fitText w:val="110" w:id="-894165745"/>
                <w14:textFill>
                  <w14:solidFill>
                    <w14:srgbClr w14:val="000000">
                      <w14:alpha w14:val="100000"/>
                    </w14:srgbClr>
                  </w14:solidFill>
                </w14:textFill>
              </w:rPr>
              <w:t>|</w:t>
            </w:r>
            <w:r w:rsidRPr="00DC1AEB">
              <w:rPr>
                <w:rFonts w:ascii="Arial Narrow" w:eastAsiaTheme="majorEastAsia" w:hAnsi="Arial Narrow" w:hint="eastAsia"/>
                <w:color w:val="000000"/>
                <w:spacing w:val="6"/>
                <w:w w:val="24"/>
                <w:sz w:val="20"/>
                <w:szCs w:val="20"/>
                <w:shd w:val="solid" w:color="000000" w:fill="000000"/>
                <w:fitText w:val="110" w:id="-894165745"/>
                <w14:textFill>
                  <w14:solidFill>
                    <w14:srgbClr w14:val="000000">
                      <w14:alpha w14:val="100000"/>
                    </w14:srgbClr>
                  </w14:solidFill>
                </w14:textFill>
              </w:rPr>
              <w:t xml:space="preserve">　</w:t>
            </w:r>
            <w:r w:rsidR="00115827" w:rsidRPr="00115827">
              <w:rPr>
                <w:rFonts w:ascii="Arial Narrow" w:eastAsiaTheme="majorEastAsia" w:hAnsi="Arial Narrow"/>
                <w:sz w:val="20"/>
                <w:szCs w:val="20"/>
                <w:vertAlign w:val="superscript"/>
              </w:rPr>
              <w:t>2</w:t>
            </w:r>
          </w:p>
        </w:tc>
        <w:tc>
          <w:tcPr>
            <w:tcW w:w="588" w:type="pct"/>
          </w:tcPr>
          <w:p w14:paraId="73E59C6D" w14:textId="1A48C486" w:rsidR="0021533F" w:rsidRPr="0021533F" w:rsidRDefault="0021533F" w:rsidP="0021533F">
            <w:pPr>
              <w:keepNext/>
              <w:jc w:val="center"/>
              <w:rPr>
                <w:rFonts w:ascii="Arial Narrow" w:eastAsiaTheme="majorEastAsia" w:hAnsi="Arial Narrow"/>
                <w:sz w:val="20"/>
                <w:szCs w:val="20"/>
              </w:rPr>
            </w:pPr>
            <w:r w:rsidRPr="0021533F">
              <w:rPr>
                <w:rFonts w:ascii="Arial Narrow" w:eastAsiaTheme="majorEastAsia" w:hAnsi="Arial Narrow"/>
                <w:sz w:val="20"/>
                <w:szCs w:val="20"/>
              </w:rPr>
              <w:t>-</w:t>
            </w:r>
            <w:r w:rsidR="00DC1AEB" w:rsidRPr="00DC1AEB">
              <w:rPr>
                <w:rFonts w:ascii="Arial Narrow" w:eastAsiaTheme="majorEastAsia" w:hAnsi="Arial Narrow"/>
                <w:color w:val="000000"/>
                <w:spacing w:val="51"/>
                <w:sz w:val="20"/>
                <w:szCs w:val="20"/>
                <w:shd w:val="solid" w:color="000000" w:fill="000000"/>
                <w:fitText w:val="230" w:id="-894165744"/>
                <w14:textFill>
                  <w14:solidFill>
                    <w14:srgbClr w14:val="000000">
                      <w14:alpha w14:val="100000"/>
                    </w14:srgbClr>
                  </w14:solidFill>
                </w14:textFill>
              </w:rPr>
              <w:t>||</w:t>
            </w:r>
            <w:r w:rsidR="00DC1AEB" w:rsidRPr="00DC1AEB">
              <w:rPr>
                <w:rFonts w:ascii="Arial Narrow" w:eastAsiaTheme="majorEastAsia" w:hAnsi="Arial Narrow"/>
                <w:color w:val="000000"/>
                <w:spacing w:val="1"/>
                <w:sz w:val="20"/>
                <w:szCs w:val="20"/>
                <w:shd w:val="solid" w:color="000000" w:fill="000000"/>
                <w:fitText w:val="230" w:id="-894165744"/>
                <w14:textFill>
                  <w14:solidFill>
                    <w14:srgbClr w14:val="000000">
                      <w14:alpha w14:val="100000"/>
                    </w14:srgbClr>
                  </w14:solidFill>
                </w14:textFill>
              </w:rPr>
              <w:t>|</w:t>
            </w:r>
            <w:r w:rsidRPr="0021533F">
              <w:rPr>
                <w:rFonts w:ascii="Arial Narrow" w:eastAsiaTheme="majorEastAsia" w:hAnsi="Arial Narrow"/>
                <w:sz w:val="20"/>
                <w:szCs w:val="20"/>
              </w:rPr>
              <w:t>%</w:t>
            </w:r>
          </w:p>
        </w:tc>
      </w:tr>
      <w:tr w:rsidR="006A4458" w:rsidRPr="006B343C" w14:paraId="3D54BC74" w14:textId="77777777" w:rsidTr="00DC1AEB">
        <w:tc>
          <w:tcPr>
            <w:tcW w:w="2255" w:type="pct"/>
            <w:gridSpan w:val="2"/>
          </w:tcPr>
          <w:p w14:paraId="61BE066E" w14:textId="2B9E997E" w:rsidR="0021533F" w:rsidRPr="006B343C" w:rsidRDefault="0021533F" w:rsidP="0021533F">
            <w:pPr>
              <w:keepNext/>
              <w:jc w:val="left"/>
              <w:rPr>
                <w:rFonts w:ascii="Arial Narrow" w:eastAsiaTheme="majorEastAsia" w:hAnsi="Arial Narrow" w:cstheme="majorBidi"/>
                <w:b/>
                <w:bCs/>
                <w:sz w:val="20"/>
              </w:rPr>
            </w:pPr>
            <w:r>
              <w:rPr>
                <w:rFonts w:ascii="Arial Narrow" w:eastAsiaTheme="majorEastAsia" w:hAnsi="Arial Narrow"/>
                <w:sz w:val="20"/>
                <w:szCs w:val="20"/>
              </w:rPr>
              <w:t xml:space="preserve">Apply response-based </w:t>
            </w:r>
            <w:r w:rsidR="00FD6B9B">
              <w:rPr>
                <w:rFonts w:ascii="Arial Narrow" w:eastAsiaTheme="majorEastAsia" w:hAnsi="Arial Narrow"/>
                <w:sz w:val="20"/>
                <w:szCs w:val="20"/>
              </w:rPr>
              <w:t>continuation criteria</w:t>
            </w:r>
            <w:r>
              <w:rPr>
                <w:rFonts w:ascii="Arial Narrow" w:eastAsiaTheme="majorEastAsia" w:hAnsi="Arial Narrow"/>
                <w:sz w:val="20"/>
                <w:szCs w:val="20"/>
              </w:rPr>
              <w:t xml:space="preserve"> </w:t>
            </w:r>
          </w:p>
        </w:tc>
        <w:tc>
          <w:tcPr>
            <w:tcW w:w="732" w:type="pct"/>
            <w:shd w:val="solid" w:color="000000" w:fill="000000"/>
          </w:tcPr>
          <w:p w14:paraId="5209A059" w14:textId="7BAAC478" w:rsidR="0021533F" w:rsidRPr="004E4EB3" w:rsidRDefault="00DC1AEB" w:rsidP="0021533F">
            <w:pPr>
              <w:keepNext/>
              <w:jc w:val="center"/>
              <w:rPr>
                <w:rFonts w:ascii="Arial Narrow" w:eastAsiaTheme="majorEastAsia" w:hAnsi="Arial Narrow" w:cstheme="majorBidi"/>
                <w:b/>
                <w:sz w:val="20"/>
                <w:highlight w:val="lightGray"/>
              </w:rPr>
            </w:pPr>
            <w:r w:rsidRPr="00DC1AEB">
              <w:rPr>
                <w:rFonts w:ascii="Arial Narrow" w:eastAsiaTheme="majorEastAsia" w:hAnsi="Arial Narrow"/>
                <w:color w:val="000000"/>
                <w:sz w:val="20"/>
                <w:szCs w:val="20"/>
                <w14:textFill>
                  <w14:solidFill>
                    <w14:srgbClr w14:val="000000">
                      <w14:alpha w14:val="100000"/>
                    </w14:srgbClr>
                  </w14:solidFill>
                </w14:textFill>
              </w:rPr>
              <w:t>|</w:t>
            </w:r>
          </w:p>
        </w:tc>
        <w:tc>
          <w:tcPr>
            <w:tcW w:w="800" w:type="pct"/>
          </w:tcPr>
          <w:p w14:paraId="56594FDF" w14:textId="0B9A3975" w:rsidR="0021533F" w:rsidRPr="006B343C" w:rsidRDefault="0021533F" w:rsidP="0021533F">
            <w:pPr>
              <w:keepNext/>
              <w:jc w:val="center"/>
              <w:rPr>
                <w:rFonts w:ascii="Arial Narrow" w:eastAsiaTheme="majorEastAsia" w:hAnsi="Arial Narrow" w:cstheme="majorBidi"/>
                <w:bCs/>
                <w:sz w:val="20"/>
              </w:rPr>
            </w:pPr>
            <w:r w:rsidRPr="0095617D">
              <w:rPr>
                <w:rFonts w:ascii="Arial Narrow" w:eastAsiaTheme="majorEastAsia" w:hAnsi="Arial Narrow"/>
                <w:sz w:val="20"/>
                <w:szCs w:val="20"/>
              </w:rPr>
              <w:t>0.09</w:t>
            </w:r>
            <w:r>
              <w:rPr>
                <w:rFonts w:ascii="Arial Narrow" w:eastAsiaTheme="majorEastAsia" w:hAnsi="Arial Narrow"/>
                <w:sz w:val="20"/>
                <w:szCs w:val="20"/>
              </w:rPr>
              <w:t>1</w:t>
            </w:r>
          </w:p>
        </w:tc>
        <w:tc>
          <w:tcPr>
            <w:tcW w:w="625" w:type="pct"/>
          </w:tcPr>
          <w:p w14:paraId="3B59FA2D" w14:textId="78B33C7E" w:rsidR="0021533F" w:rsidRPr="004E4EB3" w:rsidRDefault="00DC1AEB" w:rsidP="0021533F">
            <w:pPr>
              <w:keepNext/>
              <w:jc w:val="center"/>
              <w:rPr>
                <w:rFonts w:ascii="Arial Narrow" w:eastAsiaTheme="majorEastAsia" w:hAnsi="Arial Narrow" w:cstheme="majorBidi"/>
                <w:b/>
                <w:sz w:val="20"/>
                <w:highlight w:val="lightGray"/>
              </w:rPr>
            </w:pPr>
            <w:r w:rsidRPr="00DC1AEB">
              <w:rPr>
                <w:rFonts w:ascii="Arial Narrow" w:eastAsiaTheme="majorEastAsia" w:hAnsi="Arial Narrow" w:hint="eastAsia"/>
                <w:color w:val="000000"/>
                <w:w w:val="24"/>
                <w:sz w:val="20"/>
                <w:szCs w:val="20"/>
                <w:shd w:val="solid" w:color="000000" w:fill="000000"/>
                <w:fitText w:val="110" w:id="-894165504"/>
                <w14:textFill>
                  <w14:solidFill>
                    <w14:srgbClr w14:val="000000">
                      <w14:alpha w14:val="100000"/>
                    </w14:srgbClr>
                  </w14:solidFill>
                </w14:textFill>
              </w:rPr>
              <w:t xml:space="preserve">　</w:t>
            </w:r>
            <w:r w:rsidRPr="00DC1AEB">
              <w:rPr>
                <w:rFonts w:ascii="Arial Narrow" w:eastAsiaTheme="majorEastAsia" w:hAnsi="Arial Narrow"/>
                <w:color w:val="000000"/>
                <w:w w:val="24"/>
                <w:sz w:val="20"/>
                <w:szCs w:val="20"/>
                <w:shd w:val="solid" w:color="000000" w:fill="000000"/>
                <w:fitText w:val="110" w:id="-894165504"/>
                <w14:textFill>
                  <w14:solidFill>
                    <w14:srgbClr w14:val="000000">
                      <w14:alpha w14:val="100000"/>
                    </w14:srgbClr>
                  </w14:solidFill>
                </w14:textFill>
              </w:rPr>
              <w:t>|</w:t>
            </w:r>
            <w:r w:rsidRPr="00DC1AEB">
              <w:rPr>
                <w:rFonts w:ascii="Arial Narrow" w:eastAsiaTheme="majorEastAsia" w:hAnsi="Arial Narrow" w:hint="eastAsia"/>
                <w:color w:val="000000"/>
                <w:spacing w:val="6"/>
                <w:w w:val="24"/>
                <w:sz w:val="20"/>
                <w:szCs w:val="20"/>
                <w:shd w:val="solid" w:color="000000" w:fill="000000"/>
                <w:fitText w:val="110" w:id="-894165504"/>
                <w14:textFill>
                  <w14:solidFill>
                    <w14:srgbClr w14:val="000000">
                      <w14:alpha w14:val="100000"/>
                    </w14:srgbClr>
                  </w14:solidFill>
                </w14:textFill>
              </w:rPr>
              <w:t xml:space="preserve">　</w:t>
            </w:r>
            <w:r w:rsidR="00115827">
              <w:rPr>
                <w:rFonts w:ascii="Arial Narrow" w:eastAsiaTheme="majorEastAsia" w:hAnsi="Arial Narrow"/>
                <w:sz w:val="20"/>
                <w:szCs w:val="20"/>
                <w:vertAlign w:val="superscript"/>
              </w:rPr>
              <w:t>3</w:t>
            </w:r>
          </w:p>
        </w:tc>
        <w:tc>
          <w:tcPr>
            <w:tcW w:w="588" w:type="pct"/>
          </w:tcPr>
          <w:p w14:paraId="05DF53DD" w14:textId="7C2189A1" w:rsidR="0021533F" w:rsidRPr="0021533F" w:rsidRDefault="00DC1AEB" w:rsidP="0021533F">
            <w:pPr>
              <w:keepNext/>
              <w:jc w:val="center"/>
              <w:rPr>
                <w:rFonts w:ascii="Arial Narrow" w:eastAsiaTheme="majorEastAsia" w:hAnsi="Arial Narrow"/>
                <w:sz w:val="20"/>
                <w:szCs w:val="20"/>
              </w:rPr>
            </w:pPr>
            <w:r w:rsidRPr="00DC1AEB">
              <w:rPr>
                <w:rFonts w:ascii="Arial Narrow" w:eastAsiaTheme="majorEastAsia" w:hAnsi="Arial Narrow"/>
                <w:color w:val="000000"/>
                <w:spacing w:val="114"/>
                <w:sz w:val="20"/>
                <w:szCs w:val="20"/>
                <w:shd w:val="solid" w:color="000000" w:fill="000000"/>
                <w:fitText w:val="200" w:id="-894165503"/>
                <w14:textFill>
                  <w14:solidFill>
                    <w14:srgbClr w14:val="000000">
                      <w14:alpha w14:val="100000"/>
                    </w14:srgbClr>
                  </w14:solidFill>
                </w14:textFill>
              </w:rPr>
              <w:t>|</w:t>
            </w:r>
            <w:r w:rsidRPr="00DC1AEB">
              <w:rPr>
                <w:rFonts w:ascii="Arial Narrow" w:eastAsiaTheme="majorEastAsia" w:hAnsi="Arial Narrow"/>
                <w:color w:val="000000"/>
                <w:spacing w:val="1"/>
                <w:sz w:val="20"/>
                <w:szCs w:val="20"/>
                <w:shd w:val="solid" w:color="000000" w:fill="000000"/>
                <w:fitText w:val="200" w:id="-894165503"/>
                <w14:textFill>
                  <w14:solidFill>
                    <w14:srgbClr w14:val="000000">
                      <w14:alpha w14:val="100000"/>
                    </w14:srgbClr>
                  </w14:solidFill>
                </w14:textFill>
              </w:rPr>
              <w:t>|</w:t>
            </w:r>
            <w:r w:rsidR="0021533F" w:rsidRPr="0021533F">
              <w:rPr>
                <w:rFonts w:ascii="Arial Narrow" w:eastAsiaTheme="majorEastAsia" w:hAnsi="Arial Narrow"/>
                <w:sz w:val="20"/>
                <w:szCs w:val="20"/>
              </w:rPr>
              <w:t>%</w:t>
            </w:r>
          </w:p>
        </w:tc>
      </w:tr>
      <w:tr w:rsidR="006A4458" w:rsidRPr="006B343C" w14:paraId="6949D321" w14:textId="77777777" w:rsidTr="002C74B6">
        <w:tc>
          <w:tcPr>
            <w:tcW w:w="5000" w:type="pct"/>
            <w:gridSpan w:val="6"/>
          </w:tcPr>
          <w:p w14:paraId="5B2CEF74" w14:textId="0AF4CE88" w:rsidR="002C74B6" w:rsidRPr="006B343C" w:rsidRDefault="002C74B6" w:rsidP="002C74B6">
            <w:pPr>
              <w:keepNext/>
              <w:jc w:val="left"/>
              <w:rPr>
                <w:rFonts w:ascii="Arial Narrow" w:eastAsiaTheme="majorEastAsia" w:hAnsi="Arial Narrow" w:cstheme="majorBidi"/>
                <w:b/>
                <w:sz w:val="20"/>
              </w:rPr>
            </w:pPr>
            <w:r>
              <w:rPr>
                <w:rFonts w:ascii="Arial Narrow" w:eastAsiaTheme="majorEastAsia" w:hAnsi="Arial Narrow" w:cstheme="majorBidi"/>
                <w:b/>
                <w:sz w:val="20"/>
              </w:rPr>
              <w:t>Scenario analyses</w:t>
            </w:r>
          </w:p>
        </w:tc>
      </w:tr>
      <w:tr w:rsidR="006A4458" w:rsidRPr="006B343C" w14:paraId="5F8F903F" w14:textId="77777777" w:rsidTr="00DC1AEB">
        <w:tc>
          <w:tcPr>
            <w:tcW w:w="784" w:type="pct"/>
          </w:tcPr>
          <w:p w14:paraId="1595861A" w14:textId="26240548" w:rsidR="002C74B6" w:rsidRPr="002C74B6" w:rsidRDefault="002C74B6" w:rsidP="002C74B6">
            <w:pPr>
              <w:keepNext/>
              <w:jc w:val="center"/>
              <w:rPr>
                <w:rFonts w:ascii="Arial Narrow" w:eastAsiaTheme="majorEastAsia" w:hAnsi="Arial Narrow"/>
                <w:b/>
                <w:bCs/>
                <w:sz w:val="20"/>
                <w:szCs w:val="20"/>
              </w:rPr>
            </w:pPr>
            <w:r w:rsidRPr="002C74B6">
              <w:rPr>
                <w:rFonts w:ascii="Arial Narrow" w:eastAsiaTheme="majorEastAsia" w:hAnsi="Arial Narrow"/>
                <w:b/>
                <w:bCs/>
                <w:sz w:val="20"/>
                <w:szCs w:val="20"/>
              </w:rPr>
              <w:t>Time horizon</w:t>
            </w:r>
          </w:p>
        </w:tc>
        <w:tc>
          <w:tcPr>
            <w:tcW w:w="1471" w:type="pct"/>
          </w:tcPr>
          <w:p w14:paraId="3CF7B548" w14:textId="1EB91652" w:rsidR="002C74B6" w:rsidRPr="002C74B6" w:rsidRDefault="002C74B6" w:rsidP="002C74B6">
            <w:pPr>
              <w:keepNext/>
              <w:jc w:val="center"/>
              <w:rPr>
                <w:rFonts w:ascii="Arial Narrow" w:eastAsiaTheme="majorEastAsia" w:hAnsi="Arial Narrow"/>
                <w:b/>
                <w:bCs/>
                <w:sz w:val="20"/>
                <w:szCs w:val="20"/>
              </w:rPr>
            </w:pPr>
            <w:r w:rsidRPr="002C74B6">
              <w:rPr>
                <w:rFonts w:ascii="Arial Narrow" w:eastAsiaTheme="majorEastAsia" w:hAnsi="Arial Narrow"/>
                <w:b/>
                <w:bCs/>
                <w:sz w:val="20"/>
                <w:szCs w:val="20"/>
              </w:rPr>
              <w:t>Extrapolation</w:t>
            </w:r>
            <w:r w:rsidR="00FD6B9B">
              <w:rPr>
                <w:rFonts w:ascii="Arial Narrow" w:eastAsiaTheme="majorEastAsia" w:hAnsi="Arial Narrow"/>
                <w:b/>
                <w:bCs/>
                <w:sz w:val="20"/>
                <w:szCs w:val="20"/>
              </w:rPr>
              <w:t xml:space="preserve"> method</w:t>
            </w:r>
          </w:p>
        </w:tc>
        <w:tc>
          <w:tcPr>
            <w:tcW w:w="732" w:type="pct"/>
            <w:tcBorders>
              <w:bottom w:val="single" w:sz="4" w:space="0" w:color="auto"/>
            </w:tcBorders>
          </w:tcPr>
          <w:p w14:paraId="05F26FCA" w14:textId="77777777" w:rsidR="002C74B6" w:rsidRPr="002C74B6" w:rsidRDefault="002C74B6" w:rsidP="002C74B6">
            <w:pPr>
              <w:keepNext/>
              <w:jc w:val="center"/>
              <w:rPr>
                <w:rFonts w:ascii="Arial Narrow" w:eastAsiaTheme="majorEastAsia" w:hAnsi="Arial Narrow"/>
                <w:sz w:val="20"/>
                <w:szCs w:val="20"/>
              </w:rPr>
            </w:pPr>
          </w:p>
        </w:tc>
        <w:tc>
          <w:tcPr>
            <w:tcW w:w="800" w:type="pct"/>
          </w:tcPr>
          <w:p w14:paraId="40B749B0" w14:textId="77777777" w:rsidR="002C74B6" w:rsidRPr="002C74B6" w:rsidRDefault="002C74B6" w:rsidP="002C74B6">
            <w:pPr>
              <w:keepNext/>
              <w:jc w:val="center"/>
              <w:rPr>
                <w:rFonts w:ascii="Arial Narrow" w:eastAsiaTheme="majorEastAsia" w:hAnsi="Arial Narrow"/>
                <w:sz w:val="20"/>
                <w:szCs w:val="20"/>
              </w:rPr>
            </w:pPr>
          </w:p>
        </w:tc>
        <w:tc>
          <w:tcPr>
            <w:tcW w:w="625" w:type="pct"/>
          </w:tcPr>
          <w:p w14:paraId="5292AC58" w14:textId="77777777" w:rsidR="002C74B6" w:rsidRPr="002C74B6" w:rsidRDefault="002C74B6" w:rsidP="002C74B6">
            <w:pPr>
              <w:keepNext/>
              <w:jc w:val="center"/>
              <w:rPr>
                <w:rFonts w:ascii="Arial Narrow" w:eastAsiaTheme="majorEastAsia" w:hAnsi="Arial Narrow"/>
                <w:sz w:val="20"/>
                <w:szCs w:val="20"/>
              </w:rPr>
            </w:pPr>
          </w:p>
        </w:tc>
        <w:tc>
          <w:tcPr>
            <w:tcW w:w="588" w:type="pct"/>
          </w:tcPr>
          <w:p w14:paraId="5FEA89C7" w14:textId="77777777" w:rsidR="002C74B6" w:rsidRPr="002C74B6" w:rsidRDefault="002C74B6" w:rsidP="002C74B6">
            <w:pPr>
              <w:keepNext/>
              <w:jc w:val="center"/>
              <w:rPr>
                <w:rFonts w:ascii="Arial Narrow" w:eastAsiaTheme="majorEastAsia" w:hAnsi="Arial Narrow"/>
                <w:sz w:val="20"/>
                <w:szCs w:val="20"/>
              </w:rPr>
            </w:pPr>
          </w:p>
        </w:tc>
      </w:tr>
      <w:tr w:rsidR="006A4458" w:rsidRPr="006B343C" w14:paraId="7A14BC55" w14:textId="77777777" w:rsidTr="00DC1AEB">
        <w:tc>
          <w:tcPr>
            <w:tcW w:w="784" w:type="pct"/>
          </w:tcPr>
          <w:p w14:paraId="3CA537E0" w14:textId="6567BC11" w:rsidR="00B12658" w:rsidRPr="002C74B6" w:rsidRDefault="00B12658" w:rsidP="00B12658">
            <w:pPr>
              <w:keepNext/>
              <w:jc w:val="center"/>
              <w:rPr>
                <w:rFonts w:ascii="Arial Narrow" w:eastAsiaTheme="majorEastAsia" w:hAnsi="Arial Narrow"/>
                <w:sz w:val="20"/>
                <w:szCs w:val="20"/>
              </w:rPr>
            </w:pPr>
            <w:r w:rsidRPr="002C74B6">
              <w:rPr>
                <w:rFonts w:ascii="Arial Narrow" w:eastAsiaTheme="majorEastAsia" w:hAnsi="Arial Narrow"/>
                <w:sz w:val="20"/>
                <w:szCs w:val="20"/>
              </w:rPr>
              <w:t>5</w:t>
            </w:r>
          </w:p>
        </w:tc>
        <w:tc>
          <w:tcPr>
            <w:tcW w:w="1471" w:type="pct"/>
          </w:tcPr>
          <w:p w14:paraId="295D6E4F" w14:textId="57A6CB31" w:rsidR="00B12658" w:rsidRPr="002C74B6" w:rsidRDefault="00B12658" w:rsidP="00B12658">
            <w:pPr>
              <w:keepNext/>
              <w:jc w:val="left"/>
              <w:rPr>
                <w:rFonts w:ascii="Arial Narrow" w:eastAsiaTheme="majorEastAsia" w:hAnsi="Arial Narrow"/>
                <w:sz w:val="20"/>
                <w:szCs w:val="20"/>
              </w:rPr>
            </w:pPr>
            <w:r w:rsidRPr="002C74B6">
              <w:rPr>
                <w:rFonts w:ascii="Arial Narrow" w:eastAsiaTheme="majorEastAsia" w:hAnsi="Arial Narrow"/>
                <w:sz w:val="20"/>
                <w:szCs w:val="20"/>
              </w:rPr>
              <w:t>Repeat trial data</w:t>
            </w:r>
          </w:p>
        </w:tc>
        <w:tc>
          <w:tcPr>
            <w:tcW w:w="732" w:type="pct"/>
            <w:tcBorders>
              <w:bottom w:val="single" w:sz="4" w:space="0" w:color="auto"/>
            </w:tcBorders>
            <w:shd w:val="solid" w:color="000000" w:fill="000000"/>
          </w:tcPr>
          <w:p w14:paraId="005D8FB0" w14:textId="3DB1A820"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color w:val="000000"/>
                <w:sz w:val="20"/>
                <w:szCs w:val="20"/>
                <w14:textFill>
                  <w14:solidFill>
                    <w14:srgbClr w14:val="000000">
                      <w14:alpha w14:val="100000"/>
                    </w14:srgbClr>
                  </w14:solidFill>
                </w14:textFill>
              </w:rPr>
              <w:t>|</w:t>
            </w:r>
          </w:p>
        </w:tc>
        <w:tc>
          <w:tcPr>
            <w:tcW w:w="800" w:type="pct"/>
          </w:tcPr>
          <w:p w14:paraId="205E1540" w14:textId="648CC22E" w:rsidR="00B12658" w:rsidRPr="002C74B6" w:rsidRDefault="00B12658" w:rsidP="00B12658">
            <w:pPr>
              <w:keepNext/>
              <w:jc w:val="center"/>
              <w:rPr>
                <w:rFonts w:ascii="Arial Narrow" w:eastAsiaTheme="majorEastAsia" w:hAnsi="Arial Narrow"/>
                <w:sz w:val="20"/>
                <w:szCs w:val="20"/>
              </w:rPr>
            </w:pPr>
            <w:r w:rsidRPr="00B12658">
              <w:rPr>
                <w:rFonts w:ascii="Arial Narrow" w:eastAsiaTheme="majorEastAsia" w:hAnsi="Arial Narrow"/>
                <w:sz w:val="20"/>
                <w:szCs w:val="20"/>
              </w:rPr>
              <w:t>0.077</w:t>
            </w:r>
          </w:p>
        </w:tc>
        <w:tc>
          <w:tcPr>
            <w:tcW w:w="625" w:type="pct"/>
          </w:tcPr>
          <w:p w14:paraId="54620893" w14:textId="3242F205"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hint="eastAsia"/>
                <w:color w:val="000000"/>
                <w:w w:val="24"/>
                <w:sz w:val="20"/>
                <w:szCs w:val="20"/>
                <w:shd w:val="solid" w:color="000000" w:fill="000000"/>
                <w:fitText w:val="110" w:id="-894165502"/>
                <w14:textFill>
                  <w14:solidFill>
                    <w14:srgbClr w14:val="000000">
                      <w14:alpha w14:val="100000"/>
                    </w14:srgbClr>
                  </w14:solidFill>
                </w14:textFill>
              </w:rPr>
              <w:t xml:space="preserve">　</w:t>
            </w:r>
            <w:r w:rsidRPr="00DC1AEB">
              <w:rPr>
                <w:rFonts w:ascii="Arial Narrow" w:eastAsiaTheme="majorEastAsia" w:hAnsi="Arial Narrow"/>
                <w:color w:val="000000"/>
                <w:w w:val="24"/>
                <w:sz w:val="20"/>
                <w:szCs w:val="20"/>
                <w:shd w:val="solid" w:color="000000" w:fill="000000"/>
                <w:fitText w:val="110" w:id="-894165502"/>
                <w14:textFill>
                  <w14:solidFill>
                    <w14:srgbClr w14:val="000000">
                      <w14:alpha w14:val="100000"/>
                    </w14:srgbClr>
                  </w14:solidFill>
                </w14:textFill>
              </w:rPr>
              <w:t>|</w:t>
            </w:r>
            <w:r w:rsidRPr="00DC1AEB">
              <w:rPr>
                <w:rFonts w:ascii="Arial Narrow" w:eastAsiaTheme="majorEastAsia" w:hAnsi="Arial Narrow" w:hint="eastAsia"/>
                <w:color w:val="000000"/>
                <w:spacing w:val="6"/>
                <w:w w:val="24"/>
                <w:sz w:val="20"/>
                <w:szCs w:val="20"/>
                <w:shd w:val="solid" w:color="000000" w:fill="000000"/>
                <w:fitText w:val="110" w:id="-894165502"/>
                <w14:textFill>
                  <w14:solidFill>
                    <w14:srgbClr w14:val="000000">
                      <w14:alpha w14:val="100000"/>
                    </w14:srgbClr>
                  </w14:solidFill>
                </w14:textFill>
              </w:rPr>
              <w:t xml:space="preserve">　</w:t>
            </w:r>
            <w:r w:rsidR="004D6A25" w:rsidRPr="004D6A25">
              <w:rPr>
                <w:rFonts w:ascii="Arial Narrow" w:eastAsiaTheme="majorEastAsia" w:hAnsi="Arial Narrow"/>
                <w:sz w:val="20"/>
                <w:szCs w:val="20"/>
                <w:vertAlign w:val="superscript"/>
              </w:rPr>
              <w:t>3</w:t>
            </w:r>
          </w:p>
        </w:tc>
        <w:tc>
          <w:tcPr>
            <w:tcW w:w="588" w:type="pct"/>
          </w:tcPr>
          <w:p w14:paraId="4FEFCCD6" w14:textId="498651A3" w:rsidR="00B12658" w:rsidRPr="002C74B6" w:rsidRDefault="00DC1AEB" w:rsidP="00B12658">
            <w:pPr>
              <w:keepNext/>
              <w:jc w:val="center"/>
              <w:rPr>
                <w:rFonts w:ascii="Arial Narrow" w:eastAsiaTheme="majorEastAsia" w:hAnsi="Arial Narrow"/>
                <w:sz w:val="20"/>
                <w:szCs w:val="20"/>
              </w:rPr>
            </w:pPr>
            <w:r w:rsidRPr="00DC1AEB">
              <w:rPr>
                <w:rFonts w:ascii="Arial Narrow" w:eastAsiaTheme="majorEastAsia" w:hAnsi="Arial Narrow"/>
                <w:color w:val="000000"/>
                <w:spacing w:val="114"/>
                <w:sz w:val="20"/>
                <w:szCs w:val="20"/>
                <w:shd w:val="solid" w:color="000000" w:fill="000000"/>
                <w:fitText w:val="200" w:id="-894165501"/>
                <w14:textFill>
                  <w14:solidFill>
                    <w14:srgbClr w14:val="000000">
                      <w14:alpha w14:val="100000"/>
                    </w14:srgbClr>
                  </w14:solidFill>
                </w14:textFill>
              </w:rPr>
              <w:t>|</w:t>
            </w:r>
            <w:r w:rsidRPr="00DC1AEB">
              <w:rPr>
                <w:rFonts w:ascii="Arial Narrow" w:eastAsiaTheme="majorEastAsia" w:hAnsi="Arial Narrow"/>
                <w:color w:val="000000"/>
                <w:spacing w:val="1"/>
                <w:sz w:val="20"/>
                <w:szCs w:val="20"/>
                <w:shd w:val="solid" w:color="000000" w:fill="000000"/>
                <w:fitText w:val="200" w:id="-894165501"/>
                <w14:textFill>
                  <w14:solidFill>
                    <w14:srgbClr w14:val="000000">
                      <w14:alpha w14:val="100000"/>
                    </w14:srgbClr>
                  </w14:solidFill>
                </w14:textFill>
              </w:rPr>
              <w:t>|</w:t>
            </w:r>
            <w:r w:rsidR="00B12658" w:rsidRPr="0021533F">
              <w:rPr>
                <w:rFonts w:ascii="Arial Narrow" w:eastAsiaTheme="majorEastAsia" w:hAnsi="Arial Narrow"/>
                <w:sz w:val="20"/>
                <w:szCs w:val="20"/>
              </w:rPr>
              <w:t>%</w:t>
            </w:r>
          </w:p>
        </w:tc>
      </w:tr>
      <w:tr w:rsidR="006A4458" w:rsidRPr="006B343C" w14:paraId="3DF3920F" w14:textId="77777777" w:rsidTr="00DC1AEB">
        <w:tc>
          <w:tcPr>
            <w:tcW w:w="784" w:type="pct"/>
          </w:tcPr>
          <w:p w14:paraId="286808F8" w14:textId="16A5EBF3" w:rsidR="00B12658" w:rsidRPr="002C74B6" w:rsidRDefault="00B12658" w:rsidP="00B12658">
            <w:pPr>
              <w:keepNext/>
              <w:jc w:val="center"/>
              <w:rPr>
                <w:rFonts w:ascii="Arial Narrow" w:eastAsiaTheme="majorEastAsia" w:hAnsi="Arial Narrow"/>
                <w:sz w:val="20"/>
                <w:szCs w:val="20"/>
              </w:rPr>
            </w:pPr>
            <w:r w:rsidRPr="002C74B6">
              <w:rPr>
                <w:rFonts w:ascii="Arial Narrow" w:eastAsiaTheme="majorEastAsia" w:hAnsi="Arial Narrow"/>
                <w:sz w:val="20"/>
                <w:szCs w:val="20"/>
              </w:rPr>
              <w:t>10</w:t>
            </w:r>
          </w:p>
        </w:tc>
        <w:tc>
          <w:tcPr>
            <w:tcW w:w="1471" w:type="pct"/>
          </w:tcPr>
          <w:p w14:paraId="3A2CEDA8" w14:textId="76598345" w:rsidR="00B12658" w:rsidRPr="002C74B6" w:rsidRDefault="00B12658" w:rsidP="00B12658">
            <w:pPr>
              <w:keepNext/>
              <w:jc w:val="left"/>
              <w:rPr>
                <w:rFonts w:ascii="Arial Narrow" w:eastAsiaTheme="majorEastAsia" w:hAnsi="Arial Narrow"/>
                <w:sz w:val="20"/>
                <w:szCs w:val="20"/>
              </w:rPr>
            </w:pPr>
            <w:r w:rsidRPr="002C74B6">
              <w:rPr>
                <w:rFonts w:ascii="Arial Narrow" w:eastAsiaTheme="majorEastAsia" w:hAnsi="Arial Narrow"/>
                <w:sz w:val="20"/>
                <w:szCs w:val="20"/>
              </w:rPr>
              <w:t>Repeat trial data</w:t>
            </w:r>
          </w:p>
        </w:tc>
        <w:tc>
          <w:tcPr>
            <w:tcW w:w="732" w:type="pct"/>
            <w:tcBorders>
              <w:bottom w:val="single" w:sz="4" w:space="0" w:color="auto"/>
            </w:tcBorders>
            <w:shd w:val="solid" w:color="000000" w:fill="000000"/>
          </w:tcPr>
          <w:p w14:paraId="68A61E85" w14:textId="0FFAAE74"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color w:val="000000"/>
                <w:sz w:val="20"/>
                <w:szCs w:val="20"/>
                <w14:textFill>
                  <w14:solidFill>
                    <w14:srgbClr w14:val="000000">
                      <w14:alpha w14:val="100000"/>
                    </w14:srgbClr>
                  </w14:solidFill>
                </w14:textFill>
              </w:rPr>
              <w:t>|</w:t>
            </w:r>
          </w:p>
        </w:tc>
        <w:tc>
          <w:tcPr>
            <w:tcW w:w="800" w:type="pct"/>
          </w:tcPr>
          <w:p w14:paraId="47EDC203" w14:textId="00C96B24" w:rsidR="00B12658" w:rsidRPr="002C74B6" w:rsidRDefault="00B12658" w:rsidP="00B12658">
            <w:pPr>
              <w:keepNext/>
              <w:jc w:val="center"/>
              <w:rPr>
                <w:rFonts w:ascii="Arial Narrow" w:eastAsiaTheme="majorEastAsia" w:hAnsi="Arial Narrow"/>
                <w:sz w:val="20"/>
                <w:szCs w:val="20"/>
              </w:rPr>
            </w:pPr>
            <w:r w:rsidRPr="00B12658">
              <w:rPr>
                <w:rFonts w:ascii="Arial Narrow" w:eastAsiaTheme="majorEastAsia" w:hAnsi="Arial Narrow"/>
                <w:sz w:val="20"/>
                <w:szCs w:val="20"/>
              </w:rPr>
              <w:t>0.091</w:t>
            </w:r>
          </w:p>
        </w:tc>
        <w:tc>
          <w:tcPr>
            <w:tcW w:w="625" w:type="pct"/>
          </w:tcPr>
          <w:p w14:paraId="0738C3EF" w14:textId="5CB4C671"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hint="eastAsia"/>
                <w:color w:val="000000"/>
                <w:w w:val="24"/>
                <w:sz w:val="20"/>
                <w:szCs w:val="20"/>
                <w:shd w:val="solid" w:color="000000" w:fill="000000"/>
                <w:fitText w:val="110" w:id="-894165500"/>
                <w14:textFill>
                  <w14:solidFill>
                    <w14:srgbClr w14:val="000000">
                      <w14:alpha w14:val="100000"/>
                    </w14:srgbClr>
                  </w14:solidFill>
                </w14:textFill>
              </w:rPr>
              <w:t xml:space="preserve">　</w:t>
            </w:r>
            <w:r w:rsidRPr="00DC1AEB">
              <w:rPr>
                <w:rFonts w:ascii="Arial Narrow" w:eastAsiaTheme="majorEastAsia" w:hAnsi="Arial Narrow"/>
                <w:color w:val="000000"/>
                <w:w w:val="24"/>
                <w:sz w:val="20"/>
                <w:szCs w:val="20"/>
                <w:shd w:val="solid" w:color="000000" w:fill="000000"/>
                <w:fitText w:val="110" w:id="-894165500"/>
                <w14:textFill>
                  <w14:solidFill>
                    <w14:srgbClr w14:val="000000">
                      <w14:alpha w14:val="100000"/>
                    </w14:srgbClr>
                  </w14:solidFill>
                </w14:textFill>
              </w:rPr>
              <w:t>|</w:t>
            </w:r>
            <w:r w:rsidRPr="00DC1AEB">
              <w:rPr>
                <w:rFonts w:ascii="Arial Narrow" w:eastAsiaTheme="majorEastAsia" w:hAnsi="Arial Narrow" w:hint="eastAsia"/>
                <w:color w:val="000000"/>
                <w:spacing w:val="6"/>
                <w:w w:val="24"/>
                <w:sz w:val="20"/>
                <w:szCs w:val="20"/>
                <w:shd w:val="solid" w:color="000000" w:fill="000000"/>
                <w:fitText w:val="110" w:id="-894165500"/>
                <w14:textFill>
                  <w14:solidFill>
                    <w14:srgbClr w14:val="000000">
                      <w14:alpha w14:val="100000"/>
                    </w14:srgbClr>
                  </w14:solidFill>
                </w14:textFill>
              </w:rPr>
              <w:t xml:space="preserve">　</w:t>
            </w:r>
            <w:r w:rsidR="004D6A25" w:rsidRPr="00561823">
              <w:rPr>
                <w:rFonts w:ascii="Arial Narrow" w:eastAsiaTheme="majorEastAsia" w:hAnsi="Arial Narrow"/>
                <w:sz w:val="20"/>
                <w:szCs w:val="20"/>
                <w:vertAlign w:val="superscript"/>
              </w:rPr>
              <w:t>3</w:t>
            </w:r>
          </w:p>
        </w:tc>
        <w:tc>
          <w:tcPr>
            <w:tcW w:w="588" w:type="pct"/>
          </w:tcPr>
          <w:p w14:paraId="27C16F4F" w14:textId="24F51E9E" w:rsidR="00B12658" w:rsidRPr="002C74B6" w:rsidRDefault="00DC1AEB" w:rsidP="00B12658">
            <w:pPr>
              <w:keepNext/>
              <w:jc w:val="center"/>
              <w:rPr>
                <w:rFonts w:ascii="Arial Narrow" w:eastAsiaTheme="majorEastAsia" w:hAnsi="Arial Narrow"/>
                <w:sz w:val="20"/>
                <w:szCs w:val="20"/>
              </w:rPr>
            </w:pPr>
            <w:r w:rsidRPr="00DC1AEB">
              <w:rPr>
                <w:rFonts w:ascii="Arial Narrow" w:eastAsiaTheme="majorEastAsia" w:hAnsi="Arial Narrow"/>
                <w:color w:val="000000"/>
                <w:spacing w:val="114"/>
                <w:sz w:val="20"/>
                <w:szCs w:val="20"/>
                <w:shd w:val="solid" w:color="000000" w:fill="000000"/>
                <w:fitText w:val="200" w:id="-894165499"/>
                <w14:textFill>
                  <w14:solidFill>
                    <w14:srgbClr w14:val="000000">
                      <w14:alpha w14:val="100000"/>
                    </w14:srgbClr>
                  </w14:solidFill>
                </w14:textFill>
              </w:rPr>
              <w:t>|</w:t>
            </w:r>
            <w:r w:rsidRPr="00DC1AEB">
              <w:rPr>
                <w:rFonts w:ascii="Arial Narrow" w:eastAsiaTheme="majorEastAsia" w:hAnsi="Arial Narrow"/>
                <w:color w:val="000000"/>
                <w:spacing w:val="1"/>
                <w:sz w:val="20"/>
                <w:szCs w:val="20"/>
                <w:shd w:val="solid" w:color="000000" w:fill="000000"/>
                <w:fitText w:val="200" w:id="-894165499"/>
                <w14:textFill>
                  <w14:solidFill>
                    <w14:srgbClr w14:val="000000">
                      <w14:alpha w14:val="100000"/>
                    </w14:srgbClr>
                  </w14:solidFill>
                </w14:textFill>
              </w:rPr>
              <w:t>|</w:t>
            </w:r>
            <w:r w:rsidR="00B12658" w:rsidRPr="0021533F">
              <w:rPr>
                <w:rFonts w:ascii="Arial Narrow" w:eastAsiaTheme="majorEastAsia" w:hAnsi="Arial Narrow"/>
                <w:sz w:val="20"/>
                <w:szCs w:val="20"/>
              </w:rPr>
              <w:t>%</w:t>
            </w:r>
          </w:p>
        </w:tc>
      </w:tr>
      <w:tr w:rsidR="006A4458" w:rsidRPr="006B343C" w14:paraId="3CD8EBD4" w14:textId="77777777" w:rsidTr="00DC1AEB">
        <w:tc>
          <w:tcPr>
            <w:tcW w:w="784" w:type="pct"/>
          </w:tcPr>
          <w:p w14:paraId="31538B76" w14:textId="00246A43" w:rsidR="00B12658" w:rsidRPr="002C74B6" w:rsidRDefault="00B12658" w:rsidP="00B12658">
            <w:pPr>
              <w:keepNext/>
              <w:jc w:val="center"/>
              <w:rPr>
                <w:rFonts w:ascii="Arial Narrow" w:eastAsiaTheme="majorEastAsia" w:hAnsi="Arial Narrow"/>
                <w:sz w:val="20"/>
                <w:szCs w:val="20"/>
              </w:rPr>
            </w:pPr>
            <w:r w:rsidRPr="002C74B6">
              <w:rPr>
                <w:rFonts w:ascii="Arial Narrow" w:eastAsiaTheme="majorEastAsia" w:hAnsi="Arial Narrow"/>
                <w:sz w:val="20"/>
                <w:szCs w:val="20"/>
              </w:rPr>
              <w:t>5</w:t>
            </w:r>
          </w:p>
        </w:tc>
        <w:tc>
          <w:tcPr>
            <w:tcW w:w="1471" w:type="pct"/>
          </w:tcPr>
          <w:p w14:paraId="6D19EC48" w14:textId="100D3CBF" w:rsidR="00B12658" w:rsidRPr="002C74B6" w:rsidRDefault="00B12658" w:rsidP="00B12658">
            <w:pPr>
              <w:keepNext/>
              <w:jc w:val="left"/>
              <w:rPr>
                <w:rFonts w:ascii="Arial Narrow" w:eastAsiaTheme="majorEastAsia" w:hAnsi="Arial Narrow"/>
                <w:sz w:val="20"/>
                <w:szCs w:val="20"/>
              </w:rPr>
            </w:pPr>
            <w:r w:rsidRPr="002C74B6">
              <w:rPr>
                <w:rFonts w:ascii="Arial Narrow" w:eastAsiaTheme="majorEastAsia" w:hAnsi="Arial Narrow"/>
                <w:sz w:val="20"/>
                <w:szCs w:val="20"/>
              </w:rPr>
              <w:t>No transitions beyond trial period</w:t>
            </w:r>
          </w:p>
        </w:tc>
        <w:tc>
          <w:tcPr>
            <w:tcW w:w="732" w:type="pct"/>
            <w:tcBorders>
              <w:bottom w:val="single" w:sz="4" w:space="0" w:color="auto"/>
            </w:tcBorders>
            <w:shd w:val="solid" w:color="000000" w:fill="000000"/>
          </w:tcPr>
          <w:p w14:paraId="168A6BC3" w14:textId="4475CC29"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color w:val="000000"/>
                <w:sz w:val="20"/>
                <w:szCs w:val="20"/>
                <w14:textFill>
                  <w14:solidFill>
                    <w14:srgbClr w14:val="000000">
                      <w14:alpha w14:val="100000"/>
                    </w14:srgbClr>
                  </w14:solidFill>
                </w14:textFill>
              </w:rPr>
              <w:t>|</w:t>
            </w:r>
          </w:p>
        </w:tc>
        <w:tc>
          <w:tcPr>
            <w:tcW w:w="800" w:type="pct"/>
          </w:tcPr>
          <w:p w14:paraId="5754D701" w14:textId="4793F252" w:rsidR="00B12658" w:rsidRPr="002C74B6" w:rsidRDefault="00B12658" w:rsidP="00B12658">
            <w:pPr>
              <w:keepNext/>
              <w:jc w:val="center"/>
              <w:rPr>
                <w:rFonts w:ascii="Arial Narrow" w:eastAsiaTheme="majorEastAsia" w:hAnsi="Arial Narrow"/>
                <w:sz w:val="20"/>
                <w:szCs w:val="20"/>
              </w:rPr>
            </w:pPr>
            <w:r w:rsidRPr="00B12658">
              <w:rPr>
                <w:rFonts w:ascii="Arial Narrow" w:eastAsiaTheme="majorEastAsia" w:hAnsi="Arial Narrow"/>
                <w:sz w:val="20"/>
                <w:szCs w:val="20"/>
              </w:rPr>
              <w:t>0.162</w:t>
            </w:r>
          </w:p>
        </w:tc>
        <w:tc>
          <w:tcPr>
            <w:tcW w:w="625" w:type="pct"/>
          </w:tcPr>
          <w:p w14:paraId="6CC91FEC" w14:textId="0CF1F05E"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hint="eastAsia"/>
                <w:color w:val="000000"/>
                <w:w w:val="24"/>
                <w:sz w:val="20"/>
                <w:szCs w:val="20"/>
                <w:shd w:val="solid" w:color="000000" w:fill="000000"/>
                <w:fitText w:val="110" w:id="-894165498"/>
                <w14:textFill>
                  <w14:solidFill>
                    <w14:srgbClr w14:val="000000">
                      <w14:alpha w14:val="100000"/>
                    </w14:srgbClr>
                  </w14:solidFill>
                </w14:textFill>
              </w:rPr>
              <w:t xml:space="preserve">　</w:t>
            </w:r>
            <w:r w:rsidRPr="00DC1AEB">
              <w:rPr>
                <w:rFonts w:ascii="Arial Narrow" w:eastAsiaTheme="majorEastAsia" w:hAnsi="Arial Narrow"/>
                <w:color w:val="000000"/>
                <w:w w:val="24"/>
                <w:sz w:val="20"/>
                <w:szCs w:val="20"/>
                <w:shd w:val="solid" w:color="000000" w:fill="000000"/>
                <w:fitText w:val="110" w:id="-894165498"/>
                <w14:textFill>
                  <w14:solidFill>
                    <w14:srgbClr w14:val="000000">
                      <w14:alpha w14:val="100000"/>
                    </w14:srgbClr>
                  </w14:solidFill>
                </w14:textFill>
              </w:rPr>
              <w:t>|</w:t>
            </w:r>
            <w:r w:rsidRPr="00DC1AEB">
              <w:rPr>
                <w:rFonts w:ascii="Arial Narrow" w:eastAsiaTheme="majorEastAsia" w:hAnsi="Arial Narrow" w:hint="eastAsia"/>
                <w:color w:val="000000"/>
                <w:spacing w:val="6"/>
                <w:w w:val="24"/>
                <w:sz w:val="20"/>
                <w:szCs w:val="20"/>
                <w:shd w:val="solid" w:color="000000" w:fill="000000"/>
                <w:fitText w:val="110" w:id="-894165498"/>
                <w14:textFill>
                  <w14:solidFill>
                    <w14:srgbClr w14:val="000000">
                      <w14:alpha w14:val="100000"/>
                    </w14:srgbClr>
                  </w14:solidFill>
                </w14:textFill>
              </w:rPr>
              <w:t xml:space="preserve">　</w:t>
            </w:r>
            <w:r w:rsidR="00561823" w:rsidRPr="00561823">
              <w:rPr>
                <w:rFonts w:ascii="Arial Narrow" w:eastAsiaTheme="majorEastAsia" w:hAnsi="Arial Narrow"/>
                <w:sz w:val="20"/>
                <w:szCs w:val="20"/>
                <w:vertAlign w:val="superscript"/>
              </w:rPr>
              <w:t>4</w:t>
            </w:r>
          </w:p>
        </w:tc>
        <w:tc>
          <w:tcPr>
            <w:tcW w:w="588" w:type="pct"/>
          </w:tcPr>
          <w:p w14:paraId="7ADA8369" w14:textId="071862F2" w:rsidR="00B12658" w:rsidRPr="002C74B6" w:rsidRDefault="00DC1AEB" w:rsidP="00B12658">
            <w:pPr>
              <w:keepNext/>
              <w:jc w:val="center"/>
              <w:rPr>
                <w:rFonts w:ascii="Arial Narrow" w:eastAsiaTheme="majorEastAsia" w:hAnsi="Arial Narrow"/>
                <w:sz w:val="20"/>
                <w:szCs w:val="20"/>
              </w:rPr>
            </w:pPr>
            <w:r w:rsidRPr="00DC1AEB">
              <w:rPr>
                <w:rFonts w:ascii="Arial Narrow" w:eastAsiaTheme="majorEastAsia" w:hAnsi="Arial Narrow"/>
                <w:color w:val="000000"/>
                <w:spacing w:val="114"/>
                <w:sz w:val="20"/>
                <w:szCs w:val="20"/>
                <w:shd w:val="solid" w:color="000000" w:fill="000000"/>
                <w:fitText w:val="200" w:id="-894165497"/>
                <w14:textFill>
                  <w14:solidFill>
                    <w14:srgbClr w14:val="000000">
                      <w14:alpha w14:val="100000"/>
                    </w14:srgbClr>
                  </w14:solidFill>
                </w14:textFill>
              </w:rPr>
              <w:t>|</w:t>
            </w:r>
            <w:r w:rsidRPr="00DC1AEB">
              <w:rPr>
                <w:rFonts w:ascii="Arial Narrow" w:eastAsiaTheme="majorEastAsia" w:hAnsi="Arial Narrow"/>
                <w:color w:val="000000"/>
                <w:spacing w:val="1"/>
                <w:sz w:val="20"/>
                <w:szCs w:val="20"/>
                <w:shd w:val="solid" w:color="000000" w:fill="000000"/>
                <w:fitText w:val="200" w:id="-894165497"/>
                <w14:textFill>
                  <w14:solidFill>
                    <w14:srgbClr w14:val="000000">
                      <w14:alpha w14:val="100000"/>
                    </w14:srgbClr>
                  </w14:solidFill>
                </w14:textFill>
              </w:rPr>
              <w:t>|</w:t>
            </w:r>
            <w:r w:rsidR="00B12658" w:rsidRPr="0021533F">
              <w:rPr>
                <w:rFonts w:ascii="Arial Narrow" w:eastAsiaTheme="majorEastAsia" w:hAnsi="Arial Narrow"/>
                <w:sz w:val="20"/>
                <w:szCs w:val="20"/>
              </w:rPr>
              <w:t>%</w:t>
            </w:r>
          </w:p>
        </w:tc>
      </w:tr>
      <w:tr w:rsidR="006A4458" w:rsidRPr="006B343C" w14:paraId="3989D929" w14:textId="77777777" w:rsidTr="00DC1AEB">
        <w:tc>
          <w:tcPr>
            <w:tcW w:w="784" w:type="pct"/>
          </w:tcPr>
          <w:p w14:paraId="196EC52D" w14:textId="13EE89B4" w:rsidR="00B12658" w:rsidRPr="002C74B6" w:rsidRDefault="00B12658" w:rsidP="00B12658">
            <w:pPr>
              <w:keepNext/>
              <w:jc w:val="center"/>
              <w:rPr>
                <w:rFonts w:ascii="Arial Narrow" w:eastAsiaTheme="majorEastAsia" w:hAnsi="Arial Narrow"/>
                <w:sz w:val="20"/>
                <w:szCs w:val="20"/>
              </w:rPr>
            </w:pPr>
            <w:r w:rsidRPr="002C74B6">
              <w:rPr>
                <w:rFonts w:ascii="Arial Narrow" w:eastAsiaTheme="majorEastAsia" w:hAnsi="Arial Narrow"/>
                <w:sz w:val="20"/>
                <w:szCs w:val="20"/>
              </w:rPr>
              <w:t>10</w:t>
            </w:r>
          </w:p>
        </w:tc>
        <w:tc>
          <w:tcPr>
            <w:tcW w:w="1471" w:type="pct"/>
          </w:tcPr>
          <w:p w14:paraId="498F0166" w14:textId="41257BAF" w:rsidR="00B12658" w:rsidRPr="002C74B6" w:rsidRDefault="00B12658" w:rsidP="00B12658">
            <w:pPr>
              <w:keepNext/>
              <w:jc w:val="left"/>
              <w:rPr>
                <w:rFonts w:ascii="Arial Narrow" w:eastAsiaTheme="majorEastAsia" w:hAnsi="Arial Narrow"/>
                <w:sz w:val="20"/>
                <w:szCs w:val="20"/>
              </w:rPr>
            </w:pPr>
            <w:r w:rsidRPr="002C74B6">
              <w:rPr>
                <w:rFonts w:ascii="Arial Narrow" w:eastAsiaTheme="majorEastAsia" w:hAnsi="Arial Narrow"/>
                <w:sz w:val="20"/>
                <w:szCs w:val="20"/>
              </w:rPr>
              <w:t>No transitions beyond trial period</w:t>
            </w:r>
          </w:p>
        </w:tc>
        <w:tc>
          <w:tcPr>
            <w:tcW w:w="732" w:type="pct"/>
            <w:tcBorders>
              <w:bottom w:val="single" w:sz="4" w:space="0" w:color="auto"/>
            </w:tcBorders>
            <w:shd w:val="solid" w:color="000000" w:fill="000000"/>
          </w:tcPr>
          <w:p w14:paraId="0E358CC9" w14:textId="450985A8"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color w:val="000000"/>
                <w:sz w:val="20"/>
                <w:szCs w:val="20"/>
                <w14:textFill>
                  <w14:solidFill>
                    <w14:srgbClr w14:val="000000">
                      <w14:alpha w14:val="100000"/>
                    </w14:srgbClr>
                  </w14:solidFill>
                </w14:textFill>
              </w:rPr>
              <w:t>|</w:t>
            </w:r>
          </w:p>
        </w:tc>
        <w:tc>
          <w:tcPr>
            <w:tcW w:w="800" w:type="pct"/>
          </w:tcPr>
          <w:p w14:paraId="3766AF9F" w14:textId="276E80A1" w:rsidR="00B12658" w:rsidRPr="002C74B6" w:rsidRDefault="00B12658" w:rsidP="00B12658">
            <w:pPr>
              <w:keepNext/>
              <w:jc w:val="center"/>
              <w:rPr>
                <w:rFonts w:ascii="Arial Narrow" w:eastAsiaTheme="majorEastAsia" w:hAnsi="Arial Narrow"/>
                <w:sz w:val="20"/>
                <w:szCs w:val="20"/>
              </w:rPr>
            </w:pPr>
            <w:r w:rsidRPr="00B12658">
              <w:rPr>
                <w:rFonts w:ascii="Arial Narrow" w:eastAsiaTheme="majorEastAsia" w:hAnsi="Arial Narrow"/>
                <w:sz w:val="20"/>
                <w:szCs w:val="20"/>
              </w:rPr>
              <w:t>0.097</w:t>
            </w:r>
          </w:p>
        </w:tc>
        <w:tc>
          <w:tcPr>
            <w:tcW w:w="625" w:type="pct"/>
          </w:tcPr>
          <w:p w14:paraId="796C2DDE" w14:textId="133FC315"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hint="eastAsia"/>
                <w:color w:val="000000"/>
                <w:w w:val="24"/>
                <w:sz w:val="20"/>
                <w:szCs w:val="20"/>
                <w:shd w:val="solid" w:color="000000" w:fill="000000"/>
                <w:fitText w:val="110" w:id="-894165496"/>
                <w14:textFill>
                  <w14:solidFill>
                    <w14:srgbClr w14:val="000000">
                      <w14:alpha w14:val="100000"/>
                    </w14:srgbClr>
                  </w14:solidFill>
                </w14:textFill>
              </w:rPr>
              <w:t xml:space="preserve">　</w:t>
            </w:r>
            <w:r w:rsidRPr="00DC1AEB">
              <w:rPr>
                <w:rFonts w:ascii="Arial Narrow" w:eastAsiaTheme="majorEastAsia" w:hAnsi="Arial Narrow"/>
                <w:color w:val="000000"/>
                <w:w w:val="24"/>
                <w:sz w:val="20"/>
                <w:szCs w:val="20"/>
                <w:shd w:val="solid" w:color="000000" w:fill="000000"/>
                <w:fitText w:val="110" w:id="-894165496"/>
                <w14:textFill>
                  <w14:solidFill>
                    <w14:srgbClr w14:val="000000">
                      <w14:alpha w14:val="100000"/>
                    </w14:srgbClr>
                  </w14:solidFill>
                </w14:textFill>
              </w:rPr>
              <w:t>|</w:t>
            </w:r>
            <w:r w:rsidRPr="00DC1AEB">
              <w:rPr>
                <w:rFonts w:ascii="Arial Narrow" w:eastAsiaTheme="majorEastAsia" w:hAnsi="Arial Narrow" w:hint="eastAsia"/>
                <w:color w:val="000000"/>
                <w:spacing w:val="6"/>
                <w:w w:val="24"/>
                <w:sz w:val="20"/>
                <w:szCs w:val="20"/>
                <w:shd w:val="solid" w:color="000000" w:fill="000000"/>
                <w:fitText w:val="110" w:id="-894165496"/>
                <w14:textFill>
                  <w14:solidFill>
                    <w14:srgbClr w14:val="000000">
                      <w14:alpha w14:val="100000"/>
                    </w14:srgbClr>
                  </w14:solidFill>
                </w14:textFill>
              </w:rPr>
              <w:t xml:space="preserve">　</w:t>
            </w:r>
            <w:r w:rsidR="00F3089D" w:rsidRPr="00F3089D">
              <w:rPr>
                <w:rFonts w:ascii="Arial Narrow" w:eastAsiaTheme="majorEastAsia" w:hAnsi="Arial Narrow"/>
                <w:sz w:val="20"/>
                <w:szCs w:val="20"/>
                <w:vertAlign w:val="superscript"/>
              </w:rPr>
              <w:t>4</w:t>
            </w:r>
          </w:p>
        </w:tc>
        <w:tc>
          <w:tcPr>
            <w:tcW w:w="588" w:type="pct"/>
          </w:tcPr>
          <w:p w14:paraId="462885F3" w14:textId="271B5D90" w:rsidR="00B12658" w:rsidRPr="002C74B6" w:rsidRDefault="00DC1AEB" w:rsidP="00B12658">
            <w:pPr>
              <w:keepNext/>
              <w:jc w:val="center"/>
              <w:rPr>
                <w:rFonts w:ascii="Arial Narrow" w:eastAsiaTheme="majorEastAsia" w:hAnsi="Arial Narrow"/>
                <w:sz w:val="20"/>
                <w:szCs w:val="20"/>
              </w:rPr>
            </w:pPr>
            <w:r w:rsidRPr="00DC1AEB">
              <w:rPr>
                <w:rFonts w:ascii="Arial Narrow" w:eastAsiaTheme="majorEastAsia" w:hAnsi="Arial Narrow"/>
                <w:color w:val="000000"/>
                <w:spacing w:val="114"/>
                <w:sz w:val="20"/>
                <w:szCs w:val="20"/>
                <w:shd w:val="solid" w:color="000000" w:fill="000000"/>
                <w:fitText w:val="200" w:id="-894165495"/>
                <w14:textFill>
                  <w14:solidFill>
                    <w14:srgbClr w14:val="000000">
                      <w14:alpha w14:val="100000"/>
                    </w14:srgbClr>
                  </w14:solidFill>
                </w14:textFill>
              </w:rPr>
              <w:t>|</w:t>
            </w:r>
            <w:r w:rsidRPr="00DC1AEB">
              <w:rPr>
                <w:rFonts w:ascii="Arial Narrow" w:eastAsiaTheme="majorEastAsia" w:hAnsi="Arial Narrow"/>
                <w:color w:val="000000"/>
                <w:spacing w:val="1"/>
                <w:sz w:val="20"/>
                <w:szCs w:val="20"/>
                <w:shd w:val="solid" w:color="000000" w:fill="000000"/>
                <w:fitText w:val="200" w:id="-894165495"/>
                <w14:textFill>
                  <w14:solidFill>
                    <w14:srgbClr w14:val="000000">
                      <w14:alpha w14:val="100000"/>
                    </w14:srgbClr>
                  </w14:solidFill>
                </w14:textFill>
              </w:rPr>
              <w:t>|</w:t>
            </w:r>
            <w:r w:rsidR="00B12658" w:rsidRPr="0021533F">
              <w:rPr>
                <w:rFonts w:ascii="Arial Narrow" w:eastAsiaTheme="majorEastAsia" w:hAnsi="Arial Narrow"/>
                <w:sz w:val="20"/>
                <w:szCs w:val="20"/>
              </w:rPr>
              <w:t>%</w:t>
            </w:r>
          </w:p>
        </w:tc>
      </w:tr>
      <w:tr w:rsidR="006A4458" w:rsidRPr="006B343C" w14:paraId="02E0E636" w14:textId="77777777" w:rsidTr="00DC1AEB">
        <w:tc>
          <w:tcPr>
            <w:tcW w:w="784" w:type="pct"/>
          </w:tcPr>
          <w:p w14:paraId="6F9E929A" w14:textId="3FC4CC47" w:rsidR="00B12658" w:rsidRPr="002C74B6" w:rsidRDefault="00B12658" w:rsidP="00B12658">
            <w:pPr>
              <w:keepNext/>
              <w:jc w:val="center"/>
              <w:rPr>
                <w:rFonts w:ascii="Arial Narrow" w:eastAsiaTheme="majorEastAsia" w:hAnsi="Arial Narrow"/>
                <w:sz w:val="20"/>
                <w:szCs w:val="20"/>
              </w:rPr>
            </w:pPr>
            <w:r w:rsidRPr="002C74B6">
              <w:rPr>
                <w:rFonts w:ascii="Arial Narrow" w:eastAsiaTheme="majorEastAsia" w:hAnsi="Arial Narrow"/>
                <w:sz w:val="20"/>
                <w:szCs w:val="20"/>
              </w:rPr>
              <w:t>5</w:t>
            </w:r>
          </w:p>
        </w:tc>
        <w:tc>
          <w:tcPr>
            <w:tcW w:w="1471" w:type="pct"/>
          </w:tcPr>
          <w:p w14:paraId="316B02CD" w14:textId="7BDDA445" w:rsidR="00B12658" w:rsidRPr="002C74B6" w:rsidRDefault="00B12658" w:rsidP="00B12658">
            <w:pPr>
              <w:keepNext/>
              <w:jc w:val="left"/>
              <w:rPr>
                <w:rFonts w:ascii="Arial Narrow" w:eastAsiaTheme="majorEastAsia" w:hAnsi="Arial Narrow"/>
                <w:sz w:val="20"/>
                <w:szCs w:val="20"/>
              </w:rPr>
            </w:pPr>
            <w:r w:rsidRPr="002C74B6">
              <w:rPr>
                <w:rFonts w:ascii="Arial Narrow" w:eastAsiaTheme="majorEastAsia" w:hAnsi="Arial Narrow"/>
                <w:sz w:val="20"/>
                <w:szCs w:val="20"/>
              </w:rPr>
              <w:t>5% of patients worsen by one health state per cycle</w:t>
            </w:r>
          </w:p>
        </w:tc>
        <w:tc>
          <w:tcPr>
            <w:tcW w:w="732" w:type="pct"/>
            <w:tcBorders>
              <w:bottom w:val="single" w:sz="4" w:space="0" w:color="auto"/>
            </w:tcBorders>
            <w:shd w:val="solid" w:color="000000" w:fill="000000"/>
          </w:tcPr>
          <w:p w14:paraId="71574FC1" w14:textId="2E8F889C"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color w:val="000000"/>
                <w:sz w:val="20"/>
                <w:szCs w:val="20"/>
                <w14:textFill>
                  <w14:solidFill>
                    <w14:srgbClr w14:val="000000">
                      <w14:alpha w14:val="100000"/>
                    </w14:srgbClr>
                  </w14:solidFill>
                </w14:textFill>
              </w:rPr>
              <w:t>|</w:t>
            </w:r>
          </w:p>
        </w:tc>
        <w:tc>
          <w:tcPr>
            <w:tcW w:w="800" w:type="pct"/>
          </w:tcPr>
          <w:p w14:paraId="3D9BA4C9" w14:textId="7DDE4615" w:rsidR="00B12658" w:rsidRPr="002C74B6" w:rsidRDefault="00B12658" w:rsidP="00B12658">
            <w:pPr>
              <w:keepNext/>
              <w:jc w:val="center"/>
              <w:rPr>
                <w:rFonts w:ascii="Arial Narrow" w:eastAsiaTheme="majorEastAsia" w:hAnsi="Arial Narrow"/>
                <w:sz w:val="20"/>
                <w:szCs w:val="20"/>
              </w:rPr>
            </w:pPr>
            <w:r w:rsidRPr="00B12658">
              <w:rPr>
                <w:rFonts w:ascii="Arial Narrow" w:eastAsiaTheme="majorEastAsia" w:hAnsi="Arial Narrow"/>
                <w:sz w:val="20"/>
                <w:szCs w:val="20"/>
              </w:rPr>
              <w:t>0.089</w:t>
            </w:r>
          </w:p>
        </w:tc>
        <w:tc>
          <w:tcPr>
            <w:tcW w:w="625" w:type="pct"/>
          </w:tcPr>
          <w:p w14:paraId="170D8EA9" w14:textId="0EB50CB0"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hint="eastAsia"/>
                <w:color w:val="000000"/>
                <w:w w:val="24"/>
                <w:sz w:val="20"/>
                <w:szCs w:val="20"/>
                <w:shd w:val="solid" w:color="000000" w:fill="000000"/>
                <w:fitText w:val="110" w:id="-894165494"/>
                <w14:textFill>
                  <w14:solidFill>
                    <w14:srgbClr w14:val="000000">
                      <w14:alpha w14:val="100000"/>
                    </w14:srgbClr>
                  </w14:solidFill>
                </w14:textFill>
              </w:rPr>
              <w:t xml:space="preserve">　</w:t>
            </w:r>
            <w:r w:rsidRPr="00DC1AEB">
              <w:rPr>
                <w:rFonts w:ascii="Arial Narrow" w:eastAsiaTheme="majorEastAsia" w:hAnsi="Arial Narrow"/>
                <w:color w:val="000000"/>
                <w:w w:val="24"/>
                <w:sz w:val="20"/>
                <w:szCs w:val="20"/>
                <w:shd w:val="solid" w:color="000000" w:fill="000000"/>
                <w:fitText w:val="110" w:id="-894165494"/>
                <w14:textFill>
                  <w14:solidFill>
                    <w14:srgbClr w14:val="000000">
                      <w14:alpha w14:val="100000"/>
                    </w14:srgbClr>
                  </w14:solidFill>
                </w14:textFill>
              </w:rPr>
              <w:t>|</w:t>
            </w:r>
            <w:r w:rsidRPr="00DC1AEB">
              <w:rPr>
                <w:rFonts w:ascii="Arial Narrow" w:eastAsiaTheme="majorEastAsia" w:hAnsi="Arial Narrow" w:hint="eastAsia"/>
                <w:color w:val="000000"/>
                <w:spacing w:val="6"/>
                <w:w w:val="24"/>
                <w:sz w:val="20"/>
                <w:szCs w:val="20"/>
                <w:shd w:val="solid" w:color="000000" w:fill="000000"/>
                <w:fitText w:val="110" w:id="-894165494"/>
                <w14:textFill>
                  <w14:solidFill>
                    <w14:srgbClr w14:val="000000">
                      <w14:alpha w14:val="100000"/>
                    </w14:srgbClr>
                  </w14:solidFill>
                </w14:textFill>
              </w:rPr>
              <w:t xml:space="preserve">　</w:t>
            </w:r>
            <w:r w:rsidR="00F3089D" w:rsidRPr="00F3089D">
              <w:rPr>
                <w:rFonts w:ascii="Arial Narrow" w:eastAsiaTheme="majorEastAsia" w:hAnsi="Arial Narrow"/>
                <w:sz w:val="20"/>
                <w:szCs w:val="20"/>
                <w:vertAlign w:val="superscript"/>
              </w:rPr>
              <w:t>4</w:t>
            </w:r>
          </w:p>
        </w:tc>
        <w:tc>
          <w:tcPr>
            <w:tcW w:w="588" w:type="pct"/>
          </w:tcPr>
          <w:p w14:paraId="7E26A27D" w14:textId="326489D5" w:rsidR="00B12658" w:rsidRPr="002C74B6" w:rsidRDefault="00DC1AEB" w:rsidP="00B12658">
            <w:pPr>
              <w:keepNext/>
              <w:jc w:val="center"/>
              <w:rPr>
                <w:rFonts w:ascii="Arial Narrow" w:eastAsiaTheme="majorEastAsia" w:hAnsi="Arial Narrow"/>
                <w:sz w:val="20"/>
                <w:szCs w:val="20"/>
              </w:rPr>
            </w:pPr>
            <w:r w:rsidRPr="00DC1AEB">
              <w:rPr>
                <w:rFonts w:ascii="Arial Narrow" w:eastAsiaTheme="majorEastAsia" w:hAnsi="Arial Narrow"/>
                <w:color w:val="000000"/>
                <w:spacing w:val="114"/>
                <w:sz w:val="20"/>
                <w:szCs w:val="20"/>
                <w:shd w:val="solid" w:color="000000" w:fill="000000"/>
                <w:fitText w:val="200" w:id="-894165493"/>
                <w14:textFill>
                  <w14:solidFill>
                    <w14:srgbClr w14:val="000000">
                      <w14:alpha w14:val="100000"/>
                    </w14:srgbClr>
                  </w14:solidFill>
                </w14:textFill>
              </w:rPr>
              <w:t>|</w:t>
            </w:r>
            <w:r w:rsidRPr="00DC1AEB">
              <w:rPr>
                <w:rFonts w:ascii="Arial Narrow" w:eastAsiaTheme="majorEastAsia" w:hAnsi="Arial Narrow"/>
                <w:color w:val="000000"/>
                <w:spacing w:val="1"/>
                <w:sz w:val="20"/>
                <w:szCs w:val="20"/>
                <w:shd w:val="solid" w:color="000000" w:fill="000000"/>
                <w:fitText w:val="200" w:id="-894165493"/>
                <w14:textFill>
                  <w14:solidFill>
                    <w14:srgbClr w14:val="000000">
                      <w14:alpha w14:val="100000"/>
                    </w14:srgbClr>
                  </w14:solidFill>
                </w14:textFill>
              </w:rPr>
              <w:t>|</w:t>
            </w:r>
            <w:r w:rsidR="00B12658" w:rsidRPr="0021533F">
              <w:rPr>
                <w:rFonts w:ascii="Arial Narrow" w:eastAsiaTheme="majorEastAsia" w:hAnsi="Arial Narrow"/>
                <w:sz w:val="20"/>
                <w:szCs w:val="20"/>
              </w:rPr>
              <w:t>%</w:t>
            </w:r>
          </w:p>
        </w:tc>
      </w:tr>
      <w:tr w:rsidR="006A4458" w:rsidRPr="006B343C" w14:paraId="309E9DBF" w14:textId="77777777" w:rsidTr="00DC1AEB">
        <w:tc>
          <w:tcPr>
            <w:tcW w:w="784" w:type="pct"/>
          </w:tcPr>
          <w:p w14:paraId="79FB86FF" w14:textId="4B866BDB" w:rsidR="00B12658" w:rsidRPr="002C74B6" w:rsidRDefault="00B12658" w:rsidP="00B12658">
            <w:pPr>
              <w:keepNext/>
              <w:jc w:val="center"/>
              <w:rPr>
                <w:rFonts w:ascii="Arial Narrow" w:eastAsiaTheme="majorEastAsia" w:hAnsi="Arial Narrow"/>
                <w:sz w:val="20"/>
                <w:szCs w:val="20"/>
              </w:rPr>
            </w:pPr>
            <w:r w:rsidRPr="002C74B6">
              <w:rPr>
                <w:rFonts w:ascii="Arial Narrow" w:eastAsiaTheme="majorEastAsia" w:hAnsi="Arial Narrow"/>
                <w:sz w:val="20"/>
                <w:szCs w:val="20"/>
              </w:rPr>
              <w:t>10</w:t>
            </w:r>
          </w:p>
        </w:tc>
        <w:tc>
          <w:tcPr>
            <w:tcW w:w="1471" w:type="pct"/>
          </w:tcPr>
          <w:p w14:paraId="4176E956" w14:textId="7EE480F4" w:rsidR="00B12658" w:rsidRPr="002C74B6" w:rsidRDefault="00B12658" w:rsidP="00B12658">
            <w:pPr>
              <w:keepNext/>
              <w:jc w:val="left"/>
              <w:rPr>
                <w:rFonts w:ascii="Arial Narrow" w:eastAsiaTheme="majorEastAsia" w:hAnsi="Arial Narrow"/>
                <w:sz w:val="20"/>
                <w:szCs w:val="20"/>
              </w:rPr>
            </w:pPr>
            <w:r w:rsidRPr="002C74B6">
              <w:rPr>
                <w:rFonts w:ascii="Arial Narrow" w:eastAsiaTheme="majorEastAsia" w:hAnsi="Arial Narrow"/>
                <w:sz w:val="20"/>
                <w:szCs w:val="20"/>
              </w:rPr>
              <w:t>5% of patients worsen by one health state per cycle</w:t>
            </w:r>
          </w:p>
        </w:tc>
        <w:tc>
          <w:tcPr>
            <w:tcW w:w="732" w:type="pct"/>
            <w:shd w:val="solid" w:color="000000" w:fill="000000"/>
          </w:tcPr>
          <w:p w14:paraId="09E25619" w14:textId="6F45024D"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color w:val="000000"/>
                <w:sz w:val="20"/>
                <w:szCs w:val="20"/>
                <w14:textFill>
                  <w14:solidFill>
                    <w14:srgbClr w14:val="000000">
                      <w14:alpha w14:val="100000"/>
                    </w14:srgbClr>
                  </w14:solidFill>
                </w14:textFill>
              </w:rPr>
              <w:t>|</w:t>
            </w:r>
          </w:p>
        </w:tc>
        <w:tc>
          <w:tcPr>
            <w:tcW w:w="800" w:type="pct"/>
          </w:tcPr>
          <w:p w14:paraId="4B0DA5FE" w14:textId="7BFD6CA8" w:rsidR="00B12658" w:rsidRPr="002C74B6" w:rsidRDefault="00B12658" w:rsidP="00B12658">
            <w:pPr>
              <w:keepNext/>
              <w:jc w:val="center"/>
              <w:rPr>
                <w:rFonts w:ascii="Arial Narrow" w:eastAsiaTheme="majorEastAsia" w:hAnsi="Arial Narrow"/>
                <w:sz w:val="20"/>
                <w:szCs w:val="20"/>
              </w:rPr>
            </w:pPr>
            <w:r w:rsidRPr="00B12658">
              <w:rPr>
                <w:rFonts w:ascii="Arial Narrow" w:eastAsiaTheme="majorEastAsia" w:hAnsi="Arial Narrow"/>
                <w:sz w:val="20"/>
                <w:szCs w:val="20"/>
              </w:rPr>
              <w:t>0.132</w:t>
            </w:r>
          </w:p>
        </w:tc>
        <w:tc>
          <w:tcPr>
            <w:tcW w:w="625" w:type="pct"/>
          </w:tcPr>
          <w:p w14:paraId="65A5E1DB" w14:textId="3ACD78E9" w:rsidR="00B12658" w:rsidRPr="004E4EB3" w:rsidRDefault="00DC1AEB" w:rsidP="00B12658">
            <w:pPr>
              <w:keepNext/>
              <w:jc w:val="center"/>
              <w:rPr>
                <w:rFonts w:ascii="Arial Narrow" w:eastAsiaTheme="majorEastAsia" w:hAnsi="Arial Narrow"/>
                <w:sz w:val="20"/>
                <w:szCs w:val="20"/>
                <w:highlight w:val="lightGray"/>
              </w:rPr>
            </w:pPr>
            <w:r w:rsidRPr="00DC1AEB">
              <w:rPr>
                <w:rFonts w:ascii="Arial Narrow" w:eastAsiaTheme="majorEastAsia" w:hAnsi="Arial Narrow" w:hint="eastAsia"/>
                <w:color w:val="000000"/>
                <w:w w:val="24"/>
                <w:sz w:val="20"/>
                <w:szCs w:val="20"/>
                <w:shd w:val="solid" w:color="000000" w:fill="000000"/>
                <w:fitText w:val="110" w:id="-894165492"/>
                <w14:textFill>
                  <w14:solidFill>
                    <w14:srgbClr w14:val="000000">
                      <w14:alpha w14:val="100000"/>
                    </w14:srgbClr>
                  </w14:solidFill>
                </w14:textFill>
              </w:rPr>
              <w:t xml:space="preserve">　</w:t>
            </w:r>
            <w:r w:rsidRPr="00DC1AEB">
              <w:rPr>
                <w:rFonts w:ascii="Arial Narrow" w:eastAsiaTheme="majorEastAsia" w:hAnsi="Arial Narrow"/>
                <w:color w:val="000000"/>
                <w:w w:val="24"/>
                <w:sz w:val="20"/>
                <w:szCs w:val="20"/>
                <w:shd w:val="solid" w:color="000000" w:fill="000000"/>
                <w:fitText w:val="110" w:id="-894165492"/>
                <w14:textFill>
                  <w14:solidFill>
                    <w14:srgbClr w14:val="000000">
                      <w14:alpha w14:val="100000"/>
                    </w14:srgbClr>
                  </w14:solidFill>
                </w14:textFill>
              </w:rPr>
              <w:t>|</w:t>
            </w:r>
            <w:r w:rsidRPr="00DC1AEB">
              <w:rPr>
                <w:rFonts w:ascii="Arial Narrow" w:eastAsiaTheme="majorEastAsia" w:hAnsi="Arial Narrow" w:hint="eastAsia"/>
                <w:color w:val="000000"/>
                <w:spacing w:val="6"/>
                <w:w w:val="24"/>
                <w:sz w:val="20"/>
                <w:szCs w:val="20"/>
                <w:shd w:val="solid" w:color="000000" w:fill="000000"/>
                <w:fitText w:val="110" w:id="-894165492"/>
                <w14:textFill>
                  <w14:solidFill>
                    <w14:srgbClr w14:val="000000">
                      <w14:alpha w14:val="100000"/>
                    </w14:srgbClr>
                  </w14:solidFill>
                </w14:textFill>
              </w:rPr>
              <w:t xml:space="preserve">　</w:t>
            </w:r>
            <w:r w:rsidR="00F3089D" w:rsidRPr="00F3089D">
              <w:rPr>
                <w:rFonts w:ascii="Arial Narrow" w:eastAsiaTheme="majorEastAsia" w:hAnsi="Arial Narrow"/>
                <w:sz w:val="20"/>
                <w:szCs w:val="20"/>
                <w:vertAlign w:val="superscript"/>
              </w:rPr>
              <w:t>4</w:t>
            </w:r>
          </w:p>
        </w:tc>
        <w:tc>
          <w:tcPr>
            <w:tcW w:w="588" w:type="pct"/>
          </w:tcPr>
          <w:p w14:paraId="27D66D92" w14:textId="2EA3C399" w:rsidR="00B12658" w:rsidRPr="002C74B6" w:rsidRDefault="00DC1AEB" w:rsidP="00B12658">
            <w:pPr>
              <w:keepNext/>
              <w:jc w:val="center"/>
              <w:rPr>
                <w:rFonts w:ascii="Arial Narrow" w:eastAsiaTheme="majorEastAsia" w:hAnsi="Arial Narrow"/>
                <w:sz w:val="20"/>
                <w:szCs w:val="20"/>
              </w:rPr>
            </w:pPr>
            <w:r w:rsidRPr="00DC1AEB">
              <w:rPr>
                <w:rFonts w:ascii="Arial Narrow" w:eastAsiaTheme="majorEastAsia" w:hAnsi="Arial Narrow"/>
                <w:color w:val="000000"/>
                <w:spacing w:val="114"/>
                <w:sz w:val="20"/>
                <w:szCs w:val="20"/>
                <w:shd w:val="solid" w:color="000000" w:fill="000000"/>
                <w:fitText w:val="200" w:id="-894165491"/>
                <w14:textFill>
                  <w14:solidFill>
                    <w14:srgbClr w14:val="000000">
                      <w14:alpha w14:val="100000"/>
                    </w14:srgbClr>
                  </w14:solidFill>
                </w14:textFill>
              </w:rPr>
              <w:t>|</w:t>
            </w:r>
            <w:r w:rsidRPr="00DC1AEB">
              <w:rPr>
                <w:rFonts w:ascii="Arial Narrow" w:eastAsiaTheme="majorEastAsia" w:hAnsi="Arial Narrow"/>
                <w:color w:val="000000"/>
                <w:spacing w:val="1"/>
                <w:sz w:val="20"/>
                <w:szCs w:val="20"/>
                <w:shd w:val="solid" w:color="000000" w:fill="000000"/>
                <w:fitText w:val="200" w:id="-894165491"/>
                <w14:textFill>
                  <w14:solidFill>
                    <w14:srgbClr w14:val="000000">
                      <w14:alpha w14:val="100000"/>
                    </w14:srgbClr>
                  </w14:solidFill>
                </w14:textFill>
              </w:rPr>
              <w:t>|</w:t>
            </w:r>
            <w:r w:rsidR="00B12658" w:rsidRPr="0021533F">
              <w:rPr>
                <w:rFonts w:ascii="Arial Narrow" w:eastAsiaTheme="majorEastAsia" w:hAnsi="Arial Narrow"/>
                <w:sz w:val="20"/>
                <w:szCs w:val="20"/>
              </w:rPr>
              <w:t>%</w:t>
            </w:r>
          </w:p>
        </w:tc>
      </w:tr>
    </w:tbl>
    <w:p w14:paraId="3E304682" w14:textId="0FBAD540" w:rsidR="002C74B6" w:rsidRDefault="00B12658" w:rsidP="008E5D18">
      <w:pPr>
        <w:ind w:left="720" w:hanging="720"/>
        <w:rPr>
          <w:rFonts w:ascii="Arial Narrow" w:hAnsi="Arial Narrow"/>
          <w:sz w:val="18"/>
          <w:szCs w:val="18"/>
        </w:rPr>
      </w:pPr>
      <w:r w:rsidRPr="00B12658">
        <w:rPr>
          <w:rFonts w:ascii="Arial Narrow" w:hAnsi="Arial Narrow"/>
          <w:sz w:val="18"/>
          <w:szCs w:val="18"/>
        </w:rPr>
        <w:t>Source: Table 1, pre-PBAC response</w:t>
      </w:r>
    </w:p>
    <w:p w14:paraId="23181D1C" w14:textId="77777777" w:rsidR="00D44A50" w:rsidRDefault="00D44A50" w:rsidP="008E5D18">
      <w:pPr>
        <w:rPr>
          <w:rFonts w:ascii="Arial Narrow" w:hAnsi="Arial Narrow"/>
          <w:snapToGrid w:val="0"/>
          <w:sz w:val="18"/>
          <w:szCs w:val="18"/>
        </w:rPr>
      </w:pPr>
      <w:bookmarkStart w:id="101" w:name="_Hlk176358988"/>
      <w:r w:rsidRPr="00DA62A6">
        <w:rPr>
          <w:rFonts w:ascii="Arial Narrow" w:hAnsi="Arial Narrow"/>
          <w:snapToGrid w:val="0"/>
          <w:sz w:val="18"/>
          <w:szCs w:val="18"/>
        </w:rPr>
        <w:t>The redacted values correspond to the following ranges</w:t>
      </w:r>
    </w:p>
    <w:p w14:paraId="6F218473" w14:textId="77777777" w:rsidR="00D44A50" w:rsidRPr="00DA62A6" w:rsidRDefault="00D44A50" w:rsidP="008E5D18">
      <w:pPr>
        <w:rPr>
          <w:rFonts w:ascii="Arial Narrow" w:hAnsi="Arial Narrow"/>
          <w:snapToGrid w:val="0"/>
          <w:sz w:val="18"/>
          <w:szCs w:val="18"/>
        </w:rPr>
      </w:pPr>
      <w:r>
        <w:rPr>
          <w:rFonts w:ascii="Arial Narrow" w:hAnsi="Arial Narrow"/>
          <w:snapToGrid w:val="0"/>
          <w:sz w:val="18"/>
          <w:szCs w:val="18"/>
        </w:rPr>
        <w:t>1</w:t>
      </w:r>
      <w:r w:rsidRPr="00DA62A6">
        <w:rPr>
          <w:rFonts w:ascii="Arial Narrow" w:hAnsi="Arial Narrow"/>
          <w:snapToGrid w:val="0"/>
          <w:sz w:val="18"/>
          <w:szCs w:val="18"/>
        </w:rPr>
        <w:t xml:space="preserve"> $35,000 to &lt; $45,000</w:t>
      </w:r>
    </w:p>
    <w:p w14:paraId="73E32257" w14:textId="77777777" w:rsidR="00D44A50" w:rsidRDefault="00D44A50" w:rsidP="008E5D18">
      <w:pPr>
        <w:rPr>
          <w:rFonts w:ascii="Arial Narrow" w:hAnsi="Arial Narrow"/>
          <w:snapToGrid w:val="0"/>
          <w:sz w:val="18"/>
          <w:szCs w:val="18"/>
        </w:rPr>
      </w:pPr>
      <w:r>
        <w:rPr>
          <w:rFonts w:ascii="Arial Narrow" w:hAnsi="Arial Narrow"/>
          <w:snapToGrid w:val="0"/>
          <w:sz w:val="18"/>
          <w:szCs w:val="18"/>
        </w:rPr>
        <w:t xml:space="preserve">2 </w:t>
      </w:r>
      <w:r w:rsidRPr="00BF1D4A">
        <w:rPr>
          <w:rFonts w:ascii="Arial Narrow" w:hAnsi="Arial Narrow"/>
          <w:snapToGrid w:val="0"/>
          <w:sz w:val="18"/>
          <w:szCs w:val="18"/>
        </w:rPr>
        <w:t>$25,000 to &lt; $35,000</w:t>
      </w:r>
    </w:p>
    <w:p w14:paraId="6BA95977" w14:textId="77777777" w:rsidR="00D44A50" w:rsidRDefault="00D44A50" w:rsidP="008E5D18">
      <w:pPr>
        <w:rPr>
          <w:rFonts w:ascii="Arial Narrow" w:hAnsi="Arial Narrow"/>
          <w:snapToGrid w:val="0"/>
          <w:sz w:val="18"/>
          <w:szCs w:val="18"/>
        </w:rPr>
      </w:pPr>
      <w:bookmarkStart w:id="102" w:name="_Hlk176358477"/>
      <w:r>
        <w:rPr>
          <w:rFonts w:ascii="Arial Narrow" w:hAnsi="Arial Narrow"/>
          <w:snapToGrid w:val="0"/>
          <w:sz w:val="18"/>
          <w:szCs w:val="18"/>
        </w:rPr>
        <w:t xml:space="preserve">3 </w:t>
      </w:r>
      <w:r w:rsidRPr="008F4195">
        <w:rPr>
          <w:rFonts w:ascii="Arial Narrow" w:hAnsi="Arial Narrow"/>
          <w:snapToGrid w:val="0"/>
          <w:sz w:val="18"/>
          <w:szCs w:val="18"/>
        </w:rPr>
        <w:t>$55,000 to &lt; $75,000</w:t>
      </w:r>
    </w:p>
    <w:p w14:paraId="350686D0" w14:textId="4CF30A9A" w:rsidR="00400F45" w:rsidRDefault="00400F45" w:rsidP="008E5D18">
      <w:pPr>
        <w:spacing w:after="120"/>
        <w:rPr>
          <w:rFonts w:ascii="Arial Narrow" w:hAnsi="Arial Narrow"/>
          <w:snapToGrid w:val="0"/>
          <w:sz w:val="18"/>
          <w:szCs w:val="18"/>
        </w:rPr>
      </w:pPr>
      <w:r>
        <w:rPr>
          <w:rFonts w:ascii="Arial Narrow" w:hAnsi="Arial Narrow"/>
          <w:snapToGrid w:val="0"/>
          <w:sz w:val="18"/>
          <w:szCs w:val="18"/>
        </w:rPr>
        <w:t xml:space="preserve">4 </w:t>
      </w:r>
      <w:r w:rsidRPr="00400F45">
        <w:rPr>
          <w:rFonts w:ascii="Arial Narrow" w:hAnsi="Arial Narrow"/>
          <w:snapToGrid w:val="0"/>
          <w:sz w:val="18"/>
          <w:szCs w:val="18"/>
        </w:rPr>
        <w:t>$95,000 to &lt; $115,000</w:t>
      </w:r>
    </w:p>
    <w:bookmarkEnd w:id="101"/>
    <w:bookmarkEnd w:id="102"/>
    <w:p w14:paraId="1099C9D7" w14:textId="32F8900F" w:rsidR="0021533F" w:rsidRPr="00D95853" w:rsidRDefault="0021533F" w:rsidP="00B12658">
      <w:pPr>
        <w:numPr>
          <w:ilvl w:val="1"/>
          <w:numId w:val="1"/>
        </w:numPr>
        <w:spacing w:after="120"/>
      </w:pPr>
      <w:r>
        <w:t xml:space="preserve">The pre-PBAC response stated the ICERs from the </w:t>
      </w:r>
      <w:r w:rsidR="00DB75CF">
        <w:t>multivariate sensitivity</w:t>
      </w:r>
      <w:r>
        <w:t xml:space="preserve"> </w:t>
      </w:r>
      <w:r w:rsidR="00FD6B9B">
        <w:t>analyses presented</w:t>
      </w:r>
      <w:r w:rsidRPr="00A06FD5">
        <w:t xml:space="preserve"> ranged from $</w:t>
      </w:r>
      <w:r w:rsidR="007A2153" w:rsidRPr="007A2153">
        <w:t xml:space="preserve">55,000 to &lt; $75,000 </w:t>
      </w:r>
      <w:r w:rsidRPr="00A06FD5">
        <w:t>to $</w:t>
      </w:r>
      <w:r w:rsidR="0086355D" w:rsidRPr="0086355D">
        <w:t xml:space="preserve">95,000 to &lt; $115,000 </w:t>
      </w:r>
      <w:r w:rsidRPr="00A06FD5">
        <w:t>per QALY.</w:t>
      </w:r>
    </w:p>
    <w:p w14:paraId="7E3DDB2D" w14:textId="69061B7F" w:rsidR="007F5816" w:rsidRPr="007F5816" w:rsidRDefault="007F5816" w:rsidP="00CD7DE8">
      <w:pPr>
        <w:pStyle w:val="4-SubsectionHeading"/>
      </w:pPr>
      <w:bookmarkStart w:id="103" w:name="_Toc167264524"/>
      <w:r w:rsidRPr="007F5816">
        <w:t>Drug cost/patient</w:t>
      </w:r>
      <w:bookmarkEnd w:id="97"/>
      <w:bookmarkEnd w:id="98"/>
      <w:bookmarkEnd w:id="103"/>
    </w:p>
    <w:p w14:paraId="260E3C78" w14:textId="76AB654A" w:rsidR="007F5816" w:rsidRPr="007F5816" w:rsidRDefault="007F5816" w:rsidP="007F5816">
      <w:pPr>
        <w:keepNext/>
        <w:keepLines/>
        <w:rPr>
          <w:rFonts w:ascii="Arial Narrow" w:hAnsi="Arial Narrow"/>
          <w:b/>
          <w:bCs/>
          <w:sz w:val="20"/>
        </w:rPr>
      </w:pPr>
      <w:bookmarkStart w:id="104" w:name="_Ref104805102"/>
      <w:bookmarkStart w:id="105" w:name="_Ref172201615"/>
      <w:r w:rsidRPr="007F5816">
        <w:rPr>
          <w:rFonts w:ascii="Arial Narrow" w:hAnsi="Arial Narrow"/>
          <w:b/>
          <w:bCs/>
          <w:sz w:val="20"/>
          <w:szCs w:val="18"/>
        </w:rPr>
        <w:t xml:space="preserve">Table </w:t>
      </w:r>
      <w:r w:rsidRPr="007F5816">
        <w:rPr>
          <w:rFonts w:ascii="Arial Narrow" w:hAnsi="Arial Narrow"/>
          <w:b/>
          <w:bCs/>
          <w:sz w:val="20"/>
          <w:szCs w:val="18"/>
        </w:rPr>
        <w:fldChar w:fldCharType="begin" w:fldLock="1"/>
      </w:r>
      <w:r w:rsidRPr="007F5816">
        <w:rPr>
          <w:rFonts w:ascii="Arial Narrow" w:hAnsi="Arial Narrow"/>
          <w:b/>
          <w:bCs/>
          <w:sz w:val="20"/>
          <w:szCs w:val="18"/>
        </w:rPr>
        <w:instrText xml:space="preserve"> SEQ Table \* ARABIC </w:instrText>
      </w:r>
      <w:r w:rsidRPr="007F5816">
        <w:rPr>
          <w:rFonts w:ascii="Arial Narrow" w:hAnsi="Arial Narrow"/>
          <w:b/>
          <w:bCs/>
          <w:sz w:val="20"/>
          <w:szCs w:val="18"/>
        </w:rPr>
        <w:fldChar w:fldCharType="separate"/>
      </w:r>
      <w:r w:rsidR="00DC7CC4">
        <w:rPr>
          <w:rFonts w:ascii="Arial Narrow" w:hAnsi="Arial Narrow"/>
          <w:b/>
          <w:bCs/>
          <w:noProof/>
          <w:sz w:val="20"/>
          <w:szCs w:val="18"/>
        </w:rPr>
        <w:t>14</w:t>
      </w:r>
      <w:r w:rsidRPr="007F5816">
        <w:rPr>
          <w:rFonts w:ascii="Arial Narrow" w:hAnsi="Arial Narrow"/>
          <w:b/>
          <w:bCs/>
          <w:noProof/>
          <w:sz w:val="20"/>
          <w:szCs w:val="18"/>
        </w:rPr>
        <w:fldChar w:fldCharType="end"/>
      </w:r>
      <w:bookmarkEnd w:id="104"/>
      <w:bookmarkEnd w:id="105"/>
      <w:r w:rsidRPr="007F5816">
        <w:rPr>
          <w:rFonts w:ascii="Arial Narrow" w:hAnsi="Arial Narrow"/>
          <w:b/>
          <w:bCs/>
          <w:sz w:val="20"/>
          <w:szCs w:val="18"/>
        </w:rPr>
        <w:t>:</w:t>
      </w:r>
      <w:r w:rsidRPr="007F5816">
        <w:rPr>
          <w:rFonts w:ascii="Arial Narrow" w:hAnsi="Arial Narrow"/>
          <w:b/>
          <w:bCs/>
          <w:sz w:val="20"/>
        </w:rPr>
        <w:t xml:space="preserve"> Drug cost per patient for vedolizumab</w:t>
      </w:r>
      <w:r w:rsidR="002C74B6">
        <w:rPr>
          <w:rFonts w:ascii="Arial Narrow" w:hAnsi="Arial Narrow"/>
          <w:b/>
          <w:bCs/>
          <w:sz w:val="20"/>
        </w:rPr>
        <w:t>, as proposed in the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Drug cost per patient for vedolizumab, as proposed in the submission"/>
      </w:tblPr>
      <w:tblGrid>
        <w:gridCol w:w="2547"/>
        <w:gridCol w:w="2156"/>
        <w:gridCol w:w="2157"/>
        <w:gridCol w:w="2157"/>
      </w:tblGrid>
      <w:tr w:rsidR="00004A7B" w:rsidRPr="006B343C" w14:paraId="0FD0851F" w14:textId="77777777" w:rsidTr="00FA3306">
        <w:trPr>
          <w:cantSplit/>
          <w:tblHeader/>
          <w:jc w:val="center"/>
        </w:trPr>
        <w:tc>
          <w:tcPr>
            <w:tcW w:w="2547" w:type="dxa"/>
            <w:shd w:val="clear" w:color="auto" w:fill="auto"/>
            <w:vAlign w:val="center"/>
          </w:tcPr>
          <w:p w14:paraId="0B328976" w14:textId="77777777" w:rsidR="007F5816" w:rsidRPr="006B343C" w:rsidRDefault="007F5816" w:rsidP="007F5816">
            <w:pPr>
              <w:keepNext/>
              <w:jc w:val="center"/>
              <w:rPr>
                <w:rFonts w:ascii="Arial Narrow" w:eastAsiaTheme="majorEastAsia" w:hAnsi="Arial Narrow" w:cs="Times New Roman"/>
                <w:b/>
                <w:sz w:val="20"/>
                <w:lang w:val="en-US"/>
              </w:rPr>
            </w:pPr>
          </w:p>
        </w:tc>
        <w:tc>
          <w:tcPr>
            <w:tcW w:w="2156" w:type="dxa"/>
            <w:shd w:val="clear" w:color="auto" w:fill="auto"/>
            <w:vAlign w:val="center"/>
          </w:tcPr>
          <w:p w14:paraId="2CD01A62" w14:textId="10B6F8B2" w:rsidR="007F5816" w:rsidRPr="006B343C" w:rsidRDefault="002C74B6" w:rsidP="007F5816">
            <w:pPr>
              <w:keepNext/>
              <w:jc w:val="center"/>
              <w:rPr>
                <w:rFonts w:ascii="Arial Narrow" w:eastAsiaTheme="majorEastAsia" w:hAnsi="Arial Narrow" w:cs="Times New Roman"/>
                <w:b/>
                <w:sz w:val="20"/>
                <w:lang w:val="en-US"/>
              </w:rPr>
            </w:pPr>
            <w:r>
              <w:rPr>
                <w:rFonts w:ascii="Arial Narrow" w:eastAsiaTheme="majorEastAsia" w:hAnsi="Arial Narrow" w:cs="Times New Roman"/>
                <w:b/>
                <w:sz w:val="20"/>
                <w:lang w:val="en-US"/>
              </w:rPr>
              <w:t>Vedolizumab</w:t>
            </w:r>
          </w:p>
          <w:p w14:paraId="4690E304"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Trial dose and duration</w:t>
            </w:r>
          </w:p>
        </w:tc>
        <w:tc>
          <w:tcPr>
            <w:tcW w:w="2157" w:type="dxa"/>
            <w:shd w:val="clear" w:color="auto" w:fill="auto"/>
            <w:vAlign w:val="center"/>
          </w:tcPr>
          <w:p w14:paraId="3F61D9E2" w14:textId="566F7597" w:rsidR="007F5816" w:rsidRPr="006B343C" w:rsidRDefault="002C74B6" w:rsidP="007F5816">
            <w:pPr>
              <w:keepNext/>
              <w:jc w:val="center"/>
              <w:rPr>
                <w:rFonts w:ascii="Arial Narrow" w:eastAsiaTheme="majorEastAsia" w:hAnsi="Arial Narrow" w:cs="Times New Roman"/>
                <w:b/>
                <w:sz w:val="20"/>
                <w:lang w:val="en-US"/>
              </w:rPr>
            </w:pPr>
            <w:r>
              <w:rPr>
                <w:rFonts w:ascii="Arial Narrow" w:eastAsiaTheme="majorEastAsia" w:hAnsi="Arial Narrow" w:cs="Times New Roman"/>
                <w:b/>
                <w:sz w:val="20"/>
                <w:lang w:val="en-US"/>
              </w:rPr>
              <w:t>Vedolizumab</w:t>
            </w:r>
          </w:p>
          <w:p w14:paraId="27F08D3E"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Model</w:t>
            </w:r>
          </w:p>
        </w:tc>
        <w:tc>
          <w:tcPr>
            <w:tcW w:w="2157" w:type="dxa"/>
            <w:shd w:val="clear" w:color="auto" w:fill="auto"/>
            <w:vAlign w:val="center"/>
          </w:tcPr>
          <w:p w14:paraId="28E1273F" w14:textId="77777777" w:rsidR="002C74B6" w:rsidRDefault="002C74B6" w:rsidP="007F5816">
            <w:pPr>
              <w:keepNext/>
              <w:jc w:val="center"/>
              <w:rPr>
                <w:rFonts w:ascii="Arial Narrow" w:eastAsiaTheme="majorEastAsia" w:hAnsi="Arial Narrow" w:cs="Times New Roman"/>
                <w:b/>
                <w:sz w:val="20"/>
                <w:lang w:val="en-US"/>
              </w:rPr>
            </w:pPr>
            <w:r>
              <w:rPr>
                <w:rFonts w:ascii="Arial Narrow" w:eastAsiaTheme="majorEastAsia" w:hAnsi="Arial Narrow" w:cs="Times New Roman"/>
                <w:b/>
                <w:sz w:val="20"/>
                <w:lang w:val="en-US"/>
              </w:rPr>
              <w:t xml:space="preserve">Vedolizumab </w:t>
            </w:r>
          </w:p>
          <w:p w14:paraId="5FA9CAA8" w14:textId="5E70CFCF"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Financial estimates</w:t>
            </w:r>
          </w:p>
        </w:tc>
      </w:tr>
      <w:tr w:rsidR="00004A7B" w:rsidRPr="006B343C" w14:paraId="137B572F" w14:textId="77777777" w:rsidTr="00FA3306">
        <w:trPr>
          <w:cantSplit/>
          <w:tblHeader/>
          <w:jc w:val="center"/>
        </w:trPr>
        <w:tc>
          <w:tcPr>
            <w:tcW w:w="2547" w:type="dxa"/>
            <w:shd w:val="clear" w:color="auto" w:fill="auto"/>
            <w:vAlign w:val="center"/>
          </w:tcPr>
          <w:p w14:paraId="4D8FB3ED" w14:textId="77777777" w:rsidR="007F5816" w:rsidRPr="006B343C" w:rsidRDefault="007F5816" w:rsidP="007F5816">
            <w:pPr>
              <w:keepNext/>
              <w:jc w:val="center"/>
              <w:rPr>
                <w:rFonts w:ascii="Arial Narrow" w:eastAsiaTheme="majorEastAsia" w:hAnsi="Arial Narrow" w:cs="Times New Roman"/>
                <w:bCs/>
                <w:sz w:val="20"/>
                <w:lang w:val="en-US"/>
              </w:rPr>
            </w:pPr>
            <w:r w:rsidRPr="006B343C">
              <w:rPr>
                <w:rFonts w:ascii="Arial Narrow" w:eastAsiaTheme="majorEastAsia" w:hAnsi="Arial Narrow"/>
                <w:bCs/>
                <w:color w:val="000000"/>
                <w:sz w:val="20"/>
                <w:szCs w:val="20"/>
                <w:lang w:val="en-US"/>
              </w:rPr>
              <w:t>Dosing frequency</w:t>
            </w:r>
          </w:p>
        </w:tc>
        <w:tc>
          <w:tcPr>
            <w:tcW w:w="2156" w:type="dxa"/>
            <w:shd w:val="clear" w:color="auto" w:fill="auto"/>
            <w:vAlign w:val="center"/>
          </w:tcPr>
          <w:p w14:paraId="1CF677BF" w14:textId="77777777" w:rsidR="007F5816" w:rsidRPr="006B343C" w:rsidRDefault="007F5816" w:rsidP="007F5816">
            <w:pPr>
              <w:keepNext/>
              <w:jc w:val="center"/>
              <w:rPr>
                <w:rFonts w:ascii="Arial Narrow" w:eastAsiaTheme="majorEastAsia" w:hAnsi="Arial Narrow" w:cs="Times New Roman"/>
                <w:bCs/>
                <w:sz w:val="20"/>
                <w:lang w:val="en-US"/>
              </w:rPr>
            </w:pPr>
            <w:r w:rsidRPr="006B343C">
              <w:rPr>
                <w:rFonts w:ascii="Arial Narrow" w:eastAsiaTheme="majorEastAsia" w:hAnsi="Arial Narrow"/>
                <w:bCs/>
                <w:color w:val="000000"/>
                <w:sz w:val="20"/>
                <w:szCs w:val="20"/>
                <w:lang w:val="en-US"/>
              </w:rPr>
              <w:t>300 mg IV at Weeks 0, 2, 6 and at 8-week intervals thereafter</w:t>
            </w:r>
          </w:p>
        </w:tc>
        <w:tc>
          <w:tcPr>
            <w:tcW w:w="2157" w:type="dxa"/>
            <w:shd w:val="clear" w:color="auto" w:fill="auto"/>
            <w:vAlign w:val="center"/>
          </w:tcPr>
          <w:p w14:paraId="365C9C66" w14:textId="77777777" w:rsidR="007F5816" w:rsidRPr="006B343C" w:rsidRDefault="007F5816" w:rsidP="007F5816">
            <w:pPr>
              <w:keepNext/>
              <w:jc w:val="center"/>
              <w:rPr>
                <w:rFonts w:ascii="Arial Narrow" w:eastAsiaTheme="majorEastAsia" w:hAnsi="Arial Narrow" w:cs="Times New Roman"/>
                <w:bCs/>
                <w:sz w:val="20"/>
                <w:lang w:val="en-US"/>
              </w:rPr>
            </w:pPr>
            <w:r w:rsidRPr="006B343C">
              <w:rPr>
                <w:rFonts w:ascii="Arial Narrow" w:eastAsiaTheme="majorEastAsia" w:hAnsi="Arial Narrow"/>
                <w:bCs/>
                <w:color w:val="000000"/>
                <w:sz w:val="20"/>
                <w:szCs w:val="20"/>
                <w:lang w:val="en-US"/>
              </w:rPr>
              <w:t>Same as in trial</w:t>
            </w:r>
          </w:p>
        </w:tc>
        <w:tc>
          <w:tcPr>
            <w:tcW w:w="2157" w:type="dxa"/>
            <w:shd w:val="clear" w:color="auto" w:fill="auto"/>
            <w:vAlign w:val="center"/>
          </w:tcPr>
          <w:p w14:paraId="19E8CFDF" w14:textId="77777777" w:rsidR="007F5816" w:rsidRPr="006B343C" w:rsidRDefault="007F5816" w:rsidP="007F5816">
            <w:pPr>
              <w:keepNext/>
              <w:jc w:val="center"/>
              <w:rPr>
                <w:rFonts w:ascii="Arial Narrow" w:eastAsiaTheme="majorEastAsia" w:hAnsi="Arial Narrow" w:cs="Times New Roman"/>
                <w:bCs/>
                <w:sz w:val="20"/>
                <w:lang w:val="en-US"/>
              </w:rPr>
            </w:pPr>
            <w:r w:rsidRPr="006B343C">
              <w:rPr>
                <w:rFonts w:ascii="Arial Narrow" w:eastAsiaTheme="majorEastAsia" w:hAnsi="Arial Narrow"/>
                <w:bCs/>
                <w:color w:val="000000"/>
                <w:sz w:val="20"/>
                <w:szCs w:val="20"/>
                <w:lang w:val="en-US"/>
              </w:rPr>
              <w:t>Same as in trial</w:t>
            </w:r>
          </w:p>
        </w:tc>
      </w:tr>
      <w:tr w:rsidR="00004A7B" w:rsidRPr="006B343C" w14:paraId="02F67883" w14:textId="77777777" w:rsidTr="00FA3306">
        <w:trPr>
          <w:cantSplit/>
          <w:jc w:val="center"/>
        </w:trPr>
        <w:tc>
          <w:tcPr>
            <w:tcW w:w="2547" w:type="dxa"/>
            <w:shd w:val="clear" w:color="auto" w:fill="auto"/>
            <w:vAlign w:val="center"/>
          </w:tcPr>
          <w:p w14:paraId="7DCC7040" w14:textId="77777777" w:rsidR="007F5816" w:rsidRPr="006B343C" w:rsidRDefault="007F5816" w:rsidP="007F5816">
            <w:pPr>
              <w:keepNext/>
              <w:jc w:val="left"/>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Duration of treatment</w:t>
            </w:r>
          </w:p>
        </w:tc>
        <w:tc>
          <w:tcPr>
            <w:tcW w:w="2156" w:type="dxa"/>
            <w:shd w:val="clear" w:color="auto" w:fill="auto"/>
            <w:vAlign w:val="center"/>
          </w:tcPr>
          <w:p w14:paraId="26FB40B6" w14:textId="77777777" w:rsidR="007F5816" w:rsidRPr="006B343C" w:rsidRDefault="007F5816" w:rsidP="007F5816">
            <w:pPr>
              <w:keepNext/>
              <w:jc w:val="center"/>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lang w:val="en-US"/>
              </w:rPr>
              <w:t>Up to six doses (Week 30)</w:t>
            </w:r>
          </w:p>
        </w:tc>
        <w:tc>
          <w:tcPr>
            <w:tcW w:w="2157" w:type="dxa"/>
            <w:shd w:val="clear" w:color="auto" w:fill="auto"/>
            <w:vAlign w:val="center"/>
          </w:tcPr>
          <w:p w14:paraId="0FEE4A88" w14:textId="77777777" w:rsidR="007F5816" w:rsidRPr="006B343C" w:rsidRDefault="007F5816" w:rsidP="007F5816">
            <w:pPr>
              <w:keepNext/>
              <w:jc w:val="center"/>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lang w:val="en-US"/>
              </w:rPr>
              <w:t>Ongoing as long as patient remains in remission.</w:t>
            </w:r>
          </w:p>
        </w:tc>
        <w:tc>
          <w:tcPr>
            <w:tcW w:w="2157" w:type="dxa"/>
            <w:shd w:val="clear" w:color="auto" w:fill="auto"/>
            <w:vAlign w:val="center"/>
          </w:tcPr>
          <w:p w14:paraId="43ADF0AA" w14:textId="77777777" w:rsidR="007F5816" w:rsidRPr="006B343C" w:rsidRDefault="007F5816" w:rsidP="007F5816">
            <w:pPr>
              <w:keepNext/>
              <w:jc w:val="center"/>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lang w:val="en-US"/>
              </w:rPr>
              <w:t>Ongoing as long as patient remains in remission.</w:t>
            </w:r>
          </w:p>
        </w:tc>
      </w:tr>
      <w:tr w:rsidR="00004A7B" w:rsidRPr="006B343C" w14:paraId="528873EE" w14:textId="77777777" w:rsidTr="00FA3306">
        <w:trPr>
          <w:cantSplit/>
          <w:jc w:val="center"/>
        </w:trPr>
        <w:tc>
          <w:tcPr>
            <w:tcW w:w="2547" w:type="dxa"/>
            <w:shd w:val="clear" w:color="auto" w:fill="auto"/>
            <w:vAlign w:val="center"/>
          </w:tcPr>
          <w:p w14:paraId="4479E965" w14:textId="77777777" w:rsidR="007F5816" w:rsidRPr="006B343C" w:rsidRDefault="007F5816" w:rsidP="007F5816">
            <w:pPr>
              <w:keepNext/>
              <w:jc w:val="left"/>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Mean duration of exposure (days)</w:t>
            </w:r>
          </w:p>
        </w:tc>
        <w:tc>
          <w:tcPr>
            <w:tcW w:w="2156" w:type="dxa"/>
            <w:shd w:val="clear" w:color="auto" w:fill="auto"/>
            <w:vAlign w:val="center"/>
          </w:tcPr>
          <w:p w14:paraId="13FB9D31" w14:textId="77777777" w:rsidR="007F5816" w:rsidRPr="006B343C" w:rsidRDefault="007F5816" w:rsidP="007F5816">
            <w:pPr>
              <w:keepNext/>
              <w:jc w:val="center"/>
              <w:rPr>
                <w:rFonts w:ascii="Arial Narrow" w:eastAsiaTheme="majorEastAsia" w:hAnsi="Arial Narrow" w:cstheme="majorBidi"/>
                <w:b/>
                <w:bCs/>
                <w:sz w:val="20"/>
                <w:lang w:val="en-US"/>
              </w:rPr>
            </w:pPr>
            <w:r w:rsidRPr="006B343C">
              <w:rPr>
                <w:rFonts w:ascii="Arial Narrow" w:eastAsiaTheme="majorEastAsia" w:hAnsi="Arial Narrow"/>
                <w:bCs/>
                <w:color w:val="000000"/>
                <w:sz w:val="20"/>
                <w:szCs w:val="20"/>
              </w:rPr>
              <w:t xml:space="preserve">297 </w:t>
            </w:r>
            <w:r w:rsidRPr="006B343C">
              <w:rPr>
                <w:rFonts w:ascii="Arial Narrow" w:eastAsiaTheme="majorEastAsia" w:hAnsi="Arial Narrow"/>
                <w:bCs/>
                <w:color w:val="000000"/>
                <w:sz w:val="20"/>
                <w:szCs w:val="20"/>
                <w:vertAlign w:val="superscript"/>
              </w:rPr>
              <w:t>a</w:t>
            </w:r>
          </w:p>
        </w:tc>
        <w:tc>
          <w:tcPr>
            <w:tcW w:w="2157" w:type="dxa"/>
            <w:shd w:val="clear" w:color="auto" w:fill="auto"/>
            <w:vAlign w:val="center"/>
          </w:tcPr>
          <w:p w14:paraId="36CA0E95" w14:textId="77777777" w:rsidR="007F5816" w:rsidRPr="006B343C" w:rsidRDefault="007F5816" w:rsidP="007F5816">
            <w:pPr>
              <w:keepNext/>
              <w:jc w:val="center"/>
              <w:rPr>
                <w:rFonts w:ascii="Arial Narrow" w:eastAsiaTheme="majorEastAsia" w:hAnsi="Arial Narrow" w:cstheme="majorBidi"/>
                <w:b/>
                <w:bCs/>
                <w:sz w:val="20"/>
                <w:lang w:val="en-US"/>
              </w:rPr>
            </w:pPr>
            <w:r w:rsidRPr="006B343C">
              <w:rPr>
                <w:rFonts w:ascii="Arial Narrow" w:eastAsiaTheme="majorEastAsia" w:hAnsi="Arial Narrow"/>
                <w:bCs/>
                <w:color w:val="000000"/>
                <w:sz w:val="20"/>
                <w:szCs w:val="20"/>
              </w:rPr>
              <w:t>NR</w:t>
            </w:r>
          </w:p>
        </w:tc>
        <w:tc>
          <w:tcPr>
            <w:tcW w:w="2157" w:type="dxa"/>
            <w:shd w:val="clear" w:color="auto" w:fill="auto"/>
            <w:vAlign w:val="center"/>
          </w:tcPr>
          <w:p w14:paraId="009E434C" w14:textId="77777777" w:rsidR="007F5816" w:rsidRPr="006B343C" w:rsidRDefault="007F5816" w:rsidP="007F5816">
            <w:pPr>
              <w:keepNext/>
              <w:jc w:val="center"/>
              <w:rPr>
                <w:rFonts w:ascii="Arial Narrow" w:eastAsiaTheme="majorEastAsia" w:hAnsi="Arial Narrow" w:cstheme="majorBidi"/>
                <w:b/>
                <w:bCs/>
                <w:sz w:val="20"/>
                <w:lang w:val="en-US"/>
              </w:rPr>
            </w:pPr>
            <w:r w:rsidRPr="006B343C">
              <w:rPr>
                <w:rFonts w:ascii="Arial Narrow" w:eastAsiaTheme="majorEastAsia" w:hAnsi="Arial Narrow"/>
                <w:bCs/>
                <w:color w:val="000000"/>
                <w:sz w:val="20"/>
                <w:szCs w:val="20"/>
              </w:rPr>
              <w:t>NR</w:t>
            </w:r>
          </w:p>
        </w:tc>
      </w:tr>
      <w:tr w:rsidR="00AE1B8A" w:rsidRPr="006B343C" w14:paraId="0AF571F6" w14:textId="77777777" w:rsidTr="00FA3306">
        <w:trPr>
          <w:cantSplit/>
          <w:jc w:val="center"/>
        </w:trPr>
        <w:tc>
          <w:tcPr>
            <w:tcW w:w="2547" w:type="dxa"/>
            <w:shd w:val="clear" w:color="auto" w:fill="auto"/>
            <w:vAlign w:val="center"/>
          </w:tcPr>
          <w:p w14:paraId="18DB0AEA" w14:textId="6BDE6811" w:rsidR="00AE1B8A" w:rsidRPr="006B343C" w:rsidRDefault="00AE1B8A" w:rsidP="00AE1B8A">
            <w:pPr>
              <w:keepNext/>
              <w:jc w:val="left"/>
              <w:rPr>
                <w:rFonts w:ascii="Arial Narrow" w:eastAsiaTheme="majorEastAsia" w:hAnsi="Arial Narrow"/>
                <w:bCs/>
                <w:color w:val="000000"/>
                <w:sz w:val="20"/>
                <w:szCs w:val="20"/>
              </w:rPr>
            </w:pPr>
            <w:r w:rsidRPr="006B343C">
              <w:rPr>
                <w:rFonts w:ascii="Arial Narrow" w:eastAsiaTheme="majorEastAsia" w:hAnsi="Arial Narrow"/>
                <w:bCs/>
                <w:color w:val="000000"/>
                <w:sz w:val="20"/>
                <w:szCs w:val="20"/>
              </w:rPr>
              <w:t>Compliance</w:t>
            </w:r>
          </w:p>
        </w:tc>
        <w:tc>
          <w:tcPr>
            <w:tcW w:w="2156" w:type="dxa"/>
            <w:shd w:val="clear" w:color="auto" w:fill="auto"/>
            <w:vAlign w:val="center"/>
          </w:tcPr>
          <w:p w14:paraId="263E7A6B" w14:textId="4E4B39EE" w:rsidR="00AE1B8A" w:rsidRPr="006B343C" w:rsidRDefault="00AE1B8A" w:rsidP="00AE1B8A">
            <w:pPr>
              <w:keepNext/>
              <w:jc w:val="center"/>
              <w:rPr>
                <w:rFonts w:ascii="Arial Narrow" w:eastAsiaTheme="majorEastAsia" w:hAnsi="Arial Narrow"/>
                <w:bCs/>
                <w:color w:val="000000"/>
                <w:sz w:val="20"/>
                <w:szCs w:val="20"/>
              </w:rPr>
            </w:pPr>
            <w:r w:rsidRPr="006B343C">
              <w:rPr>
                <w:rFonts w:ascii="Arial Narrow" w:eastAsiaTheme="majorEastAsia" w:hAnsi="Arial Narrow"/>
                <w:bCs/>
                <w:color w:val="000000"/>
                <w:sz w:val="20"/>
                <w:szCs w:val="20"/>
                <w:lang w:val="en-US"/>
              </w:rPr>
              <w:t xml:space="preserve">70.6% </w:t>
            </w:r>
            <w:r w:rsidRPr="006B343C">
              <w:rPr>
                <w:rFonts w:ascii="Arial Narrow" w:eastAsiaTheme="majorEastAsia" w:hAnsi="Arial Narrow"/>
                <w:bCs/>
                <w:color w:val="000000"/>
                <w:sz w:val="20"/>
                <w:szCs w:val="20"/>
                <w:vertAlign w:val="superscript"/>
                <w:lang w:val="en-US"/>
              </w:rPr>
              <w:t>b</w:t>
            </w:r>
          </w:p>
        </w:tc>
        <w:tc>
          <w:tcPr>
            <w:tcW w:w="2157" w:type="dxa"/>
            <w:shd w:val="clear" w:color="auto" w:fill="auto"/>
            <w:vAlign w:val="center"/>
          </w:tcPr>
          <w:p w14:paraId="45EB1251" w14:textId="36FA2CB6" w:rsidR="00AE1B8A" w:rsidRPr="006B343C" w:rsidRDefault="00AE1B8A" w:rsidP="00AE1B8A">
            <w:pPr>
              <w:keepNext/>
              <w:jc w:val="center"/>
              <w:rPr>
                <w:rFonts w:ascii="Arial Narrow" w:eastAsiaTheme="majorEastAsia" w:hAnsi="Arial Narrow"/>
                <w:bCs/>
                <w:color w:val="000000"/>
                <w:sz w:val="20"/>
                <w:szCs w:val="20"/>
              </w:rPr>
            </w:pPr>
            <w:r w:rsidRPr="006B343C">
              <w:rPr>
                <w:rFonts w:ascii="Arial Narrow" w:eastAsiaTheme="majorEastAsia" w:hAnsi="Arial Narrow"/>
                <w:bCs/>
                <w:color w:val="000000"/>
                <w:sz w:val="20"/>
                <w:szCs w:val="20"/>
              </w:rPr>
              <w:t>100%</w:t>
            </w:r>
          </w:p>
        </w:tc>
        <w:tc>
          <w:tcPr>
            <w:tcW w:w="2157" w:type="dxa"/>
            <w:shd w:val="clear" w:color="auto" w:fill="auto"/>
            <w:vAlign w:val="center"/>
          </w:tcPr>
          <w:p w14:paraId="662A9726" w14:textId="3692265F" w:rsidR="00AE1B8A" w:rsidRPr="006B343C" w:rsidRDefault="00AE1B8A" w:rsidP="00AE1B8A">
            <w:pPr>
              <w:keepNext/>
              <w:jc w:val="center"/>
              <w:rPr>
                <w:rFonts w:ascii="Arial Narrow" w:eastAsiaTheme="majorEastAsia" w:hAnsi="Arial Narrow"/>
                <w:bCs/>
                <w:color w:val="000000"/>
                <w:sz w:val="20"/>
                <w:szCs w:val="20"/>
              </w:rPr>
            </w:pPr>
            <w:r w:rsidRPr="006B343C">
              <w:rPr>
                <w:rFonts w:ascii="Arial Narrow" w:eastAsiaTheme="majorEastAsia" w:hAnsi="Arial Narrow"/>
                <w:bCs/>
                <w:color w:val="000000"/>
                <w:sz w:val="20"/>
                <w:szCs w:val="20"/>
                <w:lang w:val="en-US"/>
              </w:rPr>
              <w:t>100%</w:t>
            </w:r>
          </w:p>
        </w:tc>
      </w:tr>
      <w:tr w:rsidR="00AE1B8A" w:rsidRPr="006B343C" w14:paraId="673A5918" w14:textId="77777777" w:rsidTr="00FA3306">
        <w:trPr>
          <w:cantSplit/>
          <w:jc w:val="center"/>
        </w:trPr>
        <w:tc>
          <w:tcPr>
            <w:tcW w:w="2547" w:type="dxa"/>
            <w:shd w:val="clear" w:color="auto" w:fill="auto"/>
            <w:vAlign w:val="center"/>
          </w:tcPr>
          <w:p w14:paraId="57D44994" w14:textId="1E84C140" w:rsidR="00AE1B8A" w:rsidRPr="006B343C" w:rsidRDefault="00AE1B8A" w:rsidP="00AE1B8A">
            <w:pPr>
              <w:keepNext/>
              <w:jc w:val="left"/>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Number of doses administered in the first (initiating) year</w:t>
            </w:r>
            <w:r w:rsidR="0089466B" w:rsidRPr="006B343C">
              <w:rPr>
                <w:rFonts w:ascii="Arial Narrow" w:eastAsiaTheme="majorEastAsia" w:hAnsi="Arial Narrow"/>
                <w:bCs/>
                <w:color w:val="000000"/>
                <w:sz w:val="20"/>
                <w:szCs w:val="20"/>
              </w:rPr>
              <w:t xml:space="preserve"> (in responding patients)</w:t>
            </w:r>
          </w:p>
        </w:tc>
        <w:tc>
          <w:tcPr>
            <w:tcW w:w="2156" w:type="dxa"/>
            <w:shd w:val="clear" w:color="auto" w:fill="auto"/>
            <w:vAlign w:val="center"/>
          </w:tcPr>
          <w:p w14:paraId="06178916" w14:textId="32E9F312" w:rsidR="00AE1B8A" w:rsidRPr="006B343C" w:rsidRDefault="00AE1B8A" w:rsidP="00AE1B8A">
            <w:pPr>
              <w:keepNext/>
              <w:jc w:val="center"/>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NR</w:t>
            </w:r>
          </w:p>
        </w:tc>
        <w:tc>
          <w:tcPr>
            <w:tcW w:w="2157" w:type="dxa"/>
            <w:shd w:val="clear" w:color="auto" w:fill="auto"/>
            <w:vAlign w:val="center"/>
          </w:tcPr>
          <w:p w14:paraId="4FF2CE0F" w14:textId="65F668C6" w:rsidR="00AE1B8A" w:rsidRPr="006B343C" w:rsidRDefault="00AE1B8A" w:rsidP="00AE1B8A">
            <w:pPr>
              <w:keepNext/>
              <w:jc w:val="center"/>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 xml:space="preserve">7.75 </w:t>
            </w:r>
            <w:r w:rsidR="000F1973" w:rsidRPr="006B343C">
              <w:rPr>
                <w:rFonts w:ascii="Arial Narrow" w:eastAsiaTheme="majorEastAsia" w:hAnsi="Arial Narrow"/>
                <w:bCs/>
                <w:color w:val="000000"/>
                <w:sz w:val="20"/>
                <w:szCs w:val="20"/>
                <w:vertAlign w:val="superscript"/>
              </w:rPr>
              <w:t>d</w:t>
            </w:r>
          </w:p>
        </w:tc>
        <w:tc>
          <w:tcPr>
            <w:tcW w:w="2157" w:type="dxa"/>
            <w:shd w:val="clear" w:color="auto" w:fill="auto"/>
            <w:vAlign w:val="center"/>
          </w:tcPr>
          <w:p w14:paraId="30D7F0B7" w14:textId="5C801A61" w:rsidR="00AE1B8A" w:rsidRPr="006B343C" w:rsidRDefault="00AE1B8A" w:rsidP="00AE1B8A">
            <w:pPr>
              <w:keepNext/>
              <w:jc w:val="center"/>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 xml:space="preserve">7.75 </w:t>
            </w:r>
            <w:r w:rsidR="00AE62C1" w:rsidRPr="006B343C">
              <w:rPr>
                <w:rFonts w:ascii="Arial Narrow" w:eastAsiaTheme="majorEastAsia" w:hAnsi="Arial Narrow"/>
                <w:bCs/>
                <w:color w:val="000000"/>
                <w:sz w:val="20"/>
                <w:szCs w:val="20"/>
                <w:vertAlign w:val="superscript"/>
              </w:rPr>
              <w:t>d</w:t>
            </w:r>
          </w:p>
        </w:tc>
      </w:tr>
      <w:tr w:rsidR="002F3EE9" w:rsidRPr="006B343C" w14:paraId="1579FA89" w14:textId="77777777" w:rsidTr="00FA3306">
        <w:trPr>
          <w:cantSplit/>
          <w:jc w:val="center"/>
        </w:trPr>
        <w:tc>
          <w:tcPr>
            <w:tcW w:w="2547" w:type="dxa"/>
            <w:shd w:val="clear" w:color="auto" w:fill="auto"/>
            <w:vAlign w:val="center"/>
          </w:tcPr>
          <w:p w14:paraId="5266DBD7" w14:textId="1837AB60" w:rsidR="002F3EE9" w:rsidRPr="006B343C" w:rsidRDefault="002F3EE9" w:rsidP="002F3EE9">
            <w:pPr>
              <w:keepNext/>
              <w:jc w:val="left"/>
              <w:rPr>
                <w:rFonts w:ascii="Arial Narrow" w:eastAsiaTheme="majorEastAsia" w:hAnsi="Arial Narrow"/>
                <w:bCs/>
                <w:color w:val="000000"/>
                <w:sz w:val="20"/>
                <w:szCs w:val="20"/>
              </w:rPr>
            </w:pPr>
            <w:r w:rsidRPr="006B343C">
              <w:rPr>
                <w:rFonts w:ascii="Arial Narrow" w:eastAsiaTheme="majorEastAsia" w:hAnsi="Arial Narrow"/>
                <w:bCs/>
                <w:color w:val="000000"/>
                <w:sz w:val="20"/>
                <w:szCs w:val="20"/>
              </w:rPr>
              <w:t>Cost/patient/year (initiating year)</w:t>
            </w:r>
          </w:p>
        </w:tc>
        <w:tc>
          <w:tcPr>
            <w:tcW w:w="2156" w:type="dxa"/>
            <w:shd w:val="clear" w:color="auto" w:fill="auto"/>
            <w:vAlign w:val="center"/>
          </w:tcPr>
          <w:p w14:paraId="4F0CB28D" w14:textId="57EB027E" w:rsidR="002F3EE9" w:rsidRPr="006B343C" w:rsidRDefault="002F3EE9" w:rsidP="002F3EE9">
            <w:pPr>
              <w:keepNext/>
              <w:jc w:val="center"/>
              <w:rPr>
                <w:rFonts w:ascii="Arial Narrow" w:eastAsiaTheme="majorEastAsia" w:hAnsi="Arial Narrow"/>
                <w:bCs/>
                <w:color w:val="000000"/>
                <w:sz w:val="20"/>
                <w:szCs w:val="20"/>
              </w:rPr>
            </w:pPr>
            <w:r w:rsidRPr="006B343C">
              <w:rPr>
                <w:rFonts w:ascii="Arial Narrow" w:eastAsiaTheme="majorEastAsia" w:hAnsi="Arial Narrow"/>
                <w:bCs/>
                <w:color w:val="000000"/>
                <w:sz w:val="20"/>
                <w:szCs w:val="20"/>
                <w:lang w:val="en-US"/>
              </w:rPr>
              <w:t>$</w:t>
            </w:r>
            <w:r w:rsidR="00DC1AEB" w:rsidRPr="00DC1AEB">
              <w:rPr>
                <w:rFonts w:ascii="Arial Narrow" w:eastAsiaTheme="majorEastAsia" w:hAnsi="Arial Narrow"/>
                <w:bCs/>
                <w:color w:val="000000"/>
                <w:sz w:val="20"/>
                <w:szCs w:val="20"/>
                <w:shd w:val="solid" w:color="000000" w:fill="000000"/>
                <w:lang w:val="en-US"/>
                <w14:textFill>
                  <w14:solidFill>
                    <w14:srgbClr w14:val="000000">
                      <w14:alpha w14:val="100000"/>
                    </w14:srgbClr>
                  </w14:solidFill>
                </w14:textFill>
              </w:rPr>
              <w:t>|</w:t>
            </w:r>
            <w:r w:rsidRPr="003667EB">
              <w:rPr>
                <w:rFonts w:ascii="Arial Narrow" w:eastAsiaTheme="majorEastAsia" w:hAnsi="Arial Narrow"/>
                <w:bCs/>
                <w:color w:val="000000"/>
                <w:sz w:val="20"/>
                <w:szCs w:val="20"/>
                <w:vertAlign w:val="superscript"/>
                <w:lang w:val="en-US"/>
              </w:rPr>
              <w:t>c</w:t>
            </w:r>
          </w:p>
        </w:tc>
        <w:tc>
          <w:tcPr>
            <w:tcW w:w="2157" w:type="dxa"/>
            <w:shd w:val="clear" w:color="auto" w:fill="auto"/>
            <w:vAlign w:val="center"/>
          </w:tcPr>
          <w:p w14:paraId="352AB732" w14:textId="37FD0760" w:rsidR="002F3EE9" w:rsidRPr="006B343C" w:rsidDel="007D1D1B" w:rsidRDefault="002F3EE9" w:rsidP="002F3EE9">
            <w:pPr>
              <w:keepNext/>
              <w:jc w:val="center"/>
              <w:rPr>
                <w:rFonts w:ascii="Arial Narrow" w:eastAsiaTheme="majorEastAsia" w:hAnsi="Arial Narrow"/>
                <w:bCs/>
                <w:color w:val="000000"/>
                <w:sz w:val="20"/>
                <w:szCs w:val="20"/>
                <w:vertAlign w:val="superscript"/>
              </w:rPr>
            </w:pPr>
            <w:r w:rsidRPr="006B343C">
              <w:rPr>
                <w:rFonts w:ascii="Arial Narrow" w:eastAsiaTheme="majorEastAsia" w:hAnsi="Arial Narrow"/>
                <w:bCs/>
                <w:color w:val="000000"/>
                <w:sz w:val="20"/>
                <w:szCs w:val="20"/>
              </w:rPr>
              <w:t>$</w:t>
            </w:r>
            <w:r w:rsidR="00DC1AEB" w:rsidRPr="00DC1AEB">
              <w:rPr>
                <w:rFonts w:ascii="Arial Narrow" w:eastAsiaTheme="majorEastAsia" w:hAnsi="Arial Narrow"/>
                <w:bCs/>
                <w:color w:val="000000"/>
                <w:sz w:val="20"/>
                <w:szCs w:val="20"/>
                <w:shd w:val="solid" w:color="000000" w:fill="000000"/>
                <w14:textFill>
                  <w14:solidFill>
                    <w14:srgbClr w14:val="000000">
                      <w14:alpha w14:val="100000"/>
                    </w14:srgbClr>
                  </w14:solidFill>
                </w14:textFill>
              </w:rPr>
              <w:t>|</w:t>
            </w:r>
            <w:r w:rsidRPr="006B343C">
              <w:rPr>
                <w:rFonts w:ascii="Arial Narrow" w:eastAsiaTheme="majorEastAsia" w:hAnsi="Arial Narrow"/>
                <w:bCs/>
                <w:color w:val="000000"/>
                <w:sz w:val="20"/>
                <w:szCs w:val="20"/>
              </w:rPr>
              <w:t xml:space="preserve"> </w:t>
            </w:r>
            <w:r w:rsidR="00AE62C1" w:rsidRPr="006B343C">
              <w:rPr>
                <w:rFonts w:ascii="Arial Narrow" w:eastAsiaTheme="majorEastAsia" w:hAnsi="Arial Narrow"/>
                <w:bCs/>
                <w:color w:val="000000"/>
                <w:sz w:val="20"/>
                <w:szCs w:val="20"/>
                <w:vertAlign w:val="superscript"/>
              </w:rPr>
              <w:t>d</w:t>
            </w:r>
          </w:p>
        </w:tc>
        <w:tc>
          <w:tcPr>
            <w:tcW w:w="2157" w:type="dxa"/>
            <w:shd w:val="clear" w:color="auto" w:fill="auto"/>
            <w:vAlign w:val="center"/>
          </w:tcPr>
          <w:p w14:paraId="42C2C930" w14:textId="5B58F19C" w:rsidR="002F3EE9" w:rsidRPr="006B343C" w:rsidDel="00004A7B" w:rsidRDefault="002F3EE9" w:rsidP="002F3EE9">
            <w:pPr>
              <w:keepNext/>
              <w:jc w:val="center"/>
              <w:rPr>
                <w:rFonts w:ascii="Arial Narrow" w:eastAsiaTheme="majorEastAsia" w:hAnsi="Arial Narrow"/>
                <w:bCs/>
                <w:color w:val="000000"/>
                <w:sz w:val="20"/>
                <w:szCs w:val="20"/>
              </w:rPr>
            </w:pPr>
            <w:r w:rsidRPr="006B343C">
              <w:rPr>
                <w:rFonts w:ascii="Arial Narrow" w:eastAsiaTheme="majorEastAsia" w:hAnsi="Arial Narrow"/>
                <w:bCs/>
                <w:color w:val="000000"/>
                <w:sz w:val="20"/>
                <w:szCs w:val="20"/>
              </w:rPr>
              <w:t>$</w:t>
            </w:r>
            <w:r w:rsidR="00DC1AEB" w:rsidRPr="00DC1AEB">
              <w:rPr>
                <w:rFonts w:ascii="Arial Narrow" w:eastAsiaTheme="majorEastAsia" w:hAnsi="Arial Narrow"/>
                <w:bCs/>
                <w:color w:val="000000"/>
                <w:sz w:val="20"/>
                <w:szCs w:val="20"/>
                <w:shd w:val="solid" w:color="000000" w:fill="000000"/>
                <w14:textFill>
                  <w14:solidFill>
                    <w14:srgbClr w14:val="000000">
                      <w14:alpha w14:val="100000"/>
                    </w14:srgbClr>
                  </w14:solidFill>
                </w14:textFill>
              </w:rPr>
              <w:t>|</w:t>
            </w:r>
            <w:r w:rsidRPr="006B343C">
              <w:rPr>
                <w:rFonts w:ascii="Arial Narrow" w:eastAsiaTheme="majorEastAsia" w:hAnsi="Arial Narrow"/>
                <w:bCs/>
                <w:color w:val="000000"/>
                <w:sz w:val="20"/>
                <w:szCs w:val="20"/>
              </w:rPr>
              <w:t xml:space="preserve"> </w:t>
            </w:r>
            <w:r w:rsidR="00AE62C1" w:rsidRPr="006B343C">
              <w:rPr>
                <w:rFonts w:ascii="Arial Narrow" w:eastAsiaTheme="majorEastAsia" w:hAnsi="Arial Narrow"/>
                <w:bCs/>
                <w:color w:val="000000"/>
                <w:sz w:val="20"/>
                <w:szCs w:val="20"/>
                <w:vertAlign w:val="superscript"/>
              </w:rPr>
              <w:t>d</w:t>
            </w:r>
          </w:p>
        </w:tc>
      </w:tr>
      <w:tr w:rsidR="002F3EE9" w:rsidRPr="006B343C" w14:paraId="4F578926" w14:textId="77777777" w:rsidTr="00FA3306">
        <w:trPr>
          <w:cantSplit/>
          <w:jc w:val="center"/>
        </w:trPr>
        <w:tc>
          <w:tcPr>
            <w:tcW w:w="2547" w:type="dxa"/>
            <w:shd w:val="clear" w:color="auto" w:fill="auto"/>
            <w:vAlign w:val="center"/>
          </w:tcPr>
          <w:p w14:paraId="4478EBE6" w14:textId="3980F513" w:rsidR="00F15BD5" w:rsidRPr="006B343C" w:rsidRDefault="00F15BD5" w:rsidP="002F3EE9">
            <w:pPr>
              <w:keepNext/>
              <w:jc w:val="left"/>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 xml:space="preserve">Average number </w:t>
            </w:r>
            <w:r w:rsidR="00430AE7" w:rsidRPr="006B343C">
              <w:rPr>
                <w:rFonts w:ascii="Arial Narrow" w:eastAsiaTheme="majorEastAsia" w:hAnsi="Arial Narrow"/>
                <w:bCs/>
                <w:color w:val="000000"/>
                <w:sz w:val="20"/>
                <w:szCs w:val="20"/>
              </w:rPr>
              <w:t xml:space="preserve">of </w:t>
            </w:r>
            <w:r w:rsidRPr="006B343C">
              <w:rPr>
                <w:rFonts w:ascii="Arial Narrow" w:eastAsiaTheme="majorEastAsia" w:hAnsi="Arial Narrow"/>
                <w:bCs/>
                <w:color w:val="000000"/>
                <w:sz w:val="20"/>
                <w:szCs w:val="20"/>
              </w:rPr>
              <w:t>doses over time horizon</w:t>
            </w:r>
          </w:p>
        </w:tc>
        <w:tc>
          <w:tcPr>
            <w:tcW w:w="2156" w:type="dxa"/>
            <w:shd w:val="clear" w:color="auto" w:fill="auto"/>
            <w:vAlign w:val="center"/>
          </w:tcPr>
          <w:p w14:paraId="6DFEABE5" w14:textId="66AA3CE3" w:rsidR="002F3EE9" w:rsidRPr="006B343C" w:rsidRDefault="002F3EE9" w:rsidP="002F3EE9">
            <w:pPr>
              <w:keepNext/>
              <w:jc w:val="center"/>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NR</w:t>
            </w:r>
          </w:p>
        </w:tc>
        <w:tc>
          <w:tcPr>
            <w:tcW w:w="2157" w:type="dxa"/>
            <w:shd w:val="clear" w:color="auto" w:fill="auto"/>
            <w:vAlign w:val="center"/>
          </w:tcPr>
          <w:p w14:paraId="5E156C1F" w14:textId="2BEECB93" w:rsidR="002F3EE9" w:rsidRPr="006B343C" w:rsidRDefault="002F3EE9" w:rsidP="002F3EE9">
            <w:pPr>
              <w:keepNext/>
              <w:jc w:val="center"/>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 xml:space="preserve">9.2 </w:t>
            </w:r>
            <w:r w:rsidR="00AE62C1" w:rsidRPr="006B343C">
              <w:rPr>
                <w:rFonts w:ascii="Arial Narrow" w:eastAsiaTheme="majorEastAsia" w:hAnsi="Arial Narrow"/>
                <w:bCs/>
                <w:color w:val="000000"/>
                <w:sz w:val="20"/>
                <w:szCs w:val="20"/>
                <w:vertAlign w:val="superscript"/>
              </w:rPr>
              <w:t>e</w:t>
            </w:r>
          </w:p>
        </w:tc>
        <w:tc>
          <w:tcPr>
            <w:tcW w:w="2157" w:type="dxa"/>
            <w:shd w:val="clear" w:color="auto" w:fill="auto"/>
            <w:vAlign w:val="center"/>
          </w:tcPr>
          <w:p w14:paraId="76E1CBE2" w14:textId="03048A97" w:rsidR="002F3EE9" w:rsidRPr="006B343C" w:rsidRDefault="002F3EE9" w:rsidP="002F3EE9">
            <w:pPr>
              <w:keepNext/>
              <w:jc w:val="center"/>
              <w:rPr>
                <w:rFonts w:ascii="Arial Narrow" w:eastAsiaTheme="majorEastAsia" w:hAnsi="Arial Narrow" w:cstheme="majorBidi"/>
                <w:bCs/>
                <w:sz w:val="20"/>
                <w:lang w:val="en-US"/>
              </w:rPr>
            </w:pPr>
            <w:r w:rsidRPr="006B343C">
              <w:rPr>
                <w:rFonts w:ascii="Arial Narrow" w:eastAsiaTheme="majorEastAsia" w:hAnsi="Arial Narrow"/>
                <w:bCs/>
                <w:color w:val="000000"/>
                <w:sz w:val="20"/>
                <w:szCs w:val="20"/>
              </w:rPr>
              <w:t xml:space="preserve">6.7 </w:t>
            </w:r>
            <w:r w:rsidR="00AE62C1" w:rsidRPr="006B343C">
              <w:rPr>
                <w:rFonts w:ascii="Arial Narrow" w:eastAsiaTheme="majorEastAsia" w:hAnsi="Arial Narrow"/>
                <w:bCs/>
                <w:color w:val="000000"/>
                <w:sz w:val="20"/>
                <w:szCs w:val="20"/>
                <w:vertAlign w:val="superscript"/>
                <w:lang w:val="en-US"/>
              </w:rPr>
              <w:t>f</w:t>
            </w:r>
          </w:p>
        </w:tc>
      </w:tr>
      <w:tr w:rsidR="00AB53C7" w:rsidRPr="006B343C" w14:paraId="7B5A4BBE" w14:textId="77777777" w:rsidTr="00FA3306">
        <w:trPr>
          <w:cantSplit/>
          <w:jc w:val="center"/>
        </w:trPr>
        <w:tc>
          <w:tcPr>
            <w:tcW w:w="2547" w:type="dxa"/>
            <w:shd w:val="clear" w:color="auto" w:fill="auto"/>
            <w:vAlign w:val="center"/>
          </w:tcPr>
          <w:p w14:paraId="18E5C6D0" w14:textId="78FA7A03" w:rsidR="00AB53C7" w:rsidRPr="006B343C" w:rsidRDefault="00AB53C7" w:rsidP="00AB53C7">
            <w:pPr>
              <w:keepNext/>
              <w:jc w:val="left"/>
              <w:rPr>
                <w:rFonts w:ascii="Arial Narrow" w:eastAsiaTheme="majorEastAsia" w:hAnsi="Arial Narrow"/>
                <w:bCs/>
                <w:color w:val="000000"/>
                <w:sz w:val="20"/>
                <w:szCs w:val="20"/>
              </w:rPr>
            </w:pPr>
            <w:r w:rsidRPr="006B343C">
              <w:rPr>
                <w:rFonts w:ascii="Arial Narrow" w:eastAsiaTheme="majorEastAsia" w:hAnsi="Arial Narrow"/>
                <w:bCs/>
                <w:color w:val="000000"/>
                <w:sz w:val="20"/>
                <w:szCs w:val="20"/>
              </w:rPr>
              <w:t>Cost/patient/</w:t>
            </w:r>
            <w:r w:rsidR="001A44DF" w:rsidRPr="006B343C">
              <w:rPr>
                <w:rFonts w:ascii="Arial Narrow" w:eastAsiaTheme="majorEastAsia" w:hAnsi="Arial Narrow"/>
                <w:bCs/>
                <w:color w:val="000000"/>
                <w:sz w:val="20"/>
                <w:szCs w:val="20"/>
              </w:rPr>
              <w:t>year</w:t>
            </w:r>
            <w:r w:rsidR="00C108A7" w:rsidRPr="006B343C">
              <w:rPr>
                <w:rFonts w:ascii="Arial Narrow" w:eastAsiaTheme="majorEastAsia" w:hAnsi="Arial Narrow"/>
                <w:bCs/>
                <w:color w:val="000000"/>
                <w:sz w:val="20"/>
                <w:szCs w:val="20"/>
              </w:rPr>
              <w:t xml:space="preserve"> </w:t>
            </w:r>
            <w:r w:rsidR="00A37C26" w:rsidRPr="006B343C">
              <w:rPr>
                <w:rFonts w:ascii="Arial Narrow" w:eastAsiaTheme="majorEastAsia" w:hAnsi="Arial Narrow"/>
                <w:bCs/>
                <w:color w:val="000000"/>
                <w:sz w:val="20"/>
                <w:szCs w:val="20"/>
              </w:rPr>
              <w:t>(averaged over proposed time horizon)</w:t>
            </w:r>
          </w:p>
        </w:tc>
        <w:tc>
          <w:tcPr>
            <w:tcW w:w="2156" w:type="dxa"/>
            <w:shd w:val="clear" w:color="auto" w:fill="auto"/>
            <w:vAlign w:val="center"/>
          </w:tcPr>
          <w:p w14:paraId="4208DF2C" w14:textId="4109CD2A" w:rsidR="00AB53C7" w:rsidRPr="006B343C" w:rsidRDefault="00AB53C7" w:rsidP="00AB53C7">
            <w:pPr>
              <w:keepNext/>
              <w:jc w:val="center"/>
              <w:rPr>
                <w:rFonts w:ascii="Arial Narrow" w:eastAsiaTheme="majorEastAsia" w:hAnsi="Arial Narrow"/>
                <w:bCs/>
                <w:color w:val="000000"/>
                <w:sz w:val="20"/>
                <w:szCs w:val="20"/>
                <w:lang w:val="en-US"/>
              </w:rPr>
            </w:pPr>
            <w:r w:rsidRPr="006B343C">
              <w:rPr>
                <w:rFonts w:ascii="Arial Narrow" w:eastAsiaTheme="majorEastAsia" w:hAnsi="Arial Narrow"/>
                <w:bCs/>
                <w:color w:val="000000"/>
                <w:sz w:val="20"/>
                <w:szCs w:val="20"/>
                <w:lang w:val="en-US"/>
              </w:rPr>
              <w:t>$</w:t>
            </w:r>
            <w:r w:rsidR="00DC1AEB" w:rsidRPr="00DC1AEB">
              <w:rPr>
                <w:rFonts w:ascii="Arial Narrow" w:eastAsiaTheme="majorEastAsia" w:hAnsi="Arial Narrow"/>
                <w:bCs/>
                <w:color w:val="000000"/>
                <w:sz w:val="20"/>
                <w:szCs w:val="20"/>
                <w:shd w:val="solid" w:color="000000" w:fill="000000"/>
                <w:lang w:val="en-US"/>
                <w14:textFill>
                  <w14:solidFill>
                    <w14:srgbClr w14:val="000000">
                      <w14:alpha w14:val="100000"/>
                    </w14:srgbClr>
                  </w14:solidFill>
                </w14:textFill>
              </w:rPr>
              <w:t>|</w:t>
            </w:r>
            <w:r w:rsidRPr="006B343C">
              <w:rPr>
                <w:rFonts w:ascii="Arial Narrow" w:eastAsiaTheme="majorEastAsia" w:hAnsi="Arial Narrow"/>
                <w:bCs/>
                <w:color w:val="000000"/>
                <w:sz w:val="20"/>
                <w:szCs w:val="20"/>
                <w:lang w:val="en-US"/>
              </w:rPr>
              <w:t xml:space="preserve"> </w:t>
            </w:r>
            <w:r w:rsidRPr="006B343C">
              <w:rPr>
                <w:rFonts w:ascii="Arial Narrow" w:eastAsiaTheme="majorEastAsia" w:hAnsi="Arial Narrow"/>
                <w:bCs/>
                <w:color w:val="000000"/>
                <w:sz w:val="20"/>
                <w:szCs w:val="20"/>
                <w:vertAlign w:val="superscript"/>
                <w:lang w:val="en-US"/>
              </w:rPr>
              <w:t>c</w:t>
            </w:r>
          </w:p>
        </w:tc>
        <w:tc>
          <w:tcPr>
            <w:tcW w:w="2157" w:type="dxa"/>
            <w:shd w:val="clear" w:color="auto" w:fill="auto"/>
            <w:vAlign w:val="center"/>
          </w:tcPr>
          <w:p w14:paraId="69666B01" w14:textId="5ED6AE26" w:rsidR="00AB53C7" w:rsidRPr="006B343C" w:rsidRDefault="00AB53C7" w:rsidP="00AB53C7">
            <w:pPr>
              <w:keepNext/>
              <w:jc w:val="center"/>
              <w:rPr>
                <w:rFonts w:ascii="Arial Narrow" w:eastAsiaTheme="majorEastAsia" w:hAnsi="Arial Narrow"/>
                <w:bCs/>
                <w:color w:val="000000"/>
                <w:sz w:val="20"/>
                <w:szCs w:val="20"/>
              </w:rPr>
            </w:pPr>
            <w:r w:rsidRPr="006B343C">
              <w:rPr>
                <w:rFonts w:ascii="Arial Narrow" w:eastAsiaTheme="majorEastAsia" w:hAnsi="Arial Narrow"/>
                <w:bCs/>
                <w:color w:val="000000"/>
                <w:sz w:val="20"/>
                <w:szCs w:val="20"/>
              </w:rPr>
              <w:t>$</w:t>
            </w:r>
            <w:r w:rsidR="00DC1AEB" w:rsidRPr="00DC1AEB">
              <w:rPr>
                <w:rFonts w:ascii="Arial Narrow" w:eastAsiaTheme="majorEastAsia" w:hAnsi="Arial Narrow"/>
                <w:bCs/>
                <w:color w:val="000000"/>
                <w:sz w:val="20"/>
                <w:szCs w:val="20"/>
                <w:shd w:val="solid" w:color="000000" w:fill="000000"/>
                <w14:textFill>
                  <w14:solidFill>
                    <w14:srgbClr w14:val="000000">
                      <w14:alpha w14:val="100000"/>
                    </w14:srgbClr>
                  </w14:solidFill>
                </w14:textFill>
              </w:rPr>
              <w:t>|</w:t>
            </w:r>
            <w:r w:rsidRPr="006B343C">
              <w:rPr>
                <w:rFonts w:ascii="Arial Narrow" w:eastAsiaTheme="majorEastAsia" w:hAnsi="Arial Narrow"/>
                <w:bCs/>
                <w:color w:val="000000"/>
                <w:sz w:val="20"/>
                <w:szCs w:val="20"/>
              </w:rPr>
              <w:t xml:space="preserve"> </w:t>
            </w:r>
            <w:r w:rsidR="00AE62C1" w:rsidRPr="006B343C">
              <w:rPr>
                <w:rFonts w:ascii="Arial Narrow" w:eastAsiaTheme="majorEastAsia" w:hAnsi="Arial Narrow"/>
                <w:bCs/>
                <w:color w:val="000000"/>
                <w:sz w:val="20"/>
                <w:szCs w:val="20"/>
                <w:vertAlign w:val="superscript"/>
              </w:rPr>
              <w:t>e</w:t>
            </w:r>
          </w:p>
        </w:tc>
        <w:tc>
          <w:tcPr>
            <w:tcW w:w="2157" w:type="dxa"/>
            <w:shd w:val="clear" w:color="auto" w:fill="auto"/>
            <w:vAlign w:val="center"/>
          </w:tcPr>
          <w:p w14:paraId="19240545" w14:textId="75646200" w:rsidR="00AB53C7" w:rsidRPr="006B343C" w:rsidRDefault="00AB53C7" w:rsidP="00AB53C7">
            <w:pPr>
              <w:keepNext/>
              <w:jc w:val="center"/>
              <w:rPr>
                <w:rFonts w:ascii="Arial Narrow" w:eastAsiaTheme="majorEastAsia" w:hAnsi="Arial Narrow"/>
                <w:bCs/>
                <w:color w:val="000000"/>
                <w:sz w:val="20"/>
                <w:szCs w:val="20"/>
                <w:lang w:val="en-US"/>
              </w:rPr>
            </w:pPr>
            <w:r w:rsidRPr="006B343C">
              <w:rPr>
                <w:rFonts w:ascii="Arial Narrow" w:eastAsiaTheme="majorEastAsia" w:hAnsi="Arial Narrow"/>
                <w:bCs/>
                <w:color w:val="000000"/>
                <w:sz w:val="20"/>
                <w:szCs w:val="20"/>
                <w:lang w:val="en-US"/>
              </w:rPr>
              <w:t>$</w:t>
            </w:r>
            <w:r w:rsidR="00DC1AEB" w:rsidRPr="00DC1AEB">
              <w:rPr>
                <w:rFonts w:ascii="Arial Narrow" w:eastAsiaTheme="majorEastAsia" w:hAnsi="Arial Narrow"/>
                <w:bCs/>
                <w:color w:val="000000"/>
                <w:sz w:val="20"/>
                <w:szCs w:val="20"/>
                <w:shd w:val="solid" w:color="000000" w:fill="000000"/>
                <w:lang w:val="en-US"/>
                <w14:textFill>
                  <w14:solidFill>
                    <w14:srgbClr w14:val="000000">
                      <w14:alpha w14:val="100000"/>
                    </w14:srgbClr>
                  </w14:solidFill>
                </w14:textFill>
              </w:rPr>
              <w:t>|</w:t>
            </w:r>
            <w:r w:rsidRPr="006B343C">
              <w:rPr>
                <w:rFonts w:ascii="Arial Narrow" w:eastAsiaTheme="majorEastAsia" w:hAnsi="Arial Narrow"/>
                <w:bCs/>
                <w:color w:val="000000"/>
                <w:sz w:val="20"/>
                <w:szCs w:val="20"/>
                <w:lang w:val="en-US"/>
              </w:rPr>
              <w:t xml:space="preserve"> </w:t>
            </w:r>
            <w:r w:rsidR="00AE62C1" w:rsidRPr="006B343C">
              <w:rPr>
                <w:rFonts w:ascii="Arial Narrow" w:eastAsiaTheme="majorEastAsia" w:hAnsi="Arial Narrow"/>
                <w:bCs/>
                <w:color w:val="000000"/>
                <w:sz w:val="20"/>
                <w:szCs w:val="20"/>
                <w:vertAlign w:val="superscript"/>
                <w:lang w:val="en-US"/>
              </w:rPr>
              <w:t>f</w:t>
            </w:r>
          </w:p>
        </w:tc>
      </w:tr>
    </w:tbl>
    <w:p w14:paraId="3F4E0188" w14:textId="77777777" w:rsidR="007F5816" w:rsidRPr="007F5816" w:rsidRDefault="007F5816" w:rsidP="007F5816">
      <w:pPr>
        <w:spacing w:after="120"/>
        <w:contextualSpacing/>
        <w:rPr>
          <w:rFonts w:ascii="Arial Narrow" w:hAnsi="Arial Narrow"/>
          <w:snapToGrid w:val="0"/>
          <w:sz w:val="18"/>
          <w:szCs w:val="22"/>
        </w:rPr>
      </w:pPr>
      <w:r w:rsidRPr="007F5816">
        <w:rPr>
          <w:rFonts w:ascii="Arial Narrow" w:hAnsi="Arial Narrow"/>
          <w:snapToGrid w:val="0"/>
          <w:sz w:val="18"/>
          <w:szCs w:val="22"/>
        </w:rPr>
        <w:t>Source: Compiled during the evaluation</w:t>
      </w:r>
    </w:p>
    <w:p w14:paraId="2E9DA18A" w14:textId="77777777" w:rsidR="007F5816" w:rsidRPr="007F5816" w:rsidRDefault="007F5816" w:rsidP="007F5816">
      <w:pPr>
        <w:spacing w:after="120"/>
        <w:contextualSpacing/>
        <w:rPr>
          <w:rFonts w:ascii="Arial Narrow" w:hAnsi="Arial Narrow"/>
          <w:snapToGrid w:val="0"/>
          <w:sz w:val="18"/>
          <w:szCs w:val="22"/>
        </w:rPr>
      </w:pPr>
      <w:r w:rsidRPr="007F5816">
        <w:rPr>
          <w:rFonts w:ascii="Arial Narrow" w:hAnsi="Arial Narrow"/>
          <w:snapToGrid w:val="0"/>
          <w:sz w:val="18"/>
          <w:szCs w:val="22"/>
        </w:rPr>
        <w:t>Abbreviations: NR, Not reported</w:t>
      </w:r>
    </w:p>
    <w:p w14:paraId="704AEA85" w14:textId="77777777" w:rsidR="007F5816" w:rsidRPr="007F5816" w:rsidRDefault="007F5816" w:rsidP="007F5816">
      <w:pPr>
        <w:spacing w:after="120"/>
        <w:contextualSpacing/>
        <w:rPr>
          <w:rFonts w:ascii="Arial Narrow" w:hAnsi="Arial Narrow"/>
          <w:snapToGrid w:val="0"/>
          <w:sz w:val="18"/>
          <w:szCs w:val="22"/>
        </w:rPr>
      </w:pPr>
      <w:r w:rsidRPr="007F5816">
        <w:rPr>
          <w:rFonts w:ascii="Arial Narrow" w:hAnsi="Arial Narrow"/>
          <w:snapToGrid w:val="0"/>
          <w:sz w:val="18"/>
          <w:szCs w:val="22"/>
          <w:vertAlign w:val="superscript"/>
        </w:rPr>
        <w:t>a</w:t>
      </w:r>
      <w:r w:rsidRPr="007F5816">
        <w:rPr>
          <w:rFonts w:ascii="Arial Narrow" w:hAnsi="Arial Narrow"/>
          <w:snapToGrid w:val="0"/>
          <w:sz w:val="18"/>
          <w:szCs w:val="22"/>
        </w:rPr>
        <w:t xml:space="preserve"> Duration of exposure to vedolizumab IV is defined as date of last dose – date of first dose + 1 + 126 to account for 5*half-life of vedolizumab and duration of exposure to placebo is defined as date of last dose – date of first dose + 1.</w:t>
      </w:r>
    </w:p>
    <w:p w14:paraId="0513E3C9" w14:textId="77777777" w:rsidR="007F5816" w:rsidRPr="007F5816" w:rsidRDefault="007F5816" w:rsidP="007F5816">
      <w:pPr>
        <w:spacing w:after="120"/>
        <w:contextualSpacing/>
        <w:rPr>
          <w:rFonts w:ascii="Arial Narrow" w:hAnsi="Arial Narrow"/>
          <w:snapToGrid w:val="0"/>
          <w:sz w:val="18"/>
          <w:szCs w:val="22"/>
        </w:rPr>
      </w:pPr>
      <w:r w:rsidRPr="007F5816">
        <w:rPr>
          <w:rFonts w:ascii="Arial Narrow" w:hAnsi="Arial Narrow"/>
          <w:snapToGrid w:val="0"/>
          <w:sz w:val="18"/>
          <w:szCs w:val="22"/>
          <w:vertAlign w:val="superscript"/>
        </w:rPr>
        <w:t>b</w:t>
      </w:r>
      <w:r w:rsidRPr="007F5816">
        <w:rPr>
          <w:rFonts w:ascii="Arial Narrow" w:hAnsi="Arial Narrow"/>
          <w:snapToGrid w:val="0"/>
          <w:sz w:val="18"/>
          <w:szCs w:val="22"/>
        </w:rPr>
        <w:t xml:space="preserve"> Proportion of patients completing six doses</w:t>
      </w:r>
    </w:p>
    <w:p w14:paraId="6716460C" w14:textId="77777777" w:rsidR="007F5816" w:rsidRPr="007F5816" w:rsidRDefault="007F5816" w:rsidP="007F5816">
      <w:pPr>
        <w:spacing w:after="120"/>
        <w:contextualSpacing/>
        <w:rPr>
          <w:rFonts w:ascii="Arial Narrow" w:hAnsi="Arial Narrow"/>
          <w:snapToGrid w:val="0"/>
          <w:sz w:val="18"/>
          <w:szCs w:val="22"/>
        </w:rPr>
      </w:pPr>
      <w:r w:rsidRPr="007F5816">
        <w:rPr>
          <w:rFonts w:ascii="Arial Narrow" w:hAnsi="Arial Narrow"/>
          <w:snapToGrid w:val="0"/>
          <w:sz w:val="18"/>
          <w:szCs w:val="22"/>
          <w:vertAlign w:val="superscript"/>
        </w:rPr>
        <w:t>c</w:t>
      </w:r>
      <w:r w:rsidRPr="007F5816">
        <w:rPr>
          <w:rFonts w:ascii="Arial Narrow" w:hAnsi="Arial Narrow"/>
          <w:snapToGrid w:val="0"/>
          <w:sz w:val="18"/>
          <w:szCs w:val="22"/>
        </w:rPr>
        <w:t xml:space="preserve"> Calculated based on weighted DPMQ, 6 doses and compliance of 70.6%</w:t>
      </w:r>
    </w:p>
    <w:p w14:paraId="6AF434B8" w14:textId="77777777" w:rsidR="000F1973" w:rsidRDefault="007F5816" w:rsidP="007F5816">
      <w:pPr>
        <w:spacing w:after="120"/>
        <w:contextualSpacing/>
        <w:rPr>
          <w:rFonts w:ascii="Arial Narrow" w:hAnsi="Arial Narrow"/>
          <w:snapToGrid w:val="0"/>
          <w:sz w:val="18"/>
          <w:szCs w:val="22"/>
        </w:rPr>
      </w:pPr>
      <w:r w:rsidRPr="007F5816">
        <w:rPr>
          <w:rFonts w:ascii="Arial Narrow" w:hAnsi="Arial Narrow"/>
          <w:snapToGrid w:val="0"/>
          <w:sz w:val="18"/>
          <w:szCs w:val="22"/>
          <w:vertAlign w:val="superscript"/>
        </w:rPr>
        <w:t>d</w:t>
      </w:r>
      <w:r w:rsidRPr="007F5816">
        <w:rPr>
          <w:rFonts w:ascii="Arial Narrow" w:hAnsi="Arial Narrow"/>
          <w:snapToGrid w:val="0"/>
          <w:sz w:val="18"/>
          <w:szCs w:val="22"/>
        </w:rPr>
        <w:t xml:space="preserve"> </w:t>
      </w:r>
      <w:r w:rsidR="000F1973">
        <w:rPr>
          <w:rFonts w:ascii="Arial Narrow" w:hAnsi="Arial Narrow"/>
          <w:snapToGrid w:val="0"/>
          <w:sz w:val="18"/>
          <w:szCs w:val="22"/>
        </w:rPr>
        <w:t>Calculated based on recommended dose and compliance of 100%</w:t>
      </w:r>
    </w:p>
    <w:p w14:paraId="5C8A24C2" w14:textId="1FDE2655" w:rsidR="007F5816" w:rsidRPr="007F5816" w:rsidRDefault="00AE62C1" w:rsidP="007F5816">
      <w:pPr>
        <w:spacing w:after="120"/>
        <w:contextualSpacing/>
        <w:rPr>
          <w:rFonts w:ascii="Arial Narrow" w:hAnsi="Arial Narrow"/>
          <w:snapToGrid w:val="0"/>
          <w:sz w:val="18"/>
          <w:szCs w:val="22"/>
        </w:rPr>
      </w:pPr>
      <w:r w:rsidRPr="007F5816">
        <w:rPr>
          <w:rFonts w:ascii="Arial Narrow" w:hAnsi="Arial Narrow"/>
          <w:snapToGrid w:val="0"/>
          <w:sz w:val="18"/>
          <w:szCs w:val="22"/>
          <w:vertAlign w:val="superscript"/>
        </w:rPr>
        <w:t>e</w:t>
      </w:r>
      <w:r w:rsidRPr="007F5816">
        <w:rPr>
          <w:rFonts w:ascii="Arial Narrow" w:hAnsi="Arial Narrow"/>
          <w:snapToGrid w:val="0"/>
          <w:sz w:val="18"/>
          <w:szCs w:val="22"/>
        </w:rPr>
        <w:t xml:space="preserve"> </w:t>
      </w:r>
      <w:r w:rsidR="007F5816" w:rsidRPr="007F5816">
        <w:rPr>
          <w:rFonts w:ascii="Arial Narrow" w:hAnsi="Arial Narrow"/>
          <w:snapToGrid w:val="0"/>
          <w:sz w:val="18"/>
          <w:szCs w:val="22"/>
        </w:rPr>
        <w:t>Based on outputs from the model (undiscounted)</w:t>
      </w:r>
      <w:r w:rsidR="00EF025E">
        <w:rPr>
          <w:rFonts w:ascii="Arial Narrow" w:hAnsi="Arial Narrow"/>
          <w:snapToGrid w:val="0"/>
          <w:sz w:val="18"/>
          <w:szCs w:val="22"/>
        </w:rPr>
        <w:t xml:space="preserve"> over a 10-year time horizon</w:t>
      </w:r>
    </w:p>
    <w:p w14:paraId="3AB0FD9E" w14:textId="39754AE0" w:rsidR="007F5816" w:rsidRDefault="00AE62C1" w:rsidP="0089466B">
      <w:pPr>
        <w:spacing w:after="240"/>
        <w:rPr>
          <w:rFonts w:ascii="Arial Narrow" w:hAnsi="Arial Narrow"/>
          <w:snapToGrid w:val="0"/>
          <w:sz w:val="18"/>
          <w:szCs w:val="22"/>
        </w:rPr>
      </w:pPr>
      <w:r>
        <w:rPr>
          <w:rFonts w:ascii="Arial Narrow" w:hAnsi="Arial Narrow"/>
          <w:snapToGrid w:val="0"/>
          <w:sz w:val="18"/>
          <w:szCs w:val="22"/>
          <w:vertAlign w:val="superscript"/>
        </w:rPr>
        <w:t>f</w:t>
      </w:r>
      <w:r>
        <w:rPr>
          <w:rFonts w:ascii="Arial Narrow" w:hAnsi="Arial Narrow"/>
          <w:snapToGrid w:val="0"/>
          <w:sz w:val="18"/>
          <w:szCs w:val="22"/>
        </w:rPr>
        <w:t xml:space="preserve"> </w:t>
      </w:r>
      <w:r w:rsidR="007F5816" w:rsidRPr="007F5816">
        <w:rPr>
          <w:rFonts w:ascii="Arial Narrow" w:hAnsi="Arial Narrow"/>
          <w:snapToGrid w:val="0"/>
          <w:sz w:val="18"/>
          <w:szCs w:val="22"/>
        </w:rPr>
        <w:t xml:space="preserve">Calculated based on weighted DPMQ, </w:t>
      </w:r>
      <w:r w:rsidR="00636A57">
        <w:rPr>
          <w:rFonts w:ascii="Arial Narrow" w:hAnsi="Arial Narrow"/>
          <w:snapToGrid w:val="0"/>
          <w:sz w:val="18"/>
          <w:szCs w:val="22"/>
        </w:rPr>
        <w:t>6.7</w:t>
      </w:r>
      <w:r w:rsidR="007F5816" w:rsidRPr="007F5816">
        <w:rPr>
          <w:rFonts w:ascii="Arial Narrow" w:hAnsi="Arial Narrow"/>
          <w:snapToGrid w:val="0"/>
          <w:sz w:val="18"/>
          <w:szCs w:val="22"/>
        </w:rPr>
        <w:t xml:space="preserve"> vials </w:t>
      </w:r>
      <w:r w:rsidR="00636A57">
        <w:rPr>
          <w:rFonts w:ascii="Arial Narrow" w:hAnsi="Arial Narrow"/>
          <w:snapToGrid w:val="0"/>
          <w:sz w:val="18"/>
          <w:szCs w:val="22"/>
        </w:rPr>
        <w:t>(</w:t>
      </w:r>
      <w:r w:rsidR="00631BFD">
        <w:rPr>
          <w:rFonts w:ascii="Arial Narrow" w:hAnsi="Arial Narrow"/>
          <w:snapToGrid w:val="0"/>
          <w:sz w:val="18"/>
          <w:szCs w:val="22"/>
        </w:rPr>
        <w:t xml:space="preserve">7.75 in year 1 and 6.5 for subsequent years), </w:t>
      </w:r>
      <w:r w:rsidR="007F5816" w:rsidRPr="007F5816">
        <w:rPr>
          <w:rFonts w:ascii="Arial Narrow" w:hAnsi="Arial Narrow"/>
          <w:snapToGrid w:val="0"/>
          <w:sz w:val="18"/>
          <w:szCs w:val="22"/>
        </w:rPr>
        <w:t>compliance of 100%</w:t>
      </w:r>
      <w:r w:rsidR="00631BFD">
        <w:rPr>
          <w:rFonts w:ascii="Arial Narrow" w:hAnsi="Arial Narrow"/>
          <w:snapToGrid w:val="0"/>
          <w:sz w:val="18"/>
          <w:szCs w:val="22"/>
        </w:rPr>
        <w:t xml:space="preserve"> over a 6-year time horizon</w:t>
      </w:r>
    </w:p>
    <w:p w14:paraId="2E2B3FFF" w14:textId="7F882FDD" w:rsidR="002C74B6" w:rsidRDefault="002C74B6" w:rsidP="007F5816">
      <w:pPr>
        <w:numPr>
          <w:ilvl w:val="1"/>
          <w:numId w:val="1"/>
        </w:numPr>
        <w:spacing w:after="120"/>
        <w:rPr>
          <w:rFonts w:asciiTheme="minorHAnsi" w:hAnsiTheme="minorHAnsi"/>
          <w:snapToGrid w:val="0"/>
        </w:rPr>
      </w:pPr>
      <w:r>
        <w:rPr>
          <w:rFonts w:asciiTheme="minorHAnsi" w:hAnsiTheme="minorHAnsi"/>
          <w:snapToGrid w:val="0"/>
        </w:rPr>
        <w:lastRenderedPageBreak/>
        <w:t xml:space="preserve">The drug cost per patient for vedolizumab is presented in </w:t>
      </w:r>
      <w:r>
        <w:rPr>
          <w:rFonts w:asciiTheme="minorHAnsi" w:hAnsiTheme="minorHAnsi"/>
          <w:snapToGrid w:val="0"/>
        </w:rPr>
        <w:fldChar w:fldCharType="begin" w:fldLock="1"/>
      </w:r>
      <w:r>
        <w:rPr>
          <w:rFonts w:asciiTheme="minorHAnsi" w:hAnsiTheme="minorHAnsi"/>
          <w:snapToGrid w:val="0"/>
        </w:rPr>
        <w:instrText xml:space="preserve"> REF _Ref172201615 \h  \* MERGEFORMAT </w:instrText>
      </w:r>
      <w:r>
        <w:rPr>
          <w:rFonts w:asciiTheme="minorHAnsi" w:hAnsiTheme="minorHAnsi"/>
          <w:snapToGrid w:val="0"/>
        </w:rPr>
      </w:r>
      <w:r>
        <w:rPr>
          <w:rFonts w:asciiTheme="minorHAnsi" w:hAnsiTheme="minorHAnsi"/>
          <w:snapToGrid w:val="0"/>
        </w:rPr>
        <w:fldChar w:fldCharType="separate"/>
      </w:r>
      <w:r w:rsidR="00DC7CC4" w:rsidRPr="00DC7CC4">
        <w:rPr>
          <w:rFonts w:asciiTheme="minorHAnsi" w:hAnsiTheme="minorHAnsi"/>
          <w:snapToGrid w:val="0"/>
        </w:rPr>
        <w:t>Table 14</w:t>
      </w:r>
      <w:r>
        <w:rPr>
          <w:rFonts w:asciiTheme="minorHAnsi" w:hAnsiTheme="minorHAnsi"/>
          <w:snapToGrid w:val="0"/>
        </w:rPr>
        <w:fldChar w:fldCharType="end"/>
      </w:r>
      <w:r>
        <w:rPr>
          <w:rFonts w:asciiTheme="minorHAnsi" w:hAnsiTheme="minorHAnsi"/>
          <w:snapToGrid w:val="0"/>
        </w:rPr>
        <w:t>, based on the price proposed in the submission. A lower price (</w:t>
      </w:r>
      <w:r w:rsidR="00DC1AEB" w:rsidRPr="00827768">
        <w:rPr>
          <w:rFonts w:asciiTheme="minorHAnsi" w:hAnsiTheme="minorHAnsi"/>
          <w:snapToGrid w:val="0"/>
          <w:color w:val="000000"/>
          <w:w w:val="15"/>
          <w:shd w:val="solid" w:color="000000" w:fill="000000"/>
          <w:fitText w:val="-20" w:id="-894165490"/>
          <w14:textFill>
            <w14:solidFill>
              <w14:srgbClr w14:val="000000">
                <w14:alpha w14:val="100000"/>
              </w14:srgbClr>
            </w14:solidFill>
          </w14:textFill>
        </w:rPr>
        <w:t xml:space="preserve">|  </w:t>
      </w:r>
      <w:r w:rsidR="00DC1AEB" w:rsidRPr="00827768">
        <w:rPr>
          <w:rFonts w:asciiTheme="minorHAnsi" w:hAnsiTheme="minorHAnsi"/>
          <w:snapToGrid w:val="0"/>
          <w:color w:val="000000"/>
          <w:spacing w:val="-69"/>
          <w:w w:val="15"/>
          <w:shd w:val="solid" w:color="000000" w:fill="000000"/>
          <w:fitText w:val="-20" w:id="-894165490"/>
          <w14:textFill>
            <w14:solidFill>
              <w14:srgbClr w14:val="000000">
                <w14:alpha w14:val="100000"/>
              </w14:srgbClr>
            </w14:solidFill>
          </w14:textFill>
        </w:rPr>
        <w:t>|</w:t>
      </w:r>
      <w:r>
        <w:rPr>
          <w:rFonts w:asciiTheme="minorHAnsi" w:hAnsiTheme="minorHAnsi"/>
          <w:snapToGrid w:val="0"/>
        </w:rPr>
        <w:t>% reduction) was proposed in the pre-PBAC response.</w:t>
      </w:r>
    </w:p>
    <w:p w14:paraId="25AF5B5B" w14:textId="6BCCE2F2" w:rsidR="00DC736B" w:rsidRPr="006B343C" w:rsidRDefault="00DC736B"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The average number of doses per patient was different between the economic model and the financial estimates. </w:t>
      </w:r>
    </w:p>
    <w:p w14:paraId="32FE79C1" w14:textId="2B899BAB" w:rsidR="007F5816" w:rsidRPr="006B343C" w:rsidRDefault="007F5816" w:rsidP="007F5816">
      <w:pPr>
        <w:numPr>
          <w:ilvl w:val="1"/>
          <w:numId w:val="1"/>
        </w:numPr>
        <w:spacing w:after="120"/>
        <w:rPr>
          <w:rFonts w:asciiTheme="minorHAnsi" w:hAnsiTheme="minorHAnsi"/>
          <w:snapToGrid w:val="0"/>
        </w:rPr>
      </w:pPr>
      <w:r w:rsidRPr="006B343C">
        <w:rPr>
          <w:rFonts w:asciiTheme="minorHAnsi" w:hAnsiTheme="minorHAnsi"/>
          <w:snapToGrid w:val="0"/>
        </w:rPr>
        <w:t xml:space="preserve">The higher cost per </w:t>
      </w:r>
      <w:r w:rsidR="00950EC9">
        <w:rPr>
          <w:rFonts w:asciiTheme="minorHAnsi" w:hAnsiTheme="minorHAnsi"/>
          <w:snapToGrid w:val="0"/>
        </w:rPr>
        <w:t xml:space="preserve">patient per </w:t>
      </w:r>
      <w:r w:rsidR="00613C3C" w:rsidRPr="006B343C">
        <w:rPr>
          <w:rFonts w:asciiTheme="minorHAnsi" w:hAnsiTheme="minorHAnsi"/>
          <w:snapToGrid w:val="0"/>
        </w:rPr>
        <w:t xml:space="preserve">year </w:t>
      </w:r>
      <w:r w:rsidRPr="006B343C">
        <w:rPr>
          <w:rFonts w:asciiTheme="minorHAnsi" w:hAnsiTheme="minorHAnsi"/>
          <w:snapToGrid w:val="0"/>
        </w:rPr>
        <w:t xml:space="preserve">in both the economic model and the financial estimates is due to the submission’s assumption that patients on vedolizumab would continue to remain on treatment as long as patient remined in remission and a 100% compliance. </w:t>
      </w:r>
    </w:p>
    <w:p w14:paraId="6791B568" w14:textId="77777777" w:rsidR="007F5816" w:rsidRPr="007F5816" w:rsidRDefault="007F5816" w:rsidP="003305CD">
      <w:pPr>
        <w:pStyle w:val="4-SubsectionHeading"/>
      </w:pPr>
      <w:bookmarkStart w:id="106" w:name="_Toc22897647"/>
      <w:bookmarkStart w:id="107" w:name="_Toc107927633"/>
      <w:bookmarkStart w:id="108" w:name="_Toc167264525"/>
      <w:r w:rsidRPr="007F5816">
        <w:t>Estimated PBS usage &amp; financial implications</w:t>
      </w:r>
      <w:bookmarkEnd w:id="106"/>
      <w:bookmarkEnd w:id="107"/>
      <w:bookmarkEnd w:id="108"/>
    </w:p>
    <w:p w14:paraId="5BE93DE2" w14:textId="478E6BEA" w:rsidR="007F5816" w:rsidRPr="007F5816" w:rsidRDefault="007F5816" w:rsidP="007F5816">
      <w:pPr>
        <w:numPr>
          <w:ilvl w:val="1"/>
          <w:numId w:val="1"/>
        </w:numPr>
        <w:spacing w:after="120"/>
        <w:rPr>
          <w:rFonts w:asciiTheme="minorHAnsi" w:hAnsiTheme="minorHAnsi"/>
          <w:snapToGrid w:val="0"/>
          <w:color w:val="0066FF"/>
        </w:rPr>
      </w:pPr>
      <w:r w:rsidRPr="007F5816">
        <w:rPr>
          <w:rFonts w:asciiTheme="minorHAnsi" w:hAnsiTheme="minorHAnsi"/>
          <w:snapToGrid w:val="0"/>
        </w:rPr>
        <w:t xml:space="preserve">This submission </w:t>
      </w:r>
      <w:r w:rsidR="000C0C7D">
        <w:rPr>
          <w:rFonts w:asciiTheme="minorHAnsi" w:hAnsiTheme="minorHAnsi"/>
          <w:snapToGrid w:val="0"/>
        </w:rPr>
        <w:t>was</w:t>
      </w:r>
      <w:r w:rsidR="000C0C7D" w:rsidRPr="007F5816">
        <w:rPr>
          <w:rFonts w:asciiTheme="minorHAnsi" w:hAnsiTheme="minorHAnsi"/>
          <w:snapToGrid w:val="0"/>
        </w:rPr>
        <w:t xml:space="preserve"> </w:t>
      </w:r>
      <w:r w:rsidRPr="007F5816">
        <w:rPr>
          <w:rFonts w:asciiTheme="minorHAnsi" w:hAnsiTheme="minorHAnsi"/>
          <w:snapToGrid w:val="0"/>
        </w:rPr>
        <w:t>not considered by DUSC</w:t>
      </w:r>
      <w:r w:rsidRPr="007F5816">
        <w:rPr>
          <w:rFonts w:asciiTheme="minorHAnsi" w:hAnsiTheme="minorHAnsi"/>
          <w:snapToGrid w:val="0"/>
          <w:color w:val="0070C0"/>
        </w:rPr>
        <w:t>.</w:t>
      </w:r>
    </w:p>
    <w:p w14:paraId="1DF7DE8C" w14:textId="77777777" w:rsidR="007F5816" w:rsidRPr="007F5816" w:rsidRDefault="007F5816" w:rsidP="007F5816">
      <w:pPr>
        <w:numPr>
          <w:ilvl w:val="1"/>
          <w:numId w:val="1"/>
        </w:numPr>
        <w:spacing w:after="120"/>
        <w:rPr>
          <w:rFonts w:asciiTheme="minorHAnsi" w:hAnsiTheme="minorHAnsi"/>
          <w:snapToGrid w:val="0"/>
          <w:color w:val="0066FF"/>
        </w:rPr>
      </w:pPr>
      <w:r w:rsidRPr="007F5816">
        <w:rPr>
          <w:rFonts w:asciiTheme="minorHAnsi" w:hAnsiTheme="minorHAnsi"/>
          <w:snapToGrid w:val="0"/>
        </w:rPr>
        <w:t>The submission used a mixed incidence-prevalence approach to estimate the financial implications associated with the proposed listing of vedolizumab.</w:t>
      </w:r>
    </w:p>
    <w:p w14:paraId="4921535C" w14:textId="27A50C01" w:rsidR="007F5816" w:rsidRPr="007F5816" w:rsidRDefault="007F5816" w:rsidP="007F5816">
      <w:pPr>
        <w:numPr>
          <w:ilvl w:val="1"/>
          <w:numId w:val="1"/>
        </w:numPr>
        <w:spacing w:after="120"/>
        <w:rPr>
          <w:rFonts w:asciiTheme="minorHAnsi" w:hAnsiTheme="minorHAnsi"/>
          <w:snapToGrid w:val="0"/>
          <w:color w:val="0066FF"/>
        </w:rPr>
      </w:pPr>
      <w:r w:rsidRPr="007F5816">
        <w:rPr>
          <w:rFonts w:asciiTheme="minorHAnsi" w:hAnsiTheme="minorHAnsi"/>
          <w:snapToGrid w:val="0"/>
        </w:rPr>
        <w:t xml:space="preserve">The key inputs in the financial analysis are summarised in </w:t>
      </w:r>
      <w:r w:rsidRPr="00634C46">
        <w:fldChar w:fldCharType="begin" w:fldLock="1"/>
      </w:r>
      <w:r w:rsidRPr="00634C46">
        <w:instrText xml:space="preserve"> REF _Ref164422093 \h </w:instrText>
      </w:r>
      <w:r w:rsidR="00634C46">
        <w:instrText xml:space="preserve"> \* MERGEFORMAT </w:instrText>
      </w:r>
      <w:r w:rsidRPr="00634C46">
        <w:fldChar w:fldCharType="separate"/>
      </w:r>
      <w:r w:rsidR="00DC7CC4" w:rsidRPr="00DC7CC4">
        <w:rPr>
          <w:rFonts w:eastAsiaTheme="majorEastAsia"/>
        </w:rPr>
        <w:t>Table 15</w:t>
      </w:r>
      <w:r w:rsidRPr="00634C46">
        <w:fldChar w:fldCharType="end"/>
      </w:r>
      <w:r w:rsidRPr="00634C46">
        <w:t>.</w:t>
      </w:r>
      <w:r w:rsidRPr="007F5816">
        <w:rPr>
          <w:rFonts w:asciiTheme="minorHAnsi" w:hAnsiTheme="minorHAnsi"/>
          <w:snapToGrid w:val="0"/>
        </w:rPr>
        <w:t xml:space="preserve"> </w:t>
      </w:r>
    </w:p>
    <w:p w14:paraId="1E87DA99" w14:textId="594933D9" w:rsidR="007F5816" w:rsidRPr="006B343C" w:rsidRDefault="007F5816" w:rsidP="0089466B">
      <w:pPr>
        <w:keepNext/>
        <w:keepLines/>
        <w:jc w:val="left"/>
        <w:rPr>
          <w:rFonts w:ascii="Arial Narrow" w:eastAsiaTheme="majorEastAsia" w:hAnsi="Arial Narrow" w:cstheme="majorBidi"/>
          <w:b/>
          <w:bCs/>
          <w:sz w:val="20"/>
        </w:rPr>
      </w:pPr>
      <w:bookmarkStart w:id="109" w:name="_Ref164422093"/>
      <w:r w:rsidRPr="006B343C">
        <w:rPr>
          <w:rFonts w:ascii="Arial Narrow" w:eastAsiaTheme="majorEastAsia" w:hAnsi="Arial Narrow" w:cstheme="majorBidi"/>
          <w:b/>
          <w:bCs/>
          <w:sz w:val="20"/>
        </w:rPr>
        <w:t xml:space="preserve">Table </w:t>
      </w:r>
      <w:r w:rsidRPr="006B343C">
        <w:rPr>
          <w:rFonts w:ascii="Arial Narrow" w:eastAsiaTheme="majorEastAsia" w:hAnsi="Arial Narrow" w:cstheme="majorBidi"/>
          <w:b/>
          <w:bCs/>
          <w:sz w:val="20"/>
        </w:rPr>
        <w:fldChar w:fldCharType="begin" w:fldLock="1"/>
      </w:r>
      <w:r w:rsidRPr="006B343C">
        <w:rPr>
          <w:rFonts w:ascii="Arial Narrow" w:eastAsiaTheme="majorEastAsia" w:hAnsi="Arial Narrow" w:cstheme="majorBidi"/>
          <w:b/>
          <w:bCs/>
          <w:sz w:val="20"/>
        </w:rPr>
        <w:instrText xml:space="preserve"> SEQ Table \* ARABIC </w:instrText>
      </w:r>
      <w:r w:rsidRPr="006B343C">
        <w:rPr>
          <w:rFonts w:ascii="Arial Narrow" w:eastAsiaTheme="majorEastAsia" w:hAnsi="Arial Narrow" w:cstheme="majorBidi"/>
          <w:b/>
          <w:bCs/>
          <w:sz w:val="20"/>
        </w:rPr>
        <w:fldChar w:fldCharType="separate"/>
      </w:r>
      <w:r w:rsidR="00DC7CC4">
        <w:rPr>
          <w:rFonts w:ascii="Arial Narrow" w:eastAsiaTheme="majorEastAsia" w:hAnsi="Arial Narrow" w:cstheme="majorBidi"/>
          <w:b/>
          <w:bCs/>
          <w:noProof/>
          <w:sz w:val="20"/>
        </w:rPr>
        <w:t>15</w:t>
      </w:r>
      <w:r w:rsidRPr="006B343C">
        <w:rPr>
          <w:rFonts w:ascii="Arial Narrow" w:eastAsiaTheme="majorEastAsia" w:hAnsi="Arial Narrow" w:cstheme="majorBidi"/>
          <w:b/>
          <w:bCs/>
          <w:noProof/>
          <w:sz w:val="20"/>
        </w:rPr>
        <w:fldChar w:fldCharType="end"/>
      </w:r>
      <w:bookmarkEnd w:id="109"/>
      <w:r w:rsidRPr="006B343C">
        <w:rPr>
          <w:rFonts w:ascii="Arial Narrow" w:eastAsiaTheme="majorEastAsia" w:hAnsi="Arial Narrow" w:cstheme="majorBidi"/>
          <w:b/>
          <w:bCs/>
          <w:sz w:val="20"/>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Key inputs for financial estimates"/>
      </w:tblPr>
      <w:tblGrid>
        <w:gridCol w:w="1776"/>
        <w:gridCol w:w="2471"/>
        <w:gridCol w:w="4770"/>
      </w:tblGrid>
      <w:tr w:rsidR="007F5816" w:rsidRPr="00F55938" w14:paraId="0668CAD8" w14:textId="77777777" w:rsidTr="0089466B">
        <w:trPr>
          <w:cantSplit/>
          <w:tblHeader/>
        </w:trPr>
        <w:tc>
          <w:tcPr>
            <w:tcW w:w="985" w:type="pct"/>
            <w:vAlign w:val="center"/>
          </w:tcPr>
          <w:p w14:paraId="5CD9E1D1" w14:textId="77777777" w:rsidR="007F5816" w:rsidRPr="00F55938" w:rsidRDefault="007F5816" w:rsidP="0089466B">
            <w:pPr>
              <w:keepNext/>
              <w:keepLines/>
              <w:widowControl w:val="0"/>
              <w:jc w:val="center"/>
              <w:rPr>
                <w:rFonts w:ascii="Arial Narrow" w:eastAsiaTheme="majorEastAsia" w:hAnsi="Arial Narrow" w:cs="Times New Roman"/>
                <w:b/>
                <w:sz w:val="20"/>
                <w:lang w:val="en-US"/>
              </w:rPr>
            </w:pPr>
            <w:r w:rsidRPr="00F55938">
              <w:rPr>
                <w:rFonts w:ascii="Arial Narrow" w:eastAsiaTheme="majorEastAsia" w:hAnsi="Arial Narrow" w:cs="Times New Roman"/>
                <w:b/>
                <w:sz w:val="20"/>
                <w:lang w:val="en-US"/>
              </w:rPr>
              <w:t>Data</w:t>
            </w:r>
          </w:p>
        </w:tc>
        <w:tc>
          <w:tcPr>
            <w:tcW w:w="1370" w:type="pct"/>
            <w:vAlign w:val="center"/>
          </w:tcPr>
          <w:p w14:paraId="2DB8FEA5" w14:textId="77777777" w:rsidR="007F5816" w:rsidRPr="00F55938" w:rsidRDefault="007F5816" w:rsidP="0089466B">
            <w:pPr>
              <w:keepNext/>
              <w:keepLines/>
              <w:widowControl w:val="0"/>
              <w:jc w:val="left"/>
              <w:rPr>
                <w:rFonts w:ascii="Arial Narrow" w:eastAsiaTheme="majorEastAsia" w:hAnsi="Arial Narrow" w:cs="Times New Roman"/>
                <w:b/>
                <w:sz w:val="20"/>
                <w:lang w:val="en-US"/>
              </w:rPr>
            </w:pPr>
            <w:r w:rsidRPr="00F55938">
              <w:rPr>
                <w:rFonts w:ascii="Arial Narrow" w:eastAsiaTheme="majorEastAsia" w:hAnsi="Arial Narrow" w:cs="Times New Roman"/>
                <w:b/>
                <w:sz w:val="20"/>
                <w:lang w:val="en-US"/>
              </w:rPr>
              <w:t>Value applied and source</w:t>
            </w:r>
          </w:p>
        </w:tc>
        <w:tc>
          <w:tcPr>
            <w:tcW w:w="2645" w:type="pct"/>
            <w:vAlign w:val="center"/>
          </w:tcPr>
          <w:p w14:paraId="2D0DD31D" w14:textId="77777777" w:rsidR="007F5816" w:rsidRPr="00F55938" w:rsidRDefault="007F5816" w:rsidP="0089466B">
            <w:pPr>
              <w:keepNext/>
              <w:keepLines/>
              <w:widowControl w:val="0"/>
              <w:jc w:val="left"/>
              <w:rPr>
                <w:rFonts w:ascii="Arial Narrow" w:eastAsiaTheme="majorEastAsia" w:hAnsi="Arial Narrow" w:cs="Times New Roman"/>
                <w:b/>
                <w:sz w:val="20"/>
                <w:lang w:val="en-US"/>
              </w:rPr>
            </w:pPr>
            <w:r w:rsidRPr="00F55938">
              <w:rPr>
                <w:rFonts w:ascii="Arial Narrow" w:eastAsiaTheme="majorEastAsia" w:hAnsi="Arial Narrow" w:cs="Times New Roman"/>
                <w:b/>
                <w:sz w:val="20"/>
                <w:lang w:val="en-US"/>
              </w:rPr>
              <w:t>Comment</w:t>
            </w:r>
          </w:p>
        </w:tc>
      </w:tr>
      <w:tr w:rsidR="007F5816" w:rsidRPr="00F55938" w14:paraId="43E6DA76" w14:textId="77777777" w:rsidTr="0089466B">
        <w:trPr>
          <w:cantSplit/>
        </w:trPr>
        <w:tc>
          <w:tcPr>
            <w:tcW w:w="5000" w:type="pct"/>
            <w:gridSpan w:val="3"/>
            <w:vAlign w:val="center"/>
          </w:tcPr>
          <w:p w14:paraId="7D3A62A2" w14:textId="77777777" w:rsidR="007F5816" w:rsidRPr="00F55938" w:rsidRDefault="007F5816" w:rsidP="0089466B">
            <w:pPr>
              <w:keepNext/>
              <w:keepLines/>
              <w:widowControl w:val="0"/>
              <w:jc w:val="left"/>
              <w:rPr>
                <w:rFonts w:ascii="Arial Narrow" w:eastAsiaTheme="majorEastAsia" w:hAnsi="Arial Narrow" w:cs="Times New Roman"/>
                <w:b/>
                <w:sz w:val="20"/>
                <w:lang w:val="en-US"/>
              </w:rPr>
            </w:pPr>
            <w:r w:rsidRPr="00F55938">
              <w:rPr>
                <w:rFonts w:ascii="Arial Narrow" w:eastAsiaTheme="majorEastAsia" w:hAnsi="Arial Narrow" w:cs="Times New Roman"/>
                <w:b/>
                <w:sz w:val="20"/>
                <w:lang w:val="en-US"/>
              </w:rPr>
              <w:t>Eligible population</w:t>
            </w:r>
          </w:p>
        </w:tc>
      </w:tr>
      <w:tr w:rsidR="007F5816" w:rsidRPr="00F55938" w14:paraId="705E6E91" w14:textId="77777777" w:rsidTr="0089466B">
        <w:trPr>
          <w:cantSplit/>
        </w:trPr>
        <w:tc>
          <w:tcPr>
            <w:tcW w:w="985" w:type="pct"/>
            <w:vAlign w:val="center"/>
          </w:tcPr>
          <w:p w14:paraId="0A57B338" w14:textId="77777777" w:rsidR="007F5816" w:rsidRPr="00F55938" w:rsidRDefault="007F5816" w:rsidP="0089466B">
            <w:pPr>
              <w:keepNext/>
              <w:keepLines/>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Number of proctocolectomies and IPAAs for UC</w:t>
            </w:r>
          </w:p>
        </w:tc>
        <w:tc>
          <w:tcPr>
            <w:tcW w:w="1370" w:type="pct"/>
            <w:vAlign w:val="center"/>
          </w:tcPr>
          <w:p w14:paraId="6183105B" w14:textId="116D6212" w:rsidR="007F5816" w:rsidRPr="00F55938" w:rsidRDefault="007F5816" w:rsidP="0089466B">
            <w:pPr>
              <w:keepNext/>
              <w:keepLines/>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179 applied each year based on AIHW</w:t>
            </w:r>
            <w:r w:rsidR="007E4030">
              <w:rPr>
                <w:rFonts w:ascii="Arial Narrow" w:eastAsiaTheme="majorEastAsia" w:hAnsi="Arial Narrow" w:cstheme="majorBidi"/>
                <w:bCs/>
                <w:sz w:val="20"/>
              </w:rPr>
              <w:t xml:space="preserve"> data</w:t>
            </w:r>
          </w:p>
        </w:tc>
        <w:tc>
          <w:tcPr>
            <w:tcW w:w="2645" w:type="pct"/>
            <w:vAlign w:val="center"/>
          </w:tcPr>
          <w:p w14:paraId="7C1768EB" w14:textId="77777777" w:rsidR="007F5816" w:rsidRPr="00F55938" w:rsidRDefault="007F5816" w:rsidP="0089466B">
            <w:pPr>
              <w:keepNext/>
              <w:keepLines/>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This source is appropriate.</w:t>
            </w:r>
          </w:p>
          <w:p w14:paraId="2920F4DC" w14:textId="2B356B7D" w:rsidR="007F5816" w:rsidRPr="00F55938" w:rsidRDefault="007F5816" w:rsidP="0089466B">
            <w:pPr>
              <w:keepNext/>
              <w:keepLines/>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The submission used the average number of procedures undertaken between 2018 and 2022 and assumed the estimates beyond 2022 remain constant. Th</w:t>
            </w:r>
            <w:r w:rsidR="006D7631">
              <w:rPr>
                <w:rFonts w:ascii="Arial Narrow" w:eastAsiaTheme="majorEastAsia" w:hAnsi="Arial Narrow" w:cstheme="majorBidi"/>
                <w:bCs/>
                <w:sz w:val="20"/>
              </w:rPr>
              <w:t>e evaluation considered th</w:t>
            </w:r>
            <w:r w:rsidRPr="00F55938">
              <w:rPr>
                <w:rFonts w:ascii="Arial Narrow" w:eastAsiaTheme="majorEastAsia" w:hAnsi="Arial Narrow" w:cstheme="majorBidi"/>
                <w:bCs/>
                <w:sz w:val="20"/>
              </w:rPr>
              <w:t xml:space="preserve">is approach may be reasonable based on the 2018-2022 data, however, the submission also included data from 2013 in the financial model and a downward trend was observed from 2013 to 2022, with 248 procedures in 2013 and 159 procedures in 2022. </w:t>
            </w:r>
            <w:r w:rsidR="000C0C7D" w:rsidRPr="00F55938">
              <w:rPr>
                <w:rFonts w:ascii="Arial Narrow" w:eastAsiaTheme="majorEastAsia" w:hAnsi="Arial Narrow" w:cstheme="majorBidi"/>
                <w:bCs/>
                <w:sz w:val="20"/>
              </w:rPr>
              <w:t>While the evaluation considered that t</w:t>
            </w:r>
            <w:r w:rsidRPr="00F55938">
              <w:rPr>
                <w:rFonts w:ascii="Arial Narrow" w:eastAsiaTheme="majorEastAsia" w:hAnsi="Arial Narrow" w:cstheme="majorBidi"/>
                <w:bCs/>
                <w:sz w:val="20"/>
              </w:rPr>
              <w:t xml:space="preserve">he number of proctocolectomies and IPAAs may </w:t>
            </w:r>
            <w:r w:rsidR="000C0C7D" w:rsidRPr="00F55938">
              <w:rPr>
                <w:rFonts w:ascii="Arial Narrow" w:eastAsiaTheme="majorEastAsia" w:hAnsi="Arial Narrow" w:cstheme="majorBidi"/>
                <w:bCs/>
                <w:sz w:val="20"/>
              </w:rPr>
              <w:t xml:space="preserve">have </w:t>
            </w:r>
            <w:r w:rsidRPr="00F55938">
              <w:rPr>
                <w:rFonts w:ascii="Arial Narrow" w:eastAsiaTheme="majorEastAsia" w:hAnsi="Arial Narrow" w:cstheme="majorBidi"/>
                <w:bCs/>
                <w:sz w:val="20"/>
              </w:rPr>
              <w:t>be</w:t>
            </w:r>
            <w:r w:rsidR="000C0C7D" w:rsidRPr="00F55938">
              <w:rPr>
                <w:rFonts w:ascii="Arial Narrow" w:eastAsiaTheme="majorEastAsia" w:hAnsi="Arial Narrow" w:cstheme="majorBidi"/>
                <w:bCs/>
                <w:sz w:val="20"/>
              </w:rPr>
              <w:t>en</w:t>
            </w:r>
            <w:r w:rsidRPr="00F55938">
              <w:rPr>
                <w:rFonts w:ascii="Arial Narrow" w:eastAsiaTheme="majorEastAsia" w:hAnsi="Arial Narrow" w:cstheme="majorBidi"/>
                <w:bCs/>
                <w:sz w:val="20"/>
              </w:rPr>
              <w:t xml:space="preserve"> overestimated</w:t>
            </w:r>
            <w:r w:rsidR="000C0C7D" w:rsidRPr="00F55938">
              <w:rPr>
                <w:rFonts w:ascii="Arial Narrow" w:eastAsiaTheme="majorEastAsia" w:hAnsi="Arial Narrow" w:cstheme="majorBidi"/>
                <w:bCs/>
                <w:sz w:val="20"/>
              </w:rPr>
              <w:t>, the ESC considered the number of procedures may be gradually dec</w:t>
            </w:r>
            <w:r w:rsidR="00696BA2" w:rsidRPr="00F55938">
              <w:rPr>
                <w:rFonts w:ascii="Arial Narrow" w:eastAsiaTheme="majorEastAsia" w:hAnsi="Arial Narrow" w:cstheme="majorBidi"/>
                <w:bCs/>
                <w:sz w:val="20"/>
              </w:rPr>
              <w:t>reasing</w:t>
            </w:r>
            <w:r w:rsidR="000C0C7D" w:rsidRPr="00F55938">
              <w:rPr>
                <w:rFonts w:ascii="Arial Narrow" w:eastAsiaTheme="majorEastAsia" w:hAnsi="Arial Narrow" w:cstheme="majorBidi"/>
                <w:bCs/>
                <w:sz w:val="20"/>
              </w:rPr>
              <w:t xml:space="preserve"> over time due to the availability of effective biologics for earlier stages of ulcerative colitis</w:t>
            </w:r>
            <w:r w:rsidRPr="00F55938">
              <w:rPr>
                <w:rFonts w:ascii="Arial Narrow" w:eastAsiaTheme="majorEastAsia" w:hAnsi="Arial Narrow" w:cstheme="majorBidi"/>
                <w:bCs/>
                <w:sz w:val="20"/>
              </w:rPr>
              <w:t>.</w:t>
            </w:r>
            <w:r w:rsidR="000C0C7D" w:rsidRPr="00F55938">
              <w:t xml:space="preserve"> </w:t>
            </w:r>
          </w:p>
        </w:tc>
      </w:tr>
      <w:tr w:rsidR="007F5816" w:rsidRPr="00F55938" w14:paraId="1F5A21D0" w14:textId="77777777" w:rsidTr="0089466B">
        <w:trPr>
          <w:cantSplit/>
        </w:trPr>
        <w:tc>
          <w:tcPr>
            <w:tcW w:w="985" w:type="pct"/>
            <w:vAlign w:val="center"/>
          </w:tcPr>
          <w:p w14:paraId="71C497ED"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Patients with pouchitis from proctocolectomies and IPAAs for UC</w:t>
            </w:r>
          </w:p>
        </w:tc>
        <w:tc>
          <w:tcPr>
            <w:tcW w:w="1370" w:type="pct"/>
            <w:vAlign w:val="center"/>
          </w:tcPr>
          <w:p w14:paraId="1E0544A1" w14:textId="77777777" w:rsidR="007F5816" w:rsidRPr="00F55938" w:rsidRDefault="007F5816" w:rsidP="007F5816">
            <w:pPr>
              <w:keepNext/>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50% applied annually based on Nguyen et al. 2019, Yu et al. 2007</w:t>
            </w:r>
          </w:p>
        </w:tc>
        <w:tc>
          <w:tcPr>
            <w:tcW w:w="2645" w:type="pct"/>
            <w:vAlign w:val="center"/>
          </w:tcPr>
          <w:p w14:paraId="4B268CC2" w14:textId="3BB40DE3"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Th</w:t>
            </w:r>
            <w:r w:rsidR="006D7631">
              <w:rPr>
                <w:rFonts w:ascii="Arial Narrow" w:eastAsiaTheme="majorEastAsia" w:hAnsi="Arial Narrow" w:cstheme="majorBidi"/>
                <w:bCs/>
                <w:sz w:val="20"/>
              </w:rPr>
              <w:t>e evaluation considered th</w:t>
            </w:r>
            <w:r w:rsidRPr="00F55938">
              <w:rPr>
                <w:rFonts w:ascii="Arial Narrow" w:eastAsiaTheme="majorEastAsia" w:hAnsi="Arial Narrow" w:cstheme="majorBidi"/>
                <w:bCs/>
                <w:sz w:val="20"/>
              </w:rPr>
              <w:t xml:space="preserve">is </w:t>
            </w:r>
            <w:r w:rsidR="006D7631">
              <w:rPr>
                <w:rFonts w:ascii="Arial Narrow" w:eastAsiaTheme="majorEastAsia" w:hAnsi="Arial Narrow" w:cstheme="majorBidi"/>
                <w:bCs/>
                <w:sz w:val="20"/>
              </w:rPr>
              <w:t>wa</w:t>
            </w:r>
            <w:r w:rsidRPr="00F55938">
              <w:rPr>
                <w:rFonts w:ascii="Arial Narrow" w:eastAsiaTheme="majorEastAsia" w:hAnsi="Arial Narrow" w:cstheme="majorBidi"/>
                <w:bCs/>
                <w:sz w:val="20"/>
              </w:rPr>
              <w:t>s reasonable, although slightly higher than the incidence of pouchitis reported in an Australian study (42.3%).</w:t>
            </w:r>
            <w:r w:rsidRPr="00F55938">
              <w:rPr>
                <w:rFonts w:ascii="Arial Narrow" w:eastAsiaTheme="majorEastAsia" w:hAnsi="Arial Narrow" w:cstheme="majorBidi"/>
                <w:bCs/>
                <w:sz w:val="20"/>
                <w:vertAlign w:val="superscript"/>
              </w:rPr>
              <w:footnoteReference w:id="22"/>
            </w:r>
            <w:r w:rsidRPr="00F55938">
              <w:rPr>
                <w:rFonts w:ascii="Arial Narrow" w:eastAsiaTheme="majorEastAsia" w:hAnsi="Arial Narrow" w:cstheme="majorBidi"/>
                <w:bCs/>
                <w:sz w:val="20"/>
              </w:rPr>
              <w:t xml:space="preserve"> </w:t>
            </w:r>
          </w:p>
          <w:p w14:paraId="20F2D821" w14:textId="77777777" w:rsidR="007F5816" w:rsidRPr="00F55938" w:rsidRDefault="007F5816" w:rsidP="007F5816">
            <w:pPr>
              <w:widowControl w:val="0"/>
              <w:jc w:val="left"/>
              <w:rPr>
                <w:rFonts w:ascii="Arial Narrow" w:eastAsiaTheme="majorEastAsia" w:hAnsi="Arial Narrow" w:cstheme="majorBidi"/>
                <w:bCs/>
                <w:sz w:val="20"/>
              </w:rPr>
            </w:pPr>
          </w:p>
        </w:tc>
      </w:tr>
      <w:tr w:rsidR="007F5816" w:rsidRPr="00F55938" w14:paraId="0D920941" w14:textId="77777777" w:rsidTr="0089466B">
        <w:trPr>
          <w:cantSplit/>
        </w:trPr>
        <w:tc>
          <w:tcPr>
            <w:tcW w:w="985" w:type="pct"/>
            <w:vAlign w:val="center"/>
          </w:tcPr>
          <w:p w14:paraId="5FCFE866"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lastRenderedPageBreak/>
              <w:t>New patients with chronic pouchitis</w:t>
            </w:r>
          </w:p>
        </w:tc>
        <w:tc>
          <w:tcPr>
            <w:tcW w:w="1370" w:type="pct"/>
            <w:vAlign w:val="center"/>
          </w:tcPr>
          <w:p w14:paraId="461387F7"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 xml:space="preserve">20% applied annually based on </w:t>
            </w:r>
            <w:r w:rsidRPr="00F55938">
              <w:rPr>
                <w:rFonts w:ascii="Arial Narrow" w:eastAsiaTheme="majorEastAsia" w:hAnsi="Arial Narrow" w:cstheme="majorBidi"/>
                <w:bCs/>
                <w:color w:val="000000"/>
                <w:sz w:val="20"/>
                <w:szCs w:val="20"/>
              </w:rPr>
              <w:t>Travis et al. 2023, Rabbenou &amp; Chang 2021</w:t>
            </w:r>
          </w:p>
        </w:tc>
        <w:tc>
          <w:tcPr>
            <w:tcW w:w="2645" w:type="pct"/>
            <w:vAlign w:val="center"/>
          </w:tcPr>
          <w:p w14:paraId="7653F2AF" w14:textId="1FE9D68E" w:rsidR="007F5816" w:rsidRPr="00F55938" w:rsidRDefault="007F5816" w:rsidP="007F5816">
            <w:pPr>
              <w:keepNext/>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Based on the annual rates applied in the submission (50% x 20%), this appear</w:t>
            </w:r>
            <w:r w:rsidR="006D7631">
              <w:rPr>
                <w:rFonts w:ascii="Arial Narrow" w:eastAsiaTheme="majorEastAsia" w:hAnsi="Arial Narrow" w:cstheme="majorBidi"/>
                <w:bCs/>
                <w:sz w:val="20"/>
              </w:rPr>
              <w:t>ed</w:t>
            </w:r>
            <w:r w:rsidRPr="00F55938">
              <w:rPr>
                <w:rFonts w:ascii="Arial Narrow" w:eastAsiaTheme="majorEastAsia" w:hAnsi="Arial Narrow" w:cstheme="majorBidi"/>
                <w:bCs/>
                <w:sz w:val="20"/>
              </w:rPr>
              <w:t xml:space="preserve"> to be slightly higher than the chronic pouchitis rate reported in an Australian study (8.7%).</w:t>
            </w:r>
            <w:r w:rsidRPr="00F55938">
              <w:rPr>
                <w:rFonts w:ascii="Arial Narrow" w:eastAsiaTheme="majorEastAsia" w:hAnsi="Arial Narrow" w:cstheme="majorBidi"/>
                <w:bCs/>
                <w:sz w:val="20"/>
                <w:vertAlign w:val="superscript"/>
              </w:rPr>
              <w:footnoteReference w:id="23"/>
            </w:r>
            <w:r w:rsidRPr="00F55938">
              <w:rPr>
                <w:rFonts w:ascii="Arial Narrow" w:eastAsiaTheme="majorEastAsia" w:hAnsi="Arial Narrow" w:cstheme="majorBidi"/>
                <w:bCs/>
                <w:sz w:val="20"/>
              </w:rPr>
              <w:t xml:space="preserve"> This population appear</w:t>
            </w:r>
            <w:r w:rsidR="006D7631">
              <w:rPr>
                <w:rFonts w:ascii="Arial Narrow" w:eastAsiaTheme="majorEastAsia" w:hAnsi="Arial Narrow" w:cstheme="majorBidi"/>
                <w:bCs/>
                <w:sz w:val="20"/>
              </w:rPr>
              <w:t>ed</w:t>
            </w:r>
            <w:r w:rsidRPr="00F55938">
              <w:rPr>
                <w:rFonts w:ascii="Arial Narrow" w:eastAsiaTheme="majorEastAsia" w:hAnsi="Arial Narrow" w:cstheme="majorBidi"/>
                <w:bCs/>
                <w:sz w:val="20"/>
              </w:rPr>
              <w:t xml:space="preserve"> to be broader than the proposed patient population as it include</w:t>
            </w:r>
            <w:r w:rsidR="006D7631">
              <w:rPr>
                <w:rFonts w:ascii="Arial Narrow" w:eastAsiaTheme="majorEastAsia" w:hAnsi="Arial Narrow" w:cstheme="majorBidi"/>
                <w:bCs/>
                <w:sz w:val="20"/>
              </w:rPr>
              <w:t>d</w:t>
            </w:r>
            <w:r w:rsidRPr="00F55938">
              <w:rPr>
                <w:rFonts w:ascii="Arial Narrow" w:eastAsiaTheme="majorEastAsia" w:hAnsi="Arial Narrow" w:cstheme="majorBidi"/>
                <w:bCs/>
                <w:sz w:val="20"/>
              </w:rPr>
              <w:t xml:space="preserve"> all chronic pouchitis (rather than moderate and severe) while the proposed population </w:t>
            </w:r>
            <w:r w:rsidR="006D7631">
              <w:rPr>
                <w:rFonts w:ascii="Arial Narrow" w:eastAsiaTheme="majorEastAsia" w:hAnsi="Arial Narrow" w:cstheme="majorBidi"/>
                <w:bCs/>
                <w:sz w:val="20"/>
              </w:rPr>
              <w:t>wa</w:t>
            </w:r>
            <w:r w:rsidRPr="00F55938">
              <w:rPr>
                <w:rFonts w:ascii="Arial Narrow" w:eastAsiaTheme="majorEastAsia" w:hAnsi="Arial Narrow" w:cstheme="majorBidi"/>
                <w:bCs/>
                <w:sz w:val="20"/>
              </w:rPr>
              <w:t>s a subset that have had an inadequate response with or lost response to antibiotic therapy.</w:t>
            </w:r>
          </w:p>
        </w:tc>
      </w:tr>
      <w:tr w:rsidR="007F5816" w:rsidRPr="00F55938" w14:paraId="016A6AAC" w14:textId="77777777" w:rsidTr="0089466B">
        <w:trPr>
          <w:cantSplit/>
        </w:trPr>
        <w:tc>
          <w:tcPr>
            <w:tcW w:w="985" w:type="pct"/>
            <w:vAlign w:val="center"/>
          </w:tcPr>
          <w:p w14:paraId="3679C8D2"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Prevalent pool (previous patients)</w:t>
            </w:r>
          </w:p>
        </w:tc>
        <w:tc>
          <w:tcPr>
            <w:tcW w:w="1370" w:type="pct"/>
            <w:vAlign w:val="center"/>
          </w:tcPr>
          <w:p w14:paraId="791A01B1"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450 patients,</w:t>
            </w:r>
          </w:p>
          <w:p w14:paraId="75BFE898"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based on assumption (25 years)</w:t>
            </w:r>
          </w:p>
        </w:tc>
        <w:tc>
          <w:tcPr>
            <w:tcW w:w="2645" w:type="pct"/>
            <w:vAlign w:val="center"/>
          </w:tcPr>
          <w:p w14:paraId="5E4B14D0" w14:textId="68D8D455"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Th</w:t>
            </w:r>
            <w:r w:rsidR="006D7631">
              <w:rPr>
                <w:rFonts w:ascii="Arial Narrow" w:eastAsiaTheme="majorEastAsia" w:hAnsi="Arial Narrow" w:cstheme="majorBidi"/>
                <w:bCs/>
                <w:sz w:val="20"/>
              </w:rPr>
              <w:t>e evaluation considered th</w:t>
            </w:r>
            <w:r w:rsidRPr="00F55938">
              <w:rPr>
                <w:rFonts w:ascii="Arial Narrow" w:eastAsiaTheme="majorEastAsia" w:hAnsi="Arial Narrow" w:cstheme="majorBidi"/>
                <w:bCs/>
                <w:sz w:val="20"/>
              </w:rPr>
              <w:t xml:space="preserve">is </w:t>
            </w:r>
            <w:r w:rsidR="006D7631">
              <w:rPr>
                <w:rFonts w:ascii="Arial Narrow" w:eastAsiaTheme="majorEastAsia" w:hAnsi="Arial Narrow" w:cstheme="majorBidi"/>
                <w:bCs/>
                <w:sz w:val="20"/>
              </w:rPr>
              <w:t>wa</w:t>
            </w:r>
            <w:r w:rsidRPr="00F55938">
              <w:rPr>
                <w:rFonts w:ascii="Arial Narrow" w:eastAsiaTheme="majorEastAsia" w:hAnsi="Arial Narrow" w:cstheme="majorBidi"/>
                <w:bCs/>
                <w:sz w:val="20"/>
              </w:rPr>
              <w:t>s highly uncertain. The prevalent pool was based on the estimated incident patients and applied over a 25-year period. The number of these procedures fluctuated over the last 25 years. This could underestimate or overestimate the prevalent pool.</w:t>
            </w:r>
          </w:p>
        </w:tc>
      </w:tr>
      <w:tr w:rsidR="007F5816" w:rsidRPr="00F55938" w14:paraId="14B000EA" w14:textId="77777777" w:rsidTr="0089466B">
        <w:trPr>
          <w:cantSplit/>
        </w:trPr>
        <w:tc>
          <w:tcPr>
            <w:tcW w:w="985" w:type="pct"/>
            <w:vAlign w:val="center"/>
          </w:tcPr>
          <w:p w14:paraId="6A8B0CAB"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Previous non-responding patients (previously exposed to vedolizumab)</w:t>
            </w:r>
          </w:p>
        </w:tc>
        <w:tc>
          <w:tcPr>
            <w:tcW w:w="1370" w:type="pct"/>
            <w:vAlign w:val="center"/>
          </w:tcPr>
          <w:p w14:paraId="7371E133"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0 in Year 1, increasing to 408 in Year 6, estimated based on uptake, response and discontinuation rates.</w:t>
            </w:r>
          </w:p>
        </w:tc>
        <w:tc>
          <w:tcPr>
            <w:tcW w:w="2645" w:type="pct"/>
            <w:vAlign w:val="center"/>
          </w:tcPr>
          <w:p w14:paraId="72D9481A" w14:textId="2A7D9E49" w:rsidR="007F5816" w:rsidRPr="00F55938" w:rsidRDefault="007F5816" w:rsidP="007F5816">
            <w:pPr>
              <w:jc w:val="left"/>
              <w:rPr>
                <w:rFonts w:ascii="Arial Narrow" w:hAnsi="Arial Narrow"/>
                <w:color w:val="000000"/>
                <w:sz w:val="20"/>
                <w:szCs w:val="20"/>
              </w:rPr>
            </w:pPr>
            <w:r w:rsidRPr="00F55938">
              <w:rPr>
                <w:rFonts w:ascii="Arial Narrow" w:hAnsi="Arial Narrow"/>
                <w:color w:val="000000"/>
                <w:sz w:val="20"/>
                <w:szCs w:val="20"/>
              </w:rPr>
              <w:t xml:space="preserve">The submission described these patients as previous patients with prior failures who </w:t>
            </w:r>
            <w:r w:rsidR="008953D9">
              <w:rPr>
                <w:rFonts w:ascii="Arial Narrow" w:hAnsi="Arial Narrow"/>
                <w:color w:val="000000"/>
                <w:sz w:val="20"/>
                <w:szCs w:val="20"/>
              </w:rPr>
              <w:t xml:space="preserve">re-trial </w:t>
            </w:r>
            <w:r w:rsidRPr="00F55938">
              <w:rPr>
                <w:rFonts w:ascii="Arial Narrow" w:hAnsi="Arial Narrow"/>
                <w:color w:val="000000"/>
                <w:sz w:val="20"/>
                <w:szCs w:val="20"/>
              </w:rPr>
              <w:t xml:space="preserve">vedolizumab. These estimates imply that patients previously treated with vedolizumab will be eligible for re-treatment despite not responding to the previous course of vedolizumab treatment. </w:t>
            </w:r>
            <w:r w:rsidR="00954DEC">
              <w:rPr>
                <w:rFonts w:ascii="Arial Narrow" w:hAnsi="Arial Narrow"/>
                <w:color w:val="000000"/>
                <w:sz w:val="20"/>
                <w:szCs w:val="20"/>
              </w:rPr>
              <w:t xml:space="preserve">The PBAC considered that patients who had previously failed vedolizumab </w:t>
            </w:r>
            <w:r w:rsidR="00067832">
              <w:rPr>
                <w:rFonts w:ascii="Arial Narrow" w:hAnsi="Arial Narrow"/>
                <w:color w:val="000000"/>
                <w:sz w:val="20"/>
                <w:szCs w:val="20"/>
              </w:rPr>
              <w:t xml:space="preserve">for pouchitis </w:t>
            </w:r>
            <w:r w:rsidR="00954DEC">
              <w:rPr>
                <w:rFonts w:ascii="Arial Narrow" w:hAnsi="Arial Narrow"/>
                <w:color w:val="000000"/>
                <w:sz w:val="20"/>
                <w:szCs w:val="20"/>
              </w:rPr>
              <w:t>should not be permitted to re-trial PBS-</w:t>
            </w:r>
            <w:r w:rsidR="00067832">
              <w:rPr>
                <w:rFonts w:ascii="Arial Narrow" w:hAnsi="Arial Narrow"/>
                <w:color w:val="000000"/>
                <w:sz w:val="20"/>
                <w:szCs w:val="20"/>
              </w:rPr>
              <w:t>subsidised vedolizumab.</w:t>
            </w:r>
          </w:p>
        </w:tc>
      </w:tr>
      <w:tr w:rsidR="007F5816" w:rsidRPr="00F55938" w14:paraId="403D60AB" w14:textId="77777777" w:rsidTr="0089466B">
        <w:trPr>
          <w:cantSplit/>
        </w:trPr>
        <w:tc>
          <w:tcPr>
            <w:tcW w:w="5000" w:type="pct"/>
            <w:gridSpan w:val="3"/>
            <w:vAlign w:val="center"/>
          </w:tcPr>
          <w:p w14:paraId="3F1FC10A" w14:textId="77777777" w:rsidR="007F5816" w:rsidRPr="00F55938" w:rsidRDefault="007F5816" w:rsidP="007F5816">
            <w:pPr>
              <w:widowControl w:val="0"/>
              <w:jc w:val="left"/>
              <w:rPr>
                <w:rFonts w:ascii="Arial Narrow" w:eastAsiaTheme="majorEastAsia" w:hAnsi="Arial Narrow" w:cstheme="majorBidi"/>
                <w:b/>
                <w:bCs/>
                <w:sz w:val="20"/>
              </w:rPr>
            </w:pPr>
            <w:r w:rsidRPr="00F55938">
              <w:rPr>
                <w:rFonts w:ascii="Arial Narrow" w:eastAsiaTheme="majorEastAsia" w:hAnsi="Arial Narrow" w:cstheme="majorBidi"/>
                <w:b/>
                <w:bCs/>
                <w:sz w:val="20"/>
              </w:rPr>
              <w:t>Treatment utilisation</w:t>
            </w:r>
          </w:p>
        </w:tc>
      </w:tr>
      <w:tr w:rsidR="007F5816" w:rsidRPr="00F55938" w14:paraId="6C43713F" w14:textId="77777777" w:rsidTr="0089466B">
        <w:trPr>
          <w:cantSplit/>
        </w:trPr>
        <w:tc>
          <w:tcPr>
            <w:tcW w:w="985" w:type="pct"/>
            <w:vAlign w:val="center"/>
          </w:tcPr>
          <w:p w14:paraId="0DB25744"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New patient’s uptake rate</w:t>
            </w:r>
          </w:p>
        </w:tc>
        <w:tc>
          <w:tcPr>
            <w:tcW w:w="1370" w:type="pct"/>
            <w:vAlign w:val="center"/>
          </w:tcPr>
          <w:p w14:paraId="0DCA88B3" w14:textId="4212F19F" w:rsidR="007F5816" w:rsidRPr="00F55938" w:rsidRDefault="00DC1AEB" w:rsidP="007F5816">
            <w:pPr>
              <w:widowControl w:val="0"/>
              <w:jc w:val="left"/>
              <w:rPr>
                <w:rFonts w:ascii="Arial Narrow" w:eastAsiaTheme="majorEastAsia" w:hAnsi="Arial Narrow" w:cstheme="majorBidi"/>
                <w:bCs/>
                <w:sz w:val="20"/>
              </w:rPr>
            </w:pPr>
            <w:r w:rsidRPr="00DC1AEB">
              <w:rPr>
                <w:rFonts w:ascii="Arial Narrow" w:eastAsiaTheme="majorEastAsia" w:hAnsi="Arial Narrow" w:cstheme="majorBidi"/>
                <w:bCs/>
                <w:color w:val="000000"/>
                <w:spacing w:val="53"/>
                <w:sz w:val="20"/>
                <w:shd w:val="solid" w:color="000000" w:fill="000000"/>
                <w:fitText w:val="330" w:id="-894165489"/>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489"/>
                <w14:textFill>
                  <w14:solidFill>
                    <w14:srgbClr w14:val="000000">
                      <w14:alpha w14:val="100000"/>
                    </w14:srgbClr>
                  </w14:solidFill>
                </w14:textFill>
              </w:rPr>
              <w:t>|</w:t>
            </w:r>
            <w:r w:rsidR="007F5816" w:rsidRPr="002857BF">
              <w:rPr>
                <w:rFonts w:ascii="Arial Narrow" w:eastAsiaTheme="majorEastAsia" w:hAnsi="Arial Narrow" w:cstheme="majorBidi"/>
                <w:bCs/>
                <w:sz w:val="20"/>
              </w:rPr>
              <w:t xml:space="preserve">% in Year 1, increasing to </w:t>
            </w:r>
            <w:r w:rsidRPr="00DC1AEB">
              <w:rPr>
                <w:rFonts w:ascii="Arial Narrow" w:eastAsiaTheme="majorEastAsia" w:hAnsi="Arial Narrow" w:cstheme="majorBidi"/>
                <w:bCs/>
                <w:color w:val="000000"/>
                <w:spacing w:val="53"/>
                <w:sz w:val="20"/>
                <w:shd w:val="solid" w:color="000000" w:fill="000000"/>
                <w:fitText w:val="330" w:id="-894165488"/>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488"/>
                <w14:textFill>
                  <w14:solidFill>
                    <w14:srgbClr w14:val="000000">
                      <w14:alpha w14:val="100000"/>
                    </w14:srgbClr>
                  </w14:solidFill>
                </w14:textFill>
              </w:rPr>
              <w:t>|</w:t>
            </w:r>
            <w:r w:rsidR="007F5816" w:rsidRPr="002857BF">
              <w:rPr>
                <w:rFonts w:ascii="Arial Narrow" w:eastAsiaTheme="majorEastAsia" w:hAnsi="Arial Narrow" w:cstheme="majorBidi"/>
                <w:bCs/>
                <w:sz w:val="20"/>
              </w:rPr>
              <w:t>% in</w:t>
            </w:r>
            <w:r w:rsidR="007F5816" w:rsidRPr="00F55938">
              <w:rPr>
                <w:rFonts w:ascii="Arial Narrow" w:eastAsiaTheme="majorEastAsia" w:hAnsi="Arial Narrow" w:cstheme="majorBidi"/>
                <w:bCs/>
                <w:sz w:val="20"/>
              </w:rPr>
              <w:t xml:space="preserve"> Year 6, based on assumption.</w:t>
            </w:r>
          </w:p>
          <w:p w14:paraId="2DEAE8F6" w14:textId="77777777" w:rsidR="007F5816" w:rsidRPr="00F55938" w:rsidRDefault="007F5816" w:rsidP="007F5816">
            <w:pPr>
              <w:widowControl w:val="0"/>
              <w:jc w:val="left"/>
              <w:rPr>
                <w:rFonts w:ascii="Arial Narrow" w:eastAsiaTheme="majorEastAsia" w:hAnsi="Arial Narrow" w:cstheme="majorBidi"/>
                <w:bCs/>
                <w:sz w:val="20"/>
              </w:rPr>
            </w:pPr>
          </w:p>
        </w:tc>
        <w:tc>
          <w:tcPr>
            <w:tcW w:w="2645" w:type="pct"/>
            <w:vAlign w:val="center"/>
          </w:tcPr>
          <w:p w14:paraId="27F7E61B" w14:textId="73C63056" w:rsidR="007F5816" w:rsidRPr="00F55938" w:rsidRDefault="00BF7C5F" w:rsidP="00827040">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 xml:space="preserve">The </w:t>
            </w:r>
            <w:r w:rsidR="009D3BA4" w:rsidRPr="00F55938">
              <w:rPr>
                <w:rFonts w:ascii="Arial Narrow" w:eastAsiaTheme="majorEastAsia" w:hAnsi="Arial Narrow" w:cstheme="majorBidi"/>
                <w:bCs/>
                <w:sz w:val="20"/>
              </w:rPr>
              <w:t xml:space="preserve">evaluation considered that the </w:t>
            </w:r>
            <w:r w:rsidRPr="00F55938">
              <w:rPr>
                <w:rFonts w:ascii="Arial Narrow" w:eastAsiaTheme="majorEastAsia" w:hAnsi="Arial Narrow" w:cstheme="majorBidi"/>
                <w:bCs/>
                <w:sz w:val="20"/>
              </w:rPr>
              <w:t xml:space="preserve">uptake rate may be an overestimate </w:t>
            </w:r>
            <w:r w:rsidR="009B7D14" w:rsidRPr="00F55938">
              <w:rPr>
                <w:rFonts w:ascii="Arial Narrow" w:eastAsiaTheme="majorEastAsia" w:hAnsi="Arial Narrow" w:cstheme="majorBidi"/>
                <w:bCs/>
                <w:sz w:val="20"/>
              </w:rPr>
              <w:t xml:space="preserve">given the </w:t>
            </w:r>
            <w:r w:rsidR="007F5816" w:rsidRPr="00F55938">
              <w:rPr>
                <w:rFonts w:ascii="Arial Narrow" w:eastAsiaTheme="majorEastAsia" w:hAnsi="Arial Narrow" w:cstheme="majorBidi"/>
                <w:bCs/>
                <w:sz w:val="20"/>
              </w:rPr>
              <w:t>uncertainty in the superior effectiveness of vedolizumab</w:t>
            </w:r>
            <w:r w:rsidR="009D3BA4" w:rsidRPr="00F55938">
              <w:rPr>
                <w:rFonts w:ascii="Arial Narrow" w:eastAsiaTheme="majorEastAsia" w:hAnsi="Arial Narrow" w:cstheme="majorBidi"/>
                <w:bCs/>
                <w:sz w:val="20"/>
              </w:rPr>
              <w:t xml:space="preserve">, or on the other hand </w:t>
            </w:r>
            <w:r w:rsidR="00827040" w:rsidRPr="00F55938">
              <w:rPr>
                <w:rFonts w:ascii="Arial Narrow" w:eastAsiaTheme="majorEastAsia" w:hAnsi="Arial Narrow" w:cstheme="majorBidi"/>
                <w:bCs/>
                <w:sz w:val="20"/>
              </w:rPr>
              <w:t xml:space="preserve">may be reasonable </w:t>
            </w:r>
            <w:r w:rsidR="00E43568" w:rsidRPr="00F55938">
              <w:rPr>
                <w:rFonts w:ascii="Arial Narrow" w:eastAsiaTheme="majorEastAsia" w:hAnsi="Arial Narrow" w:cstheme="majorBidi"/>
                <w:bCs/>
                <w:sz w:val="20"/>
              </w:rPr>
              <w:t>given that vedolizumab is the only biologic that is TGA approved for the treatment of chronic pouchitis</w:t>
            </w:r>
            <w:r w:rsidR="00827040" w:rsidRPr="00F55938">
              <w:rPr>
                <w:rFonts w:ascii="Arial Narrow" w:eastAsiaTheme="majorEastAsia" w:hAnsi="Arial Narrow" w:cstheme="majorBidi"/>
                <w:bCs/>
                <w:sz w:val="20"/>
              </w:rPr>
              <w:t>.</w:t>
            </w:r>
            <w:r w:rsidR="009D3BA4" w:rsidRPr="00F55938">
              <w:rPr>
                <w:rFonts w:ascii="Arial Narrow" w:eastAsiaTheme="majorEastAsia" w:hAnsi="Arial Narrow" w:cstheme="majorBidi"/>
                <w:bCs/>
                <w:sz w:val="20"/>
              </w:rPr>
              <w:t xml:space="preserve"> </w:t>
            </w:r>
            <w:r w:rsidR="00067832">
              <w:rPr>
                <w:rFonts w:ascii="Arial Narrow" w:eastAsiaTheme="majorEastAsia" w:hAnsi="Arial Narrow" w:cstheme="majorBidi"/>
                <w:bCs/>
                <w:sz w:val="20"/>
              </w:rPr>
              <w:t>Overall</w:t>
            </w:r>
            <w:r w:rsidR="009D3BA4" w:rsidRPr="00F55938">
              <w:rPr>
                <w:rFonts w:ascii="Arial Narrow" w:eastAsiaTheme="majorEastAsia" w:hAnsi="Arial Narrow" w:cstheme="majorBidi"/>
                <w:bCs/>
                <w:sz w:val="20"/>
              </w:rPr>
              <w:t xml:space="preserve">, the ESC considered </w:t>
            </w:r>
            <w:r w:rsidR="00067832">
              <w:rPr>
                <w:rFonts w:ascii="Arial Narrow" w:eastAsiaTheme="majorEastAsia" w:hAnsi="Arial Narrow" w:cstheme="majorBidi"/>
                <w:bCs/>
                <w:sz w:val="20"/>
              </w:rPr>
              <w:t xml:space="preserve">this uptake rate may be reasonable given </w:t>
            </w:r>
            <w:r w:rsidR="009D3BA4" w:rsidRPr="00F55938">
              <w:rPr>
                <w:rFonts w:ascii="Arial Narrow" w:eastAsiaTheme="majorEastAsia" w:hAnsi="Arial Narrow" w:cstheme="majorBidi"/>
                <w:bCs/>
                <w:sz w:val="20"/>
              </w:rPr>
              <w:t>vedolizumab was unlikely to be the first choice of biologic</w:t>
            </w:r>
            <w:r w:rsidR="001568FA" w:rsidRPr="00F55938">
              <w:rPr>
                <w:rFonts w:ascii="Arial Narrow" w:eastAsiaTheme="majorEastAsia" w:hAnsi="Arial Narrow" w:cstheme="majorBidi"/>
                <w:bCs/>
                <w:sz w:val="20"/>
              </w:rPr>
              <w:t xml:space="preserve"> agent</w:t>
            </w:r>
            <w:r w:rsidR="009D3BA4" w:rsidRPr="00F55938">
              <w:rPr>
                <w:rFonts w:ascii="Arial Narrow" w:eastAsiaTheme="majorEastAsia" w:hAnsi="Arial Narrow" w:cstheme="majorBidi"/>
                <w:bCs/>
                <w:sz w:val="20"/>
              </w:rPr>
              <w:t xml:space="preserve"> for all patients with pouchitis, particularly those who experienced prior treatment failure with vedolizumab for earlier stage UC (e.g. these patients may receive treatment with other biologics through public hospital programs, albeit outside the TGA-registered indications).</w:t>
            </w:r>
          </w:p>
        </w:tc>
      </w:tr>
      <w:tr w:rsidR="007F5816" w:rsidRPr="00F55938" w14:paraId="49A69AF9" w14:textId="77777777" w:rsidTr="0089466B">
        <w:trPr>
          <w:cantSplit/>
        </w:trPr>
        <w:tc>
          <w:tcPr>
            <w:tcW w:w="985" w:type="pct"/>
            <w:vAlign w:val="center"/>
          </w:tcPr>
          <w:p w14:paraId="725C7D1D"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Prevalent patient’s cumulative uptake rate</w:t>
            </w:r>
          </w:p>
        </w:tc>
        <w:tc>
          <w:tcPr>
            <w:tcW w:w="1370" w:type="pct"/>
            <w:vAlign w:val="center"/>
          </w:tcPr>
          <w:p w14:paraId="6138ABDB" w14:textId="7AC0B63E" w:rsidR="007F5816" w:rsidRPr="00F55938" w:rsidRDefault="00DC1AEB" w:rsidP="007F5816">
            <w:pPr>
              <w:widowControl w:val="0"/>
              <w:jc w:val="left"/>
              <w:rPr>
                <w:rFonts w:ascii="Arial Narrow" w:eastAsiaTheme="majorEastAsia" w:hAnsi="Arial Narrow" w:cstheme="majorBidi"/>
                <w:bCs/>
                <w:sz w:val="20"/>
              </w:rPr>
            </w:pPr>
            <w:r w:rsidRPr="00DC1AEB">
              <w:rPr>
                <w:rFonts w:ascii="Arial Narrow" w:eastAsiaTheme="majorEastAsia" w:hAnsi="Arial Narrow" w:cstheme="majorBidi"/>
                <w:bCs/>
                <w:color w:val="000000"/>
                <w:spacing w:val="53"/>
                <w:sz w:val="20"/>
                <w:shd w:val="solid" w:color="000000" w:fill="000000"/>
                <w:fitText w:val="330" w:id="-894165504"/>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504"/>
                <w14:textFill>
                  <w14:solidFill>
                    <w14:srgbClr w14:val="000000">
                      <w14:alpha w14:val="100000"/>
                    </w14:srgbClr>
                  </w14:solidFill>
                </w14:textFill>
              </w:rPr>
              <w:t>|</w:t>
            </w:r>
            <w:r w:rsidR="007F5816" w:rsidRPr="00843E1C">
              <w:rPr>
                <w:rFonts w:ascii="Arial Narrow" w:eastAsiaTheme="majorEastAsia" w:hAnsi="Arial Narrow" w:cstheme="majorBidi"/>
                <w:bCs/>
                <w:sz w:val="20"/>
              </w:rPr>
              <w:t xml:space="preserve">% in Year 1, </w:t>
            </w:r>
            <w:r w:rsidRPr="00DC1AEB">
              <w:rPr>
                <w:rFonts w:ascii="Arial Narrow" w:eastAsiaTheme="majorEastAsia" w:hAnsi="Arial Narrow" w:cstheme="majorBidi"/>
                <w:bCs/>
                <w:color w:val="000000"/>
                <w:spacing w:val="53"/>
                <w:sz w:val="20"/>
                <w:shd w:val="solid" w:color="000000" w:fill="000000"/>
                <w:fitText w:val="330" w:id="-894165503"/>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503"/>
                <w14:textFill>
                  <w14:solidFill>
                    <w14:srgbClr w14:val="000000">
                      <w14:alpha w14:val="100000"/>
                    </w14:srgbClr>
                  </w14:solidFill>
                </w14:textFill>
              </w:rPr>
              <w:t>|</w:t>
            </w:r>
            <w:r w:rsidR="007F5816" w:rsidRPr="00843E1C">
              <w:rPr>
                <w:rFonts w:ascii="Arial Narrow" w:eastAsiaTheme="majorEastAsia" w:hAnsi="Arial Narrow" w:cstheme="majorBidi"/>
                <w:bCs/>
                <w:sz w:val="20"/>
              </w:rPr>
              <w:t xml:space="preserve">% in Year 2, </w:t>
            </w:r>
            <w:r w:rsidRPr="00DC1AEB">
              <w:rPr>
                <w:rFonts w:ascii="Arial Narrow" w:eastAsiaTheme="majorEastAsia" w:hAnsi="Arial Narrow" w:cstheme="majorBidi"/>
                <w:bCs/>
                <w:color w:val="000000"/>
                <w:spacing w:val="53"/>
                <w:sz w:val="20"/>
                <w:shd w:val="solid" w:color="000000" w:fill="000000"/>
                <w:fitText w:val="330" w:id="-894165502"/>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502"/>
                <w14:textFill>
                  <w14:solidFill>
                    <w14:srgbClr w14:val="000000">
                      <w14:alpha w14:val="100000"/>
                    </w14:srgbClr>
                  </w14:solidFill>
                </w14:textFill>
              </w:rPr>
              <w:t>|</w:t>
            </w:r>
            <w:r w:rsidR="007F5816" w:rsidRPr="00843E1C">
              <w:rPr>
                <w:rFonts w:ascii="Arial Narrow" w:eastAsiaTheme="majorEastAsia" w:hAnsi="Arial Narrow" w:cstheme="majorBidi"/>
                <w:bCs/>
                <w:sz w:val="20"/>
              </w:rPr>
              <w:t xml:space="preserve">% in Year 3 and </w:t>
            </w:r>
            <w:r w:rsidRPr="00DC1AEB">
              <w:rPr>
                <w:rFonts w:ascii="Arial Narrow" w:eastAsiaTheme="majorEastAsia" w:hAnsi="Arial Narrow" w:cstheme="majorBidi"/>
                <w:bCs/>
                <w:color w:val="000000"/>
                <w:spacing w:val="53"/>
                <w:sz w:val="20"/>
                <w:shd w:val="solid" w:color="000000" w:fill="000000"/>
                <w:fitText w:val="330" w:id="-894165501"/>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501"/>
                <w14:textFill>
                  <w14:solidFill>
                    <w14:srgbClr w14:val="000000">
                      <w14:alpha w14:val="100000"/>
                    </w14:srgbClr>
                  </w14:solidFill>
                </w14:textFill>
              </w:rPr>
              <w:t>|</w:t>
            </w:r>
            <w:r w:rsidR="007F5816" w:rsidRPr="00843E1C">
              <w:rPr>
                <w:rFonts w:ascii="Arial Narrow" w:eastAsiaTheme="majorEastAsia" w:hAnsi="Arial Narrow" w:cstheme="majorBidi"/>
                <w:bCs/>
                <w:sz w:val="20"/>
              </w:rPr>
              <w:t xml:space="preserve">% in Years </w:t>
            </w:r>
            <w:r w:rsidR="007F5816" w:rsidRPr="00F55938">
              <w:rPr>
                <w:rFonts w:ascii="Arial Narrow" w:eastAsiaTheme="majorEastAsia" w:hAnsi="Arial Narrow" w:cstheme="majorBidi"/>
                <w:bCs/>
                <w:sz w:val="20"/>
              </w:rPr>
              <w:t>4-6, based on assumption.</w:t>
            </w:r>
          </w:p>
          <w:p w14:paraId="5625E72B" w14:textId="77777777" w:rsidR="007F5816" w:rsidRPr="00F55938" w:rsidRDefault="007F5816" w:rsidP="007F5816">
            <w:pPr>
              <w:widowControl w:val="0"/>
              <w:jc w:val="left"/>
              <w:rPr>
                <w:rFonts w:ascii="Arial Narrow" w:eastAsiaTheme="majorEastAsia" w:hAnsi="Arial Narrow" w:cstheme="majorBidi"/>
                <w:bCs/>
                <w:sz w:val="20"/>
              </w:rPr>
            </w:pPr>
          </w:p>
        </w:tc>
        <w:tc>
          <w:tcPr>
            <w:tcW w:w="2645" w:type="pct"/>
            <w:vAlign w:val="center"/>
          </w:tcPr>
          <w:p w14:paraId="07224B12"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This assumption implies a large prevalent pool waiting to be treated with vedolizumab. This is uncertain considering the uncertainty in the superior effectiveness of vedolizumab and the inferior safety claim, and it may overestimate the financial estimates. The financial model is sensitive to this parameter.</w:t>
            </w:r>
          </w:p>
        </w:tc>
      </w:tr>
      <w:tr w:rsidR="007F5816" w:rsidRPr="00F55938" w14:paraId="3502A452" w14:textId="77777777" w:rsidTr="0089466B">
        <w:trPr>
          <w:cantSplit/>
        </w:trPr>
        <w:tc>
          <w:tcPr>
            <w:tcW w:w="985" w:type="pct"/>
            <w:vAlign w:val="center"/>
          </w:tcPr>
          <w:p w14:paraId="17942D75"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Previous non-responding patient’s uptake rate</w:t>
            </w:r>
          </w:p>
        </w:tc>
        <w:tc>
          <w:tcPr>
            <w:tcW w:w="1370" w:type="pct"/>
            <w:vAlign w:val="center"/>
          </w:tcPr>
          <w:p w14:paraId="2AA0A3AB" w14:textId="56914773" w:rsidR="007F5816" w:rsidRPr="00F55938" w:rsidRDefault="00DC1AEB" w:rsidP="007F5816">
            <w:pPr>
              <w:widowControl w:val="0"/>
              <w:jc w:val="left"/>
              <w:rPr>
                <w:rFonts w:ascii="Arial Narrow" w:eastAsiaTheme="majorEastAsia" w:hAnsi="Arial Narrow" w:cstheme="majorBidi"/>
                <w:bCs/>
                <w:sz w:val="20"/>
              </w:rPr>
            </w:pPr>
            <w:r w:rsidRPr="00DC1AEB">
              <w:rPr>
                <w:rFonts w:ascii="Arial Narrow" w:eastAsiaTheme="majorEastAsia" w:hAnsi="Arial Narrow" w:cstheme="majorBidi"/>
                <w:bCs/>
                <w:color w:val="000000"/>
                <w:spacing w:val="53"/>
                <w:sz w:val="20"/>
                <w:shd w:val="solid" w:color="000000" w:fill="000000"/>
                <w:fitText w:val="330" w:id="-894165500"/>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500"/>
                <w14:textFill>
                  <w14:solidFill>
                    <w14:srgbClr w14:val="000000">
                      <w14:alpha w14:val="100000"/>
                    </w14:srgbClr>
                  </w14:solidFill>
                </w14:textFill>
              </w:rPr>
              <w:t>|</w:t>
            </w:r>
            <w:r w:rsidR="007F5816" w:rsidRPr="00843E1C">
              <w:rPr>
                <w:rFonts w:ascii="Arial Narrow" w:eastAsiaTheme="majorEastAsia" w:hAnsi="Arial Narrow" w:cstheme="majorBidi"/>
                <w:bCs/>
                <w:sz w:val="20"/>
              </w:rPr>
              <w:t xml:space="preserve">% in Years 1-2 and </w:t>
            </w:r>
            <w:r w:rsidRPr="00DC1AEB">
              <w:rPr>
                <w:rFonts w:ascii="Arial Narrow" w:eastAsiaTheme="majorEastAsia" w:hAnsi="Arial Narrow" w:cstheme="majorBidi"/>
                <w:bCs/>
                <w:color w:val="000000"/>
                <w:spacing w:val="53"/>
                <w:sz w:val="20"/>
                <w:shd w:val="solid" w:color="000000" w:fill="000000"/>
                <w:fitText w:val="330" w:id="-894165499"/>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499"/>
                <w14:textFill>
                  <w14:solidFill>
                    <w14:srgbClr w14:val="000000">
                      <w14:alpha w14:val="100000"/>
                    </w14:srgbClr>
                  </w14:solidFill>
                </w14:textFill>
              </w:rPr>
              <w:t>|</w:t>
            </w:r>
            <w:r w:rsidR="007F5816" w:rsidRPr="00843E1C">
              <w:rPr>
                <w:rFonts w:ascii="Arial Narrow" w:eastAsiaTheme="majorEastAsia" w:hAnsi="Arial Narrow" w:cstheme="majorBidi"/>
                <w:bCs/>
                <w:sz w:val="20"/>
              </w:rPr>
              <w:t>% in Years 3-6, based on assumption.</w:t>
            </w:r>
          </w:p>
          <w:p w14:paraId="6FB39981" w14:textId="77777777" w:rsidR="007F5816" w:rsidRPr="00F55938" w:rsidRDefault="007F5816" w:rsidP="007F5816">
            <w:pPr>
              <w:widowControl w:val="0"/>
              <w:jc w:val="left"/>
              <w:rPr>
                <w:rFonts w:ascii="Arial Narrow" w:eastAsiaTheme="majorEastAsia" w:hAnsi="Arial Narrow" w:cstheme="majorBidi"/>
                <w:bCs/>
                <w:sz w:val="20"/>
              </w:rPr>
            </w:pPr>
          </w:p>
        </w:tc>
        <w:tc>
          <w:tcPr>
            <w:tcW w:w="2645" w:type="pct"/>
            <w:vAlign w:val="center"/>
          </w:tcPr>
          <w:p w14:paraId="5814E784" w14:textId="1539509A" w:rsidR="007F5816" w:rsidRPr="00F55938" w:rsidRDefault="00067832" w:rsidP="007F5816">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As outlined above, t</w:t>
            </w:r>
            <w:r>
              <w:rPr>
                <w:rFonts w:ascii="Arial Narrow" w:hAnsi="Arial Narrow"/>
                <w:color w:val="000000"/>
                <w:sz w:val="20"/>
                <w:szCs w:val="20"/>
              </w:rPr>
              <w:t>he PBAC considered that patients who had previously failed vedolizumab for pouchitis should not be permitted to re-trial PBS-subsidised vedolizumab. Thus, the PBAC considered the uptake rate in previous non-responders should be 0%.</w:t>
            </w:r>
          </w:p>
        </w:tc>
      </w:tr>
      <w:tr w:rsidR="007F5816" w:rsidRPr="00F55938" w14:paraId="1637174C" w14:textId="77777777" w:rsidTr="0089466B">
        <w:trPr>
          <w:cantSplit/>
        </w:trPr>
        <w:tc>
          <w:tcPr>
            <w:tcW w:w="985" w:type="pct"/>
            <w:vAlign w:val="center"/>
          </w:tcPr>
          <w:p w14:paraId="4166B0CF"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lastRenderedPageBreak/>
              <w:t>Response rate (for continuing patients within the year)</w:t>
            </w:r>
          </w:p>
        </w:tc>
        <w:tc>
          <w:tcPr>
            <w:tcW w:w="1370" w:type="pct"/>
            <w:vAlign w:val="center"/>
          </w:tcPr>
          <w:p w14:paraId="1B99D8EE" w14:textId="051D356F"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 xml:space="preserve">31.37% applied annually, based on primary endpoint of mPDAI-defined remission </w:t>
            </w:r>
            <w:r w:rsidR="003D13C0" w:rsidRPr="00F55938">
              <w:rPr>
                <w:rFonts w:ascii="Arial Narrow" w:eastAsiaTheme="majorEastAsia" w:hAnsi="Arial Narrow" w:cstheme="majorBidi"/>
                <w:bCs/>
                <w:sz w:val="20"/>
              </w:rPr>
              <w:t xml:space="preserve">at Week 14 </w:t>
            </w:r>
            <w:r w:rsidRPr="00F55938">
              <w:rPr>
                <w:rFonts w:ascii="Arial Narrow" w:eastAsiaTheme="majorEastAsia" w:hAnsi="Arial Narrow" w:cstheme="majorBidi"/>
                <w:bCs/>
                <w:sz w:val="20"/>
              </w:rPr>
              <w:t>from EARNEST trial.</w:t>
            </w:r>
          </w:p>
        </w:tc>
        <w:tc>
          <w:tcPr>
            <w:tcW w:w="2645" w:type="pct"/>
            <w:vAlign w:val="center"/>
          </w:tcPr>
          <w:p w14:paraId="7823F33B" w14:textId="1D71990A" w:rsidR="007F5816" w:rsidRPr="00F55938" w:rsidRDefault="00067832" w:rsidP="007F5816">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 xml:space="preserve">The evaluation and the ESC considered that </w:t>
            </w:r>
            <w:r w:rsidR="001568FA" w:rsidRPr="00F55938">
              <w:rPr>
                <w:rFonts w:ascii="Arial Narrow" w:eastAsiaTheme="majorEastAsia" w:hAnsi="Arial Narrow" w:cstheme="majorBidi"/>
                <w:bCs/>
                <w:sz w:val="20"/>
              </w:rPr>
              <w:t>‘</w:t>
            </w:r>
            <w:r>
              <w:rPr>
                <w:rFonts w:ascii="Arial Narrow" w:eastAsiaTheme="majorEastAsia" w:hAnsi="Arial Narrow" w:cstheme="majorBidi"/>
                <w:bCs/>
                <w:sz w:val="20"/>
              </w:rPr>
              <w:t>r</w:t>
            </w:r>
            <w:r w:rsidR="001568FA" w:rsidRPr="00F55938">
              <w:rPr>
                <w:rFonts w:ascii="Arial Narrow" w:eastAsiaTheme="majorEastAsia" w:hAnsi="Arial Narrow" w:cstheme="majorBidi"/>
                <w:bCs/>
                <w:sz w:val="20"/>
              </w:rPr>
              <w:t xml:space="preserve">esponse’ was not objectively defined in the continuing PBS restriction, so higher rates of treatment continuation may be observed in PBS practice. </w:t>
            </w:r>
            <w:r>
              <w:rPr>
                <w:rFonts w:ascii="Arial Narrow" w:eastAsiaTheme="majorEastAsia" w:hAnsi="Arial Narrow" w:cstheme="majorBidi"/>
                <w:bCs/>
                <w:sz w:val="20"/>
              </w:rPr>
              <w:t xml:space="preserve">The PBAC considered that it would be more appropriate for continuation to be based on the proportion of patients in the trial who experienced </w:t>
            </w:r>
            <w:r w:rsidRPr="00067832">
              <w:rPr>
                <w:rFonts w:ascii="Arial Narrow" w:eastAsiaTheme="majorEastAsia" w:hAnsi="Arial Narrow" w:cstheme="majorBidi"/>
                <w:bCs/>
                <w:sz w:val="20"/>
              </w:rPr>
              <w:t>‘partial mPDAI-defined response’</w:t>
            </w:r>
            <w:r>
              <w:rPr>
                <w:rFonts w:ascii="Arial Narrow" w:eastAsiaTheme="majorEastAsia" w:hAnsi="Arial Narrow" w:cstheme="majorBidi"/>
                <w:bCs/>
                <w:sz w:val="20"/>
              </w:rPr>
              <w:t xml:space="preserve"> at Week 14 (62.7%), rather than </w:t>
            </w:r>
            <w:r w:rsidRPr="00067832">
              <w:rPr>
                <w:rFonts w:ascii="Arial Narrow" w:eastAsiaTheme="majorEastAsia" w:hAnsi="Arial Narrow" w:cstheme="majorBidi"/>
                <w:bCs/>
                <w:sz w:val="20"/>
              </w:rPr>
              <w:t>‘mPDAI-defined remission’</w:t>
            </w:r>
            <w:r>
              <w:rPr>
                <w:rFonts w:ascii="Arial Narrow" w:eastAsiaTheme="majorEastAsia" w:hAnsi="Arial Narrow" w:cstheme="majorBidi"/>
                <w:bCs/>
                <w:sz w:val="20"/>
              </w:rPr>
              <w:t>.</w:t>
            </w:r>
          </w:p>
        </w:tc>
      </w:tr>
      <w:tr w:rsidR="007F5816" w:rsidRPr="00F55938" w14:paraId="6E284071" w14:textId="77777777" w:rsidTr="0089466B">
        <w:trPr>
          <w:cantSplit/>
        </w:trPr>
        <w:tc>
          <w:tcPr>
            <w:tcW w:w="985" w:type="pct"/>
            <w:vAlign w:val="center"/>
          </w:tcPr>
          <w:p w14:paraId="5A8571A2"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Discontinuation rate (for continuing patients within the first year and in subsequent years)</w:t>
            </w:r>
          </w:p>
        </w:tc>
        <w:tc>
          <w:tcPr>
            <w:tcW w:w="1370" w:type="pct"/>
            <w:vAlign w:val="center"/>
          </w:tcPr>
          <w:p w14:paraId="4C654871"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29.33% applied in the first year and 14.67% in subsequent years. Assumptions based on sustained mPDAI remission from EARNEST trial.</w:t>
            </w:r>
          </w:p>
          <w:p w14:paraId="6498E2CD" w14:textId="77777777" w:rsidR="007F5816" w:rsidRPr="00F55938" w:rsidRDefault="007F5816" w:rsidP="007F5816">
            <w:pPr>
              <w:widowControl w:val="0"/>
              <w:jc w:val="left"/>
              <w:rPr>
                <w:rFonts w:ascii="Arial Narrow" w:eastAsiaTheme="majorEastAsia" w:hAnsi="Arial Narrow" w:cstheme="majorBidi"/>
                <w:bCs/>
                <w:sz w:val="20"/>
              </w:rPr>
            </w:pPr>
          </w:p>
        </w:tc>
        <w:tc>
          <w:tcPr>
            <w:tcW w:w="2645" w:type="pct"/>
            <w:vAlign w:val="center"/>
          </w:tcPr>
          <w:p w14:paraId="316757D0" w14:textId="725AB072" w:rsidR="007F5816" w:rsidRDefault="007F5816" w:rsidP="007067B9">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The</w:t>
            </w:r>
            <w:r w:rsidR="00067832">
              <w:rPr>
                <w:rFonts w:ascii="Arial Narrow" w:eastAsiaTheme="majorEastAsia" w:hAnsi="Arial Narrow" w:cstheme="majorBidi"/>
                <w:bCs/>
                <w:sz w:val="20"/>
              </w:rPr>
              <w:t xml:space="preserve"> evaluation considered the</w:t>
            </w:r>
            <w:r w:rsidRPr="00F55938">
              <w:rPr>
                <w:rFonts w:ascii="Arial Narrow" w:eastAsiaTheme="majorEastAsia" w:hAnsi="Arial Narrow" w:cstheme="majorBidi"/>
                <w:bCs/>
                <w:sz w:val="20"/>
              </w:rPr>
              <w:t xml:space="preserve">se assumptions </w:t>
            </w:r>
            <w:r w:rsidR="00067832">
              <w:rPr>
                <w:rFonts w:ascii="Arial Narrow" w:eastAsiaTheme="majorEastAsia" w:hAnsi="Arial Narrow" w:cstheme="majorBidi"/>
                <w:bCs/>
                <w:sz w:val="20"/>
              </w:rPr>
              <w:t>we</w:t>
            </w:r>
            <w:r w:rsidRPr="00F55938">
              <w:rPr>
                <w:rFonts w:ascii="Arial Narrow" w:eastAsiaTheme="majorEastAsia" w:hAnsi="Arial Narrow" w:cstheme="majorBidi"/>
                <w:bCs/>
                <w:sz w:val="20"/>
              </w:rPr>
              <w:t xml:space="preserve">re uncertain. </w:t>
            </w:r>
            <w:r w:rsidR="009562F4" w:rsidRPr="00F55938">
              <w:rPr>
                <w:rFonts w:ascii="Arial Narrow" w:eastAsiaTheme="majorEastAsia" w:hAnsi="Arial Narrow" w:cstheme="majorBidi"/>
                <w:bCs/>
                <w:sz w:val="20"/>
              </w:rPr>
              <w:t>The discontinuation rate</w:t>
            </w:r>
            <w:r w:rsidR="00784EB2" w:rsidRPr="00F55938">
              <w:rPr>
                <w:rFonts w:ascii="Arial Narrow" w:eastAsiaTheme="majorEastAsia" w:hAnsi="Arial Narrow" w:cstheme="majorBidi"/>
                <w:bCs/>
                <w:sz w:val="20"/>
              </w:rPr>
              <w:t xml:space="preserve"> of 29.33% was estimated based on the proportion of patients in remission at Week 14 who maintained remission to Week 34 (14/16=87.5%) in the EARNEST trial with a 20-week maintenance of remission scaled up to 52 weeks. </w:t>
            </w:r>
            <w:r w:rsidR="0026415C" w:rsidRPr="00F55938">
              <w:rPr>
                <w:rFonts w:ascii="Arial Narrow" w:eastAsiaTheme="majorEastAsia" w:hAnsi="Arial Narrow" w:cstheme="majorBidi"/>
                <w:bCs/>
                <w:sz w:val="20"/>
              </w:rPr>
              <w:t xml:space="preserve">The submission also assumed that long-term discontinuation rate (after Year 1) to be half of the discontinuation of the first year (14.67%). </w:t>
            </w:r>
            <w:r w:rsidR="00352F1E">
              <w:rPr>
                <w:rFonts w:ascii="Arial Narrow" w:eastAsiaTheme="majorEastAsia" w:hAnsi="Arial Narrow" w:cstheme="majorBidi"/>
                <w:bCs/>
                <w:sz w:val="20"/>
              </w:rPr>
              <w:t>The evaluation considered that c</w:t>
            </w:r>
            <w:r w:rsidR="001568FA" w:rsidRPr="00F55938">
              <w:rPr>
                <w:rFonts w:ascii="Arial Narrow" w:eastAsiaTheme="majorEastAsia" w:hAnsi="Arial Narrow" w:cstheme="majorBidi"/>
                <w:bCs/>
                <w:sz w:val="20"/>
              </w:rPr>
              <w:t xml:space="preserve">ontinuation rates may be higher as the proposed PBS continuing restriction </w:t>
            </w:r>
            <w:r w:rsidR="00FA116F">
              <w:rPr>
                <w:rFonts w:ascii="Arial Narrow" w:eastAsiaTheme="majorEastAsia" w:hAnsi="Arial Narrow" w:cstheme="majorBidi"/>
                <w:bCs/>
                <w:sz w:val="20"/>
              </w:rPr>
              <w:t>wa</w:t>
            </w:r>
            <w:r w:rsidR="00FA116F" w:rsidRPr="00F55938">
              <w:rPr>
                <w:rFonts w:ascii="Arial Narrow" w:eastAsiaTheme="majorEastAsia" w:hAnsi="Arial Narrow" w:cstheme="majorBidi"/>
                <w:bCs/>
                <w:sz w:val="20"/>
              </w:rPr>
              <w:t>s</w:t>
            </w:r>
            <w:r w:rsidR="001568FA" w:rsidRPr="00F55938">
              <w:rPr>
                <w:rFonts w:ascii="Arial Narrow" w:eastAsiaTheme="majorEastAsia" w:hAnsi="Arial Narrow" w:cstheme="majorBidi"/>
                <w:bCs/>
                <w:sz w:val="20"/>
              </w:rPr>
              <w:t xml:space="preserve"> subjective and d</w:t>
            </w:r>
            <w:r w:rsidR="00352F1E">
              <w:rPr>
                <w:rFonts w:ascii="Arial Narrow" w:eastAsiaTheme="majorEastAsia" w:hAnsi="Arial Narrow" w:cstheme="majorBidi"/>
                <w:bCs/>
                <w:sz w:val="20"/>
              </w:rPr>
              <w:t>id</w:t>
            </w:r>
            <w:r w:rsidR="001568FA" w:rsidRPr="00F55938">
              <w:rPr>
                <w:rFonts w:ascii="Arial Narrow" w:eastAsiaTheme="majorEastAsia" w:hAnsi="Arial Narrow" w:cstheme="majorBidi"/>
                <w:bCs/>
                <w:sz w:val="20"/>
              </w:rPr>
              <w:t xml:space="preserve"> not rely on mPDAI-defined remission.</w:t>
            </w:r>
          </w:p>
          <w:p w14:paraId="5841C4D0" w14:textId="27B763D1" w:rsidR="00352F1E" w:rsidRPr="00F55938" w:rsidRDefault="00352F1E" w:rsidP="007067B9">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The PBAC considered there was a lack of long-term data to inform the discontinuation rate beyond the trial period</w:t>
            </w:r>
            <w:r w:rsidR="00172D8F">
              <w:rPr>
                <w:rFonts w:ascii="Arial Narrow" w:eastAsiaTheme="majorEastAsia" w:hAnsi="Arial Narrow" w:cstheme="majorBidi"/>
                <w:bCs/>
                <w:sz w:val="20"/>
              </w:rPr>
              <w:t xml:space="preserve">, but considered </w:t>
            </w:r>
            <w:r w:rsidR="00172D8F" w:rsidRPr="00172D8F">
              <w:rPr>
                <w:rFonts w:ascii="Arial Narrow" w:eastAsiaTheme="majorEastAsia" w:hAnsi="Arial Narrow" w:cstheme="majorBidi"/>
                <w:bCs/>
                <w:sz w:val="20"/>
              </w:rPr>
              <w:t>that it would be more appropriate for</w:t>
            </w:r>
            <w:r w:rsidR="00172D8F">
              <w:rPr>
                <w:rFonts w:ascii="Arial Narrow" w:eastAsiaTheme="majorEastAsia" w:hAnsi="Arial Narrow" w:cstheme="majorBidi"/>
                <w:bCs/>
                <w:sz w:val="20"/>
              </w:rPr>
              <w:t xml:space="preserve"> long-term continuation to be based on the </w:t>
            </w:r>
            <w:r w:rsidR="00172D8F" w:rsidRPr="00172D8F">
              <w:rPr>
                <w:rFonts w:ascii="Arial Narrow" w:eastAsiaTheme="majorEastAsia" w:hAnsi="Arial Narrow" w:cstheme="majorBidi"/>
                <w:bCs/>
                <w:sz w:val="20"/>
              </w:rPr>
              <w:t xml:space="preserve">proportion of patients in the trial who experienced ‘partial mPDAI-defined response’ at Week </w:t>
            </w:r>
            <w:r w:rsidR="00172D8F">
              <w:rPr>
                <w:rFonts w:ascii="Arial Narrow" w:eastAsiaTheme="majorEastAsia" w:hAnsi="Arial Narrow" w:cstheme="majorBidi"/>
                <w:bCs/>
                <w:sz w:val="20"/>
              </w:rPr>
              <w:t>3</w:t>
            </w:r>
            <w:r w:rsidR="00172D8F" w:rsidRPr="00172D8F">
              <w:rPr>
                <w:rFonts w:ascii="Arial Narrow" w:eastAsiaTheme="majorEastAsia" w:hAnsi="Arial Narrow" w:cstheme="majorBidi"/>
                <w:bCs/>
                <w:sz w:val="20"/>
              </w:rPr>
              <w:t>4 (</w:t>
            </w:r>
            <w:r w:rsidR="00172D8F">
              <w:rPr>
                <w:rFonts w:ascii="Arial Narrow" w:eastAsiaTheme="majorEastAsia" w:hAnsi="Arial Narrow" w:cstheme="majorBidi"/>
                <w:bCs/>
                <w:sz w:val="20"/>
              </w:rPr>
              <w:t>51.0</w:t>
            </w:r>
            <w:r w:rsidR="00172D8F" w:rsidRPr="00172D8F">
              <w:rPr>
                <w:rFonts w:ascii="Arial Narrow" w:eastAsiaTheme="majorEastAsia" w:hAnsi="Arial Narrow" w:cstheme="majorBidi"/>
                <w:bCs/>
                <w:sz w:val="20"/>
              </w:rPr>
              <w:t>%)</w:t>
            </w:r>
            <w:r w:rsidR="00172D8F">
              <w:rPr>
                <w:rFonts w:ascii="Arial Narrow" w:eastAsiaTheme="majorEastAsia" w:hAnsi="Arial Narrow" w:cstheme="majorBidi"/>
                <w:bCs/>
                <w:sz w:val="20"/>
              </w:rPr>
              <w:t xml:space="preserve">, per </w:t>
            </w:r>
            <w:r w:rsidR="00172D8F">
              <w:rPr>
                <w:rFonts w:ascii="Arial Narrow" w:eastAsiaTheme="majorEastAsia" w:hAnsi="Arial Narrow" w:cstheme="majorBidi"/>
                <w:bCs/>
                <w:sz w:val="20"/>
              </w:rPr>
              <w:fldChar w:fldCharType="begin" w:fldLock="1"/>
            </w:r>
            <w:r w:rsidR="00172D8F">
              <w:rPr>
                <w:rFonts w:ascii="Arial Narrow" w:eastAsiaTheme="majorEastAsia" w:hAnsi="Arial Narrow" w:cstheme="majorBidi"/>
                <w:bCs/>
                <w:sz w:val="20"/>
              </w:rPr>
              <w:instrText xml:space="preserve"> REF _Ref164411186 \h  \* MERGEFORMAT </w:instrText>
            </w:r>
            <w:r w:rsidR="00172D8F">
              <w:rPr>
                <w:rFonts w:ascii="Arial Narrow" w:eastAsiaTheme="majorEastAsia" w:hAnsi="Arial Narrow" w:cstheme="majorBidi"/>
                <w:bCs/>
                <w:sz w:val="20"/>
              </w:rPr>
            </w:r>
            <w:r w:rsidR="00172D8F">
              <w:rPr>
                <w:rFonts w:ascii="Arial Narrow" w:eastAsiaTheme="majorEastAsia" w:hAnsi="Arial Narrow" w:cstheme="majorBidi"/>
                <w:bCs/>
                <w:sz w:val="20"/>
              </w:rPr>
              <w:fldChar w:fldCharType="separate"/>
            </w:r>
            <w:r w:rsidR="00DC7CC4" w:rsidRPr="00DC7CC4">
              <w:rPr>
                <w:rFonts w:ascii="Arial Narrow" w:eastAsiaTheme="majorEastAsia" w:hAnsi="Arial Narrow" w:cstheme="majorBidi"/>
                <w:bCs/>
                <w:sz w:val="20"/>
              </w:rPr>
              <w:t>Table 6</w:t>
            </w:r>
            <w:r w:rsidR="00172D8F">
              <w:rPr>
                <w:rFonts w:ascii="Arial Narrow" w:eastAsiaTheme="majorEastAsia" w:hAnsi="Arial Narrow" w:cstheme="majorBidi"/>
                <w:bCs/>
                <w:sz w:val="20"/>
              </w:rPr>
              <w:fldChar w:fldCharType="end"/>
            </w:r>
            <w:r w:rsidR="00172D8F">
              <w:rPr>
                <w:rFonts w:ascii="Arial Narrow" w:eastAsiaTheme="majorEastAsia" w:hAnsi="Arial Narrow" w:cstheme="majorBidi"/>
                <w:bCs/>
                <w:sz w:val="20"/>
              </w:rPr>
              <w:t xml:space="preserve"> (i.e. a discontinuation rate of 49% applied every 34 weeks, on-going)</w:t>
            </w:r>
            <w:r>
              <w:rPr>
                <w:rFonts w:ascii="Arial Narrow" w:eastAsiaTheme="majorEastAsia" w:hAnsi="Arial Narrow" w:cstheme="majorBidi"/>
                <w:bCs/>
                <w:sz w:val="20"/>
              </w:rPr>
              <w:t xml:space="preserve">.  </w:t>
            </w:r>
          </w:p>
        </w:tc>
      </w:tr>
      <w:tr w:rsidR="007F5816" w:rsidRPr="00F55938" w14:paraId="234F4E91" w14:textId="77777777" w:rsidTr="0089466B">
        <w:trPr>
          <w:cantSplit/>
        </w:trPr>
        <w:tc>
          <w:tcPr>
            <w:tcW w:w="985" w:type="pct"/>
            <w:vAlign w:val="center"/>
          </w:tcPr>
          <w:p w14:paraId="193D29F0"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Number treated</w:t>
            </w:r>
          </w:p>
        </w:tc>
        <w:tc>
          <w:tcPr>
            <w:tcW w:w="1370" w:type="pct"/>
            <w:vAlign w:val="center"/>
          </w:tcPr>
          <w:p w14:paraId="5A7E8B77" w14:textId="364474D5" w:rsidR="007F5816" w:rsidRPr="00F55938" w:rsidRDefault="00DC1AEB" w:rsidP="007F5816">
            <w:pPr>
              <w:widowControl w:val="0"/>
              <w:jc w:val="left"/>
              <w:rPr>
                <w:rFonts w:ascii="Arial Narrow" w:eastAsiaTheme="majorEastAsia" w:hAnsi="Arial Narrow" w:cstheme="majorBidi"/>
                <w:bCs/>
                <w:sz w:val="20"/>
              </w:rPr>
            </w:pPr>
            <w:r w:rsidRPr="00DC1AEB">
              <w:rPr>
                <w:rFonts w:ascii="Arial Narrow" w:eastAsiaTheme="majorEastAsia" w:hAnsi="Arial Narrow" w:cstheme="majorBidi"/>
                <w:bCs/>
                <w:color w:val="000000"/>
                <w:spacing w:val="53"/>
                <w:sz w:val="20"/>
                <w:shd w:val="solid" w:color="000000" w:fill="000000"/>
                <w:fitText w:val="330" w:id="-894165498"/>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498"/>
                <w14:textFill>
                  <w14:solidFill>
                    <w14:srgbClr w14:val="000000">
                      <w14:alpha w14:val="100000"/>
                    </w14:srgbClr>
                  </w14:solidFill>
                </w14:textFill>
              </w:rPr>
              <w:t>|</w:t>
            </w:r>
            <w:r w:rsidR="007F5816" w:rsidRPr="00F55938">
              <w:rPr>
                <w:rFonts w:ascii="Arial Narrow" w:eastAsiaTheme="majorEastAsia" w:hAnsi="Arial Narrow" w:cstheme="majorBidi"/>
                <w:bCs/>
                <w:sz w:val="20"/>
              </w:rPr>
              <w:t xml:space="preserve"> </w:t>
            </w:r>
            <w:r w:rsidR="00F16B1E" w:rsidRPr="00F16B1E">
              <w:rPr>
                <w:rFonts w:ascii="Arial Narrow" w:eastAsiaTheme="majorEastAsia" w:hAnsi="Arial Narrow" w:cstheme="majorBidi"/>
                <w:bCs/>
                <w:sz w:val="20"/>
                <w:vertAlign w:val="superscript"/>
              </w:rPr>
              <w:t>1</w:t>
            </w:r>
            <w:r w:rsidR="00F16B1E">
              <w:rPr>
                <w:rFonts w:ascii="Arial Narrow" w:eastAsiaTheme="majorEastAsia" w:hAnsi="Arial Narrow" w:cstheme="majorBidi"/>
                <w:bCs/>
                <w:sz w:val="20"/>
                <w:vertAlign w:val="superscript"/>
              </w:rPr>
              <w:t xml:space="preserve"> </w:t>
            </w:r>
            <w:r w:rsidR="007F5816" w:rsidRPr="00F55938">
              <w:rPr>
                <w:rFonts w:ascii="Arial Narrow" w:eastAsiaTheme="majorEastAsia" w:hAnsi="Arial Narrow" w:cstheme="majorBidi"/>
                <w:bCs/>
                <w:sz w:val="20"/>
              </w:rPr>
              <w:t xml:space="preserve">in Year 1, decreasing to </w:t>
            </w:r>
            <w:r w:rsidRPr="00DC1AEB">
              <w:rPr>
                <w:rFonts w:ascii="Arial Narrow" w:eastAsiaTheme="majorEastAsia" w:hAnsi="Arial Narrow" w:cstheme="majorBidi"/>
                <w:bCs/>
                <w:color w:val="000000"/>
                <w:spacing w:val="53"/>
                <w:sz w:val="20"/>
                <w:shd w:val="solid" w:color="000000" w:fill="000000"/>
                <w:fitText w:val="330" w:id="-894165497"/>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497"/>
                <w14:textFill>
                  <w14:solidFill>
                    <w14:srgbClr w14:val="000000">
                      <w14:alpha w14:val="100000"/>
                    </w14:srgbClr>
                  </w14:solidFill>
                </w14:textFill>
              </w:rPr>
              <w:t>|</w:t>
            </w:r>
            <w:r w:rsidR="00F16B1E" w:rsidRPr="00F16B1E">
              <w:rPr>
                <w:rFonts w:ascii="Arial Narrow" w:eastAsiaTheme="majorEastAsia" w:hAnsi="Arial Narrow" w:cstheme="majorBidi"/>
                <w:bCs/>
                <w:sz w:val="20"/>
                <w:vertAlign w:val="superscript"/>
              </w:rPr>
              <w:t>1</w:t>
            </w:r>
            <w:r w:rsidR="007F5816" w:rsidRPr="00F55938">
              <w:rPr>
                <w:rFonts w:ascii="Arial Narrow" w:eastAsiaTheme="majorEastAsia" w:hAnsi="Arial Narrow" w:cstheme="majorBidi"/>
                <w:bCs/>
                <w:sz w:val="20"/>
              </w:rPr>
              <w:t xml:space="preserve"> in Year 6.</w:t>
            </w:r>
          </w:p>
          <w:p w14:paraId="43B945AC" w14:textId="77777777" w:rsidR="007F5816" w:rsidRPr="00F55938" w:rsidRDefault="007F5816" w:rsidP="007F5816">
            <w:pPr>
              <w:widowControl w:val="0"/>
              <w:jc w:val="left"/>
              <w:rPr>
                <w:rFonts w:ascii="Arial Narrow" w:eastAsiaTheme="majorEastAsia" w:hAnsi="Arial Narrow" w:cstheme="majorBidi"/>
                <w:bCs/>
                <w:sz w:val="20"/>
              </w:rPr>
            </w:pPr>
          </w:p>
        </w:tc>
        <w:tc>
          <w:tcPr>
            <w:tcW w:w="2645" w:type="pct"/>
            <w:vAlign w:val="center"/>
          </w:tcPr>
          <w:p w14:paraId="35B2B179" w14:textId="18A5F937" w:rsidR="007F5816" w:rsidRPr="00F55938" w:rsidRDefault="00A709D5" w:rsidP="007F5816">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The evaluation considered that the n</w:t>
            </w:r>
            <w:r w:rsidR="007F5816" w:rsidRPr="00F55938">
              <w:rPr>
                <w:rFonts w:ascii="Arial Narrow" w:eastAsiaTheme="majorEastAsia" w:hAnsi="Arial Narrow" w:cstheme="majorBidi"/>
                <w:bCs/>
                <w:sz w:val="20"/>
              </w:rPr>
              <w:t>umber of treated patients may be overestimated because of the assumptions made relating to the incident, prevalent and previous non-responding populations, and the proposed uptake and discontinuation rates.</w:t>
            </w:r>
          </w:p>
        </w:tc>
      </w:tr>
      <w:tr w:rsidR="007F5816" w:rsidRPr="00F55938" w14:paraId="70F0B022" w14:textId="77777777" w:rsidTr="0089466B">
        <w:trPr>
          <w:cantSplit/>
        </w:trPr>
        <w:tc>
          <w:tcPr>
            <w:tcW w:w="985" w:type="pct"/>
            <w:vAlign w:val="center"/>
          </w:tcPr>
          <w:p w14:paraId="3485E1D3"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Scripts dispensed</w:t>
            </w:r>
          </w:p>
        </w:tc>
        <w:tc>
          <w:tcPr>
            <w:tcW w:w="1370" w:type="pct"/>
            <w:vAlign w:val="center"/>
          </w:tcPr>
          <w:p w14:paraId="0F352AA1" w14:textId="5CE22191" w:rsidR="007F5816" w:rsidRPr="00F55938" w:rsidRDefault="00DC1AEB" w:rsidP="007F5816">
            <w:pPr>
              <w:widowControl w:val="0"/>
              <w:jc w:val="left"/>
              <w:rPr>
                <w:rFonts w:ascii="Arial Narrow" w:eastAsiaTheme="majorEastAsia" w:hAnsi="Arial Narrow" w:cstheme="majorBidi"/>
                <w:bCs/>
                <w:sz w:val="20"/>
              </w:rPr>
            </w:pPr>
            <w:r w:rsidRPr="00DC1AEB">
              <w:rPr>
                <w:rFonts w:ascii="Arial Narrow" w:eastAsiaTheme="majorEastAsia" w:hAnsi="Arial Narrow" w:cstheme="majorBidi"/>
                <w:bCs/>
                <w:color w:val="000000"/>
                <w:spacing w:val="53"/>
                <w:sz w:val="20"/>
                <w:shd w:val="solid" w:color="000000" w:fill="000000"/>
                <w:fitText w:val="330" w:id="-894165496"/>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496"/>
                <w14:textFill>
                  <w14:solidFill>
                    <w14:srgbClr w14:val="000000">
                      <w14:alpha w14:val="100000"/>
                    </w14:srgbClr>
                  </w14:solidFill>
                </w14:textFill>
              </w:rPr>
              <w:t>|</w:t>
            </w:r>
            <w:r w:rsidR="007F5816" w:rsidRPr="00F55938">
              <w:rPr>
                <w:rFonts w:ascii="Arial Narrow" w:eastAsiaTheme="majorEastAsia" w:hAnsi="Arial Narrow" w:cstheme="majorBidi"/>
                <w:bCs/>
                <w:sz w:val="20"/>
              </w:rPr>
              <w:t xml:space="preserve"> </w:t>
            </w:r>
            <w:r w:rsidR="00F16B1E" w:rsidRPr="00F16B1E">
              <w:rPr>
                <w:rFonts w:ascii="Arial Narrow" w:eastAsiaTheme="majorEastAsia" w:hAnsi="Arial Narrow" w:cstheme="majorBidi"/>
                <w:bCs/>
                <w:sz w:val="20"/>
                <w:vertAlign w:val="superscript"/>
              </w:rPr>
              <w:t>2</w:t>
            </w:r>
            <w:r w:rsidR="00F16B1E">
              <w:rPr>
                <w:rFonts w:ascii="Arial Narrow" w:eastAsiaTheme="majorEastAsia" w:hAnsi="Arial Narrow" w:cstheme="majorBidi"/>
                <w:bCs/>
                <w:sz w:val="20"/>
              </w:rPr>
              <w:t xml:space="preserve"> </w:t>
            </w:r>
            <w:r w:rsidR="007F5816" w:rsidRPr="00F55938">
              <w:rPr>
                <w:rFonts w:ascii="Arial Narrow" w:eastAsiaTheme="majorEastAsia" w:hAnsi="Arial Narrow" w:cstheme="majorBidi"/>
                <w:bCs/>
                <w:sz w:val="20"/>
              </w:rPr>
              <w:t xml:space="preserve">in Year 1, decreasing to </w:t>
            </w:r>
            <w:r w:rsidRPr="00DC1AEB">
              <w:rPr>
                <w:rFonts w:ascii="Arial Narrow" w:eastAsiaTheme="majorEastAsia" w:hAnsi="Arial Narrow" w:cstheme="majorBidi"/>
                <w:bCs/>
                <w:color w:val="000000"/>
                <w:spacing w:val="53"/>
                <w:sz w:val="20"/>
                <w:shd w:val="solid" w:color="000000" w:fill="000000"/>
                <w:fitText w:val="330" w:id="-894165495"/>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495"/>
                <w14:textFill>
                  <w14:solidFill>
                    <w14:srgbClr w14:val="000000">
                      <w14:alpha w14:val="100000"/>
                    </w14:srgbClr>
                  </w14:solidFill>
                </w14:textFill>
              </w:rPr>
              <w:t>|</w:t>
            </w:r>
            <w:r w:rsidR="00F16B1E" w:rsidRPr="00F16B1E">
              <w:rPr>
                <w:rFonts w:ascii="Arial Narrow" w:eastAsiaTheme="majorEastAsia" w:hAnsi="Arial Narrow" w:cstheme="majorBidi"/>
                <w:bCs/>
                <w:sz w:val="20"/>
                <w:vertAlign w:val="superscript"/>
              </w:rPr>
              <w:t xml:space="preserve">2 </w:t>
            </w:r>
            <w:r w:rsidRPr="00DC1AEB">
              <w:rPr>
                <w:rFonts w:ascii="Arial Narrow" w:eastAsiaTheme="majorEastAsia" w:hAnsi="Arial Narrow" w:cstheme="majorBidi"/>
                <w:bCs/>
                <w:color w:val="000000"/>
                <w:spacing w:val="53"/>
                <w:sz w:val="20"/>
                <w:shd w:val="solid" w:color="000000" w:fill="000000"/>
                <w:fitText w:val="330" w:id="-894165494"/>
                <w14:textFill>
                  <w14:solidFill>
                    <w14:srgbClr w14:val="000000">
                      <w14:alpha w14:val="100000"/>
                    </w14:srgbClr>
                  </w14:solidFill>
                </w14:textFill>
              </w:rPr>
              <w:t>|||</w:t>
            </w:r>
            <w:r w:rsidRPr="00DC1AEB">
              <w:rPr>
                <w:rFonts w:ascii="Arial Narrow" w:eastAsiaTheme="majorEastAsia" w:hAnsi="Arial Narrow" w:cstheme="majorBidi"/>
                <w:bCs/>
                <w:color w:val="000000"/>
                <w:spacing w:val="1"/>
                <w:sz w:val="20"/>
                <w:shd w:val="solid" w:color="000000" w:fill="000000"/>
                <w:fitText w:val="330" w:id="-894165494"/>
                <w14:textFill>
                  <w14:solidFill>
                    <w14:srgbClr w14:val="000000">
                      <w14:alpha w14:val="100000"/>
                    </w14:srgbClr>
                  </w14:solidFill>
                </w14:textFill>
              </w:rPr>
              <w:t>|</w:t>
            </w:r>
            <w:r w:rsidR="007F5816" w:rsidRPr="00F55938">
              <w:rPr>
                <w:rFonts w:ascii="Arial Narrow" w:eastAsiaTheme="majorEastAsia" w:hAnsi="Arial Narrow" w:cstheme="majorBidi"/>
                <w:bCs/>
                <w:sz w:val="20"/>
              </w:rPr>
              <w:t>n Year 6.</w:t>
            </w:r>
          </w:p>
          <w:p w14:paraId="05B12734"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Product of each treated patient group by corresponding scripts use based on assumptions.</w:t>
            </w:r>
          </w:p>
          <w:p w14:paraId="783998A7" w14:textId="77777777" w:rsidR="007F5816" w:rsidRPr="00F55938" w:rsidRDefault="007F5816" w:rsidP="007F5816">
            <w:pPr>
              <w:widowControl w:val="0"/>
              <w:jc w:val="left"/>
              <w:rPr>
                <w:rFonts w:ascii="Arial Narrow" w:eastAsiaTheme="majorEastAsia" w:hAnsi="Arial Narrow" w:cstheme="majorBidi"/>
                <w:bCs/>
                <w:sz w:val="20"/>
              </w:rPr>
            </w:pPr>
          </w:p>
        </w:tc>
        <w:tc>
          <w:tcPr>
            <w:tcW w:w="2645" w:type="pct"/>
            <w:vAlign w:val="center"/>
          </w:tcPr>
          <w:p w14:paraId="54A249A9" w14:textId="3965D400" w:rsidR="007F5816" w:rsidRPr="00F55938" w:rsidRDefault="0051398C" w:rsidP="00C2745D">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The submission applied</w:t>
            </w:r>
            <w:r w:rsidR="008E3483" w:rsidRPr="00F55938">
              <w:rPr>
                <w:rFonts w:ascii="Arial Narrow" w:eastAsiaTheme="majorEastAsia" w:hAnsi="Arial Narrow" w:cstheme="majorBidi"/>
                <w:bCs/>
                <w:sz w:val="20"/>
              </w:rPr>
              <w:t xml:space="preserve"> 7.75</w:t>
            </w:r>
            <w:r w:rsidR="002871FC" w:rsidRPr="00F55938">
              <w:rPr>
                <w:rFonts w:ascii="Arial Narrow" w:eastAsiaTheme="majorEastAsia" w:hAnsi="Arial Narrow" w:cstheme="majorBidi"/>
                <w:bCs/>
                <w:sz w:val="20"/>
              </w:rPr>
              <w:t xml:space="preserve"> scripts </w:t>
            </w:r>
            <w:r w:rsidR="006E1E13" w:rsidRPr="00F55938">
              <w:rPr>
                <w:rFonts w:ascii="Arial Narrow" w:eastAsiaTheme="majorEastAsia" w:hAnsi="Arial Narrow" w:cstheme="majorBidi"/>
                <w:bCs/>
                <w:sz w:val="20"/>
              </w:rPr>
              <w:t>(</w:t>
            </w:r>
            <w:r w:rsidR="002871FC" w:rsidRPr="00F55938">
              <w:rPr>
                <w:rFonts w:ascii="Arial Narrow" w:eastAsiaTheme="majorEastAsia" w:hAnsi="Arial Narrow" w:cstheme="majorBidi"/>
                <w:bCs/>
                <w:sz w:val="20"/>
              </w:rPr>
              <w:t>initiating year</w:t>
            </w:r>
            <w:r w:rsidR="006E1E13" w:rsidRPr="00F55938">
              <w:rPr>
                <w:rFonts w:ascii="Arial Narrow" w:eastAsiaTheme="majorEastAsia" w:hAnsi="Arial Narrow" w:cstheme="majorBidi"/>
                <w:bCs/>
                <w:sz w:val="20"/>
              </w:rPr>
              <w:t>)</w:t>
            </w:r>
            <w:r w:rsidR="002871FC" w:rsidRPr="00F55938">
              <w:rPr>
                <w:rFonts w:ascii="Arial Narrow" w:eastAsiaTheme="majorEastAsia" w:hAnsi="Arial Narrow" w:cstheme="majorBidi"/>
                <w:bCs/>
                <w:sz w:val="20"/>
              </w:rPr>
              <w:t xml:space="preserve"> and </w:t>
            </w:r>
            <w:r w:rsidR="00F77C83" w:rsidRPr="00F55938">
              <w:rPr>
                <w:rFonts w:ascii="Arial Narrow" w:eastAsiaTheme="majorEastAsia" w:hAnsi="Arial Narrow" w:cstheme="majorBidi"/>
                <w:bCs/>
                <w:sz w:val="20"/>
              </w:rPr>
              <w:t xml:space="preserve">6.5 scripts </w:t>
            </w:r>
            <w:r w:rsidR="006E1E13" w:rsidRPr="00F55938">
              <w:rPr>
                <w:rFonts w:ascii="Arial Narrow" w:eastAsiaTheme="majorEastAsia" w:hAnsi="Arial Narrow" w:cstheme="majorBidi"/>
                <w:bCs/>
                <w:sz w:val="20"/>
              </w:rPr>
              <w:t>(</w:t>
            </w:r>
            <w:r w:rsidR="00F77C83" w:rsidRPr="00F55938">
              <w:rPr>
                <w:rFonts w:ascii="Arial Narrow" w:eastAsiaTheme="majorEastAsia" w:hAnsi="Arial Narrow" w:cstheme="majorBidi"/>
                <w:bCs/>
                <w:sz w:val="20"/>
              </w:rPr>
              <w:t>subsequent years</w:t>
            </w:r>
            <w:r w:rsidR="006E1E13" w:rsidRPr="00F55938">
              <w:rPr>
                <w:rFonts w:ascii="Arial Narrow" w:eastAsiaTheme="majorEastAsia" w:hAnsi="Arial Narrow" w:cstheme="majorBidi"/>
                <w:bCs/>
                <w:sz w:val="20"/>
              </w:rPr>
              <w:t>)</w:t>
            </w:r>
            <w:r w:rsidR="00F77C83" w:rsidRPr="00F55938">
              <w:rPr>
                <w:rFonts w:ascii="Arial Narrow" w:eastAsiaTheme="majorEastAsia" w:hAnsi="Arial Narrow" w:cstheme="majorBidi"/>
                <w:bCs/>
                <w:sz w:val="20"/>
              </w:rPr>
              <w:t xml:space="preserve"> for patients completing treatment for the whole year</w:t>
            </w:r>
            <w:r w:rsidR="00D509E4" w:rsidRPr="00F55938">
              <w:rPr>
                <w:rFonts w:ascii="Arial Narrow" w:eastAsiaTheme="majorEastAsia" w:hAnsi="Arial Narrow" w:cstheme="majorBidi"/>
                <w:bCs/>
                <w:sz w:val="20"/>
              </w:rPr>
              <w:t>, calculated based on recommended dose</w:t>
            </w:r>
            <w:r w:rsidR="00F77C83" w:rsidRPr="00F55938">
              <w:rPr>
                <w:rFonts w:ascii="Arial Narrow" w:eastAsiaTheme="majorEastAsia" w:hAnsi="Arial Narrow" w:cstheme="majorBidi"/>
                <w:bCs/>
                <w:sz w:val="20"/>
              </w:rPr>
              <w:t xml:space="preserve">. </w:t>
            </w:r>
            <w:r w:rsidR="006E1E13" w:rsidRPr="00F55938">
              <w:rPr>
                <w:rFonts w:ascii="Arial Narrow" w:eastAsiaTheme="majorEastAsia" w:hAnsi="Arial Narrow" w:cstheme="majorBidi"/>
                <w:bCs/>
                <w:sz w:val="20"/>
              </w:rPr>
              <w:t xml:space="preserve">Patients were assumed to </w:t>
            </w:r>
            <w:r w:rsidR="002B4DDA" w:rsidRPr="00F55938">
              <w:rPr>
                <w:rFonts w:ascii="Arial Narrow" w:eastAsiaTheme="majorEastAsia" w:hAnsi="Arial Narrow" w:cstheme="majorBidi"/>
                <w:bCs/>
                <w:sz w:val="20"/>
              </w:rPr>
              <w:t>stop treatment</w:t>
            </w:r>
            <w:r w:rsidR="003C668B" w:rsidRPr="00F55938">
              <w:rPr>
                <w:rFonts w:ascii="Arial Narrow" w:eastAsiaTheme="majorEastAsia" w:hAnsi="Arial Narrow" w:cstheme="majorBidi"/>
                <w:bCs/>
                <w:sz w:val="20"/>
              </w:rPr>
              <w:t xml:space="preserve"> halfway</w:t>
            </w:r>
            <w:r w:rsidR="00F74FCB" w:rsidRPr="00F55938">
              <w:rPr>
                <w:rFonts w:ascii="Arial Narrow" w:eastAsiaTheme="majorEastAsia" w:hAnsi="Arial Narrow" w:cstheme="majorBidi"/>
                <w:bCs/>
                <w:sz w:val="20"/>
              </w:rPr>
              <w:t xml:space="preserve"> if discontinued</w:t>
            </w:r>
            <w:r w:rsidR="006B5524" w:rsidRPr="00F55938">
              <w:rPr>
                <w:rFonts w:ascii="Arial Narrow" w:eastAsiaTheme="majorEastAsia" w:hAnsi="Arial Narrow" w:cstheme="majorBidi"/>
                <w:bCs/>
                <w:sz w:val="20"/>
              </w:rPr>
              <w:t>; 5.38 scripts (initiating year) and 3.25 scripts (subsequent years)</w:t>
            </w:r>
            <w:r w:rsidR="00646BA9" w:rsidRPr="00F55938">
              <w:rPr>
                <w:rFonts w:ascii="Arial Narrow" w:eastAsiaTheme="majorEastAsia" w:hAnsi="Arial Narrow" w:cstheme="majorBidi"/>
                <w:bCs/>
                <w:sz w:val="20"/>
              </w:rPr>
              <w:t xml:space="preserve"> applied</w:t>
            </w:r>
            <w:r w:rsidR="006B5524" w:rsidRPr="00F55938">
              <w:rPr>
                <w:rFonts w:ascii="Arial Narrow" w:eastAsiaTheme="majorEastAsia" w:hAnsi="Arial Narrow" w:cstheme="majorBidi"/>
                <w:bCs/>
                <w:sz w:val="20"/>
              </w:rPr>
              <w:t xml:space="preserve">. </w:t>
            </w:r>
          </w:p>
        </w:tc>
      </w:tr>
      <w:tr w:rsidR="007F5816" w:rsidRPr="00F55938" w14:paraId="4D773532" w14:textId="77777777" w:rsidTr="0089466B">
        <w:trPr>
          <w:cantSplit/>
        </w:trPr>
        <w:tc>
          <w:tcPr>
            <w:tcW w:w="5000" w:type="pct"/>
            <w:gridSpan w:val="3"/>
            <w:vAlign w:val="center"/>
          </w:tcPr>
          <w:p w14:paraId="5CA1FD17" w14:textId="77777777" w:rsidR="007F5816" w:rsidRPr="00F55938" w:rsidRDefault="007F5816" w:rsidP="007F5816">
            <w:pPr>
              <w:widowControl w:val="0"/>
              <w:jc w:val="left"/>
              <w:rPr>
                <w:rFonts w:ascii="Arial Narrow" w:eastAsiaTheme="majorEastAsia" w:hAnsi="Arial Narrow" w:cstheme="majorBidi"/>
                <w:b/>
                <w:bCs/>
                <w:sz w:val="20"/>
              </w:rPr>
            </w:pPr>
            <w:r w:rsidRPr="00F55938">
              <w:rPr>
                <w:rFonts w:ascii="Arial Narrow" w:eastAsiaTheme="majorEastAsia" w:hAnsi="Arial Narrow" w:cstheme="majorBidi"/>
                <w:b/>
                <w:bCs/>
                <w:sz w:val="20"/>
              </w:rPr>
              <w:t>Costs</w:t>
            </w:r>
          </w:p>
        </w:tc>
      </w:tr>
      <w:tr w:rsidR="001568FA" w:rsidRPr="00F55938" w14:paraId="4450BA64" w14:textId="77777777" w:rsidTr="000B20C1">
        <w:trPr>
          <w:cantSplit/>
          <w:trHeight w:val="1147"/>
        </w:trPr>
        <w:tc>
          <w:tcPr>
            <w:tcW w:w="985" w:type="pct"/>
            <w:vAlign w:val="center"/>
          </w:tcPr>
          <w:p w14:paraId="714090D5" w14:textId="77777777" w:rsidR="001568FA" w:rsidRPr="00F55938" w:rsidRDefault="001568FA"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Proposed medicine</w:t>
            </w:r>
          </w:p>
        </w:tc>
        <w:tc>
          <w:tcPr>
            <w:tcW w:w="1370" w:type="pct"/>
            <w:vAlign w:val="center"/>
          </w:tcPr>
          <w:p w14:paraId="68FF8F54" w14:textId="02CD09A6" w:rsidR="001568FA" w:rsidRPr="00F55938" w:rsidRDefault="001568FA" w:rsidP="007F5816">
            <w:pPr>
              <w:widowControl w:val="0"/>
              <w:jc w:val="left"/>
              <w:rPr>
                <w:rFonts w:ascii="Arial Narrow" w:eastAsiaTheme="majorEastAsia" w:hAnsi="Arial Narrow" w:cstheme="majorBidi"/>
                <w:bCs/>
                <w:sz w:val="20"/>
              </w:rPr>
            </w:pPr>
          </w:p>
          <w:p w14:paraId="55013B21" w14:textId="3628D306" w:rsidR="001568FA" w:rsidRPr="00F55938" w:rsidRDefault="001568FA"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53"/>
                <w:sz w:val="20"/>
                <w:shd w:val="solid" w:color="000000" w:fill="000000"/>
                <w:fitText w:val="330" w:id="-894165493"/>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330" w:id="-894165493"/>
                <w14:textFill>
                  <w14:solidFill>
                    <w14:srgbClr w14:val="000000">
                      <w14:alpha w14:val="100000"/>
                    </w14:srgbClr>
                  </w14:solidFill>
                </w14:textFill>
              </w:rPr>
              <w:t>|</w:t>
            </w:r>
            <w:r w:rsidRPr="00F55938">
              <w:rPr>
                <w:rFonts w:ascii="Arial Narrow" w:eastAsiaTheme="majorEastAsia" w:hAnsi="Arial Narrow" w:cstheme="majorBidi"/>
                <w:bCs/>
                <w:sz w:val="20"/>
              </w:rPr>
              <w:t xml:space="preserve"> </w:t>
            </w:r>
            <w:r w:rsidR="006D7631">
              <w:rPr>
                <w:rFonts w:ascii="Arial Narrow" w:eastAsiaTheme="majorEastAsia" w:hAnsi="Arial Narrow" w:cstheme="majorBidi"/>
                <w:bCs/>
                <w:sz w:val="20"/>
              </w:rPr>
              <w:t>–</w:t>
            </w:r>
            <w:r w:rsidRPr="00F55938">
              <w:rPr>
                <w:rFonts w:ascii="Arial Narrow" w:eastAsiaTheme="majorEastAsia" w:hAnsi="Arial Narrow" w:cstheme="majorBidi"/>
                <w:bCs/>
                <w:sz w:val="20"/>
              </w:rPr>
              <w:t xml:space="preserve"> Effective AEMP</w:t>
            </w:r>
          </w:p>
        </w:tc>
        <w:tc>
          <w:tcPr>
            <w:tcW w:w="2645" w:type="pct"/>
            <w:vAlign w:val="center"/>
          </w:tcPr>
          <w:p w14:paraId="2B4655A7" w14:textId="6B6D9B50" w:rsidR="001568FA" w:rsidRPr="00F55938" w:rsidRDefault="00A709D5" w:rsidP="007F5816">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 xml:space="preserve">The pre-PBAC response proposed a revised effective AEMP of </w:t>
            </w:r>
            <w:r w:rsidRPr="00A709D5">
              <w:rPr>
                <w:rFonts w:ascii="Arial Narrow" w:eastAsiaTheme="majorEastAsia" w:hAnsi="Arial Narrow" w:cstheme="majorBidi"/>
                <w:bCs/>
                <w:sz w:val="20"/>
              </w:rPr>
              <w:t>$</w:t>
            </w:r>
            <w:r w:rsidR="00DC1AEB" w:rsidRPr="00DC1AEB">
              <w:rPr>
                <w:rFonts w:ascii="Arial Narrow" w:eastAsiaTheme="majorEastAsia" w:hAnsi="Arial Narrow" w:cstheme="majorBidi"/>
                <w:bCs/>
                <w:color w:val="000000"/>
                <w:spacing w:val="53"/>
                <w:sz w:val="20"/>
                <w:shd w:val="solid" w:color="000000" w:fill="000000"/>
                <w:fitText w:val="330" w:id="-894165492"/>
                <w14:textFill>
                  <w14:solidFill>
                    <w14:srgbClr w14:val="000000">
                      <w14:alpha w14:val="100000"/>
                    </w14:srgbClr>
                  </w14:solidFill>
                </w14:textFill>
              </w:rPr>
              <w:t>|||</w:t>
            </w:r>
            <w:r w:rsidR="00DC1AEB" w:rsidRPr="00DC1AEB">
              <w:rPr>
                <w:rFonts w:ascii="Arial Narrow" w:eastAsiaTheme="majorEastAsia" w:hAnsi="Arial Narrow" w:cstheme="majorBidi"/>
                <w:bCs/>
                <w:color w:val="000000"/>
                <w:spacing w:val="1"/>
                <w:sz w:val="20"/>
                <w:shd w:val="solid" w:color="000000" w:fill="000000"/>
                <w:fitText w:val="330" w:id="-894165492"/>
                <w14:textFill>
                  <w14:solidFill>
                    <w14:srgbClr w14:val="000000">
                      <w14:alpha w14:val="100000"/>
                    </w14:srgbClr>
                  </w14:solidFill>
                </w14:textFill>
              </w:rPr>
              <w:t>|</w:t>
            </w:r>
            <w:r>
              <w:rPr>
                <w:rFonts w:ascii="Arial Narrow" w:eastAsiaTheme="majorEastAsia" w:hAnsi="Arial Narrow" w:cstheme="majorBidi"/>
                <w:bCs/>
                <w:sz w:val="20"/>
              </w:rPr>
              <w:t>.</w:t>
            </w:r>
          </w:p>
        </w:tc>
      </w:tr>
      <w:tr w:rsidR="007F5816" w:rsidRPr="00F55938" w14:paraId="11F71FFE" w14:textId="77777777" w:rsidTr="0089466B">
        <w:trPr>
          <w:cantSplit/>
        </w:trPr>
        <w:tc>
          <w:tcPr>
            <w:tcW w:w="985" w:type="pct"/>
            <w:vAlign w:val="center"/>
          </w:tcPr>
          <w:p w14:paraId="14A3BE3F"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MBS costs</w:t>
            </w:r>
          </w:p>
        </w:tc>
        <w:tc>
          <w:tcPr>
            <w:tcW w:w="1370" w:type="pct"/>
            <w:vAlign w:val="center"/>
          </w:tcPr>
          <w:p w14:paraId="68C63F44"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 xml:space="preserve">$84.35 (80%=$67.48) </w:t>
            </w:r>
          </w:p>
          <w:p w14:paraId="1875FF61"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MBS item number 116</w:t>
            </w:r>
          </w:p>
        </w:tc>
        <w:tc>
          <w:tcPr>
            <w:tcW w:w="2645" w:type="pct"/>
            <w:vAlign w:val="center"/>
          </w:tcPr>
          <w:p w14:paraId="01D2E064" w14:textId="77777777" w:rsidR="007F5816" w:rsidRPr="00F55938" w:rsidRDefault="007F5816" w:rsidP="007F5816">
            <w:pPr>
              <w:widowControl w:val="0"/>
              <w:jc w:val="left"/>
              <w:rPr>
                <w:rFonts w:ascii="Arial Narrow" w:eastAsiaTheme="majorEastAsia" w:hAnsi="Arial Narrow" w:cstheme="majorBidi"/>
                <w:bCs/>
                <w:sz w:val="20"/>
              </w:rPr>
            </w:pPr>
            <w:r w:rsidRPr="00F55938">
              <w:rPr>
                <w:rFonts w:ascii="Arial Narrow" w:eastAsiaTheme="majorEastAsia" w:hAnsi="Arial Narrow" w:cstheme="majorBidi"/>
                <w:bCs/>
                <w:sz w:val="20"/>
              </w:rPr>
              <w:t xml:space="preserve">The submission did not include the MBS costs related to IV administration in the financial estimates, but it was included in the economic model. This was added to the financial estimates during the evaluation.  </w:t>
            </w:r>
          </w:p>
        </w:tc>
      </w:tr>
    </w:tbl>
    <w:p w14:paraId="50930793" w14:textId="77777777"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rPr>
        <w:t>Source: Compiled during the evaluation based on information source from Section 4.1, 4.2 and 4.3 of the submission.</w:t>
      </w:r>
    </w:p>
    <w:p w14:paraId="33967B01" w14:textId="5BDB9DE2" w:rsidR="007F5816" w:rsidRDefault="007F5816" w:rsidP="007F5816">
      <w:pPr>
        <w:spacing w:after="120"/>
        <w:contextualSpacing/>
        <w:rPr>
          <w:rFonts w:ascii="Arial Narrow" w:hAnsi="Arial Narrow"/>
          <w:snapToGrid w:val="0"/>
          <w:sz w:val="18"/>
          <w:szCs w:val="18"/>
        </w:rPr>
      </w:pPr>
      <w:r w:rsidRPr="006B343C">
        <w:rPr>
          <w:rFonts w:ascii="Arial Narrow" w:hAnsi="Arial Narrow"/>
          <w:snapToGrid w:val="0"/>
          <w:sz w:val="18"/>
          <w:szCs w:val="18"/>
        </w:rPr>
        <w:t xml:space="preserve">Abbreviations: AEMP, approved ex-manufacturer price; AIHW, Australian Institute of Health and Welfare; DPMQ, dispensed price for maximum quantity; IPAA, proctocolectomy and ileal pouch anal anastomosis; </w:t>
      </w:r>
      <w:r w:rsidR="004E4073" w:rsidRPr="006B343C">
        <w:rPr>
          <w:rFonts w:ascii="Arial Narrow" w:hAnsi="Arial Narrow"/>
          <w:snapToGrid w:val="0"/>
          <w:sz w:val="18"/>
          <w:szCs w:val="18"/>
        </w:rPr>
        <w:t xml:space="preserve">IV, intravenous; </w:t>
      </w:r>
      <w:r w:rsidRPr="006B343C">
        <w:rPr>
          <w:rFonts w:ascii="Arial Narrow" w:hAnsi="Arial Narrow"/>
          <w:snapToGrid w:val="0"/>
          <w:sz w:val="18"/>
          <w:szCs w:val="18"/>
        </w:rPr>
        <w:t xml:space="preserve">MBS, Medicare Benefits Schedule; </w:t>
      </w:r>
      <w:r w:rsidR="00F56DDD" w:rsidRPr="006B343C">
        <w:rPr>
          <w:rFonts w:ascii="Arial Narrow" w:hAnsi="Arial Narrow"/>
          <w:snapToGrid w:val="0"/>
          <w:sz w:val="18"/>
          <w:szCs w:val="18"/>
        </w:rPr>
        <w:t xml:space="preserve">mPDAI, modified Pouchitis Disease Activity Index; </w:t>
      </w:r>
      <w:r w:rsidRPr="006B343C">
        <w:rPr>
          <w:rFonts w:ascii="Arial Narrow" w:hAnsi="Arial Narrow"/>
          <w:snapToGrid w:val="0"/>
          <w:sz w:val="18"/>
          <w:szCs w:val="18"/>
        </w:rPr>
        <w:t xml:space="preserve">PBS, Pharmaceutical Benefits Scheme; PI, product information; </w:t>
      </w:r>
      <w:r w:rsidR="00C3258A" w:rsidRPr="006B343C">
        <w:rPr>
          <w:rFonts w:ascii="Arial Narrow" w:hAnsi="Arial Narrow"/>
          <w:snapToGrid w:val="0"/>
          <w:sz w:val="18"/>
          <w:szCs w:val="18"/>
        </w:rPr>
        <w:t>SPA, special pricing arrangements</w:t>
      </w:r>
      <w:r w:rsidR="00B90EE5" w:rsidRPr="006B343C">
        <w:rPr>
          <w:rFonts w:ascii="Arial Narrow" w:hAnsi="Arial Narrow"/>
          <w:snapToGrid w:val="0"/>
          <w:sz w:val="18"/>
          <w:szCs w:val="18"/>
        </w:rPr>
        <w:t>;</w:t>
      </w:r>
      <w:r w:rsidRPr="006B343C">
        <w:rPr>
          <w:rFonts w:ascii="Arial Narrow" w:hAnsi="Arial Narrow"/>
          <w:snapToGrid w:val="0"/>
          <w:sz w:val="18"/>
          <w:szCs w:val="18"/>
        </w:rPr>
        <w:t xml:space="preserve"> TGA, Therapeutic Goods Administration; UC, ulcerative colitis.</w:t>
      </w:r>
    </w:p>
    <w:p w14:paraId="51B7689D" w14:textId="77777777" w:rsidR="004B3F16" w:rsidRDefault="004B3F16" w:rsidP="004B3F16">
      <w:pPr>
        <w:spacing w:after="120"/>
        <w:contextualSpacing/>
        <w:rPr>
          <w:rFonts w:ascii="Arial Narrow" w:hAnsi="Arial Narrow"/>
          <w:snapToGrid w:val="0"/>
          <w:sz w:val="18"/>
          <w:szCs w:val="18"/>
        </w:rPr>
      </w:pPr>
      <w:bookmarkStart w:id="110" w:name="_Hlk176359230"/>
      <w:r w:rsidRPr="00DA62A6">
        <w:rPr>
          <w:rFonts w:ascii="Arial Narrow" w:hAnsi="Arial Narrow"/>
          <w:snapToGrid w:val="0"/>
          <w:sz w:val="18"/>
          <w:szCs w:val="18"/>
        </w:rPr>
        <w:t>The redacted values correspond to the following ranges</w:t>
      </w:r>
    </w:p>
    <w:p w14:paraId="44FA1A9F" w14:textId="1C9D9425" w:rsidR="000E247C" w:rsidRPr="000E247C" w:rsidRDefault="00561519" w:rsidP="000E247C">
      <w:pPr>
        <w:spacing w:after="120"/>
        <w:contextualSpacing/>
        <w:rPr>
          <w:rFonts w:ascii="Arial Narrow" w:hAnsi="Arial Narrow"/>
          <w:snapToGrid w:val="0"/>
          <w:sz w:val="18"/>
          <w:szCs w:val="18"/>
        </w:rPr>
      </w:pPr>
      <w:r>
        <w:rPr>
          <w:rFonts w:ascii="Arial Narrow" w:hAnsi="Arial Narrow"/>
          <w:snapToGrid w:val="0"/>
          <w:sz w:val="18"/>
          <w:szCs w:val="18"/>
        </w:rPr>
        <w:t xml:space="preserve">1 </w:t>
      </w:r>
      <w:r w:rsidR="000E247C" w:rsidRPr="000E247C">
        <w:rPr>
          <w:rFonts w:ascii="Arial Narrow" w:hAnsi="Arial Narrow"/>
          <w:snapToGrid w:val="0"/>
          <w:sz w:val="18"/>
          <w:szCs w:val="18"/>
        </w:rPr>
        <w:t>&lt; 500</w:t>
      </w:r>
    </w:p>
    <w:p w14:paraId="6AB369C6" w14:textId="619CD08C" w:rsidR="00C1278B" w:rsidRDefault="00561519" w:rsidP="007F5816">
      <w:pPr>
        <w:spacing w:after="120"/>
        <w:contextualSpacing/>
        <w:rPr>
          <w:rFonts w:ascii="Arial Narrow" w:hAnsi="Arial Narrow"/>
          <w:snapToGrid w:val="0"/>
          <w:sz w:val="18"/>
          <w:szCs w:val="18"/>
        </w:rPr>
      </w:pPr>
      <w:r>
        <w:rPr>
          <w:rFonts w:ascii="Arial Narrow" w:hAnsi="Arial Narrow"/>
          <w:snapToGrid w:val="0"/>
          <w:sz w:val="18"/>
          <w:szCs w:val="18"/>
        </w:rPr>
        <w:t xml:space="preserve">2 </w:t>
      </w:r>
      <w:r w:rsidR="000E247C" w:rsidRPr="000E247C">
        <w:rPr>
          <w:rFonts w:ascii="Arial Narrow" w:hAnsi="Arial Narrow"/>
          <w:snapToGrid w:val="0"/>
          <w:sz w:val="18"/>
          <w:szCs w:val="18"/>
        </w:rPr>
        <w:t>500 to &lt; 5,000</w:t>
      </w:r>
    </w:p>
    <w:bookmarkEnd w:id="110"/>
    <w:p w14:paraId="06721A55" w14:textId="77777777" w:rsidR="0060057F" w:rsidRPr="006B343C" w:rsidRDefault="0060057F" w:rsidP="007F5816">
      <w:pPr>
        <w:spacing w:after="120"/>
        <w:contextualSpacing/>
        <w:rPr>
          <w:rFonts w:ascii="Arial Narrow" w:hAnsi="Arial Narrow"/>
          <w:snapToGrid w:val="0"/>
          <w:sz w:val="18"/>
          <w:szCs w:val="18"/>
        </w:rPr>
      </w:pPr>
    </w:p>
    <w:p w14:paraId="2EF99EB8" w14:textId="1D0D15D7" w:rsidR="007F5816" w:rsidRPr="006B343C" w:rsidRDefault="007F5816" w:rsidP="007F5816">
      <w:pPr>
        <w:numPr>
          <w:ilvl w:val="1"/>
          <w:numId w:val="1"/>
        </w:numPr>
        <w:spacing w:after="120"/>
        <w:rPr>
          <w:rFonts w:asciiTheme="minorHAnsi" w:hAnsiTheme="minorHAnsi"/>
          <w:snapToGrid w:val="0"/>
          <w:color w:val="0066FF"/>
        </w:rPr>
      </w:pPr>
      <w:r w:rsidRPr="006B343C">
        <w:rPr>
          <w:rFonts w:asciiTheme="minorHAnsi" w:hAnsiTheme="minorHAnsi"/>
          <w:snapToGrid w:val="0"/>
          <w:color w:val="000000" w:themeColor="text1"/>
        </w:rPr>
        <w:t>The estimated use and financial implications for the PBS listing of vedolizumab are sum</w:t>
      </w:r>
      <w:r w:rsidRPr="006B343C">
        <w:t xml:space="preserve">marised in </w:t>
      </w:r>
      <w:r w:rsidRPr="006B343C">
        <w:fldChar w:fldCharType="begin" w:fldLock="1"/>
      </w:r>
      <w:r w:rsidRPr="006B343C">
        <w:instrText xml:space="preserve"> REF _Ref164422221 \h </w:instrText>
      </w:r>
      <w:r w:rsidR="00CF09DC" w:rsidRPr="006B343C">
        <w:instrText xml:space="preserve"> \* MERGEFORMAT </w:instrText>
      </w:r>
      <w:r w:rsidRPr="006B343C">
        <w:fldChar w:fldCharType="separate"/>
      </w:r>
      <w:r w:rsidR="00DC7CC4" w:rsidRPr="00DC7CC4">
        <w:t>Table 16</w:t>
      </w:r>
      <w:r w:rsidRPr="006B343C">
        <w:fldChar w:fldCharType="end"/>
      </w:r>
      <w:r w:rsidRPr="006B343C">
        <w:t>.</w:t>
      </w:r>
    </w:p>
    <w:p w14:paraId="058180C3" w14:textId="255598C9" w:rsidR="007F5816" w:rsidRPr="006B343C" w:rsidRDefault="007F5816" w:rsidP="007F5816">
      <w:pPr>
        <w:keepNext/>
        <w:keepLines/>
        <w:rPr>
          <w:rFonts w:ascii="Arial Narrow" w:hAnsi="Arial Narrow"/>
          <w:b/>
          <w:bCs/>
          <w:sz w:val="20"/>
          <w:szCs w:val="18"/>
        </w:rPr>
      </w:pPr>
      <w:bookmarkStart w:id="111" w:name="_Ref164422221"/>
      <w:r w:rsidRPr="006B343C">
        <w:rPr>
          <w:rFonts w:ascii="Arial Narrow" w:hAnsi="Arial Narrow"/>
          <w:b/>
          <w:bCs/>
          <w:sz w:val="20"/>
          <w:szCs w:val="18"/>
        </w:rPr>
        <w:t xml:space="preserve">Table </w:t>
      </w:r>
      <w:r w:rsidRPr="006B343C">
        <w:rPr>
          <w:rFonts w:ascii="Arial Narrow" w:hAnsi="Arial Narrow"/>
          <w:b/>
          <w:bCs/>
          <w:sz w:val="20"/>
          <w:szCs w:val="18"/>
        </w:rPr>
        <w:fldChar w:fldCharType="begin" w:fldLock="1"/>
      </w:r>
      <w:r w:rsidRPr="006B343C">
        <w:rPr>
          <w:rFonts w:ascii="Arial Narrow" w:hAnsi="Arial Narrow"/>
          <w:b/>
          <w:bCs/>
          <w:sz w:val="20"/>
          <w:szCs w:val="18"/>
        </w:rPr>
        <w:instrText xml:space="preserve"> SEQ Table \* ARABIC </w:instrText>
      </w:r>
      <w:r w:rsidRPr="006B343C">
        <w:rPr>
          <w:rFonts w:ascii="Arial Narrow" w:hAnsi="Arial Narrow"/>
          <w:b/>
          <w:bCs/>
          <w:sz w:val="20"/>
          <w:szCs w:val="18"/>
        </w:rPr>
        <w:fldChar w:fldCharType="separate"/>
      </w:r>
      <w:r w:rsidR="00DC7CC4">
        <w:rPr>
          <w:rFonts w:ascii="Arial Narrow" w:hAnsi="Arial Narrow"/>
          <w:b/>
          <w:bCs/>
          <w:noProof/>
          <w:sz w:val="20"/>
          <w:szCs w:val="18"/>
        </w:rPr>
        <w:t>16</w:t>
      </w:r>
      <w:r w:rsidRPr="006B343C">
        <w:rPr>
          <w:rFonts w:ascii="Arial Narrow" w:hAnsi="Arial Narrow"/>
          <w:b/>
          <w:bCs/>
          <w:noProof/>
          <w:sz w:val="20"/>
          <w:szCs w:val="18"/>
        </w:rPr>
        <w:fldChar w:fldCharType="end"/>
      </w:r>
      <w:bookmarkEnd w:id="111"/>
      <w:r w:rsidRPr="006B343C">
        <w:rPr>
          <w:rFonts w:ascii="Arial Narrow" w:hAnsi="Arial Narrow"/>
          <w:b/>
          <w:bCs/>
          <w:sz w:val="20"/>
          <w:szCs w:val="18"/>
        </w:rPr>
        <w:t>:</w:t>
      </w:r>
      <w:r w:rsidRPr="006B343C">
        <w:rPr>
          <w:rFonts w:ascii="Arial Narrow" w:hAnsi="Arial Narrow"/>
          <w:b/>
          <w:bCs/>
          <w:sz w:val="20"/>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Pr>
      <w:tblGrid>
        <w:gridCol w:w="2405"/>
        <w:gridCol w:w="1102"/>
        <w:gridCol w:w="1102"/>
        <w:gridCol w:w="1102"/>
        <w:gridCol w:w="1102"/>
        <w:gridCol w:w="1102"/>
        <w:gridCol w:w="1102"/>
      </w:tblGrid>
      <w:tr w:rsidR="007F5816" w:rsidRPr="006B343C" w14:paraId="251A05D1" w14:textId="77777777" w:rsidTr="00193376">
        <w:trPr>
          <w:tblHeader/>
        </w:trPr>
        <w:tc>
          <w:tcPr>
            <w:tcW w:w="1334" w:type="pct"/>
            <w:shd w:val="clear" w:color="auto" w:fill="auto"/>
            <w:vAlign w:val="center"/>
          </w:tcPr>
          <w:p w14:paraId="54355B02" w14:textId="77777777" w:rsidR="007F5816" w:rsidRPr="006B343C" w:rsidRDefault="007F5816" w:rsidP="007F5816">
            <w:pPr>
              <w:keepNext/>
              <w:jc w:val="center"/>
              <w:rPr>
                <w:rFonts w:ascii="Arial Narrow" w:eastAsiaTheme="majorEastAsia" w:hAnsi="Arial Narrow" w:cs="Times New Roman"/>
                <w:b/>
                <w:sz w:val="20"/>
                <w:lang w:val="en-US"/>
              </w:rPr>
            </w:pPr>
          </w:p>
        </w:tc>
        <w:tc>
          <w:tcPr>
            <w:tcW w:w="611" w:type="pct"/>
            <w:shd w:val="clear" w:color="auto" w:fill="auto"/>
            <w:vAlign w:val="center"/>
          </w:tcPr>
          <w:p w14:paraId="1DF12EF9"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Year 1</w:t>
            </w:r>
          </w:p>
        </w:tc>
        <w:tc>
          <w:tcPr>
            <w:tcW w:w="611" w:type="pct"/>
            <w:shd w:val="clear" w:color="auto" w:fill="auto"/>
            <w:vAlign w:val="center"/>
          </w:tcPr>
          <w:p w14:paraId="48A3D8BA"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Year 2</w:t>
            </w:r>
          </w:p>
        </w:tc>
        <w:tc>
          <w:tcPr>
            <w:tcW w:w="611" w:type="pct"/>
            <w:shd w:val="clear" w:color="auto" w:fill="auto"/>
            <w:vAlign w:val="center"/>
          </w:tcPr>
          <w:p w14:paraId="50BE4258"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Year 3</w:t>
            </w:r>
          </w:p>
        </w:tc>
        <w:tc>
          <w:tcPr>
            <w:tcW w:w="611" w:type="pct"/>
            <w:shd w:val="clear" w:color="auto" w:fill="auto"/>
            <w:vAlign w:val="center"/>
          </w:tcPr>
          <w:p w14:paraId="2E03FD97"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Year 4</w:t>
            </w:r>
          </w:p>
        </w:tc>
        <w:tc>
          <w:tcPr>
            <w:tcW w:w="611" w:type="pct"/>
            <w:shd w:val="clear" w:color="auto" w:fill="auto"/>
            <w:vAlign w:val="center"/>
          </w:tcPr>
          <w:p w14:paraId="6A24589A"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Year 5</w:t>
            </w:r>
          </w:p>
        </w:tc>
        <w:tc>
          <w:tcPr>
            <w:tcW w:w="611" w:type="pct"/>
            <w:vAlign w:val="center"/>
          </w:tcPr>
          <w:p w14:paraId="0F68087B" w14:textId="77777777" w:rsidR="007F5816" w:rsidRPr="006B343C" w:rsidRDefault="007F5816" w:rsidP="007F5816">
            <w:pPr>
              <w:keepNext/>
              <w:jc w:val="center"/>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Year 6</w:t>
            </w:r>
          </w:p>
        </w:tc>
      </w:tr>
      <w:tr w:rsidR="007F5816" w:rsidRPr="006B343C" w14:paraId="1669CE69" w14:textId="77777777" w:rsidTr="00193376">
        <w:tc>
          <w:tcPr>
            <w:tcW w:w="5000" w:type="pct"/>
            <w:gridSpan w:val="7"/>
            <w:shd w:val="clear" w:color="auto" w:fill="D9D9D9" w:themeFill="background1" w:themeFillShade="D9"/>
            <w:vAlign w:val="center"/>
          </w:tcPr>
          <w:p w14:paraId="725DE011" w14:textId="316323DB" w:rsidR="007F5816" w:rsidRPr="006B343C" w:rsidRDefault="007F5816" w:rsidP="007F5816">
            <w:pPr>
              <w:keepNext/>
              <w:jc w:val="left"/>
              <w:rPr>
                <w:rFonts w:ascii="Arial Narrow" w:eastAsiaTheme="majorEastAsia" w:hAnsi="Arial Narrow" w:cs="Times New Roman"/>
                <w:b/>
                <w:bCs/>
                <w:color w:val="000000"/>
                <w:sz w:val="20"/>
                <w:lang w:val="en-US"/>
              </w:rPr>
            </w:pPr>
            <w:r w:rsidRPr="006B343C">
              <w:rPr>
                <w:rFonts w:ascii="Arial Narrow" w:eastAsiaTheme="majorEastAsia" w:hAnsi="Arial Narrow" w:cs="Times New Roman"/>
                <w:b/>
                <w:bCs/>
                <w:color w:val="000000"/>
                <w:sz w:val="20"/>
                <w:lang w:val="en-US"/>
              </w:rPr>
              <w:t>Estimated extent of use</w:t>
            </w:r>
            <w:r w:rsidR="009A1394" w:rsidRPr="006B343C">
              <w:rPr>
                <w:rFonts w:ascii="Arial Narrow" w:eastAsiaTheme="majorEastAsia" w:hAnsi="Arial Narrow" w:cs="Times New Roman"/>
                <w:b/>
                <w:bCs/>
                <w:color w:val="000000"/>
                <w:sz w:val="20"/>
                <w:lang w:val="en-US"/>
              </w:rPr>
              <w:t xml:space="preserve"> – number of patients</w:t>
            </w:r>
          </w:p>
        </w:tc>
      </w:tr>
      <w:tr w:rsidR="00316A77" w:rsidRPr="006B343C" w14:paraId="4F1D475C" w14:textId="77777777" w:rsidTr="00193376">
        <w:tc>
          <w:tcPr>
            <w:tcW w:w="1334" w:type="pct"/>
            <w:shd w:val="clear" w:color="auto" w:fill="auto"/>
            <w:vAlign w:val="center"/>
          </w:tcPr>
          <w:p w14:paraId="001ACCDF" w14:textId="55572382" w:rsidR="0075537A" w:rsidRPr="006B343C" w:rsidRDefault="0075537A" w:rsidP="0075537A">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1</w:t>
            </w:r>
            <w:r w:rsidRPr="006B343C">
              <w:rPr>
                <w:rFonts w:ascii="Arial Narrow" w:eastAsiaTheme="majorEastAsia" w:hAnsi="Arial Narrow" w:cstheme="majorBidi"/>
                <w:bCs/>
                <w:sz w:val="20"/>
                <w:vertAlign w:val="superscript"/>
              </w:rPr>
              <w:t>st</w:t>
            </w:r>
            <w:r w:rsidRPr="006B343C">
              <w:rPr>
                <w:rFonts w:ascii="Arial Narrow" w:eastAsiaTheme="majorEastAsia" w:hAnsi="Arial Narrow" w:cstheme="majorBidi"/>
                <w:bCs/>
                <w:sz w:val="20"/>
              </w:rPr>
              <w:t xml:space="preserve"> year responders continuing till end of the year</w:t>
            </w:r>
          </w:p>
        </w:tc>
        <w:tc>
          <w:tcPr>
            <w:tcW w:w="611" w:type="pct"/>
            <w:shd w:val="clear" w:color="auto" w:fill="auto"/>
            <w:vAlign w:val="center"/>
          </w:tcPr>
          <w:p w14:paraId="1F323DDD" w14:textId="01BF31F6"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1"/>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1"/>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1"/>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657BF943" w14:textId="1353CF7A"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0"/>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0"/>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0"/>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60166D7C" w14:textId="63CFF64B"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89"/>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89"/>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89"/>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57730856" w14:textId="431DF543"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88"/>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88"/>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88"/>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7313A05C" w14:textId="45CA69BD"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4"/>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4"/>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4"/>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vAlign w:val="center"/>
          </w:tcPr>
          <w:p w14:paraId="52FBD073" w14:textId="4E21DB27"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3"/>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3"/>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3"/>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r>
      <w:tr w:rsidR="00316A77" w:rsidRPr="006B343C" w14:paraId="0E720E82" w14:textId="77777777" w:rsidTr="00193376">
        <w:tc>
          <w:tcPr>
            <w:tcW w:w="1334" w:type="pct"/>
            <w:shd w:val="clear" w:color="auto" w:fill="auto"/>
            <w:vAlign w:val="center"/>
          </w:tcPr>
          <w:p w14:paraId="5DDA6B7B" w14:textId="28A9933C" w:rsidR="0075537A" w:rsidRPr="006B343C" w:rsidRDefault="0075537A" w:rsidP="0075537A">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1</w:t>
            </w:r>
            <w:r w:rsidRPr="006B343C">
              <w:rPr>
                <w:rFonts w:ascii="Arial Narrow" w:eastAsiaTheme="majorEastAsia" w:hAnsi="Arial Narrow" w:cstheme="majorBidi"/>
                <w:bCs/>
                <w:sz w:val="20"/>
                <w:vertAlign w:val="superscript"/>
              </w:rPr>
              <w:t>st</w:t>
            </w:r>
            <w:r w:rsidRPr="006B343C">
              <w:rPr>
                <w:rFonts w:ascii="Arial Narrow" w:eastAsiaTheme="majorEastAsia" w:hAnsi="Arial Narrow" w:cstheme="majorBidi"/>
                <w:bCs/>
                <w:sz w:val="20"/>
              </w:rPr>
              <w:t xml:space="preserve"> year responders discontinue by end of the year</w:t>
            </w:r>
          </w:p>
        </w:tc>
        <w:tc>
          <w:tcPr>
            <w:tcW w:w="611" w:type="pct"/>
            <w:shd w:val="clear" w:color="auto" w:fill="auto"/>
            <w:vAlign w:val="center"/>
          </w:tcPr>
          <w:p w14:paraId="1F5A4499" w14:textId="7B8866B3"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2"/>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2"/>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2"/>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65065F2C" w14:textId="3ACE4070"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1"/>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1"/>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1"/>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407E00AA" w14:textId="084BFABC"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0"/>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0"/>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0"/>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3CEC3FE4" w14:textId="3205ED90"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9"/>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9"/>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9"/>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4E5BE844" w14:textId="4707935E"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8"/>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8"/>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8"/>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vAlign w:val="center"/>
          </w:tcPr>
          <w:p w14:paraId="36EA5BC2" w14:textId="0B8EA94C"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7"/>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7"/>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7"/>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r>
      <w:tr w:rsidR="00316A77" w:rsidRPr="006B343C" w14:paraId="27808DE3" w14:textId="77777777" w:rsidTr="00193376">
        <w:tc>
          <w:tcPr>
            <w:tcW w:w="1334" w:type="pct"/>
            <w:shd w:val="clear" w:color="auto" w:fill="auto"/>
            <w:vAlign w:val="center"/>
          </w:tcPr>
          <w:p w14:paraId="0B0BD5D5" w14:textId="114D7DB4" w:rsidR="0075537A" w:rsidRPr="006B343C" w:rsidRDefault="003865D4" w:rsidP="0075537A">
            <w:pPr>
              <w:keepNext/>
              <w:jc w:val="left"/>
              <w:rPr>
                <w:rFonts w:ascii="Arial Narrow" w:eastAsiaTheme="majorEastAsia" w:hAnsi="Arial Narrow" w:cstheme="majorBidi"/>
                <w:bCs/>
                <w:sz w:val="20"/>
              </w:rPr>
            </w:pPr>
            <w:r>
              <w:rPr>
                <w:rFonts w:ascii="Arial Narrow" w:hAnsi="Arial Narrow"/>
                <w:color w:val="000000"/>
                <w:sz w:val="20"/>
                <w:szCs w:val="20"/>
              </w:rPr>
              <w:t>15</w:t>
            </w:r>
            <w:r w:rsidR="0075537A" w:rsidRPr="006B343C">
              <w:rPr>
                <w:rFonts w:ascii="Arial Narrow" w:hAnsi="Arial Narrow"/>
                <w:color w:val="000000"/>
                <w:sz w:val="20"/>
                <w:szCs w:val="20"/>
              </w:rPr>
              <w:t xml:space="preserve">Subsequent years </w:t>
            </w:r>
            <w:r w:rsidR="00FD6B9B">
              <w:rPr>
                <w:rFonts w:ascii="Arial Narrow" w:hAnsi="Arial Narrow"/>
                <w:color w:val="000000"/>
                <w:sz w:val="20"/>
                <w:szCs w:val="20"/>
              </w:rPr>
              <w:t>–</w:t>
            </w:r>
            <w:r w:rsidR="0075537A" w:rsidRPr="006B343C">
              <w:rPr>
                <w:rFonts w:ascii="Arial Narrow" w:hAnsi="Arial Narrow"/>
                <w:color w:val="000000"/>
                <w:sz w:val="20"/>
                <w:szCs w:val="20"/>
              </w:rPr>
              <w:t xml:space="preserve"> full year of treatment</w:t>
            </w:r>
          </w:p>
        </w:tc>
        <w:tc>
          <w:tcPr>
            <w:tcW w:w="611" w:type="pct"/>
            <w:shd w:val="clear" w:color="auto" w:fill="auto"/>
            <w:vAlign w:val="center"/>
          </w:tcPr>
          <w:p w14:paraId="60170A45" w14:textId="4D19901F"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6"/>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6"/>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6"/>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6EF1D440" w14:textId="1EBE8F50"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5"/>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5"/>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5"/>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4E689DA0" w14:textId="7D475DC5"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4"/>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4"/>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4"/>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1E73DF10" w14:textId="27E17DA3"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3"/>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3"/>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3"/>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5E413DC8" w14:textId="1350A299"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2"/>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2"/>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2"/>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vAlign w:val="center"/>
          </w:tcPr>
          <w:p w14:paraId="07EBFAC0" w14:textId="7E3266A3"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1"/>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1"/>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1"/>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r>
      <w:tr w:rsidR="00316A77" w:rsidRPr="006B343C" w14:paraId="60C31A27" w14:textId="77777777" w:rsidTr="00193376">
        <w:tc>
          <w:tcPr>
            <w:tcW w:w="1334" w:type="pct"/>
            <w:shd w:val="clear" w:color="auto" w:fill="auto"/>
            <w:vAlign w:val="center"/>
          </w:tcPr>
          <w:p w14:paraId="6CB7AB56" w14:textId="6A998706" w:rsidR="0075537A" w:rsidRPr="006B343C" w:rsidRDefault="0075537A" w:rsidP="0075537A">
            <w:pPr>
              <w:keepNext/>
              <w:jc w:val="left"/>
              <w:rPr>
                <w:rFonts w:ascii="Arial Narrow" w:eastAsiaTheme="majorEastAsia" w:hAnsi="Arial Narrow" w:cstheme="majorBidi"/>
                <w:bCs/>
                <w:sz w:val="20"/>
              </w:rPr>
            </w:pPr>
            <w:r w:rsidRPr="006B343C">
              <w:rPr>
                <w:rFonts w:ascii="Arial Narrow" w:hAnsi="Arial Narrow"/>
                <w:color w:val="000000"/>
                <w:sz w:val="20"/>
                <w:szCs w:val="20"/>
              </w:rPr>
              <w:t xml:space="preserve">Subsequent years </w:t>
            </w:r>
            <w:r w:rsidR="00FD6B9B">
              <w:rPr>
                <w:rFonts w:ascii="Arial Narrow" w:hAnsi="Arial Narrow"/>
                <w:color w:val="000000"/>
                <w:sz w:val="20"/>
                <w:szCs w:val="20"/>
              </w:rPr>
              <w:t>–</w:t>
            </w:r>
            <w:r w:rsidRPr="006B343C">
              <w:rPr>
                <w:rFonts w:ascii="Arial Narrow" w:hAnsi="Arial Narrow"/>
                <w:color w:val="000000"/>
                <w:sz w:val="20"/>
                <w:szCs w:val="20"/>
              </w:rPr>
              <w:t xml:space="preserve"> discontinue during the year</w:t>
            </w:r>
          </w:p>
        </w:tc>
        <w:tc>
          <w:tcPr>
            <w:tcW w:w="611" w:type="pct"/>
            <w:shd w:val="clear" w:color="auto" w:fill="auto"/>
            <w:vAlign w:val="center"/>
          </w:tcPr>
          <w:p w14:paraId="5D34ED2A" w14:textId="2E72D8ED"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0"/>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0"/>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0"/>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527B45E3" w14:textId="1F39F353"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89"/>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89"/>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89"/>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5E35094D" w14:textId="002CECD9"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88"/>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88"/>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88"/>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33B2C822" w14:textId="4C7C2482"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4"/>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4"/>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4"/>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6CB48F2C" w14:textId="2632C67F"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3"/>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3"/>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3"/>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vAlign w:val="center"/>
          </w:tcPr>
          <w:p w14:paraId="65E58E7B" w14:textId="0D62724D"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2"/>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2"/>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2"/>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r>
      <w:tr w:rsidR="00316A77" w:rsidRPr="006B343C" w14:paraId="7FCA9D9A" w14:textId="77777777" w:rsidTr="00193376">
        <w:tc>
          <w:tcPr>
            <w:tcW w:w="1334" w:type="pct"/>
            <w:shd w:val="clear" w:color="auto" w:fill="auto"/>
            <w:vAlign w:val="center"/>
          </w:tcPr>
          <w:p w14:paraId="6BE953AC" w14:textId="45D747FC" w:rsidR="0075537A" w:rsidRPr="006B343C" w:rsidRDefault="0075537A" w:rsidP="0075537A">
            <w:pPr>
              <w:keepNext/>
              <w:jc w:val="left"/>
              <w:rPr>
                <w:rFonts w:ascii="Arial Narrow" w:eastAsiaTheme="majorEastAsia" w:hAnsi="Arial Narrow" w:cstheme="majorBidi"/>
                <w:bCs/>
                <w:sz w:val="20"/>
              </w:rPr>
            </w:pPr>
            <w:r w:rsidRPr="006B343C">
              <w:rPr>
                <w:rFonts w:ascii="Arial Narrow" w:eastAsiaTheme="majorEastAsia" w:hAnsi="Arial Narrow" w:cstheme="majorBidi"/>
                <w:bCs/>
                <w:sz w:val="20"/>
              </w:rPr>
              <w:t>Vedolizumab non-responders</w:t>
            </w:r>
          </w:p>
        </w:tc>
        <w:tc>
          <w:tcPr>
            <w:tcW w:w="611" w:type="pct"/>
            <w:shd w:val="clear" w:color="auto" w:fill="auto"/>
            <w:vAlign w:val="center"/>
          </w:tcPr>
          <w:p w14:paraId="713BEB36" w14:textId="36F5B63A"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1"/>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1"/>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1"/>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22BB6F07" w14:textId="09954156"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500"/>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500"/>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500"/>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0B9F357D" w14:textId="0B766B81"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9"/>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9"/>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9"/>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75D3BCFF" w14:textId="22C29B18"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8"/>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8"/>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8"/>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57067281" w14:textId="4ACDDA50"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7"/>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7"/>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7"/>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vAlign w:val="center"/>
          </w:tcPr>
          <w:p w14:paraId="2D63A00C" w14:textId="24258157" w:rsidR="0075537A" w:rsidRPr="0034682D" w:rsidRDefault="00DC1AEB" w:rsidP="0075537A">
            <w:pPr>
              <w:keepNext/>
              <w:jc w:val="center"/>
              <w:rPr>
                <w:rFonts w:ascii="Arial Narrow" w:eastAsiaTheme="majorEastAsia" w:hAnsi="Arial Narrow" w:cstheme="majorBidi"/>
                <w:sz w:val="20"/>
                <w:highlight w:val="lightGray"/>
              </w:rPr>
            </w:pPr>
            <w:r w:rsidRPr="00DC1AEB">
              <w:rPr>
                <w:rFonts w:ascii="Arial Narrow" w:hAnsi="Arial Narrow" w:hint="eastAsia"/>
                <w:color w:val="000000"/>
                <w:w w:val="15"/>
                <w:sz w:val="20"/>
                <w:szCs w:val="20"/>
                <w:shd w:val="solid" w:color="000000" w:fill="000000"/>
                <w:fitText w:val="60" w:id="-894165496"/>
                <w14:textFill>
                  <w14:solidFill>
                    <w14:srgbClr w14:val="000000">
                      <w14:alpha w14:val="100000"/>
                    </w14:srgbClr>
                  </w14:solidFill>
                </w14:textFill>
              </w:rPr>
              <w:t xml:space="preserve">　</w:t>
            </w:r>
            <w:r w:rsidRPr="00DC1AEB">
              <w:rPr>
                <w:rFonts w:ascii="Arial Narrow" w:hAnsi="Arial Narrow"/>
                <w:color w:val="000000"/>
                <w:w w:val="15"/>
                <w:sz w:val="20"/>
                <w:szCs w:val="20"/>
                <w:shd w:val="solid" w:color="000000" w:fill="000000"/>
                <w:fitText w:val="60" w:id="-894165496"/>
                <w14:textFill>
                  <w14:solidFill>
                    <w14:srgbClr w14:val="000000">
                      <w14:alpha w14:val="100000"/>
                    </w14:srgbClr>
                  </w14:solidFill>
                </w14:textFill>
              </w:rPr>
              <w:t>|</w:t>
            </w:r>
            <w:r w:rsidRPr="00DC1AEB">
              <w:rPr>
                <w:rFonts w:ascii="Arial Narrow" w:hAnsi="Arial Narrow" w:hint="eastAsia"/>
                <w:color w:val="000000"/>
                <w:spacing w:val="-5"/>
                <w:w w:val="15"/>
                <w:sz w:val="20"/>
                <w:szCs w:val="20"/>
                <w:shd w:val="solid" w:color="000000" w:fill="000000"/>
                <w:fitText w:val="60" w:id="-894165496"/>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r>
      <w:tr w:rsidR="009A1394" w:rsidRPr="006B343C" w14:paraId="65FCDB3C" w14:textId="77777777" w:rsidTr="00193376">
        <w:tc>
          <w:tcPr>
            <w:tcW w:w="1334" w:type="pct"/>
            <w:shd w:val="clear" w:color="auto" w:fill="auto"/>
            <w:vAlign w:val="center"/>
          </w:tcPr>
          <w:p w14:paraId="71ECBA53" w14:textId="118B4E66" w:rsidR="009A1394" w:rsidRPr="006B343C" w:rsidRDefault="009A1394" w:rsidP="009A1394">
            <w:pPr>
              <w:keepNext/>
              <w:jc w:val="left"/>
              <w:rPr>
                <w:rFonts w:ascii="Arial Narrow" w:eastAsiaTheme="majorEastAsia" w:hAnsi="Arial Narrow" w:cstheme="majorBidi"/>
                <w:b/>
                <w:sz w:val="20"/>
              </w:rPr>
            </w:pPr>
            <w:r w:rsidRPr="006B343C">
              <w:rPr>
                <w:rFonts w:ascii="Arial Narrow" w:eastAsiaTheme="majorEastAsia" w:hAnsi="Arial Narrow" w:cstheme="majorBidi"/>
                <w:b/>
                <w:sz w:val="20"/>
              </w:rPr>
              <w:t>Total number of patients treated</w:t>
            </w:r>
          </w:p>
        </w:tc>
        <w:tc>
          <w:tcPr>
            <w:tcW w:w="611" w:type="pct"/>
            <w:shd w:val="clear" w:color="auto" w:fill="auto"/>
            <w:vAlign w:val="center"/>
          </w:tcPr>
          <w:p w14:paraId="21B4F552" w14:textId="27937DFC" w:rsidR="009A1394" w:rsidRPr="0034682D" w:rsidRDefault="00DC1AEB" w:rsidP="009A1394">
            <w:pPr>
              <w:keepNext/>
              <w:jc w:val="center"/>
              <w:rPr>
                <w:rFonts w:ascii="Arial Narrow" w:eastAsiaTheme="majorEastAsia" w:hAnsi="Arial Narrow" w:cstheme="majorBidi"/>
                <w:b/>
                <w:sz w:val="20"/>
                <w:highlight w:val="lightGray"/>
              </w:rPr>
            </w:pPr>
            <w:r w:rsidRPr="00DC1AEB">
              <w:rPr>
                <w:rFonts w:ascii="Arial Narrow" w:eastAsiaTheme="majorEastAsia" w:hAnsi="Arial Narrow" w:cstheme="majorBidi" w:hint="eastAsia"/>
                <w:b/>
                <w:color w:val="000000"/>
                <w:w w:val="22"/>
                <w:sz w:val="20"/>
                <w:shd w:val="solid" w:color="000000" w:fill="000000"/>
                <w:fitText w:val="100" w:id="-894165495"/>
                <w14:textFill>
                  <w14:solidFill>
                    <w14:srgbClr w14:val="000000">
                      <w14:alpha w14:val="100000"/>
                    </w14:srgbClr>
                  </w14:solidFill>
                </w14:textFill>
              </w:rPr>
              <w:t xml:space="preserve">　</w:t>
            </w:r>
            <w:r w:rsidRPr="00DC1AEB">
              <w:rPr>
                <w:rFonts w:ascii="Arial Narrow" w:eastAsiaTheme="majorEastAsia" w:hAnsi="Arial Narrow" w:cstheme="majorBidi"/>
                <w:b/>
                <w:color w:val="000000"/>
                <w:w w:val="22"/>
                <w:sz w:val="20"/>
                <w:shd w:val="solid" w:color="000000" w:fill="000000"/>
                <w:fitText w:val="100" w:id="-894165495"/>
                <w14:textFill>
                  <w14:solidFill>
                    <w14:srgbClr w14:val="000000">
                      <w14:alpha w14:val="100000"/>
                    </w14:srgbClr>
                  </w14:solidFill>
                </w14:textFill>
              </w:rPr>
              <w:t>|</w:t>
            </w:r>
            <w:r w:rsidRPr="00DC1AEB">
              <w:rPr>
                <w:rFonts w:ascii="Arial Narrow" w:eastAsiaTheme="majorEastAsia" w:hAnsi="Arial Narrow" w:cstheme="majorBidi" w:hint="eastAsia"/>
                <w:b/>
                <w:color w:val="000000"/>
                <w:spacing w:val="2"/>
                <w:w w:val="22"/>
                <w:sz w:val="20"/>
                <w:shd w:val="solid" w:color="000000" w:fill="000000"/>
                <w:fitText w:val="100" w:id="-894165495"/>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3634054F" w14:textId="27089A5D" w:rsidR="009A1394" w:rsidRPr="0034682D" w:rsidRDefault="00DC1AEB" w:rsidP="009A1394">
            <w:pPr>
              <w:keepNext/>
              <w:jc w:val="center"/>
              <w:rPr>
                <w:rFonts w:ascii="Arial Narrow" w:eastAsiaTheme="majorEastAsia" w:hAnsi="Arial Narrow" w:cstheme="majorBidi"/>
                <w:b/>
                <w:sz w:val="20"/>
                <w:highlight w:val="lightGray"/>
              </w:rPr>
            </w:pPr>
            <w:r w:rsidRPr="00DC1AEB">
              <w:rPr>
                <w:rFonts w:ascii="Arial Narrow" w:eastAsiaTheme="majorEastAsia" w:hAnsi="Arial Narrow" w:cstheme="majorBidi" w:hint="eastAsia"/>
                <w:b/>
                <w:color w:val="000000"/>
                <w:w w:val="22"/>
                <w:sz w:val="20"/>
                <w:shd w:val="solid" w:color="000000" w:fill="000000"/>
                <w:fitText w:val="100" w:id="-894165494"/>
                <w14:textFill>
                  <w14:solidFill>
                    <w14:srgbClr w14:val="000000">
                      <w14:alpha w14:val="100000"/>
                    </w14:srgbClr>
                  </w14:solidFill>
                </w14:textFill>
              </w:rPr>
              <w:t xml:space="preserve">　</w:t>
            </w:r>
            <w:r w:rsidRPr="00DC1AEB">
              <w:rPr>
                <w:rFonts w:ascii="Arial Narrow" w:eastAsiaTheme="majorEastAsia" w:hAnsi="Arial Narrow" w:cstheme="majorBidi"/>
                <w:b/>
                <w:color w:val="000000"/>
                <w:w w:val="22"/>
                <w:sz w:val="20"/>
                <w:shd w:val="solid" w:color="000000" w:fill="000000"/>
                <w:fitText w:val="100" w:id="-894165494"/>
                <w14:textFill>
                  <w14:solidFill>
                    <w14:srgbClr w14:val="000000">
                      <w14:alpha w14:val="100000"/>
                    </w14:srgbClr>
                  </w14:solidFill>
                </w14:textFill>
              </w:rPr>
              <w:t>|</w:t>
            </w:r>
            <w:r w:rsidRPr="00DC1AEB">
              <w:rPr>
                <w:rFonts w:ascii="Arial Narrow" w:eastAsiaTheme="majorEastAsia" w:hAnsi="Arial Narrow" w:cstheme="majorBidi" w:hint="eastAsia"/>
                <w:b/>
                <w:color w:val="000000"/>
                <w:spacing w:val="2"/>
                <w:w w:val="22"/>
                <w:sz w:val="20"/>
                <w:shd w:val="solid" w:color="000000" w:fill="000000"/>
                <w:fitText w:val="100" w:id="-894165494"/>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04BC7C39" w14:textId="24849F11" w:rsidR="009A1394" w:rsidRPr="0034682D" w:rsidRDefault="00DC1AEB" w:rsidP="009A1394">
            <w:pPr>
              <w:keepNext/>
              <w:jc w:val="center"/>
              <w:rPr>
                <w:rFonts w:ascii="Arial Narrow" w:eastAsiaTheme="majorEastAsia" w:hAnsi="Arial Narrow" w:cstheme="majorBidi"/>
                <w:b/>
                <w:sz w:val="20"/>
                <w:highlight w:val="lightGray"/>
              </w:rPr>
            </w:pPr>
            <w:r w:rsidRPr="00DC1AEB">
              <w:rPr>
                <w:rFonts w:ascii="Arial Narrow" w:eastAsiaTheme="majorEastAsia" w:hAnsi="Arial Narrow" w:cstheme="majorBidi" w:hint="eastAsia"/>
                <w:b/>
                <w:color w:val="000000"/>
                <w:w w:val="22"/>
                <w:sz w:val="20"/>
                <w:shd w:val="solid" w:color="000000" w:fill="000000"/>
                <w:fitText w:val="100" w:id="-894165493"/>
                <w14:textFill>
                  <w14:solidFill>
                    <w14:srgbClr w14:val="000000">
                      <w14:alpha w14:val="100000"/>
                    </w14:srgbClr>
                  </w14:solidFill>
                </w14:textFill>
              </w:rPr>
              <w:t xml:space="preserve">　</w:t>
            </w:r>
            <w:r w:rsidRPr="00DC1AEB">
              <w:rPr>
                <w:rFonts w:ascii="Arial Narrow" w:eastAsiaTheme="majorEastAsia" w:hAnsi="Arial Narrow" w:cstheme="majorBidi"/>
                <w:b/>
                <w:color w:val="000000"/>
                <w:w w:val="22"/>
                <w:sz w:val="20"/>
                <w:shd w:val="solid" w:color="000000" w:fill="000000"/>
                <w:fitText w:val="100" w:id="-894165493"/>
                <w14:textFill>
                  <w14:solidFill>
                    <w14:srgbClr w14:val="000000">
                      <w14:alpha w14:val="100000"/>
                    </w14:srgbClr>
                  </w14:solidFill>
                </w14:textFill>
              </w:rPr>
              <w:t>|</w:t>
            </w:r>
            <w:r w:rsidRPr="00DC1AEB">
              <w:rPr>
                <w:rFonts w:ascii="Arial Narrow" w:eastAsiaTheme="majorEastAsia" w:hAnsi="Arial Narrow" w:cstheme="majorBidi" w:hint="eastAsia"/>
                <w:b/>
                <w:color w:val="000000"/>
                <w:spacing w:val="2"/>
                <w:w w:val="22"/>
                <w:sz w:val="20"/>
                <w:shd w:val="solid" w:color="000000" w:fill="000000"/>
                <w:fitText w:val="100" w:id="-894165493"/>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4DF645FC" w14:textId="012DB307" w:rsidR="009A1394" w:rsidRPr="0034682D" w:rsidRDefault="00DC1AEB" w:rsidP="009A1394">
            <w:pPr>
              <w:keepNext/>
              <w:jc w:val="center"/>
              <w:rPr>
                <w:rFonts w:ascii="Arial Narrow" w:eastAsiaTheme="majorEastAsia" w:hAnsi="Arial Narrow" w:cstheme="majorBidi"/>
                <w:b/>
                <w:sz w:val="20"/>
                <w:highlight w:val="lightGray"/>
              </w:rPr>
            </w:pPr>
            <w:r w:rsidRPr="00DC1AEB">
              <w:rPr>
                <w:rFonts w:ascii="Arial Narrow" w:eastAsiaTheme="majorEastAsia" w:hAnsi="Arial Narrow" w:cstheme="majorBidi" w:hint="eastAsia"/>
                <w:b/>
                <w:color w:val="000000"/>
                <w:w w:val="22"/>
                <w:sz w:val="20"/>
                <w:shd w:val="solid" w:color="000000" w:fill="000000"/>
                <w:fitText w:val="100" w:id="-894165492"/>
                <w14:textFill>
                  <w14:solidFill>
                    <w14:srgbClr w14:val="000000">
                      <w14:alpha w14:val="100000"/>
                    </w14:srgbClr>
                  </w14:solidFill>
                </w14:textFill>
              </w:rPr>
              <w:t xml:space="preserve">　</w:t>
            </w:r>
            <w:r w:rsidRPr="00DC1AEB">
              <w:rPr>
                <w:rFonts w:ascii="Arial Narrow" w:eastAsiaTheme="majorEastAsia" w:hAnsi="Arial Narrow" w:cstheme="majorBidi"/>
                <w:b/>
                <w:color w:val="000000"/>
                <w:w w:val="22"/>
                <w:sz w:val="20"/>
                <w:shd w:val="solid" w:color="000000" w:fill="000000"/>
                <w:fitText w:val="100" w:id="-894165492"/>
                <w14:textFill>
                  <w14:solidFill>
                    <w14:srgbClr w14:val="000000">
                      <w14:alpha w14:val="100000"/>
                    </w14:srgbClr>
                  </w14:solidFill>
                </w14:textFill>
              </w:rPr>
              <w:t>|</w:t>
            </w:r>
            <w:r w:rsidRPr="00DC1AEB">
              <w:rPr>
                <w:rFonts w:ascii="Arial Narrow" w:eastAsiaTheme="majorEastAsia" w:hAnsi="Arial Narrow" w:cstheme="majorBidi" w:hint="eastAsia"/>
                <w:b/>
                <w:color w:val="000000"/>
                <w:spacing w:val="2"/>
                <w:w w:val="22"/>
                <w:sz w:val="20"/>
                <w:shd w:val="solid" w:color="000000" w:fill="000000"/>
                <w:fitText w:val="100" w:id="-894165492"/>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shd w:val="clear" w:color="auto" w:fill="auto"/>
            <w:vAlign w:val="center"/>
          </w:tcPr>
          <w:p w14:paraId="7BE7C5FC" w14:textId="105D6F03" w:rsidR="009A1394" w:rsidRPr="0034682D" w:rsidRDefault="00DC1AEB" w:rsidP="009A1394">
            <w:pPr>
              <w:keepNext/>
              <w:jc w:val="center"/>
              <w:rPr>
                <w:rFonts w:ascii="Arial Narrow" w:eastAsiaTheme="majorEastAsia" w:hAnsi="Arial Narrow" w:cstheme="majorBidi"/>
                <w:b/>
                <w:sz w:val="20"/>
                <w:highlight w:val="lightGray"/>
              </w:rPr>
            </w:pPr>
            <w:r w:rsidRPr="00DC1AEB">
              <w:rPr>
                <w:rFonts w:ascii="Arial Narrow" w:eastAsiaTheme="majorEastAsia" w:hAnsi="Arial Narrow" w:cstheme="majorBidi" w:hint="eastAsia"/>
                <w:b/>
                <w:color w:val="000000"/>
                <w:w w:val="22"/>
                <w:sz w:val="20"/>
                <w:shd w:val="solid" w:color="000000" w:fill="000000"/>
                <w:fitText w:val="100" w:id="-894165491"/>
                <w14:textFill>
                  <w14:solidFill>
                    <w14:srgbClr w14:val="000000">
                      <w14:alpha w14:val="100000"/>
                    </w14:srgbClr>
                  </w14:solidFill>
                </w14:textFill>
              </w:rPr>
              <w:t xml:space="preserve">　</w:t>
            </w:r>
            <w:r w:rsidRPr="00DC1AEB">
              <w:rPr>
                <w:rFonts w:ascii="Arial Narrow" w:eastAsiaTheme="majorEastAsia" w:hAnsi="Arial Narrow" w:cstheme="majorBidi"/>
                <w:b/>
                <w:color w:val="000000"/>
                <w:w w:val="22"/>
                <w:sz w:val="20"/>
                <w:shd w:val="solid" w:color="000000" w:fill="000000"/>
                <w:fitText w:val="100" w:id="-894165491"/>
                <w14:textFill>
                  <w14:solidFill>
                    <w14:srgbClr w14:val="000000">
                      <w14:alpha w14:val="100000"/>
                    </w14:srgbClr>
                  </w14:solidFill>
                </w14:textFill>
              </w:rPr>
              <w:t>|</w:t>
            </w:r>
            <w:r w:rsidRPr="00DC1AEB">
              <w:rPr>
                <w:rFonts w:ascii="Arial Narrow" w:eastAsiaTheme="majorEastAsia" w:hAnsi="Arial Narrow" w:cstheme="majorBidi" w:hint="eastAsia"/>
                <w:b/>
                <w:color w:val="000000"/>
                <w:spacing w:val="2"/>
                <w:w w:val="22"/>
                <w:sz w:val="20"/>
                <w:shd w:val="solid" w:color="000000" w:fill="000000"/>
                <w:fitText w:val="100" w:id="-894165491"/>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c>
          <w:tcPr>
            <w:tcW w:w="611" w:type="pct"/>
            <w:vAlign w:val="center"/>
          </w:tcPr>
          <w:p w14:paraId="05A354E7" w14:textId="2788AE53" w:rsidR="009A1394" w:rsidRPr="0034682D" w:rsidRDefault="00DC1AEB" w:rsidP="009A1394">
            <w:pPr>
              <w:keepNext/>
              <w:jc w:val="center"/>
              <w:rPr>
                <w:rFonts w:ascii="Arial Narrow" w:eastAsiaTheme="majorEastAsia" w:hAnsi="Arial Narrow" w:cstheme="majorBidi"/>
                <w:b/>
                <w:sz w:val="20"/>
                <w:highlight w:val="lightGray"/>
              </w:rPr>
            </w:pPr>
            <w:r w:rsidRPr="00DC1AEB">
              <w:rPr>
                <w:rFonts w:ascii="Arial Narrow" w:eastAsiaTheme="majorEastAsia" w:hAnsi="Arial Narrow" w:cstheme="majorBidi" w:hint="eastAsia"/>
                <w:b/>
                <w:color w:val="000000"/>
                <w:w w:val="22"/>
                <w:sz w:val="20"/>
                <w:shd w:val="solid" w:color="000000" w:fill="000000"/>
                <w:fitText w:val="100" w:id="-894165490"/>
                <w14:textFill>
                  <w14:solidFill>
                    <w14:srgbClr w14:val="000000">
                      <w14:alpha w14:val="100000"/>
                    </w14:srgbClr>
                  </w14:solidFill>
                </w14:textFill>
              </w:rPr>
              <w:t xml:space="preserve">　</w:t>
            </w:r>
            <w:r w:rsidRPr="00DC1AEB">
              <w:rPr>
                <w:rFonts w:ascii="Arial Narrow" w:eastAsiaTheme="majorEastAsia" w:hAnsi="Arial Narrow" w:cstheme="majorBidi"/>
                <w:b/>
                <w:color w:val="000000"/>
                <w:w w:val="22"/>
                <w:sz w:val="20"/>
                <w:shd w:val="solid" w:color="000000" w:fill="000000"/>
                <w:fitText w:val="100" w:id="-894165490"/>
                <w14:textFill>
                  <w14:solidFill>
                    <w14:srgbClr w14:val="000000">
                      <w14:alpha w14:val="100000"/>
                    </w14:srgbClr>
                  </w14:solidFill>
                </w14:textFill>
              </w:rPr>
              <w:t>|</w:t>
            </w:r>
            <w:r w:rsidRPr="00DC1AEB">
              <w:rPr>
                <w:rFonts w:ascii="Arial Narrow" w:eastAsiaTheme="majorEastAsia" w:hAnsi="Arial Narrow" w:cstheme="majorBidi" w:hint="eastAsia"/>
                <w:b/>
                <w:color w:val="000000"/>
                <w:spacing w:val="2"/>
                <w:w w:val="22"/>
                <w:sz w:val="20"/>
                <w:shd w:val="solid" w:color="000000" w:fill="000000"/>
                <w:fitText w:val="100" w:id="-894165490"/>
                <w14:textFill>
                  <w14:solidFill>
                    <w14:srgbClr w14:val="000000">
                      <w14:alpha w14:val="100000"/>
                    </w14:srgbClr>
                  </w14:solidFill>
                </w14:textFill>
              </w:rPr>
              <w:t xml:space="preserve">　</w:t>
            </w:r>
            <w:r w:rsidR="00E339BB" w:rsidRPr="00E339BB">
              <w:rPr>
                <w:rFonts w:ascii="Arial Narrow" w:hAnsi="Arial Narrow"/>
                <w:color w:val="000000"/>
                <w:sz w:val="20"/>
                <w:szCs w:val="20"/>
                <w:vertAlign w:val="superscript"/>
              </w:rPr>
              <w:t>1</w:t>
            </w:r>
          </w:p>
        </w:tc>
      </w:tr>
      <w:tr w:rsidR="009A1394" w:rsidRPr="006B343C" w14:paraId="433901DC" w14:textId="77777777" w:rsidTr="009A1394">
        <w:tc>
          <w:tcPr>
            <w:tcW w:w="5000" w:type="pct"/>
            <w:gridSpan w:val="7"/>
            <w:shd w:val="clear" w:color="auto" w:fill="BFBFBF" w:themeFill="background1" w:themeFillShade="BF"/>
            <w:vAlign w:val="center"/>
          </w:tcPr>
          <w:p w14:paraId="63580808" w14:textId="1AABCDD9" w:rsidR="009A1394" w:rsidRPr="006B343C" w:rsidRDefault="009A1394" w:rsidP="009A1394">
            <w:pPr>
              <w:keepNext/>
              <w:jc w:val="left"/>
              <w:rPr>
                <w:rFonts w:ascii="Arial Narrow" w:hAnsi="Arial Narrow"/>
                <w:color w:val="000000"/>
                <w:sz w:val="20"/>
                <w:szCs w:val="20"/>
              </w:rPr>
            </w:pPr>
            <w:r w:rsidRPr="006B343C">
              <w:rPr>
                <w:rFonts w:ascii="Arial Narrow" w:eastAsiaTheme="majorEastAsia" w:hAnsi="Arial Narrow" w:cs="Times New Roman"/>
                <w:b/>
                <w:bCs/>
                <w:color w:val="000000"/>
                <w:sz w:val="20"/>
                <w:lang w:val="en-US"/>
              </w:rPr>
              <w:t>Estimated extent of use – number of prescriptions</w:t>
            </w:r>
          </w:p>
        </w:tc>
      </w:tr>
      <w:tr w:rsidR="009A1394" w:rsidRPr="006B343C" w14:paraId="339D14D5" w14:textId="77777777" w:rsidTr="00193376">
        <w:tc>
          <w:tcPr>
            <w:tcW w:w="1334" w:type="pct"/>
            <w:shd w:val="clear" w:color="auto" w:fill="auto"/>
            <w:vAlign w:val="center"/>
          </w:tcPr>
          <w:p w14:paraId="3C616021" w14:textId="30B896E5" w:rsidR="009A1394" w:rsidRPr="008953D9" w:rsidRDefault="009A1394" w:rsidP="009A1394">
            <w:pPr>
              <w:keepNext/>
              <w:jc w:val="left"/>
              <w:rPr>
                <w:rFonts w:ascii="Arial Narrow" w:eastAsiaTheme="majorEastAsia" w:hAnsi="Arial Narrow" w:cstheme="majorBidi"/>
                <w:bCs/>
                <w:sz w:val="20"/>
              </w:rPr>
            </w:pPr>
            <w:r w:rsidRPr="008953D9">
              <w:rPr>
                <w:rFonts w:ascii="Arial Narrow" w:eastAsiaTheme="majorEastAsia" w:hAnsi="Arial Narrow" w:cstheme="majorBidi"/>
                <w:bCs/>
                <w:sz w:val="20"/>
              </w:rPr>
              <w:t xml:space="preserve">Total number of scripts </w:t>
            </w:r>
          </w:p>
        </w:tc>
        <w:tc>
          <w:tcPr>
            <w:tcW w:w="611" w:type="pct"/>
            <w:shd w:val="clear" w:color="auto" w:fill="auto"/>
            <w:vAlign w:val="center"/>
          </w:tcPr>
          <w:p w14:paraId="7EB1A634" w14:textId="42680BAD" w:rsidR="009A1394" w:rsidRPr="0034682D" w:rsidRDefault="00DC1AEB" w:rsidP="009A1394">
            <w:pPr>
              <w:keepNext/>
              <w:jc w:val="center"/>
              <w:rPr>
                <w:rFonts w:ascii="Arial Narrow" w:hAnsi="Arial Narrow"/>
                <w:bCs/>
                <w:color w:val="000000"/>
                <w:sz w:val="20"/>
                <w:szCs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89"/>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89"/>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89"/>
                <w14:textFill>
                  <w14:solidFill>
                    <w14:srgbClr w14:val="000000">
                      <w14:alpha w14:val="100000"/>
                    </w14:srgbClr>
                  </w14:solidFill>
                </w14:textFill>
              </w:rPr>
              <w:t xml:space="preserve">　</w:t>
            </w:r>
            <w:r w:rsidR="000C6693" w:rsidRPr="000C6693">
              <w:rPr>
                <w:rFonts w:ascii="Arial Narrow" w:eastAsiaTheme="majorEastAsia" w:hAnsi="Arial Narrow" w:cstheme="majorBidi"/>
                <w:bCs/>
                <w:sz w:val="20"/>
                <w:vertAlign w:val="superscript"/>
              </w:rPr>
              <w:t>2</w:t>
            </w:r>
          </w:p>
        </w:tc>
        <w:tc>
          <w:tcPr>
            <w:tcW w:w="611" w:type="pct"/>
            <w:shd w:val="clear" w:color="auto" w:fill="auto"/>
            <w:vAlign w:val="center"/>
          </w:tcPr>
          <w:p w14:paraId="00421F64" w14:textId="0A3D9A96" w:rsidR="009A1394" w:rsidRPr="0034682D" w:rsidRDefault="00DC1AEB" w:rsidP="009A1394">
            <w:pPr>
              <w:keepNext/>
              <w:jc w:val="center"/>
              <w:rPr>
                <w:rFonts w:ascii="Arial Narrow" w:hAnsi="Arial Narrow"/>
                <w:bCs/>
                <w:color w:val="000000"/>
                <w:sz w:val="20"/>
                <w:szCs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88"/>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88"/>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88"/>
                <w14:textFill>
                  <w14:solidFill>
                    <w14:srgbClr w14:val="000000">
                      <w14:alpha w14:val="100000"/>
                    </w14:srgbClr>
                  </w14:solidFill>
                </w14:textFill>
              </w:rPr>
              <w:t xml:space="preserve">　</w:t>
            </w:r>
            <w:r w:rsidR="000C6693" w:rsidRPr="000C6693">
              <w:rPr>
                <w:rFonts w:ascii="Arial Narrow" w:eastAsiaTheme="majorEastAsia" w:hAnsi="Arial Narrow" w:cstheme="majorBidi"/>
                <w:bCs/>
                <w:sz w:val="20"/>
                <w:vertAlign w:val="superscript"/>
              </w:rPr>
              <w:t>2</w:t>
            </w:r>
          </w:p>
        </w:tc>
        <w:tc>
          <w:tcPr>
            <w:tcW w:w="611" w:type="pct"/>
            <w:shd w:val="clear" w:color="auto" w:fill="auto"/>
            <w:vAlign w:val="center"/>
          </w:tcPr>
          <w:p w14:paraId="03BAF49B" w14:textId="36B12BCC" w:rsidR="009A1394" w:rsidRPr="0034682D" w:rsidRDefault="00DC1AEB" w:rsidP="009A1394">
            <w:pPr>
              <w:keepNext/>
              <w:jc w:val="center"/>
              <w:rPr>
                <w:rFonts w:ascii="Arial Narrow" w:hAnsi="Arial Narrow"/>
                <w:bCs/>
                <w:color w:val="000000"/>
                <w:sz w:val="20"/>
                <w:szCs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504"/>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504"/>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504"/>
                <w14:textFill>
                  <w14:solidFill>
                    <w14:srgbClr w14:val="000000">
                      <w14:alpha w14:val="100000"/>
                    </w14:srgbClr>
                  </w14:solidFill>
                </w14:textFill>
              </w:rPr>
              <w:t xml:space="preserve">　</w:t>
            </w:r>
            <w:r w:rsidR="000C6693" w:rsidRPr="000C6693">
              <w:rPr>
                <w:rFonts w:ascii="Arial Narrow" w:eastAsiaTheme="majorEastAsia" w:hAnsi="Arial Narrow" w:cstheme="majorBidi"/>
                <w:bCs/>
                <w:sz w:val="20"/>
                <w:vertAlign w:val="superscript"/>
              </w:rPr>
              <w:t>2</w:t>
            </w:r>
          </w:p>
        </w:tc>
        <w:tc>
          <w:tcPr>
            <w:tcW w:w="611" w:type="pct"/>
            <w:shd w:val="clear" w:color="auto" w:fill="auto"/>
            <w:vAlign w:val="center"/>
          </w:tcPr>
          <w:p w14:paraId="36469768" w14:textId="6EEF920A" w:rsidR="009A1394" w:rsidRPr="0034682D" w:rsidRDefault="00DC1AEB" w:rsidP="009A1394">
            <w:pPr>
              <w:keepNext/>
              <w:jc w:val="center"/>
              <w:rPr>
                <w:rFonts w:ascii="Arial Narrow" w:hAnsi="Arial Narrow"/>
                <w:bCs/>
                <w:color w:val="000000"/>
                <w:sz w:val="20"/>
                <w:szCs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503"/>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503"/>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503"/>
                <w14:textFill>
                  <w14:solidFill>
                    <w14:srgbClr w14:val="000000">
                      <w14:alpha w14:val="100000"/>
                    </w14:srgbClr>
                  </w14:solidFill>
                </w14:textFill>
              </w:rPr>
              <w:t xml:space="preserve">　</w:t>
            </w:r>
            <w:r w:rsidR="000C6693" w:rsidRPr="000C6693">
              <w:rPr>
                <w:rFonts w:ascii="Arial Narrow" w:eastAsiaTheme="majorEastAsia" w:hAnsi="Arial Narrow" w:cstheme="majorBidi"/>
                <w:bCs/>
                <w:sz w:val="20"/>
                <w:vertAlign w:val="superscript"/>
              </w:rPr>
              <w:t>2</w:t>
            </w:r>
          </w:p>
        </w:tc>
        <w:tc>
          <w:tcPr>
            <w:tcW w:w="611" w:type="pct"/>
            <w:shd w:val="clear" w:color="auto" w:fill="auto"/>
            <w:vAlign w:val="center"/>
          </w:tcPr>
          <w:p w14:paraId="4D2B425D" w14:textId="5B9985DB" w:rsidR="009A1394" w:rsidRPr="0034682D" w:rsidRDefault="00DC1AEB" w:rsidP="009A1394">
            <w:pPr>
              <w:keepNext/>
              <w:jc w:val="center"/>
              <w:rPr>
                <w:rFonts w:ascii="Arial Narrow" w:hAnsi="Arial Narrow"/>
                <w:bCs/>
                <w:color w:val="000000"/>
                <w:sz w:val="20"/>
                <w:szCs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502"/>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502"/>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502"/>
                <w14:textFill>
                  <w14:solidFill>
                    <w14:srgbClr w14:val="000000">
                      <w14:alpha w14:val="100000"/>
                    </w14:srgbClr>
                  </w14:solidFill>
                </w14:textFill>
              </w:rPr>
              <w:t xml:space="preserve">　</w:t>
            </w:r>
            <w:r w:rsidR="000C6693" w:rsidRPr="000C6693">
              <w:rPr>
                <w:rFonts w:ascii="Arial Narrow" w:eastAsiaTheme="majorEastAsia" w:hAnsi="Arial Narrow" w:cstheme="majorBidi"/>
                <w:bCs/>
                <w:sz w:val="20"/>
                <w:vertAlign w:val="superscript"/>
              </w:rPr>
              <w:t>2</w:t>
            </w:r>
          </w:p>
        </w:tc>
        <w:tc>
          <w:tcPr>
            <w:tcW w:w="611" w:type="pct"/>
            <w:vAlign w:val="center"/>
          </w:tcPr>
          <w:p w14:paraId="0F9DCBB8" w14:textId="26CBDEDC" w:rsidR="009A1394" w:rsidRPr="0034682D" w:rsidRDefault="00DC1AEB" w:rsidP="009A1394">
            <w:pPr>
              <w:keepNext/>
              <w:jc w:val="center"/>
              <w:rPr>
                <w:rFonts w:ascii="Arial Narrow" w:hAnsi="Arial Narrow"/>
                <w:bCs/>
                <w:color w:val="000000"/>
                <w:sz w:val="20"/>
                <w:szCs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501"/>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501"/>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501"/>
                <w14:textFill>
                  <w14:solidFill>
                    <w14:srgbClr w14:val="000000">
                      <w14:alpha w14:val="100000"/>
                    </w14:srgbClr>
                  </w14:solidFill>
                </w14:textFill>
              </w:rPr>
              <w:t xml:space="preserve">　</w:t>
            </w:r>
            <w:r w:rsidR="000C6693" w:rsidRPr="000C6693">
              <w:rPr>
                <w:rFonts w:ascii="Arial Narrow" w:eastAsiaTheme="majorEastAsia" w:hAnsi="Arial Narrow" w:cstheme="majorBidi"/>
                <w:bCs/>
                <w:sz w:val="20"/>
                <w:vertAlign w:val="superscript"/>
              </w:rPr>
              <w:t>2</w:t>
            </w:r>
          </w:p>
        </w:tc>
      </w:tr>
      <w:tr w:rsidR="009A1394" w:rsidRPr="006B343C" w14:paraId="6BC68901" w14:textId="77777777" w:rsidTr="00193376">
        <w:tc>
          <w:tcPr>
            <w:tcW w:w="5000" w:type="pct"/>
            <w:gridSpan w:val="7"/>
            <w:shd w:val="clear" w:color="auto" w:fill="D9D9D9" w:themeFill="background1" w:themeFillShade="D9"/>
            <w:vAlign w:val="center"/>
          </w:tcPr>
          <w:p w14:paraId="1DEEC349" w14:textId="5A0CDDB7" w:rsidR="009A1394" w:rsidRPr="006B343C" w:rsidRDefault="009A1394" w:rsidP="009A1394">
            <w:pPr>
              <w:keepNext/>
              <w:jc w:val="left"/>
              <w:rPr>
                <w:rFonts w:ascii="Arial Narrow" w:eastAsiaTheme="majorEastAsia" w:hAnsi="Arial Narrow" w:cs="Times New Roman"/>
                <w:b/>
                <w:sz w:val="20"/>
                <w:lang w:val="en-US"/>
              </w:rPr>
            </w:pPr>
            <w:r w:rsidRPr="006B343C">
              <w:rPr>
                <w:rFonts w:ascii="Arial Narrow" w:eastAsiaTheme="majorEastAsia" w:hAnsi="Arial Narrow" w:cs="Times New Roman"/>
                <w:b/>
                <w:sz w:val="20"/>
                <w:lang w:val="en-US"/>
              </w:rPr>
              <w:t>Estimated financial implications of vedolizumab</w:t>
            </w:r>
            <w:r w:rsidR="0000427E">
              <w:rPr>
                <w:rFonts w:ascii="Arial Narrow" w:eastAsiaTheme="majorEastAsia" w:hAnsi="Arial Narrow" w:cs="Times New Roman"/>
                <w:b/>
                <w:sz w:val="20"/>
                <w:lang w:val="en-US"/>
              </w:rPr>
              <w:t xml:space="preserve"> – estimated in the submission</w:t>
            </w:r>
          </w:p>
        </w:tc>
      </w:tr>
      <w:tr w:rsidR="009A1394" w:rsidRPr="006B343C" w14:paraId="183CE326" w14:textId="77777777" w:rsidTr="00193376">
        <w:tc>
          <w:tcPr>
            <w:tcW w:w="1334" w:type="pct"/>
            <w:shd w:val="clear" w:color="auto" w:fill="auto"/>
            <w:vAlign w:val="center"/>
          </w:tcPr>
          <w:p w14:paraId="3A82E220" w14:textId="77777777" w:rsidR="009A1394" w:rsidRPr="006B343C" w:rsidRDefault="009A1394" w:rsidP="009A1394">
            <w:pPr>
              <w:keepNext/>
              <w:jc w:val="left"/>
              <w:rPr>
                <w:rFonts w:ascii="Arial Narrow" w:eastAsiaTheme="majorEastAsia" w:hAnsi="Arial Narrow" w:cstheme="majorBidi"/>
                <w:bCs/>
                <w:sz w:val="20"/>
                <w:szCs w:val="20"/>
              </w:rPr>
            </w:pPr>
            <w:r w:rsidRPr="006B343C">
              <w:rPr>
                <w:rFonts w:ascii="Arial Narrow" w:eastAsiaTheme="majorEastAsia" w:hAnsi="Arial Narrow" w:cstheme="majorBidi"/>
                <w:bCs/>
                <w:sz w:val="20"/>
                <w:szCs w:val="20"/>
              </w:rPr>
              <w:t>Cost to PBS/RPBS less copayments</w:t>
            </w:r>
          </w:p>
        </w:tc>
        <w:tc>
          <w:tcPr>
            <w:tcW w:w="611" w:type="pct"/>
            <w:shd w:val="clear" w:color="auto" w:fill="auto"/>
            <w:vAlign w:val="center"/>
          </w:tcPr>
          <w:p w14:paraId="4A29BBB8" w14:textId="1C7BE49D" w:rsidR="009A1394" w:rsidRPr="0034682D" w:rsidRDefault="00DC1AEB" w:rsidP="009A1394">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500"/>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500"/>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500"/>
                <w14:textFill>
                  <w14:solidFill>
                    <w14:srgbClr w14:val="000000">
                      <w14:alpha w14:val="100000"/>
                    </w14:srgbClr>
                  </w14:solidFill>
                </w14:textFill>
              </w:rPr>
              <w:t xml:space="preserve">　</w:t>
            </w:r>
            <w:r w:rsidR="0046105D"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3E13505E" w14:textId="7DB87918" w:rsidR="009A1394" w:rsidRPr="0034682D" w:rsidRDefault="00DC1AEB" w:rsidP="009A1394">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9"/>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9"/>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9"/>
                <w14:textFill>
                  <w14:solidFill>
                    <w14:srgbClr w14:val="000000">
                      <w14:alpha w14:val="100000"/>
                    </w14:srgbClr>
                  </w14:solidFill>
                </w14:textFill>
              </w:rPr>
              <w:t xml:space="preserve">　</w:t>
            </w:r>
            <w:r w:rsidR="0046105D"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05FF0DC7" w14:textId="39F1E5EA" w:rsidR="009A1394" w:rsidRPr="0034682D" w:rsidRDefault="00DC1AEB" w:rsidP="009A1394">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8"/>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8"/>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8"/>
                <w14:textFill>
                  <w14:solidFill>
                    <w14:srgbClr w14:val="000000">
                      <w14:alpha w14:val="100000"/>
                    </w14:srgbClr>
                  </w14:solidFill>
                </w14:textFill>
              </w:rPr>
              <w:t xml:space="preserve">　</w:t>
            </w:r>
            <w:r w:rsidR="0046105D"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24C046CA" w14:textId="7491CF2B" w:rsidR="009A1394" w:rsidRPr="0034682D" w:rsidRDefault="00DC1AEB" w:rsidP="009A1394">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7"/>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7"/>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7"/>
                <w14:textFill>
                  <w14:solidFill>
                    <w14:srgbClr w14:val="000000">
                      <w14:alpha w14:val="100000"/>
                    </w14:srgbClr>
                  </w14:solidFill>
                </w14:textFill>
              </w:rPr>
              <w:t xml:space="preserve">　</w:t>
            </w:r>
            <w:r w:rsidR="0046105D"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7F686F66" w14:textId="75AFC335" w:rsidR="009A1394" w:rsidRPr="0034682D" w:rsidRDefault="00DC1AEB" w:rsidP="009A1394">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6"/>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6"/>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6"/>
                <w14:textFill>
                  <w14:solidFill>
                    <w14:srgbClr w14:val="000000">
                      <w14:alpha w14:val="100000"/>
                    </w14:srgbClr>
                  </w14:solidFill>
                </w14:textFill>
              </w:rPr>
              <w:t xml:space="preserve">　</w:t>
            </w:r>
            <w:r w:rsidR="0046105D" w:rsidRPr="0046105D">
              <w:rPr>
                <w:rFonts w:ascii="Arial Narrow" w:eastAsiaTheme="majorEastAsia" w:hAnsi="Arial Narrow" w:cstheme="majorBidi"/>
                <w:bCs/>
                <w:sz w:val="20"/>
                <w:vertAlign w:val="superscript"/>
              </w:rPr>
              <w:t>3</w:t>
            </w:r>
          </w:p>
        </w:tc>
        <w:tc>
          <w:tcPr>
            <w:tcW w:w="611" w:type="pct"/>
            <w:vAlign w:val="center"/>
          </w:tcPr>
          <w:p w14:paraId="648688D9" w14:textId="6D3EDBDF" w:rsidR="009A1394" w:rsidRPr="0034682D" w:rsidRDefault="00DC1AEB" w:rsidP="009A1394">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5"/>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5"/>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5"/>
                <w14:textFill>
                  <w14:solidFill>
                    <w14:srgbClr w14:val="000000">
                      <w14:alpha w14:val="100000"/>
                    </w14:srgbClr>
                  </w14:solidFill>
                </w14:textFill>
              </w:rPr>
              <w:t xml:space="preserve">　</w:t>
            </w:r>
            <w:r w:rsidR="0046105D" w:rsidRPr="0046105D">
              <w:rPr>
                <w:rFonts w:ascii="Arial Narrow" w:eastAsiaTheme="majorEastAsia" w:hAnsi="Arial Narrow" w:cstheme="majorBidi"/>
                <w:bCs/>
                <w:sz w:val="20"/>
                <w:vertAlign w:val="superscript"/>
              </w:rPr>
              <w:t>3</w:t>
            </w:r>
          </w:p>
        </w:tc>
      </w:tr>
      <w:tr w:rsidR="009A1394" w:rsidRPr="006B343C" w14:paraId="0312B460" w14:textId="77777777" w:rsidTr="00193376">
        <w:tc>
          <w:tcPr>
            <w:tcW w:w="5000" w:type="pct"/>
            <w:gridSpan w:val="7"/>
            <w:shd w:val="clear" w:color="auto" w:fill="D9D9D9" w:themeFill="background1" w:themeFillShade="D9"/>
            <w:vAlign w:val="center"/>
          </w:tcPr>
          <w:p w14:paraId="72E2D502" w14:textId="5CD8648D" w:rsidR="009A1394" w:rsidRPr="006B343C" w:rsidRDefault="009A1394" w:rsidP="009A1394">
            <w:pPr>
              <w:keepNext/>
              <w:jc w:val="left"/>
              <w:rPr>
                <w:rFonts w:ascii="Arial Narrow" w:eastAsiaTheme="majorEastAsia" w:hAnsi="Arial Narrow" w:cs="Times New Roman"/>
                <w:b/>
                <w:sz w:val="20"/>
                <w:szCs w:val="20"/>
                <w:lang w:val="en-US"/>
              </w:rPr>
            </w:pPr>
            <w:r w:rsidRPr="006B343C">
              <w:rPr>
                <w:rFonts w:ascii="Arial Narrow" w:eastAsiaTheme="majorEastAsia" w:hAnsi="Arial Narrow" w:cs="Times New Roman"/>
                <w:b/>
                <w:sz w:val="20"/>
                <w:szCs w:val="20"/>
                <w:lang w:val="en-US"/>
              </w:rPr>
              <w:t>Net financial implications</w:t>
            </w:r>
            <w:r w:rsidR="0000427E">
              <w:rPr>
                <w:rFonts w:ascii="Arial Narrow" w:eastAsiaTheme="majorEastAsia" w:hAnsi="Arial Narrow" w:cs="Times New Roman"/>
                <w:b/>
                <w:sz w:val="20"/>
                <w:szCs w:val="20"/>
                <w:lang w:val="en-US"/>
              </w:rPr>
              <w:t xml:space="preserve"> </w:t>
            </w:r>
            <w:r w:rsidR="0000427E">
              <w:rPr>
                <w:rFonts w:ascii="Arial Narrow" w:eastAsiaTheme="majorEastAsia" w:hAnsi="Arial Narrow" w:cs="Times New Roman"/>
                <w:b/>
                <w:sz w:val="20"/>
                <w:lang w:val="en-US"/>
              </w:rPr>
              <w:t>– estimated in the submission</w:t>
            </w:r>
          </w:p>
        </w:tc>
      </w:tr>
      <w:tr w:rsidR="008E5D18" w:rsidRPr="006B343C" w14:paraId="6B09D3B8" w14:textId="77777777" w:rsidTr="00193376">
        <w:tc>
          <w:tcPr>
            <w:tcW w:w="1334" w:type="pct"/>
            <w:shd w:val="clear" w:color="auto" w:fill="auto"/>
            <w:vAlign w:val="center"/>
          </w:tcPr>
          <w:p w14:paraId="7A617B97" w14:textId="1711A8CA" w:rsidR="008E5D18" w:rsidRPr="006B343C" w:rsidRDefault="008E5D18" w:rsidP="008E5D18">
            <w:pPr>
              <w:keepNext/>
              <w:jc w:val="left"/>
              <w:rPr>
                <w:rFonts w:ascii="Arial Narrow" w:eastAsiaTheme="majorEastAsia" w:hAnsi="Arial Narrow" w:cstheme="majorBidi"/>
                <w:bCs/>
                <w:sz w:val="20"/>
                <w:szCs w:val="20"/>
              </w:rPr>
            </w:pPr>
            <w:r w:rsidRPr="006B343C">
              <w:rPr>
                <w:rFonts w:ascii="Arial Narrow" w:eastAsiaTheme="majorEastAsia" w:hAnsi="Arial Narrow" w:cstheme="majorBidi"/>
                <w:bCs/>
                <w:sz w:val="20"/>
                <w:szCs w:val="20"/>
              </w:rPr>
              <w:t>Net cost to PBS/RPBS</w:t>
            </w:r>
          </w:p>
        </w:tc>
        <w:tc>
          <w:tcPr>
            <w:tcW w:w="611" w:type="pct"/>
            <w:shd w:val="clear" w:color="auto" w:fill="auto"/>
            <w:vAlign w:val="center"/>
          </w:tcPr>
          <w:p w14:paraId="08CF5382" w14:textId="6055488D"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9"/>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9"/>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9"/>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14C35B40" w14:textId="42CD3ABD"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8"/>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8"/>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8"/>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2590627F" w14:textId="5653459E"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7"/>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7"/>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7"/>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2F1F571D" w14:textId="53A299E3"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6"/>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6"/>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6"/>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605DB71E" w14:textId="1FF66AFD"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5"/>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5"/>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5"/>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vAlign w:val="center"/>
          </w:tcPr>
          <w:p w14:paraId="0646F3F6" w14:textId="4B73375D"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4"/>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4"/>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4"/>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r>
      <w:tr w:rsidR="008E5D18" w:rsidRPr="006B343C" w14:paraId="30DCBC6C" w14:textId="77777777" w:rsidTr="00193376">
        <w:tc>
          <w:tcPr>
            <w:tcW w:w="1334" w:type="pct"/>
            <w:shd w:val="clear" w:color="auto" w:fill="auto"/>
            <w:vAlign w:val="center"/>
          </w:tcPr>
          <w:p w14:paraId="3D6CB0E0" w14:textId="1B850834" w:rsidR="008E5D18" w:rsidRPr="006B343C" w:rsidRDefault="008E5D18" w:rsidP="008E5D18">
            <w:pPr>
              <w:keepNext/>
              <w:jc w:val="left"/>
              <w:rPr>
                <w:rFonts w:ascii="Arial Narrow" w:eastAsiaTheme="majorEastAsia" w:hAnsi="Arial Narrow" w:cstheme="majorBidi"/>
                <w:bCs/>
                <w:sz w:val="20"/>
                <w:szCs w:val="20"/>
              </w:rPr>
            </w:pPr>
            <w:r w:rsidRPr="006B343C">
              <w:rPr>
                <w:rFonts w:ascii="Arial Narrow" w:eastAsiaTheme="majorEastAsia" w:hAnsi="Arial Narrow" w:cstheme="majorBidi"/>
                <w:bCs/>
                <w:sz w:val="20"/>
                <w:szCs w:val="20"/>
              </w:rPr>
              <w:t xml:space="preserve">Net cost to MBS (80%) </w:t>
            </w:r>
            <w:r w:rsidRPr="008953D9">
              <w:rPr>
                <w:rFonts w:ascii="Arial Narrow" w:eastAsiaTheme="majorEastAsia" w:hAnsi="Arial Narrow" w:cstheme="majorBidi"/>
                <w:bCs/>
                <w:sz w:val="20"/>
                <w:szCs w:val="20"/>
                <w:vertAlign w:val="superscript"/>
              </w:rPr>
              <w:t>a</w:t>
            </w:r>
          </w:p>
        </w:tc>
        <w:tc>
          <w:tcPr>
            <w:tcW w:w="611" w:type="pct"/>
            <w:shd w:val="clear" w:color="auto" w:fill="auto"/>
            <w:vAlign w:val="center"/>
          </w:tcPr>
          <w:p w14:paraId="0DCA68B4" w14:textId="1FF0BA58"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9"/>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9"/>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9"/>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291F8760" w14:textId="712974EB"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8"/>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8"/>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8"/>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39993A61" w14:textId="5E7748FD"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7"/>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7"/>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7"/>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4661602C" w14:textId="21380839"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6"/>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6"/>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6"/>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20B35606" w14:textId="7DA04546"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5"/>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5"/>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5"/>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vAlign w:val="center"/>
          </w:tcPr>
          <w:p w14:paraId="1AF7D616" w14:textId="088E9514" w:rsidR="008E5D18" w:rsidRPr="00DC1AEB" w:rsidRDefault="008E5D18" w:rsidP="008E5D18">
            <w:pPr>
              <w:keepNext/>
              <w:jc w:val="center"/>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pPr>
            <w:r w:rsidRPr="0008347D">
              <w:rPr>
                <w:rFonts w:ascii="Arial Narrow" w:eastAsiaTheme="majorEastAsia" w:hAnsi="Arial Narrow" w:cstheme="majorBidi" w:hint="eastAsia"/>
                <w:bCs/>
                <w:color w:val="000000"/>
                <w:w w:val="15"/>
                <w:sz w:val="20"/>
                <w:shd w:val="solid" w:color="000000" w:fill="000000"/>
                <w:fitText w:val="60" w:id="-894165494"/>
                <w14:textFill>
                  <w14:solidFill>
                    <w14:srgbClr w14:val="000000">
                      <w14:alpha w14:val="100000"/>
                    </w14:srgbClr>
                  </w14:solidFill>
                </w14:textFill>
              </w:rPr>
              <w:t xml:space="preserve">　</w:t>
            </w:r>
            <w:r w:rsidRPr="0008347D">
              <w:rPr>
                <w:rFonts w:ascii="Arial Narrow" w:eastAsiaTheme="majorEastAsia" w:hAnsi="Arial Narrow" w:cstheme="majorBidi"/>
                <w:bCs/>
                <w:color w:val="000000"/>
                <w:w w:val="15"/>
                <w:sz w:val="20"/>
                <w:shd w:val="solid" w:color="000000" w:fill="000000"/>
                <w:fitText w:val="60" w:id="-894165494"/>
                <w14:textFill>
                  <w14:solidFill>
                    <w14:srgbClr w14:val="000000">
                      <w14:alpha w14:val="100000"/>
                    </w14:srgbClr>
                  </w14:solidFill>
                </w14:textFill>
              </w:rPr>
              <w:t>|</w:t>
            </w:r>
            <w:r w:rsidRPr="0008347D">
              <w:rPr>
                <w:rFonts w:ascii="Arial Narrow" w:eastAsiaTheme="majorEastAsia" w:hAnsi="Arial Narrow" w:cstheme="majorBidi" w:hint="eastAsia"/>
                <w:bCs/>
                <w:color w:val="000000"/>
                <w:spacing w:val="-15"/>
                <w:w w:val="15"/>
                <w:sz w:val="20"/>
                <w:shd w:val="solid" w:color="000000" w:fill="000000"/>
                <w:fitText w:val="60" w:id="-894165494"/>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r>
      <w:tr w:rsidR="008E5D18" w:rsidRPr="006B343C" w14:paraId="2BD0BA69" w14:textId="77777777" w:rsidTr="00193376">
        <w:tc>
          <w:tcPr>
            <w:tcW w:w="1334" w:type="pct"/>
            <w:shd w:val="clear" w:color="auto" w:fill="auto"/>
            <w:vAlign w:val="center"/>
          </w:tcPr>
          <w:p w14:paraId="7ADCB941" w14:textId="77777777" w:rsidR="008E5D18" w:rsidRPr="006B343C" w:rsidRDefault="008E5D18" w:rsidP="008E5D18">
            <w:pPr>
              <w:keepNext/>
              <w:jc w:val="left"/>
              <w:rPr>
                <w:rFonts w:ascii="Arial Narrow" w:eastAsiaTheme="majorEastAsia" w:hAnsi="Arial Narrow" w:cstheme="majorBidi"/>
                <w:bCs/>
                <w:sz w:val="20"/>
                <w:szCs w:val="20"/>
              </w:rPr>
            </w:pPr>
            <w:r w:rsidRPr="006B343C">
              <w:rPr>
                <w:rFonts w:ascii="Arial Narrow" w:eastAsiaTheme="majorEastAsia" w:hAnsi="Arial Narrow" w:cstheme="majorBidi"/>
                <w:bCs/>
                <w:sz w:val="20"/>
                <w:szCs w:val="20"/>
              </w:rPr>
              <w:t>Net cost to Australian Government health budget</w:t>
            </w:r>
          </w:p>
        </w:tc>
        <w:tc>
          <w:tcPr>
            <w:tcW w:w="611" w:type="pct"/>
            <w:shd w:val="clear" w:color="auto" w:fill="auto"/>
            <w:vAlign w:val="center"/>
          </w:tcPr>
          <w:p w14:paraId="00BBEFD3" w14:textId="1C04353B"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9"/>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9"/>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9"/>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44EC12D8" w14:textId="482571CF"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8"/>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8"/>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8"/>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2F9BD438" w14:textId="7CD6B66D"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7"/>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7"/>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7"/>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08292EEE" w14:textId="5C6D3D24"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6"/>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6"/>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6"/>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vAlign w:val="center"/>
          </w:tcPr>
          <w:p w14:paraId="2EFA17FC" w14:textId="613C3BC3"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5"/>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5"/>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5"/>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vAlign w:val="center"/>
          </w:tcPr>
          <w:p w14:paraId="4B76E8E0" w14:textId="3D2218E3"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4"/>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4"/>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4"/>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r>
      <w:tr w:rsidR="008E5D18" w:rsidRPr="006B343C" w14:paraId="42932504" w14:textId="77777777" w:rsidTr="0000427E">
        <w:tc>
          <w:tcPr>
            <w:tcW w:w="5000" w:type="pct"/>
            <w:gridSpan w:val="7"/>
            <w:shd w:val="clear" w:color="auto" w:fill="auto"/>
            <w:vAlign w:val="center"/>
          </w:tcPr>
          <w:p w14:paraId="29C95818" w14:textId="6124B563" w:rsidR="008E5D18" w:rsidRPr="006B343C" w:rsidRDefault="008E5D18" w:rsidP="008E5D18">
            <w:pPr>
              <w:keepNext/>
              <w:jc w:val="left"/>
              <w:rPr>
                <w:rFonts w:ascii="Arial Narrow" w:eastAsiaTheme="majorEastAsia" w:hAnsi="Arial Narrow" w:cstheme="majorBidi"/>
                <w:bCs/>
                <w:sz w:val="20"/>
              </w:rPr>
            </w:pPr>
            <w:r w:rsidRPr="006B343C">
              <w:rPr>
                <w:rFonts w:ascii="Arial Narrow" w:eastAsiaTheme="majorEastAsia" w:hAnsi="Arial Narrow" w:cs="Times New Roman"/>
                <w:b/>
                <w:sz w:val="20"/>
                <w:szCs w:val="20"/>
                <w:lang w:val="en-US"/>
              </w:rPr>
              <w:t>Net financial implications</w:t>
            </w:r>
            <w:r>
              <w:rPr>
                <w:rFonts w:ascii="Arial Narrow" w:eastAsiaTheme="majorEastAsia" w:hAnsi="Arial Narrow" w:cs="Times New Roman"/>
                <w:b/>
                <w:sz w:val="20"/>
                <w:szCs w:val="20"/>
                <w:lang w:val="en-US"/>
              </w:rPr>
              <w:t xml:space="preserve"> </w:t>
            </w:r>
            <w:r>
              <w:rPr>
                <w:rFonts w:ascii="Arial Narrow" w:eastAsiaTheme="majorEastAsia" w:hAnsi="Arial Narrow" w:cs="Times New Roman"/>
                <w:b/>
                <w:sz w:val="20"/>
                <w:lang w:val="en-US"/>
              </w:rPr>
              <w:t>– based on revised vial price in the pre-PBAC response</w:t>
            </w:r>
          </w:p>
        </w:tc>
      </w:tr>
      <w:tr w:rsidR="008E5D18" w:rsidRPr="006B343C" w14:paraId="7C14DFA0" w14:textId="77777777" w:rsidTr="00073292">
        <w:tc>
          <w:tcPr>
            <w:tcW w:w="1334" w:type="pct"/>
            <w:shd w:val="clear" w:color="auto" w:fill="auto"/>
            <w:vAlign w:val="center"/>
          </w:tcPr>
          <w:p w14:paraId="540B9104" w14:textId="5B368204" w:rsidR="008E5D18" w:rsidRPr="00E51397" w:rsidRDefault="008E5D18" w:rsidP="008E5D18">
            <w:pPr>
              <w:keepNext/>
              <w:jc w:val="left"/>
              <w:rPr>
                <w:rFonts w:ascii="Arial Narrow" w:eastAsiaTheme="majorEastAsia" w:hAnsi="Arial Narrow" w:cstheme="majorBidi"/>
                <w:bCs/>
                <w:sz w:val="20"/>
                <w:szCs w:val="20"/>
                <w:vertAlign w:val="superscript"/>
              </w:rPr>
            </w:pPr>
            <w:r w:rsidRPr="006B343C">
              <w:rPr>
                <w:rFonts w:ascii="Arial Narrow" w:eastAsiaTheme="majorEastAsia" w:hAnsi="Arial Narrow" w:cstheme="majorBidi"/>
                <w:bCs/>
                <w:sz w:val="20"/>
                <w:szCs w:val="20"/>
              </w:rPr>
              <w:t>Net cost to PBS/RPBS</w:t>
            </w:r>
            <w:r>
              <w:rPr>
                <w:rFonts w:ascii="Arial Narrow" w:eastAsiaTheme="majorEastAsia" w:hAnsi="Arial Narrow" w:cstheme="majorBidi"/>
                <w:bCs/>
                <w:sz w:val="20"/>
                <w:szCs w:val="20"/>
              </w:rPr>
              <w:t xml:space="preserve"> with revised vial price </w:t>
            </w:r>
            <w:r>
              <w:rPr>
                <w:rFonts w:ascii="Arial Narrow" w:eastAsiaTheme="majorEastAsia" w:hAnsi="Arial Narrow" w:cstheme="majorBidi"/>
                <w:bCs/>
                <w:sz w:val="20"/>
                <w:szCs w:val="20"/>
                <w:vertAlign w:val="superscript"/>
              </w:rPr>
              <w:t>b</w:t>
            </w:r>
          </w:p>
        </w:tc>
        <w:tc>
          <w:tcPr>
            <w:tcW w:w="611" w:type="pct"/>
            <w:shd w:val="clear" w:color="auto" w:fill="auto"/>
          </w:tcPr>
          <w:p w14:paraId="5AC72E14" w14:textId="495260E1"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3"/>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3"/>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3"/>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tcPr>
          <w:p w14:paraId="263F9720" w14:textId="3260BB9B"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2"/>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2"/>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2"/>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tcPr>
          <w:p w14:paraId="709562A4" w14:textId="38335FAE"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1"/>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1"/>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1"/>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tcPr>
          <w:p w14:paraId="2DF61A60" w14:textId="66E34182"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90"/>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90"/>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90"/>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shd w:val="clear" w:color="auto" w:fill="auto"/>
          </w:tcPr>
          <w:p w14:paraId="555EA4D3" w14:textId="60C2D06B"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89"/>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89"/>
                <w14:textFill>
                  <w14:solidFill>
                    <w14:srgbClr w14:val="000000">
                      <w14:alpha w14:val="100000"/>
                    </w14:srgbClr>
                  </w14:solidFill>
                </w14:textFill>
              </w:rPr>
              <w:t>|</w:t>
            </w:r>
            <w:r w:rsidRPr="00DC1AEB">
              <w:rPr>
                <w:rFonts w:ascii="Arial Narrow" w:eastAsiaTheme="majorEastAsia" w:hAnsi="Arial Narrow" w:cstheme="majorBidi" w:hint="eastAsia"/>
                <w:bCs/>
                <w:color w:val="000000"/>
                <w:spacing w:val="-5"/>
                <w:w w:val="15"/>
                <w:sz w:val="20"/>
                <w:shd w:val="solid" w:color="000000" w:fill="000000"/>
                <w:fitText w:val="60" w:id="-894165489"/>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c>
          <w:tcPr>
            <w:tcW w:w="611" w:type="pct"/>
          </w:tcPr>
          <w:p w14:paraId="2AE6053A" w14:textId="6D452692" w:rsidR="008E5D18" w:rsidRPr="0034682D" w:rsidRDefault="008E5D18" w:rsidP="008E5D18">
            <w:pPr>
              <w:keepNext/>
              <w:jc w:val="center"/>
              <w:rPr>
                <w:rFonts w:ascii="Arial Narrow" w:eastAsiaTheme="majorEastAsia" w:hAnsi="Arial Narrow" w:cstheme="majorBidi"/>
                <w:bCs/>
                <w:sz w:val="20"/>
                <w:highlight w:val="lightGray"/>
              </w:rPr>
            </w:pPr>
            <w:r w:rsidRPr="00DC1AEB">
              <w:rPr>
                <w:rFonts w:ascii="Arial Narrow" w:eastAsiaTheme="majorEastAsia" w:hAnsi="Arial Narrow" w:cstheme="majorBidi" w:hint="eastAsia"/>
                <w:bCs/>
                <w:color w:val="000000"/>
                <w:w w:val="15"/>
                <w:sz w:val="20"/>
                <w:shd w:val="solid" w:color="000000" w:fill="000000"/>
                <w:fitText w:val="60" w:id="-894165488"/>
                <w14:textFill>
                  <w14:solidFill>
                    <w14:srgbClr w14:val="000000">
                      <w14:alpha w14:val="100000"/>
                    </w14:srgbClr>
                  </w14:solidFill>
                </w14:textFill>
              </w:rPr>
              <w:t xml:space="preserve">　</w:t>
            </w:r>
            <w:r w:rsidRPr="00DC1AEB">
              <w:rPr>
                <w:rFonts w:ascii="Arial Narrow" w:eastAsiaTheme="majorEastAsia" w:hAnsi="Arial Narrow" w:cstheme="majorBidi"/>
                <w:bCs/>
                <w:color w:val="000000"/>
                <w:w w:val="15"/>
                <w:sz w:val="20"/>
                <w:shd w:val="solid" w:color="000000" w:fill="000000"/>
                <w:fitText w:val="60" w:id="-894165488"/>
                <w14:textFill>
                  <w14:solidFill>
                    <w14:srgbClr w14:val="000000">
                      <w14:alpha w14:val="100000"/>
                    </w14:srgbClr>
                  </w14:solidFill>
                </w14:textFill>
              </w:rPr>
              <w:t>|</w:t>
            </w:r>
            <w:r w:rsidRPr="00DC1AEB">
              <w:rPr>
                <w:rFonts w:ascii="Arial Narrow" w:eastAsiaTheme="majorEastAsia" w:hAnsi="Arial Narrow" w:cstheme="majorBidi" w:hint="eastAsia"/>
                <w:bCs/>
                <w:color w:val="000000"/>
                <w:w w:val="15"/>
                <w:sz w:val="20"/>
                <w:shd w:val="solid" w:color="000000" w:fill="000000"/>
                <w:fitText w:val="60" w:id="-894165488"/>
                <w14:textFill>
                  <w14:solidFill>
                    <w14:srgbClr w14:val="000000">
                      <w14:alpha w14:val="100000"/>
                    </w14:srgbClr>
                  </w14:solidFill>
                </w14:textFill>
              </w:rPr>
              <w:t xml:space="preserve">　</w:t>
            </w:r>
            <w:r w:rsidRPr="0046105D">
              <w:rPr>
                <w:rFonts w:ascii="Arial Narrow" w:eastAsiaTheme="majorEastAsia" w:hAnsi="Arial Narrow" w:cstheme="majorBidi"/>
                <w:bCs/>
                <w:sz w:val="20"/>
                <w:vertAlign w:val="superscript"/>
              </w:rPr>
              <w:t>3</w:t>
            </w:r>
          </w:p>
        </w:tc>
      </w:tr>
    </w:tbl>
    <w:p w14:paraId="018C0A3E" w14:textId="0A344AA5"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rPr>
        <w:t>Source: Compiled and calculated during the evaluation, based on Table 105 and Table 106submission and MBS online April 2024.</w:t>
      </w:r>
    </w:p>
    <w:p w14:paraId="7471938F" w14:textId="77777777" w:rsidR="007F5816" w:rsidRPr="006B343C" w:rsidRDefault="007F5816" w:rsidP="007F5816">
      <w:pPr>
        <w:spacing w:after="120"/>
        <w:contextualSpacing/>
        <w:rPr>
          <w:rFonts w:ascii="Arial Narrow" w:hAnsi="Arial Narrow"/>
          <w:snapToGrid w:val="0"/>
          <w:sz w:val="18"/>
          <w:szCs w:val="22"/>
        </w:rPr>
      </w:pPr>
      <w:r w:rsidRPr="006B343C">
        <w:rPr>
          <w:rFonts w:ascii="Arial Narrow" w:hAnsi="Arial Narrow"/>
          <w:snapToGrid w:val="0"/>
          <w:sz w:val="18"/>
          <w:szCs w:val="22"/>
        </w:rPr>
        <w:t>Abbreviations: MBS, Medicare Benefits Schedule; PBS, Pharmaceutical Benefits Scheme; RPBS, Repatriation Pharmaceutical Benefits Scheme.</w:t>
      </w:r>
    </w:p>
    <w:p w14:paraId="4436C724" w14:textId="1DFFB428" w:rsidR="007F5816" w:rsidRDefault="008953D9" w:rsidP="007F5816">
      <w:pPr>
        <w:spacing w:after="120"/>
        <w:contextualSpacing/>
        <w:rPr>
          <w:rFonts w:ascii="Arial Narrow" w:hAnsi="Arial Narrow"/>
          <w:snapToGrid w:val="0"/>
          <w:sz w:val="18"/>
          <w:szCs w:val="22"/>
        </w:rPr>
      </w:pPr>
      <w:r>
        <w:rPr>
          <w:rFonts w:ascii="Arial Narrow" w:hAnsi="Arial Narrow"/>
          <w:snapToGrid w:val="0"/>
          <w:sz w:val="18"/>
          <w:szCs w:val="22"/>
          <w:vertAlign w:val="superscript"/>
        </w:rPr>
        <w:t>a</w:t>
      </w:r>
      <w:r w:rsidR="001356F6" w:rsidRPr="006B343C">
        <w:rPr>
          <w:rFonts w:ascii="Arial Narrow" w:hAnsi="Arial Narrow"/>
          <w:snapToGrid w:val="0"/>
          <w:sz w:val="18"/>
          <w:szCs w:val="22"/>
        </w:rPr>
        <w:t xml:space="preserve"> </w:t>
      </w:r>
      <w:r w:rsidR="007F5816" w:rsidRPr="006B343C">
        <w:rPr>
          <w:rFonts w:ascii="Arial Narrow" w:hAnsi="Arial Narrow"/>
          <w:snapToGrid w:val="0"/>
          <w:sz w:val="18"/>
          <w:szCs w:val="22"/>
        </w:rPr>
        <w:t>Based on 80% rebate fee for MBS item code 116 and estimated number of packs/scripts by the submission. The 80% benefit is in line with the User Manual for the Utilisation and Cost Model Workbook for PBAC Submissions (version 1.4, updated in June 2021.)</w:t>
      </w:r>
    </w:p>
    <w:p w14:paraId="70EB30F3" w14:textId="0539AC88" w:rsidR="00E51397" w:rsidRPr="00E51397" w:rsidRDefault="008953D9" w:rsidP="007F5816">
      <w:pPr>
        <w:spacing w:after="120"/>
        <w:contextualSpacing/>
        <w:rPr>
          <w:rFonts w:ascii="Arial Narrow" w:hAnsi="Arial Narrow"/>
          <w:snapToGrid w:val="0"/>
          <w:sz w:val="18"/>
          <w:szCs w:val="22"/>
        </w:rPr>
      </w:pPr>
      <w:r>
        <w:rPr>
          <w:rFonts w:ascii="Arial Narrow" w:hAnsi="Arial Narrow"/>
          <w:snapToGrid w:val="0"/>
          <w:sz w:val="18"/>
          <w:szCs w:val="22"/>
          <w:vertAlign w:val="superscript"/>
        </w:rPr>
        <w:t>b</w:t>
      </w:r>
      <w:r w:rsidR="00E51397">
        <w:rPr>
          <w:rFonts w:ascii="Arial Narrow" w:hAnsi="Arial Narrow"/>
          <w:snapToGrid w:val="0"/>
          <w:sz w:val="18"/>
          <w:szCs w:val="22"/>
        </w:rPr>
        <w:t xml:space="preserve"> Based on the spreadsheet provided with the submission, with the revised AEMP applied.</w:t>
      </w:r>
    </w:p>
    <w:p w14:paraId="687E43FB" w14:textId="77777777" w:rsidR="00E339BB" w:rsidRDefault="007F5816" w:rsidP="007F5816">
      <w:pPr>
        <w:spacing w:after="120"/>
        <w:contextualSpacing/>
        <w:rPr>
          <w:rFonts w:ascii="Arial Narrow" w:hAnsi="Arial Narrow"/>
          <w:snapToGrid w:val="0"/>
          <w:sz w:val="18"/>
          <w:szCs w:val="18"/>
        </w:rPr>
      </w:pPr>
      <w:r w:rsidRPr="006B343C">
        <w:rPr>
          <w:rFonts w:ascii="Arial Narrow" w:hAnsi="Arial Narrow"/>
          <w:snapToGrid w:val="0"/>
          <w:sz w:val="18"/>
          <w:szCs w:val="18"/>
        </w:rPr>
        <w:t>Note: Discrepancies between the values presented in the submission and those calculated during the evaluation were due to the application of PBS/RPBS split and co-payments. Numbers may not add up due to rounding</w:t>
      </w:r>
    </w:p>
    <w:p w14:paraId="7021B3DC" w14:textId="13203F63" w:rsidR="00E339BB" w:rsidRPr="00E339BB" w:rsidRDefault="00E339BB" w:rsidP="00E339BB">
      <w:pPr>
        <w:spacing w:after="120"/>
        <w:contextualSpacing/>
        <w:rPr>
          <w:rFonts w:ascii="Arial Narrow" w:hAnsi="Arial Narrow"/>
          <w:snapToGrid w:val="0"/>
          <w:sz w:val="18"/>
          <w:szCs w:val="18"/>
        </w:rPr>
      </w:pPr>
      <w:r w:rsidRPr="00E339BB">
        <w:rPr>
          <w:rFonts w:ascii="Arial Narrow" w:hAnsi="Arial Narrow"/>
          <w:snapToGrid w:val="0"/>
          <w:sz w:val="18"/>
          <w:szCs w:val="18"/>
        </w:rPr>
        <w:t>The redacted values correspond to the following ranges</w:t>
      </w:r>
    </w:p>
    <w:p w14:paraId="57FDFFDF" w14:textId="6FB29AD5" w:rsidR="00E339BB" w:rsidRPr="00E339BB" w:rsidRDefault="002002DD" w:rsidP="00E339BB">
      <w:pPr>
        <w:spacing w:after="120"/>
        <w:contextualSpacing/>
        <w:rPr>
          <w:rFonts w:ascii="Arial Narrow" w:hAnsi="Arial Narrow"/>
          <w:snapToGrid w:val="0"/>
          <w:sz w:val="18"/>
          <w:szCs w:val="18"/>
        </w:rPr>
      </w:pPr>
      <w:r>
        <w:rPr>
          <w:rFonts w:ascii="Arial Narrow" w:hAnsi="Arial Narrow"/>
          <w:snapToGrid w:val="0"/>
          <w:sz w:val="18"/>
          <w:szCs w:val="18"/>
        </w:rPr>
        <w:t xml:space="preserve">1 </w:t>
      </w:r>
      <w:r w:rsidR="00E339BB" w:rsidRPr="00E339BB">
        <w:rPr>
          <w:rFonts w:ascii="Arial Narrow" w:hAnsi="Arial Narrow"/>
          <w:snapToGrid w:val="0"/>
          <w:sz w:val="18"/>
          <w:szCs w:val="18"/>
        </w:rPr>
        <w:t>&lt; 500</w:t>
      </w:r>
    </w:p>
    <w:p w14:paraId="04828E91" w14:textId="1FA83533" w:rsidR="007F5816" w:rsidRDefault="002002DD" w:rsidP="00E339BB">
      <w:pPr>
        <w:spacing w:after="120"/>
        <w:contextualSpacing/>
        <w:rPr>
          <w:rFonts w:ascii="Arial Narrow" w:hAnsi="Arial Narrow"/>
          <w:snapToGrid w:val="0"/>
          <w:sz w:val="18"/>
          <w:szCs w:val="18"/>
        </w:rPr>
      </w:pPr>
      <w:r>
        <w:rPr>
          <w:rFonts w:ascii="Arial Narrow" w:hAnsi="Arial Narrow"/>
          <w:snapToGrid w:val="0"/>
          <w:sz w:val="18"/>
          <w:szCs w:val="18"/>
        </w:rPr>
        <w:t xml:space="preserve">2 </w:t>
      </w:r>
      <w:r w:rsidR="00E339BB" w:rsidRPr="00E339BB">
        <w:rPr>
          <w:rFonts w:ascii="Arial Narrow" w:hAnsi="Arial Narrow"/>
          <w:snapToGrid w:val="0"/>
          <w:sz w:val="18"/>
          <w:szCs w:val="18"/>
        </w:rPr>
        <w:t>500 to &lt; 5,000</w:t>
      </w:r>
    </w:p>
    <w:p w14:paraId="1D61C3D8" w14:textId="03B70332" w:rsidR="002002DD" w:rsidRPr="006B343C" w:rsidRDefault="002002DD" w:rsidP="008E5D18">
      <w:pPr>
        <w:spacing w:after="120"/>
        <w:rPr>
          <w:rFonts w:ascii="Arial Narrow" w:hAnsi="Arial Narrow"/>
          <w:snapToGrid w:val="0"/>
          <w:sz w:val="18"/>
          <w:szCs w:val="18"/>
        </w:rPr>
      </w:pPr>
      <w:r>
        <w:rPr>
          <w:rFonts w:ascii="Arial Narrow" w:hAnsi="Arial Narrow"/>
          <w:snapToGrid w:val="0"/>
          <w:sz w:val="18"/>
          <w:szCs w:val="18"/>
        </w:rPr>
        <w:t xml:space="preserve">3 </w:t>
      </w:r>
      <w:r w:rsidRPr="002002DD">
        <w:rPr>
          <w:rFonts w:ascii="Arial Narrow" w:hAnsi="Arial Narrow"/>
          <w:snapToGrid w:val="0"/>
          <w:sz w:val="18"/>
          <w:szCs w:val="18"/>
        </w:rPr>
        <w:t>$0 to &lt; $10 million</w:t>
      </w:r>
    </w:p>
    <w:p w14:paraId="3402AC8C" w14:textId="68BC072A" w:rsidR="00E51397" w:rsidRPr="008953D9" w:rsidRDefault="007F5816" w:rsidP="00B77887">
      <w:pPr>
        <w:numPr>
          <w:ilvl w:val="1"/>
          <w:numId w:val="1"/>
        </w:numPr>
        <w:spacing w:after="120"/>
        <w:rPr>
          <w:rFonts w:asciiTheme="minorHAnsi" w:hAnsiTheme="minorHAnsi"/>
          <w:snapToGrid w:val="0"/>
        </w:rPr>
      </w:pPr>
      <w:r w:rsidRPr="008953D9">
        <w:rPr>
          <w:rFonts w:asciiTheme="minorHAnsi" w:hAnsiTheme="minorHAnsi"/>
          <w:snapToGrid w:val="0"/>
        </w:rPr>
        <w:t xml:space="preserve">The </w:t>
      </w:r>
      <w:r w:rsidR="00FD6B9B" w:rsidRPr="008953D9">
        <w:rPr>
          <w:rFonts w:asciiTheme="minorHAnsi" w:hAnsiTheme="minorHAnsi"/>
          <w:snapToGrid w:val="0"/>
        </w:rPr>
        <w:t xml:space="preserve">submission estimated the </w:t>
      </w:r>
      <w:r w:rsidRPr="008953D9">
        <w:rPr>
          <w:rFonts w:asciiTheme="minorHAnsi" w:hAnsiTheme="minorHAnsi"/>
          <w:snapToGrid w:val="0"/>
        </w:rPr>
        <w:t xml:space="preserve">total cost to the PBS/RPBS of listing vedolizumab </w:t>
      </w:r>
      <w:r w:rsidR="00E51397" w:rsidRPr="008953D9">
        <w:rPr>
          <w:rFonts w:asciiTheme="minorHAnsi" w:hAnsiTheme="minorHAnsi"/>
          <w:snapToGrid w:val="0"/>
        </w:rPr>
        <w:t xml:space="preserve">for this indication </w:t>
      </w:r>
      <w:r w:rsidR="00FD6B9B" w:rsidRPr="008953D9">
        <w:rPr>
          <w:rFonts w:asciiTheme="minorHAnsi" w:hAnsiTheme="minorHAnsi"/>
          <w:snapToGrid w:val="0"/>
        </w:rPr>
        <w:t>would</w:t>
      </w:r>
      <w:r w:rsidRPr="008953D9">
        <w:rPr>
          <w:rFonts w:asciiTheme="minorHAnsi" w:hAnsiTheme="minorHAnsi"/>
          <w:snapToGrid w:val="0"/>
        </w:rPr>
        <w:t xml:space="preserve"> be $</w:t>
      </w:r>
      <w:r w:rsidR="00EA55FB" w:rsidRPr="00EA55FB">
        <w:rPr>
          <w:rFonts w:asciiTheme="minorHAnsi" w:hAnsiTheme="minorHAnsi"/>
          <w:snapToGrid w:val="0"/>
        </w:rPr>
        <w:t xml:space="preserve">0 to &lt; $10 </w:t>
      </w:r>
      <w:r w:rsidR="00FA116F" w:rsidRPr="00EA55FB">
        <w:rPr>
          <w:rFonts w:asciiTheme="minorHAnsi" w:hAnsiTheme="minorHAnsi"/>
          <w:snapToGrid w:val="0"/>
        </w:rPr>
        <w:t>million</w:t>
      </w:r>
      <w:r w:rsidR="00FA116F" w:rsidRPr="008953D9">
        <w:rPr>
          <w:rFonts w:asciiTheme="minorHAnsi" w:hAnsiTheme="minorHAnsi"/>
          <w:snapToGrid w:val="0"/>
        </w:rPr>
        <w:t xml:space="preserve"> in</w:t>
      </w:r>
      <w:r w:rsidRPr="008953D9">
        <w:rPr>
          <w:rFonts w:asciiTheme="minorHAnsi" w:hAnsiTheme="minorHAnsi"/>
          <w:snapToGrid w:val="0"/>
        </w:rPr>
        <w:t xml:space="preserve"> Year 1 and $</w:t>
      </w:r>
      <w:r w:rsidR="00EA55FB" w:rsidRPr="00EA55FB">
        <w:rPr>
          <w:rFonts w:asciiTheme="minorHAnsi" w:hAnsiTheme="minorHAnsi"/>
          <w:snapToGrid w:val="0"/>
        </w:rPr>
        <w:t>0 to &lt; $10 million</w:t>
      </w:r>
      <w:r w:rsidR="00FA116F">
        <w:rPr>
          <w:rFonts w:asciiTheme="minorHAnsi" w:hAnsiTheme="minorHAnsi"/>
          <w:snapToGrid w:val="0"/>
        </w:rPr>
        <w:t xml:space="preserve"> </w:t>
      </w:r>
      <w:r w:rsidRPr="008953D9">
        <w:rPr>
          <w:rFonts w:asciiTheme="minorHAnsi" w:hAnsiTheme="minorHAnsi"/>
          <w:snapToGrid w:val="0"/>
        </w:rPr>
        <w:t>in Year 6, and a total of $</w:t>
      </w:r>
      <w:r w:rsidR="00EA55FB" w:rsidRPr="00EA55FB">
        <w:rPr>
          <w:rFonts w:asciiTheme="minorHAnsi" w:hAnsiTheme="minorHAnsi"/>
          <w:snapToGrid w:val="0"/>
        </w:rPr>
        <w:t>0 to &lt; $10 million</w:t>
      </w:r>
      <w:r w:rsidR="00FA116F">
        <w:rPr>
          <w:rFonts w:asciiTheme="minorHAnsi" w:hAnsiTheme="minorHAnsi"/>
          <w:snapToGrid w:val="0"/>
        </w:rPr>
        <w:t xml:space="preserve"> </w:t>
      </w:r>
      <w:r w:rsidRPr="008953D9">
        <w:rPr>
          <w:rFonts w:asciiTheme="minorHAnsi" w:hAnsiTheme="minorHAnsi"/>
          <w:snapToGrid w:val="0"/>
        </w:rPr>
        <w:t xml:space="preserve">in the first 6 years of listing. </w:t>
      </w:r>
      <w:r w:rsidR="00172D8F" w:rsidRPr="008953D9">
        <w:rPr>
          <w:rFonts w:asciiTheme="minorHAnsi" w:hAnsiTheme="minorHAnsi"/>
          <w:snapToGrid w:val="0"/>
        </w:rPr>
        <w:t>W</w:t>
      </w:r>
      <w:r w:rsidR="00073292" w:rsidRPr="008953D9">
        <w:rPr>
          <w:rFonts w:asciiTheme="minorHAnsi" w:hAnsiTheme="minorHAnsi"/>
          <w:snapToGrid w:val="0"/>
        </w:rPr>
        <w:t>ith the revised vial price</w:t>
      </w:r>
      <w:r w:rsidR="00172D8F" w:rsidRPr="008953D9">
        <w:rPr>
          <w:rFonts w:asciiTheme="minorHAnsi" w:hAnsiTheme="minorHAnsi"/>
          <w:snapToGrid w:val="0"/>
        </w:rPr>
        <w:t xml:space="preserve"> proposed in the pre-PBAC response</w:t>
      </w:r>
      <w:r w:rsidR="00073292" w:rsidRPr="008953D9">
        <w:rPr>
          <w:rFonts w:asciiTheme="minorHAnsi" w:hAnsiTheme="minorHAnsi"/>
          <w:snapToGrid w:val="0"/>
        </w:rPr>
        <w:t xml:space="preserve">, the </w:t>
      </w:r>
      <w:r w:rsidR="008953D9" w:rsidRPr="008953D9">
        <w:rPr>
          <w:rFonts w:asciiTheme="minorHAnsi" w:hAnsiTheme="minorHAnsi"/>
          <w:snapToGrid w:val="0"/>
        </w:rPr>
        <w:t>submission’s estimate</w:t>
      </w:r>
      <w:r w:rsidR="008953D9">
        <w:rPr>
          <w:rFonts w:asciiTheme="minorHAnsi" w:hAnsiTheme="minorHAnsi"/>
          <w:snapToGrid w:val="0"/>
        </w:rPr>
        <w:t xml:space="preserve"> of the</w:t>
      </w:r>
      <w:r w:rsidR="008953D9" w:rsidRPr="008953D9">
        <w:rPr>
          <w:rFonts w:asciiTheme="minorHAnsi" w:hAnsiTheme="minorHAnsi"/>
          <w:snapToGrid w:val="0"/>
        </w:rPr>
        <w:t xml:space="preserve"> </w:t>
      </w:r>
      <w:r w:rsidR="00E51397" w:rsidRPr="008953D9">
        <w:rPr>
          <w:rFonts w:asciiTheme="minorHAnsi" w:hAnsiTheme="minorHAnsi"/>
          <w:snapToGrid w:val="0"/>
        </w:rPr>
        <w:t>total cost to the PBS/RPBS would be $</w:t>
      </w:r>
      <w:r w:rsidR="00EA55FB" w:rsidRPr="00EA55FB">
        <w:rPr>
          <w:rFonts w:asciiTheme="minorHAnsi" w:hAnsiTheme="minorHAnsi"/>
          <w:snapToGrid w:val="0"/>
        </w:rPr>
        <w:t>0 to &lt; $10 million</w:t>
      </w:r>
      <w:r w:rsidR="00FA116F">
        <w:rPr>
          <w:rFonts w:asciiTheme="minorHAnsi" w:hAnsiTheme="minorHAnsi"/>
          <w:snapToGrid w:val="0"/>
        </w:rPr>
        <w:t xml:space="preserve"> </w:t>
      </w:r>
      <w:r w:rsidR="00E51397" w:rsidRPr="008953D9">
        <w:rPr>
          <w:rFonts w:asciiTheme="minorHAnsi" w:hAnsiTheme="minorHAnsi"/>
          <w:snapToGrid w:val="0"/>
        </w:rPr>
        <w:t>in the first 6 years of listing.</w:t>
      </w:r>
      <w:r w:rsidR="00CE107C" w:rsidRPr="008953D9">
        <w:rPr>
          <w:rFonts w:asciiTheme="minorHAnsi" w:hAnsiTheme="minorHAnsi"/>
          <w:snapToGrid w:val="0"/>
        </w:rPr>
        <w:t xml:space="preserve"> </w:t>
      </w:r>
    </w:p>
    <w:p w14:paraId="7287FA9B" w14:textId="77777777" w:rsidR="007F5816" w:rsidRPr="00F55938" w:rsidRDefault="007F5816" w:rsidP="007F5816">
      <w:pPr>
        <w:numPr>
          <w:ilvl w:val="1"/>
          <w:numId w:val="1"/>
        </w:numPr>
        <w:spacing w:after="120"/>
        <w:rPr>
          <w:rFonts w:asciiTheme="minorHAnsi" w:hAnsiTheme="minorHAnsi"/>
          <w:snapToGrid w:val="0"/>
        </w:rPr>
      </w:pPr>
      <w:r w:rsidRPr="00172D8F">
        <w:rPr>
          <w:rFonts w:asciiTheme="minorHAnsi" w:hAnsiTheme="minorHAnsi"/>
          <w:snapToGrid w:val="0"/>
        </w:rPr>
        <w:t>The submission did not include the MBS costs related to IV administration in the financial estimates, but it was included in the economic model as MBS item 116. This cost was included in financial</w:t>
      </w:r>
      <w:r w:rsidRPr="00F55938">
        <w:rPr>
          <w:rFonts w:asciiTheme="minorHAnsi" w:hAnsiTheme="minorHAnsi"/>
          <w:snapToGrid w:val="0"/>
        </w:rPr>
        <w:t xml:space="preserve"> estimates during the evaluation. </w:t>
      </w:r>
    </w:p>
    <w:p w14:paraId="2A389D95" w14:textId="48218EA3" w:rsidR="007F5816" w:rsidRPr="00F55938" w:rsidRDefault="001568FA" w:rsidP="007F5816">
      <w:pPr>
        <w:numPr>
          <w:ilvl w:val="1"/>
          <w:numId w:val="1"/>
        </w:numPr>
        <w:spacing w:after="120"/>
        <w:rPr>
          <w:rFonts w:asciiTheme="minorHAnsi" w:hAnsiTheme="minorHAnsi"/>
          <w:snapToGrid w:val="0"/>
        </w:rPr>
      </w:pPr>
      <w:bookmarkStart w:id="112" w:name="_Ref169516918"/>
      <w:r w:rsidRPr="00F55938">
        <w:rPr>
          <w:rFonts w:asciiTheme="minorHAnsi" w:hAnsiTheme="minorHAnsi"/>
          <w:snapToGrid w:val="0"/>
        </w:rPr>
        <w:lastRenderedPageBreak/>
        <w:t>The evaluation and the ESC considered that t</w:t>
      </w:r>
      <w:r w:rsidR="007F5816" w:rsidRPr="00F55938">
        <w:rPr>
          <w:rFonts w:asciiTheme="minorHAnsi" w:hAnsiTheme="minorHAnsi"/>
          <w:snapToGrid w:val="0"/>
        </w:rPr>
        <w:t xml:space="preserve">he financial estimates presented in the submission </w:t>
      </w:r>
      <w:r w:rsidR="00A709D5">
        <w:rPr>
          <w:rFonts w:asciiTheme="minorHAnsi" w:hAnsiTheme="minorHAnsi"/>
          <w:snapToGrid w:val="0"/>
        </w:rPr>
        <w:t>c</w:t>
      </w:r>
      <w:r w:rsidR="00A709D5" w:rsidRPr="00F55938">
        <w:rPr>
          <w:rFonts w:asciiTheme="minorHAnsi" w:hAnsiTheme="minorHAnsi"/>
          <w:snapToGrid w:val="0"/>
        </w:rPr>
        <w:t xml:space="preserve">ould </w:t>
      </w:r>
      <w:r w:rsidR="007F5816" w:rsidRPr="00F55938">
        <w:rPr>
          <w:rFonts w:asciiTheme="minorHAnsi" w:hAnsiTheme="minorHAnsi"/>
          <w:snapToGrid w:val="0"/>
        </w:rPr>
        <w:t xml:space="preserve">be </w:t>
      </w:r>
      <w:r w:rsidR="00A709D5">
        <w:rPr>
          <w:rFonts w:asciiTheme="minorHAnsi" w:hAnsiTheme="minorHAnsi"/>
          <w:snapToGrid w:val="0"/>
        </w:rPr>
        <w:t>overestimated due to</w:t>
      </w:r>
      <w:r w:rsidR="007F5816" w:rsidRPr="00F55938">
        <w:rPr>
          <w:rFonts w:asciiTheme="minorHAnsi" w:hAnsiTheme="minorHAnsi"/>
          <w:snapToGrid w:val="0"/>
        </w:rPr>
        <w:t>:</w:t>
      </w:r>
      <w:bookmarkEnd w:id="112"/>
    </w:p>
    <w:p w14:paraId="59022B81" w14:textId="6C699954" w:rsidR="007F5816" w:rsidRPr="00F55938" w:rsidRDefault="00A01718" w:rsidP="00B24069">
      <w:pPr>
        <w:pStyle w:val="ListParagraph"/>
        <w:numPr>
          <w:ilvl w:val="2"/>
          <w:numId w:val="10"/>
        </w:numPr>
      </w:pPr>
      <w:r>
        <w:t>U</w:t>
      </w:r>
      <w:r w:rsidR="00A709D5" w:rsidRPr="00A709D5">
        <w:t xml:space="preserve">se of a large prevalent pool of </w:t>
      </w:r>
      <w:r w:rsidR="00A709D5">
        <w:t xml:space="preserve">patients with </w:t>
      </w:r>
      <w:r w:rsidR="00A709D5" w:rsidRPr="00A709D5">
        <w:t>chronic pouchitis over a 25-year period</w:t>
      </w:r>
      <w:r w:rsidR="007F5816" w:rsidRPr="00F55938">
        <w:t>.</w:t>
      </w:r>
    </w:p>
    <w:p w14:paraId="434BCD8D" w14:textId="75859AE4" w:rsidR="007F5816" w:rsidRPr="00F55938" w:rsidRDefault="007F5816" w:rsidP="00B24069">
      <w:pPr>
        <w:pStyle w:val="ListParagraph"/>
        <w:numPr>
          <w:ilvl w:val="2"/>
          <w:numId w:val="10"/>
        </w:numPr>
      </w:pPr>
      <w:r w:rsidRPr="00F55938">
        <w:t>The inclusion of a previous non-responding population (with prior failure</w:t>
      </w:r>
      <w:r w:rsidR="00346C8D" w:rsidRPr="00F55938">
        <w:t xml:space="preserve"> of vedolizumab for chronic pouchitis</w:t>
      </w:r>
      <w:r w:rsidRPr="00F55938">
        <w:t>)</w:t>
      </w:r>
      <w:r w:rsidR="001568FA" w:rsidRPr="00F55938">
        <w:t xml:space="preserve">. The ESC considered that </w:t>
      </w:r>
      <w:r w:rsidR="00346C8D" w:rsidRPr="00F55938">
        <w:t>it would not be reasonable to allow re-treatment with vedolizumab if it was previously ineffective for chronic pouchitis</w:t>
      </w:r>
      <w:r w:rsidRPr="00F55938">
        <w:t>.</w:t>
      </w:r>
    </w:p>
    <w:p w14:paraId="4E198452" w14:textId="73F85D5E" w:rsidR="007F5816" w:rsidRPr="00F55938" w:rsidRDefault="007F5816" w:rsidP="00B24069">
      <w:pPr>
        <w:pStyle w:val="ListParagraph"/>
        <w:numPr>
          <w:ilvl w:val="2"/>
          <w:numId w:val="10"/>
        </w:numPr>
      </w:pPr>
      <w:r w:rsidRPr="00F55938">
        <w:t xml:space="preserve">High uptake rates assumed for new patients </w:t>
      </w:r>
      <w:r w:rsidRPr="00A709D5">
        <w:t>and prevalent patients</w:t>
      </w:r>
      <w:r w:rsidR="00A709D5" w:rsidRPr="00A709D5">
        <w:t xml:space="preserve"> despite the uncertainty in the superior effectiveness of vedolizumab</w:t>
      </w:r>
      <w:r w:rsidRPr="00A709D5">
        <w:t>.</w:t>
      </w:r>
      <w:r w:rsidRPr="00F55938">
        <w:t xml:space="preserve"> </w:t>
      </w:r>
    </w:p>
    <w:p w14:paraId="43F61F6C" w14:textId="171595D2" w:rsidR="007F5816" w:rsidRDefault="007F5816" w:rsidP="00B24069">
      <w:pPr>
        <w:pStyle w:val="ListParagraph"/>
        <w:numPr>
          <w:ilvl w:val="2"/>
          <w:numId w:val="10"/>
        </w:numPr>
      </w:pPr>
      <w:r w:rsidRPr="00F55938">
        <w:t xml:space="preserve">The submission also assumed that patients would remain on vedolizumab with 100% compliance as long as they were demonstrating remission. There is currently no effectiveness data beyond that reported in the EARNEST trial at Week 34 to support prolonged use of vedolizumab. </w:t>
      </w:r>
    </w:p>
    <w:p w14:paraId="3E7794AC" w14:textId="7A4269A3" w:rsidR="00172D8F" w:rsidRDefault="00172D8F" w:rsidP="00172D8F">
      <w:pPr>
        <w:numPr>
          <w:ilvl w:val="1"/>
          <w:numId w:val="1"/>
        </w:numPr>
        <w:spacing w:after="120"/>
      </w:pPr>
      <w:r>
        <w:t xml:space="preserve">On the other hand, the ESC considered that </w:t>
      </w:r>
      <w:r w:rsidRPr="00172D8F">
        <w:t xml:space="preserve">the financial estimates presented in the submission could be </w:t>
      </w:r>
      <w:r>
        <w:rPr>
          <w:rFonts w:asciiTheme="minorHAnsi" w:hAnsiTheme="minorHAnsi"/>
          <w:snapToGrid w:val="0"/>
        </w:rPr>
        <w:t>undere</w:t>
      </w:r>
      <w:r w:rsidRPr="00172D8F">
        <w:rPr>
          <w:rFonts w:asciiTheme="minorHAnsi" w:hAnsiTheme="minorHAnsi"/>
          <w:snapToGrid w:val="0"/>
        </w:rPr>
        <w:t>stimated</w:t>
      </w:r>
      <w:r w:rsidRPr="00172D8F">
        <w:t xml:space="preserve"> </w:t>
      </w:r>
      <w:r>
        <w:t xml:space="preserve">due to the continuation and discontinuation rates being based on the </w:t>
      </w:r>
      <w:r w:rsidRPr="00172D8F">
        <w:rPr>
          <w:lang w:val="en-GB"/>
        </w:rPr>
        <w:t>mPDAI-defined remission</w:t>
      </w:r>
      <w:r>
        <w:rPr>
          <w:lang w:val="en-GB"/>
        </w:rPr>
        <w:t xml:space="preserve"> and sustained remission outcomes, </w:t>
      </w:r>
      <w:r w:rsidRPr="00F55938">
        <w:t xml:space="preserve">which was inconsistent with the proposed PBS restriction in which continuation was based on a patient demonstrating “adequate response” (which was not defined in the restriction). </w:t>
      </w:r>
    </w:p>
    <w:p w14:paraId="7438FBE9" w14:textId="2F8A5A1B" w:rsidR="007F5816" w:rsidRPr="00F55938" w:rsidRDefault="007F5816" w:rsidP="007F5816">
      <w:pPr>
        <w:numPr>
          <w:ilvl w:val="1"/>
          <w:numId w:val="1"/>
        </w:numPr>
        <w:spacing w:after="120"/>
        <w:rPr>
          <w:rFonts w:asciiTheme="minorHAnsi" w:hAnsiTheme="minorHAnsi"/>
          <w:snapToGrid w:val="0"/>
        </w:rPr>
      </w:pPr>
      <w:r w:rsidRPr="00F55938">
        <w:rPr>
          <w:rFonts w:asciiTheme="minorHAnsi" w:hAnsiTheme="minorHAnsi"/>
          <w:snapToGrid w:val="0"/>
        </w:rPr>
        <w:t xml:space="preserve">The submission stated that 10 patients were expected to be grandfathered based on the Sponsor’s patient access program. Grandfathered patients were not </w:t>
      </w:r>
      <w:r w:rsidR="00FD6B9B">
        <w:rPr>
          <w:rFonts w:asciiTheme="minorHAnsi" w:hAnsiTheme="minorHAnsi"/>
          <w:snapToGrid w:val="0"/>
        </w:rPr>
        <w:t>added</w:t>
      </w:r>
      <w:r w:rsidRPr="00F55938">
        <w:rPr>
          <w:rFonts w:asciiTheme="minorHAnsi" w:hAnsiTheme="minorHAnsi"/>
          <w:snapToGrid w:val="0"/>
        </w:rPr>
        <w:t xml:space="preserve"> in</w:t>
      </w:r>
      <w:r w:rsidR="00FD6B9B">
        <w:rPr>
          <w:rFonts w:asciiTheme="minorHAnsi" w:hAnsiTheme="minorHAnsi"/>
          <w:snapToGrid w:val="0"/>
        </w:rPr>
        <w:t>to</w:t>
      </w:r>
      <w:r w:rsidRPr="00F55938">
        <w:rPr>
          <w:rFonts w:asciiTheme="minorHAnsi" w:hAnsiTheme="minorHAnsi"/>
          <w:snapToGrid w:val="0"/>
        </w:rPr>
        <w:t xml:space="preserve"> the estimated number of treated patients</w:t>
      </w:r>
      <w:r w:rsidR="00A709D5">
        <w:rPr>
          <w:rFonts w:asciiTheme="minorHAnsi" w:hAnsiTheme="minorHAnsi"/>
          <w:snapToGrid w:val="0"/>
        </w:rPr>
        <w:t>, which</w:t>
      </w:r>
      <w:r w:rsidR="00487300">
        <w:rPr>
          <w:rFonts w:asciiTheme="minorHAnsi" w:hAnsiTheme="minorHAnsi"/>
          <w:snapToGrid w:val="0"/>
        </w:rPr>
        <w:t xml:space="preserve"> appeared</w:t>
      </w:r>
      <w:r w:rsidRPr="00F55938">
        <w:rPr>
          <w:rFonts w:asciiTheme="minorHAnsi" w:hAnsiTheme="minorHAnsi"/>
          <w:snapToGrid w:val="0"/>
        </w:rPr>
        <w:t xml:space="preserve"> reasonable given these patients would</w:t>
      </w:r>
      <w:r w:rsidR="00A709D5">
        <w:rPr>
          <w:rFonts w:asciiTheme="minorHAnsi" w:hAnsiTheme="minorHAnsi"/>
          <w:snapToGrid w:val="0"/>
        </w:rPr>
        <w:t xml:space="preserve"> likely</w:t>
      </w:r>
      <w:r w:rsidRPr="00F55938">
        <w:rPr>
          <w:rFonts w:asciiTheme="minorHAnsi" w:hAnsiTheme="minorHAnsi"/>
          <w:snapToGrid w:val="0"/>
        </w:rPr>
        <w:t xml:space="preserve"> already be included in the prevalence estimates. </w:t>
      </w:r>
    </w:p>
    <w:p w14:paraId="55F583D7" w14:textId="77777777" w:rsidR="00D35755" w:rsidRPr="006B343C" w:rsidRDefault="00D35755" w:rsidP="007F5816">
      <w:pPr>
        <w:spacing w:after="120"/>
        <w:contextualSpacing/>
        <w:rPr>
          <w:rFonts w:ascii="Arial Narrow" w:hAnsi="Arial Narrow"/>
          <w:snapToGrid w:val="0"/>
          <w:sz w:val="18"/>
          <w:szCs w:val="22"/>
          <w:lang w:val="en-US"/>
        </w:rPr>
      </w:pPr>
    </w:p>
    <w:p w14:paraId="717804FC" w14:textId="65AC6B86" w:rsidR="005B28D2" w:rsidRPr="00F55938" w:rsidRDefault="005B28D2" w:rsidP="005B28D2">
      <w:pPr>
        <w:numPr>
          <w:ilvl w:val="1"/>
          <w:numId w:val="1"/>
        </w:numPr>
        <w:spacing w:after="120"/>
        <w:rPr>
          <w:rFonts w:asciiTheme="minorHAnsi" w:hAnsiTheme="minorHAnsi"/>
          <w:snapToGrid w:val="0"/>
        </w:rPr>
      </w:pPr>
      <w:bookmarkStart w:id="113" w:name="_Toc107927639"/>
      <w:r w:rsidRPr="00F55938">
        <w:rPr>
          <w:rFonts w:asciiTheme="minorHAnsi" w:hAnsiTheme="minorHAnsi"/>
          <w:snapToGrid w:val="0"/>
        </w:rPr>
        <w:t xml:space="preserve">The </w:t>
      </w:r>
      <w:r w:rsidR="00FA116F" w:rsidRPr="00F55938">
        <w:rPr>
          <w:rFonts w:asciiTheme="minorHAnsi" w:hAnsiTheme="minorHAnsi"/>
          <w:snapToGrid w:val="0"/>
        </w:rPr>
        <w:t>PSCR acknowledged</w:t>
      </w:r>
      <w:r w:rsidRPr="00F55938">
        <w:rPr>
          <w:rFonts w:asciiTheme="minorHAnsi" w:hAnsiTheme="minorHAnsi"/>
          <w:snapToGrid w:val="0"/>
        </w:rPr>
        <w:t xml:space="preserve"> the financial estimates </w:t>
      </w:r>
      <w:r w:rsidR="00723A1E" w:rsidRPr="00F55938">
        <w:rPr>
          <w:rFonts w:asciiTheme="minorHAnsi" w:hAnsiTheme="minorHAnsi"/>
          <w:snapToGrid w:val="0"/>
        </w:rPr>
        <w:t>were uncertain,</w:t>
      </w:r>
      <w:r w:rsidRPr="00F55938">
        <w:rPr>
          <w:rFonts w:asciiTheme="minorHAnsi" w:hAnsiTheme="minorHAnsi"/>
          <w:snapToGrid w:val="0"/>
        </w:rPr>
        <w:t xml:space="preserve"> however stated the approach incorporated all possible eligible patients, as well as uptake and discontinuation rates </w:t>
      </w:r>
      <w:r w:rsidR="0000427E">
        <w:rPr>
          <w:rFonts w:asciiTheme="minorHAnsi" w:hAnsiTheme="minorHAnsi"/>
          <w:snapToGrid w:val="0"/>
        </w:rPr>
        <w:t xml:space="preserve">that were </w:t>
      </w:r>
      <w:r w:rsidRPr="00F55938">
        <w:rPr>
          <w:rFonts w:asciiTheme="minorHAnsi" w:hAnsiTheme="minorHAnsi"/>
          <w:snapToGrid w:val="0"/>
        </w:rPr>
        <w:t xml:space="preserve">consistent with the pivotal trial and </w:t>
      </w:r>
      <w:r w:rsidR="0000427E">
        <w:rPr>
          <w:rFonts w:asciiTheme="minorHAnsi" w:hAnsiTheme="minorHAnsi"/>
          <w:snapToGrid w:val="0"/>
        </w:rPr>
        <w:t xml:space="preserve">which took into account the lack of </w:t>
      </w:r>
      <w:r w:rsidRPr="00F55938">
        <w:rPr>
          <w:rFonts w:asciiTheme="minorHAnsi" w:hAnsiTheme="minorHAnsi"/>
          <w:snapToGrid w:val="0"/>
        </w:rPr>
        <w:t xml:space="preserve">alternative treatments. The </w:t>
      </w:r>
      <w:r w:rsidR="0000427E">
        <w:rPr>
          <w:rFonts w:asciiTheme="minorHAnsi" w:hAnsiTheme="minorHAnsi"/>
          <w:snapToGrid w:val="0"/>
        </w:rPr>
        <w:t>PSCR</w:t>
      </w:r>
      <w:r w:rsidRPr="00F55938">
        <w:rPr>
          <w:rFonts w:asciiTheme="minorHAnsi" w:hAnsiTheme="minorHAnsi"/>
          <w:snapToGrid w:val="0"/>
        </w:rPr>
        <w:t xml:space="preserve"> reiterated</w:t>
      </w:r>
      <w:r w:rsidR="00487300">
        <w:rPr>
          <w:rFonts w:asciiTheme="minorHAnsi" w:hAnsiTheme="minorHAnsi"/>
          <w:snapToGrid w:val="0"/>
        </w:rPr>
        <w:t xml:space="preserve"> that</w:t>
      </w:r>
      <w:r w:rsidRPr="00F55938">
        <w:rPr>
          <w:rFonts w:asciiTheme="minorHAnsi" w:hAnsiTheme="minorHAnsi"/>
          <w:snapToGrid w:val="0"/>
        </w:rPr>
        <w:t xml:space="preserve"> the estimated budget impact </w:t>
      </w:r>
      <w:r w:rsidR="00487300">
        <w:rPr>
          <w:rFonts w:asciiTheme="minorHAnsi" w:hAnsiTheme="minorHAnsi"/>
          <w:snapToGrid w:val="0"/>
        </w:rPr>
        <w:t>was</w:t>
      </w:r>
      <w:r w:rsidRPr="00F55938">
        <w:rPr>
          <w:rFonts w:asciiTheme="minorHAnsi" w:hAnsiTheme="minorHAnsi"/>
          <w:snapToGrid w:val="0"/>
        </w:rPr>
        <w:t xml:space="preserve"> less than </w:t>
      </w:r>
      <w:r w:rsidR="00723A1E" w:rsidRPr="00F55938">
        <w:rPr>
          <w:rFonts w:asciiTheme="minorHAnsi" w:hAnsiTheme="minorHAnsi"/>
          <w:snapToGrid w:val="0"/>
        </w:rPr>
        <w:t>$</w:t>
      </w:r>
      <w:r w:rsidR="00572920" w:rsidRPr="00572920">
        <w:rPr>
          <w:rFonts w:asciiTheme="minorHAnsi" w:hAnsiTheme="minorHAnsi"/>
          <w:snapToGrid w:val="0"/>
        </w:rPr>
        <w:t xml:space="preserve">0 to &lt; $10 </w:t>
      </w:r>
      <w:r w:rsidR="00FA116F" w:rsidRPr="00572920">
        <w:rPr>
          <w:rFonts w:asciiTheme="minorHAnsi" w:hAnsiTheme="minorHAnsi"/>
          <w:snapToGrid w:val="0"/>
        </w:rPr>
        <w:t>million</w:t>
      </w:r>
      <w:r w:rsidR="00FA116F" w:rsidRPr="00F55938">
        <w:rPr>
          <w:rFonts w:asciiTheme="minorHAnsi" w:hAnsiTheme="minorHAnsi"/>
          <w:snapToGrid w:val="0"/>
        </w:rPr>
        <w:t xml:space="preserve"> per</w:t>
      </w:r>
      <w:r w:rsidR="00723A1E" w:rsidRPr="00F55938">
        <w:rPr>
          <w:rFonts w:asciiTheme="minorHAnsi" w:hAnsiTheme="minorHAnsi"/>
          <w:snapToGrid w:val="0"/>
        </w:rPr>
        <w:t xml:space="preserve"> year over the first 6 years of listing, and would be even l</w:t>
      </w:r>
      <w:r w:rsidR="0000427E">
        <w:rPr>
          <w:rFonts w:asciiTheme="minorHAnsi" w:hAnsiTheme="minorHAnsi"/>
          <w:snapToGrid w:val="0"/>
        </w:rPr>
        <w:t>ower</w:t>
      </w:r>
      <w:r w:rsidR="00723A1E" w:rsidRPr="00F55938">
        <w:rPr>
          <w:rFonts w:asciiTheme="minorHAnsi" w:hAnsiTheme="minorHAnsi"/>
          <w:snapToGrid w:val="0"/>
        </w:rPr>
        <w:t xml:space="preserve"> if u</w:t>
      </w:r>
      <w:r w:rsidR="0000427E">
        <w:rPr>
          <w:rFonts w:asciiTheme="minorHAnsi" w:hAnsiTheme="minorHAnsi"/>
          <w:snapToGrid w:val="0"/>
        </w:rPr>
        <w:t>tilisation</w:t>
      </w:r>
      <w:r w:rsidR="00723A1E" w:rsidRPr="00F55938">
        <w:rPr>
          <w:rFonts w:asciiTheme="minorHAnsi" w:hAnsiTheme="minorHAnsi"/>
          <w:snapToGrid w:val="0"/>
        </w:rPr>
        <w:t xml:space="preserve"> </w:t>
      </w:r>
      <w:r w:rsidR="0000427E">
        <w:rPr>
          <w:rFonts w:asciiTheme="minorHAnsi" w:hAnsiTheme="minorHAnsi"/>
          <w:snapToGrid w:val="0"/>
        </w:rPr>
        <w:t>were</w:t>
      </w:r>
      <w:r w:rsidR="00723A1E" w:rsidRPr="00F55938">
        <w:rPr>
          <w:rFonts w:asciiTheme="minorHAnsi" w:hAnsiTheme="minorHAnsi"/>
          <w:snapToGrid w:val="0"/>
        </w:rPr>
        <w:t xml:space="preserve"> lower than expected. </w:t>
      </w:r>
    </w:p>
    <w:p w14:paraId="7B3D3789" w14:textId="6C5C6C58" w:rsidR="00A13241" w:rsidRPr="00F55938" w:rsidRDefault="00A13241" w:rsidP="005B28D2">
      <w:pPr>
        <w:numPr>
          <w:ilvl w:val="1"/>
          <w:numId w:val="1"/>
        </w:numPr>
        <w:spacing w:after="120"/>
        <w:rPr>
          <w:rFonts w:asciiTheme="minorHAnsi" w:hAnsiTheme="minorHAnsi"/>
          <w:snapToGrid w:val="0"/>
        </w:rPr>
      </w:pPr>
      <w:r w:rsidRPr="00F55938">
        <w:rPr>
          <w:rFonts w:asciiTheme="minorHAnsi" w:hAnsiTheme="minorHAnsi"/>
          <w:snapToGrid w:val="0"/>
        </w:rPr>
        <w:t xml:space="preserve">The ESC advised that the methods used to derive the utilisation and financial estimates and the structure of the </w:t>
      </w:r>
      <w:r w:rsidR="00172D8F">
        <w:rPr>
          <w:rFonts w:asciiTheme="minorHAnsi" w:hAnsiTheme="minorHAnsi"/>
          <w:snapToGrid w:val="0"/>
        </w:rPr>
        <w:t xml:space="preserve">financial </w:t>
      </w:r>
      <w:r w:rsidRPr="00F55938">
        <w:rPr>
          <w:rFonts w:asciiTheme="minorHAnsi" w:hAnsiTheme="minorHAnsi"/>
          <w:snapToGrid w:val="0"/>
        </w:rPr>
        <w:t>estimates model were generally reliable for decision-making</w:t>
      </w:r>
      <w:r w:rsidR="00014F89" w:rsidRPr="00F55938">
        <w:rPr>
          <w:rFonts w:asciiTheme="minorHAnsi" w:hAnsiTheme="minorHAnsi"/>
          <w:snapToGrid w:val="0"/>
        </w:rPr>
        <w:t xml:space="preserve">, with sources of uncertainty outlined in paragraph </w:t>
      </w:r>
      <w:r w:rsidR="00014F89" w:rsidRPr="00F55938">
        <w:rPr>
          <w:rFonts w:asciiTheme="minorHAnsi" w:hAnsiTheme="minorHAnsi"/>
          <w:snapToGrid w:val="0"/>
        </w:rPr>
        <w:fldChar w:fldCharType="begin" w:fldLock="1"/>
      </w:r>
      <w:r w:rsidR="00014F89" w:rsidRPr="00F55938">
        <w:rPr>
          <w:rFonts w:asciiTheme="minorHAnsi" w:hAnsiTheme="minorHAnsi"/>
          <w:snapToGrid w:val="0"/>
        </w:rPr>
        <w:instrText xml:space="preserve"> REF _Ref169516918 \r \h </w:instrText>
      </w:r>
      <w:r w:rsidR="00F55938">
        <w:rPr>
          <w:rFonts w:asciiTheme="minorHAnsi" w:hAnsiTheme="minorHAnsi"/>
          <w:snapToGrid w:val="0"/>
        </w:rPr>
        <w:instrText xml:space="preserve"> \* MERGEFORMAT </w:instrText>
      </w:r>
      <w:r w:rsidR="00014F89" w:rsidRPr="00F55938">
        <w:rPr>
          <w:rFonts w:asciiTheme="minorHAnsi" w:hAnsiTheme="minorHAnsi"/>
          <w:snapToGrid w:val="0"/>
        </w:rPr>
      </w:r>
      <w:r w:rsidR="00014F89" w:rsidRPr="00F55938">
        <w:rPr>
          <w:rFonts w:asciiTheme="minorHAnsi" w:hAnsiTheme="minorHAnsi"/>
          <w:snapToGrid w:val="0"/>
        </w:rPr>
        <w:fldChar w:fldCharType="separate"/>
      </w:r>
      <w:r w:rsidR="00DC7CC4">
        <w:rPr>
          <w:rFonts w:asciiTheme="minorHAnsi" w:hAnsiTheme="minorHAnsi"/>
          <w:snapToGrid w:val="0"/>
        </w:rPr>
        <w:t>6.78</w:t>
      </w:r>
      <w:r w:rsidR="00014F89" w:rsidRPr="00F55938">
        <w:rPr>
          <w:rFonts w:asciiTheme="minorHAnsi" w:hAnsiTheme="minorHAnsi"/>
          <w:snapToGrid w:val="0"/>
        </w:rPr>
        <w:fldChar w:fldCharType="end"/>
      </w:r>
      <w:r w:rsidR="00014F89" w:rsidRPr="00F55938">
        <w:rPr>
          <w:rFonts w:asciiTheme="minorHAnsi" w:hAnsiTheme="minorHAnsi"/>
          <w:snapToGrid w:val="0"/>
        </w:rPr>
        <w:t>.</w:t>
      </w:r>
    </w:p>
    <w:p w14:paraId="4774D161" w14:textId="77777777" w:rsidR="00F55938" w:rsidRPr="00C33D30" w:rsidRDefault="00F55938" w:rsidP="00F55938">
      <w:pPr>
        <w:ind w:firstLine="709"/>
        <w:rPr>
          <w:rFonts w:asciiTheme="minorHAnsi" w:hAnsiTheme="minorHAnsi"/>
          <w:i/>
        </w:rPr>
      </w:pPr>
      <w:r w:rsidRPr="00C33D30">
        <w:rPr>
          <w:rFonts w:asciiTheme="minorHAnsi" w:hAnsiTheme="minorHAnsi"/>
          <w:i/>
        </w:rPr>
        <w:t>For more detail on PBAC’s view, see section 7 PBAC outcome.</w:t>
      </w:r>
    </w:p>
    <w:p w14:paraId="1D58E1B0" w14:textId="77777777" w:rsidR="00F55938" w:rsidRPr="0090150D" w:rsidRDefault="00F55938" w:rsidP="00F55938">
      <w:pPr>
        <w:pStyle w:val="2-SectionHeading"/>
        <w:numPr>
          <w:ilvl w:val="0"/>
          <w:numId w:val="1"/>
        </w:numPr>
      </w:pPr>
      <w:bookmarkStart w:id="114" w:name="_Hlk76381249"/>
      <w:bookmarkStart w:id="115" w:name="_Hlk76377955"/>
      <w:r w:rsidRPr="0090150D">
        <w:t>PBAC Outcome</w:t>
      </w:r>
    </w:p>
    <w:p w14:paraId="7DE70345" w14:textId="64D33330" w:rsidR="007004D0" w:rsidRPr="006A4458" w:rsidRDefault="007004D0" w:rsidP="002F1B23">
      <w:pPr>
        <w:widowControl w:val="0"/>
        <w:numPr>
          <w:ilvl w:val="1"/>
          <w:numId w:val="1"/>
        </w:numPr>
        <w:spacing w:after="120"/>
        <w:rPr>
          <w:rFonts w:asciiTheme="minorHAnsi" w:hAnsiTheme="minorHAnsi"/>
          <w:snapToGrid w:val="0"/>
          <w:lang w:val="en-GB"/>
        </w:rPr>
      </w:pPr>
      <w:bookmarkStart w:id="116" w:name="_Hlk172292168"/>
      <w:bookmarkStart w:id="117" w:name="_Hlk111543188"/>
      <w:r w:rsidRPr="006A4458">
        <w:rPr>
          <w:rFonts w:asciiTheme="minorHAnsi" w:hAnsiTheme="minorHAnsi"/>
          <w:snapToGrid w:val="0"/>
          <w:lang w:val="en-GB"/>
        </w:rPr>
        <w:t xml:space="preserve">The PBAC recommended the Section 100 (Highly Specialised Drugs Program </w:t>
      </w:r>
      <w:r w:rsidR="006D7631" w:rsidRPr="006A4458">
        <w:rPr>
          <w:rFonts w:asciiTheme="minorHAnsi" w:hAnsiTheme="minorHAnsi"/>
          <w:snapToGrid w:val="0"/>
          <w:lang w:val="en-GB"/>
        </w:rPr>
        <w:t>–</w:t>
      </w:r>
      <w:r w:rsidRPr="006A4458">
        <w:rPr>
          <w:rFonts w:asciiTheme="minorHAnsi" w:hAnsiTheme="minorHAnsi"/>
          <w:snapToGrid w:val="0"/>
          <w:lang w:val="en-GB"/>
        </w:rPr>
        <w:t xml:space="preserve"> Public and Private Hospital) listing of vedolizumab for the treatment of patients with chronic </w:t>
      </w:r>
      <w:r w:rsidRPr="006A4458">
        <w:rPr>
          <w:rFonts w:asciiTheme="minorHAnsi" w:hAnsiTheme="minorHAnsi"/>
          <w:snapToGrid w:val="0"/>
          <w:lang w:val="en-GB"/>
        </w:rPr>
        <w:lastRenderedPageBreak/>
        <w:t xml:space="preserve">pouchitis. </w:t>
      </w:r>
      <w:r w:rsidR="0043237D" w:rsidRPr="006A4458">
        <w:rPr>
          <w:rFonts w:asciiTheme="minorHAnsi" w:hAnsiTheme="minorHAnsi"/>
          <w:snapToGrid w:val="0"/>
          <w:lang w:val="en-GB"/>
        </w:rPr>
        <w:t>T</w:t>
      </w:r>
      <w:r w:rsidRPr="006A4458">
        <w:rPr>
          <w:rFonts w:asciiTheme="minorHAnsi" w:hAnsiTheme="minorHAnsi"/>
          <w:snapToGrid w:val="0"/>
          <w:lang w:val="en-GB"/>
        </w:rPr>
        <w:t xml:space="preserve">he PBAC considered there was a high </w:t>
      </w:r>
      <w:r w:rsidR="000E2A87" w:rsidRPr="006A4458">
        <w:rPr>
          <w:rFonts w:asciiTheme="minorHAnsi" w:hAnsiTheme="minorHAnsi"/>
          <w:snapToGrid w:val="0"/>
          <w:lang w:val="en-GB"/>
        </w:rPr>
        <w:t>unmet</w:t>
      </w:r>
      <w:r w:rsidRPr="006A4458">
        <w:rPr>
          <w:rFonts w:asciiTheme="minorHAnsi" w:hAnsiTheme="minorHAnsi"/>
          <w:snapToGrid w:val="0"/>
          <w:lang w:val="en-GB"/>
        </w:rPr>
        <w:t xml:space="preserve"> need for additional treatment options </w:t>
      </w:r>
      <w:r w:rsidR="000E2A87" w:rsidRPr="006A4458">
        <w:rPr>
          <w:rFonts w:asciiTheme="minorHAnsi" w:hAnsiTheme="minorHAnsi"/>
          <w:snapToGrid w:val="0"/>
          <w:lang w:val="en-GB"/>
        </w:rPr>
        <w:t xml:space="preserve">in </w:t>
      </w:r>
      <w:r w:rsidR="00AC38A8" w:rsidRPr="006A4458">
        <w:rPr>
          <w:rFonts w:asciiTheme="minorHAnsi" w:hAnsiTheme="minorHAnsi"/>
          <w:snapToGrid w:val="0"/>
          <w:lang w:val="en-GB"/>
        </w:rPr>
        <w:t>this small group of patients</w:t>
      </w:r>
      <w:r w:rsidRPr="004C0920">
        <w:rPr>
          <w:rFonts w:asciiTheme="minorHAnsi" w:hAnsiTheme="minorHAnsi"/>
          <w:snapToGrid w:val="0"/>
          <w:lang w:val="en-GB"/>
        </w:rPr>
        <w:t xml:space="preserve">. </w:t>
      </w:r>
      <w:r w:rsidR="006A4458" w:rsidRPr="004C0920">
        <w:rPr>
          <w:rFonts w:asciiTheme="minorHAnsi" w:hAnsiTheme="minorHAnsi"/>
          <w:snapToGrid w:val="0"/>
          <w:lang w:val="en-GB"/>
        </w:rPr>
        <w:t xml:space="preserve">The PBAC was satisfied that vedolizumab provides, for some patients, a significant improvement in efficacy over standard of care (SOC) alone. However, the PBAC considered </w:t>
      </w:r>
      <w:r w:rsidR="00AD784A" w:rsidRPr="004C0920">
        <w:rPr>
          <w:rFonts w:asciiTheme="minorHAnsi" w:hAnsiTheme="minorHAnsi"/>
          <w:snapToGrid w:val="0"/>
          <w:lang w:val="en-GB"/>
        </w:rPr>
        <w:t>t</w:t>
      </w:r>
      <w:r w:rsidR="00AD784A" w:rsidRPr="004C0920">
        <w:rPr>
          <w:lang w:val="en-GB"/>
        </w:rPr>
        <w:t xml:space="preserve">he </w:t>
      </w:r>
      <w:r w:rsidR="006A4458" w:rsidRPr="004C0920">
        <w:rPr>
          <w:lang w:val="en-GB"/>
        </w:rPr>
        <w:t xml:space="preserve">magnitude of benefit </w:t>
      </w:r>
      <w:r w:rsidR="00531D9C" w:rsidRPr="004C0920">
        <w:rPr>
          <w:lang w:val="en-GB"/>
        </w:rPr>
        <w:t>wa</w:t>
      </w:r>
      <w:r w:rsidR="006A4458" w:rsidRPr="004C0920">
        <w:rPr>
          <w:lang w:val="en-GB"/>
        </w:rPr>
        <w:t>s uncertain and likely modest</w:t>
      </w:r>
      <w:r w:rsidR="004C0920" w:rsidRPr="004C0920">
        <w:rPr>
          <w:lang w:val="en-GB"/>
        </w:rPr>
        <w:t xml:space="preserve"> in</w:t>
      </w:r>
      <w:r w:rsidR="004C0920">
        <w:rPr>
          <w:lang w:val="en-GB"/>
        </w:rPr>
        <w:t xml:space="preserve"> most patients</w:t>
      </w:r>
      <w:r w:rsidR="006A4458" w:rsidRPr="006A4458">
        <w:rPr>
          <w:lang w:val="en-GB"/>
        </w:rPr>
        <w:t xml:space="preserve">. </w:t>
      </w:r>
      <w:r w:rsidRPr="006A4458">
        <w:rPr>
          <w:rFonts w:asciiTheme="minorHAnsi" w:hAnsiTheme="minorHAnsi"/>
          <w:snapToGrid w:val="0"/>
          <w:lang w:val="en-GB"/>
        </w:rPr>
        <w:t>The PBAC</w:t>
      </w:r>
      <w:r w:rsidR="006D7631" w:rsidRPr="006A4458">
        <w:rPr>
          <w:rFonts w:asciiTheme="minorHAnsi" w:hAnsiTheme="minorHAnsi"/>
          <w:snapToGrid w:val="0"/>
          <w:lang w:val="en-GB"/>
        </w:rPr>
        <w:t>’</w:t>
      </w:r>
      <w:r w:rsidRPr="006A4458">
        <w:rPr>
          <w:rFonts w:asciiTheme="minorHAnsi" w:hAnsiTheme="minorHAnsi"/>
          <w:snapToGrid w:val="0"/>
          <w:lang w:val="en-GB"/>
        </w:rPr>
        <w:t xml:space="preserve">s recommendation for listing was based on, among other matters, its assessment that </w:t>
      </w:r>
      <w:r w:rsidR="00F87C8D" w:rsidRPr="006D7631">
        <w:rPr>
          <w:lang w:val="en-GB"/>
        </w:rPr>
        <w:t>in the context of the high clinical need and small patient population, vedolizumab was likely cost-effective at the price proposed in the pre-PBAC response.</w:t>
      </w:r>
      <w:r w:rsidR="002358C6" w:rsidRPr="006A4458">
        <w:rPr>
          <w:rFonts w:asciiTheme="minorHAnsi" w:hAnsiTheme="minorHAnsi"/>
          <w:snapToGrid w:val="0"/>
          <w:lang w:val="en-GB"/>
        </w:rPr>
        <w:t xml:space="preserve"> </w:t>
      </w:r>
    </w:p>
    <w:bookmarkEnd w:id="116"/>
    <w:p w14:paraId="38B03492" w14:textId="5DB6478A" w:rsidR="007004D0" w:rsidRPr="00C77F8D" w:rsidRDefault="000E2A87" w:rsidP="00201913">
      <w:pPr>
        <w:widowControl w:val="0"/>
        <w:numPr>
          <w:ilvl w:val="1"/>
          <w:numId w:val="1"/>
        </w:numPr>
        <w:spacing w:after="120"/>
        <w:rPr>
          <w:rFonts w:asciiTheme="minorHAnsi" w:hAnsiTheme="minorHAnsi"/>
          <w:snapToGrid w:val="0"/>
          <w:lang w:val="en-GB"/>
        </w:rPr>
      </w:pPr>
      <w:r w:rsidRPr="00C77F8D">
        <w:rPr>
          <w:lang w:val="en-GB"/>
        </w:rPr>
        <w:t>The PBAC welcomed the consumer input received for this submission</w:t>
      </w:r>
      <w:r w:rsidR="00C77F8D" w:rsidRPr="00C77F8D">
        <w:rPr>
          <w:lang w:val="en-GB"/>
        </w:rPr>
        <w:t>. The input</w:t>
      </w:r>
      <w:r w:rsidRPr="00C77F8D">
        <w:rPr>
          <w:lang w:val="en-GB"/>
        </w:rPr>
        <w:t xml:space="preserve"> described the si</w:t>
      </w:r>
      <w:r w:rsidRPr="00C77F8D">
        <w:rPr>
          <w:rFonts w:asciiTheme="minorHAnsi" w:hAnsiTheme="minorHAnsi"/>
          <w:snapToGrid w:val="0"/>
          <w:lang w:val="en-GB"/>
        </w:rPr>
        <w:t xml:space="preserve">gnificant impact that chronic pouchitis can have on quality of </w:t>
      </w:r>
      <w:r w:rsidR="00303DC6" w:rsidRPr="00C77F8D">
        <w:rPr>
          <w:rFonts w:asciiTheme="minorHAnsi" w:hAnsiTheme="minorHAnsi"/>
          <w:snapToGrid w:val="0"/>
          <w:lang w:val="en-GB"/>
        </w:rPr>
        <w:t>life</w:t>
      </w:r>
      <w:r w:rsidR="00303DC6">
        <w:rPr>
          <w:rFonts w:asciiTheme="minorHAnsi" w:hAnsiTheme="minorHAnsi"/>
          <w:snapToGrid w:val="0"/>
          <w:lang w:val="en-GB"/>
        </w:rPr>
        <w:t xml:space="preserve"> and</w:t>
      </w:r>
      <w:r w:rsidRPr="00C77F8D">
        <w:rPr>
          <w:rFonts w:asciiTheme="minorHAnsi" w:hAnsiTheme="minorHAnsi"/>
          <w:snapToGrid w:val="0"/>
          <w:lang w:val="en-GB"/>
        </w:rPr>
        <w:t xml:space="preserve"> </w:t>
      </w:r>
      <w:r w:rsidR="0027556E">
        <w:rPr>
          <w:rFonts w:asciiTheme="minorHAnsi" w:hAnsiTheme="minorHAnsi"/>
          <w:snapToGrid w:val="0"/>
          <w:lang w:val="en-GB"/>
        </w:rPr>
        <w:t xml:space="preserve">outlined </w:t>
      </w:r>
      <w:r w:rsidRPr="00C77F8D">
        <w:rPr>
          <w:rFonts w:asciiTheme="minorHAnsi" w:hAnsiTheme="minorHAnsi"/>
          <w:snapToGrid w:val="0"/>
          <w:lang w:val="en-GB"/>
        </w:rPr>
        <w:t>that there are a proportion of patients who do not adequately respond to current treatments. Overall, the PBAC c</w:t>
      </w:r>
      <w:r w:rsidR="00521D70" w:rsidRPr="00C77F8D">
        <w:rPr>
          <w:rFonts w:asciiTheme="minorHAnsi" w:hAnsiTheme="minorHAnsi"/>
          <w:snapToGrid w:val="0"/>
          <w:lang w:val="en-GB"/>
        </w:rPr>
        <w:t xml:space="preserve">onsidered there </w:t>
      </w:r>
      <w:r w:rsidR="00554FE4" w:rsidRPr="00C77F8D">
        <w:rPr>
          <w:rFonts w:asciiTheme="minorHAnsi" w:hAnsiTheme="minorHAnsi"/>
          <w:snapToGrid w:val="0"/>
          <w:lang w:val="en-GB"/>
        </w:rPr>
        <w:t>i</w:t>
      </w:r>
      <w:r w:rsidR="00521D70" w:rsidRPr="00C77F8D">
        <w:rPr>
          <w:rFonts w:asciiTheme="minorHAnsi" w:hAnsiTheme="minorHAnsi"/>
          <w:snapToGrid w:val="0"/>
          <w:lang w:val="en-GB"/>
        </w:rPr>
        <w:t>s a</w:t>
      </w:r>
      <w:r w:rsidRPr="00C77F8D">
        <w:rPr>
          <w:rFonts w:asciiTheme="minorHAnsi" w:hAnsiTheme="minorHAnsi"/>
          <w:snapToGrid w:val="0"/>
          <w:lang w:val="en-GB"/>
        </w:rPr>
        <w:t xml:space="preserve"> high</w:t>
      </w:r>
      <w:r w:rsidR="00521D70" w:rsidRPr="00C77F8D">
        <w:rPr>
          <w:rFonts w:asciiTheme="minorHAnsi" w:hAnsiTheme="minorHAnsi"/>
          <w:snapToGrid w:val="0"/>
          <w:lang w:val="en-GB"/>
        </w:rPr>
        <w:t xml:space="preserve"> unmet need for effective therapies </w:t>
      </w:r>
      <w:r w:rsidR="00554FE4" w:rsidRPr="00C77F8D">
        <w:rPr>
          <w:rFonts w:asciiTheme="minorHAnsi" w:hAnsiTheme="minorHAnsi"/>
          <w:snapToGrid w:val="0"/>
          <w:lang w:val="en-GB"/>
        </w:rPr>
        <w:t xml:space="preserve">to treat this </w:t>
      </w:r>
      <w:r w:rsidRPr="00C77F8D">
        <w:rPr>
          <w:rFonts w:asciiTheme="minorHAnsi" w:hAnsiTheme="minorHAnsi"/>
          <w:snapToGrid w:val="0"/>
          <w:lang w:val="en-GB"/>
        </w:rPr>
        <w:t xml:space="preserve">rare </w:t>
      </w:r>
      <w:r w:rsidR="00554FE4" w:rsidRPr="00C77F8D">
        <w:rPr>
          <w:rFonts w:asciiTheme="minorHAnsi" w:hAnsiTheme="minorHAnsi"/>
          <w:snapToGrid w:val="0"/>
          <w:lang w:val="en-GB"/>
        </w:rPr>
        <w:t>condition</w:t>
      </w:r>
      <w:r w:rsidR="00521D70" w:rsidRPr="00C77F8D">
        <w:rPr>
          <w:rFonts w:asciiTheme="minorHAnsi" w:hAnsiTheme="minorHAnsi"/>
          <w:snapToGrid w:val="0"/>
          <w:lang w:val="en-GB"/>
        </w:rPr>
        <w:t>.</w:t>
      </w:r>
      <w:r w:rsidR="00225233" w:rsidRPr="00C77F8D">
        <w:rPr>
          <w:rFonts w:asciiTheme="minorHAnsi" w:hAnsiTheme="minorHAnsi"/>
          <w:snapToGrid w:val="0"/>
          <w:lang w:val="en-GB"/>
        </w:rPr>
        <w:t xml:space="preserve"> </w:t>
      </w:r>
    </w:p>
    <w:p w14:paraId="5A35DC0E" w14:textId="357E59A1" w:rsidR="0029593E" w:rsidRPr="00382AA2" w:rsidRDefault="0029593E" w:rsidP="00F55938">
      <w:pPr>
        <w:widowControl w:val="0"/>
        <w:numPr>
          <w:ilvl w:val="1"/>
          <w:numId w:val="1"/>
        </w:numPr>
        <w:spacing w:after="120"/>
        <w:rPr>
          <w:rFonts w:asciiTheme="minorHAnsi" w:hAnsiTheme="minorHAnsi"/>
          <w:snapToGrid w:val="0"/>
          <w:lang w:val="en-GB"/>
        </w:rPr>
      </w:pPr>
      <w:r w:rsidRPr="0029593E">
        <w:rPr>
          <w:rFonts w:asciiTheme="minorHAnsi" w:hAnsiTheme="minorHAnsi"/>
          <w:snapToGrid w:val="0"/>
          <w:lang w:val="en-GB"/>
        </w:rPr>
        <w:t xml:space="preserve">The PBAC </w:t>
      </w:r>
      <w:r w:rsidRPr="00382AA2">
        <w:rPr>
          <w:rFonts w:asciiTheme="minorHAnsi" w:hAnsiTheme="minorHAnsi"/>
          <w:snapToGrid w:val="0"/>
          <w:lang w:val="en-GB"/>
        </w:rPr>
        <w:t>considered the nominated comparator of standard of care (SOC), compris</w:t>
      </w:r>
      <w:r w:rsidR="00303DC6">
        <w:rPr>
          <w:rFonts w:asciiTheme="minorHAnsi" w:hAnsiTheme="minorHAnsi"/>
          <w:snapToGrid w:val="0"/>
          <w:lang w:val="en-GB"/>
        </w:rPr>
        <w:t>ing</w:t>
      </w:r>
      <w:r w:rsidRPr="00382AA2">
        <w:rPr>
          <w:rFonts w:asciiTheme="minorHAnsi" w:hAnsiTheme="minorHAnsi"/>
          <w:snapToGrid w:val="0"/>
          <w:lang w:val="en-GB"/>
        </w:rPr>
        <w:t xml:space="preserve"> antibiotic treatment (as required)</w:t>
      </w:r>
      <w:r w:rsidR="0027556E">
        <w:rPr>
          <w:rFonts w:asciiTheme="minorHAnsi" w:hAnsiTheme="minorHAnsi"/>
          <w:snapToGrid w:val="0"/>
          <w:lang w:val="en-GB"/>
        </w:rPr>
        <w:t>,</w:t>
      </w:r>
      <w:r w:rsidRPr="00382AA2">
        <w:rPr>
          <w:rFonts w:asciiTheme="minorHAnsi" w:hAnsiTheme="minorHAnsi"/>
          <w:snapToGrid w:val="0"/>
          <w:lang w:val="en-GB"/>
        </w:rPr>
        <w:t xml:space="preserve"> probiotics and anti-diarrheal medications was reasonable. </w:t>
      </w:r>
    </w:p>
    <w:p w14:paraId="3CE9C4C5" w14:textId="69179493" w:rsidR="00BF2E32" w:rsidRPr="00C77F8D" w:rsidRDefault="00554FE4" w:rsidP="00C77F8D">
      <w:pPr>
        <w:pStyle w:val="3-BodyText"/>
        <w:rPr>
          <w:lang w:val="en-GB"/>
        </w:rPr>
      </w:pPr>
      <w:r w:rsidRPr="00C77F8D">
        <w:rPr>
          <w:lang w:val="en-GB"/>
        </w:rPr>
        <w:t xml:space="preserve">The PBAC considered the claim </w:t>
      </w:r>
      <w:r w:rsidR="0027556E">
        <w:rPr>
          <w:lang w:val="en-GB"/>
        </w:rPr>
        <w:t xml:space="preserve">that </w:t>
      </w:r>
      <w:r w:rsidR="0027556E" w:rsidRPr="00C77F8D">
        <w:rPr>
          <w:lang w:val="en-GB"/>
        </w:rPr>
        <w:t>vedolizumab plus SOC</w:t>
      </w:r>
      <w:r w:rsidR="0027556E">
        <w:rPr>
          <w:lang w:val="en-GB"/>
        </w:rPr>
        <w:t xml:space="preserve"> has</w:t>
      </w:r>
      <w:r w:rsidRPr="00C77F8D">
        <w:rPr>
          <w:lang w:val="en-GB"/>
        </w:rPr>
        <w:t xml:space="preserve"> superior efficacy </w:t>
      </w:r>
      <w:r w:rsidR="0027556E">
        <w:rPr>
          <w:lang w:val="en-GB"/>
        </w:rPr>
        <w:t>compared with</w:t>
      </w:r>
      <w:r w:rsidRPr="00C77F8D">
        <w:rPr>
          <w:lang w:val="en-GB"/>
        </w:rPr>
        <w:t xml:space="preserve"> SOC alone was reasonable based on the results of the randomised controlled trial, EARNEST. However, the PBAC considered the magnitude of benefit</w:t>
      </w:r>
      <w:r w:rsidR="00860EB0" w:rsidRPr="00C77F8D">
        <w:rPr>
          <w:lang w:val="en-GB"/>
        </w:rPr>
        <w:t xml:space="preserve"> was </w:t>
      </w:r>
      <w:r w:rsidR="00031F15" w:rsidRPr="00C77F8D">
        <w:rPr>
          <w:lang w:val="en-GB"/>
        </w:rPr>
        <w:t xml:space="preserve">uncertain </w:t>
      </w:r>
      <w:r w:rsidRPr="00C77F8D">
        <w:rPr>
          <w:lang w:val="en-GB"/>
        </w:rPr>
        <w:t>given</w:t>
      </w:r>
      <w:r w:rsidR="00C77F8D" w:rsidRPr="00C77F8D">
        <w:rPr>
          <w:lang w:val="en-GB"/>
        </w:rPr>
        <w:t xml:space="preserve"> </w:t>
      </w:r>
      <w:r w:rsidR="00BF2E32" w:rsidRPr="00C77F8D">
        <w:rPr>
          <w:lang w:val="en-GB"/>
        </w:rPr>
        <w:t xml:space="preserve">the trial had a high overall risk of bias due to </w:t>
      </w:r>
      <w:r w:rsidR="00AC38A8" w:rsidRPr="00C77F8D">
        <w:rPr>
          <w:lang w:val="en-GB"/>
        </w:rPr>
        <w:t>protocol deviations</w:t>
      </w:r>
      <w:r w:rsidR="00AC38A8">
        <w:rPr>
          <w:lang w:val="en-GB"/>
        </w:rPr>
        <w:t xml:space="preserve"> and a </w:t>
      </w:r>
      <w:r w:rsidR="00BF2E32" w:rsidRPr="00C77F8D">
        <w:rPr>
          <w:lang w:val="en-GB"/>
        </w:rPr>
        <w:t xml:space="preserve">substantial </w:t>
      </w:r>
      <w:r w:rsidR="00AC38A8">
        <w:rPr>
          <w:lang w:val="en-GB"/>
        </w:rPr>
        <w:t>number of patients</w:t>
      </w:r>
      <w:r w:rsidR="00AC38A8" w:rsidRPr="00C77F8D">
        <w:rPr>
          <w:lang w:val="en-GB"/>
        </w:rPr>
        <w:t xml:space="preserve"> </w:t>
      </w:r>
      <w:r w:rsidR="00AC38A8">
        <w:rPr>
          <w:lang w:val="en-GB"/>
        </w:rPr>
        <w:t>prematurely discontinuing the trial</w:t>
      </w:r>
      <w:r w:rsidR="006A4458">
        <w:rPr>
          <w:lang w:val="en-GB"/>
        </w:rPr>
        <w:t>. Th</w:t>
      </w:r>
      <w:r w:rsidR="00AC38A8">
        <w:rPr>
          <w:lang w:val="en-GB"/>
        </w:rPr>
        <w:t>e impact of the discontinuations</w:t>
      </w:r>
      <w:r w:rsidR="006A4458">
        <w:rPr>
          <w:lang w:val="en-GB"/>
        </w:rPr>
        <w:t xml:space="preserve"> was</w:t>
      </w:r>
      <w:r w:rsidR="00E93F4F" w:rsidRPr="00C77F8D">
        <w:rPr>
          <w:lang w:val="en-GB"/>
        </w:rPr>
        <w:t xml:space="preserve"> exacerbated by </w:t>
      </w:r>
      <w:r w:rsidR="00BF2E32" w:rsidRPr="00C77F8D">
        <w:rPr>
          <w:lang w:val="en-GB"/>
        </w:rPr>
        <w:t xml:space="preserve">the use of the last observation carried forward imputation </w:t>
      </w:r>
      <w:r w:rsidR="00E93F4F" w:rsidRPr="00C77F8D">
        <w:rPr>
          <w:lang w:val="en-GB"/>
        </w:rPr>
        <w:t>method for</w:t>
      </w:r>
      <w:r w:rsidR="00BF2E32" w:rsidRPr="00C77F8D">
        <w:rPr>
          <w:lang w:val="en-GB"/>
        </w:rPr>
        <w:t xml:space="preserve"> missing data, which could favour the vedolizumab </w:t>
      </w:r>
      <w:r w:rsidR="00AC38A8">
        <w:rPr>
          <w:lang w:val="en-GB"/>
        </w:rPr>
        <w:t>treatment arm</w:t>
      </w:r>
      <w:r w:rsidR="00BF2E32" w:rsidRPr="00C77F8D">
        <w:rPr>
          <w:lang w:val="en-GB"/>
        </w:rPr>
        <w:t xml:space="preserve">. </w:t>
      </w:r>
      <w:r w:rsidR="00C77F8D" w:rsidRPr="00C77F8D">
        <w:rPr>
          <w:lang w:val="en-GB"/>
        </w:rPr>
        <w:t>Further, t</w:t>
      </w:r>
      <w:r w:rsidR="00BF2E32" w:rsidRPr="00C77F8D">
        <w:rPr>
          <w:lang w:val="en-GB"/>
        </w:rPr>
        <w:t xml:space="preserve">he PBAC </w:t>
      </w:r>
      <w:r w:rsidR="00AC38A8">
        <w:rPr>
          <w:lang w:val="en-GB"/>
        </w:rPr>
        <w:t>noted</w:t>
      </w:r>
      <w:r w:rsidR="00AC38A8" w:rsidRPr="00C77F8D">
        <w:rPr>
          <w:lang w:val="en-GB"/>
        </w:rPr>
        <w:t xml:space="preserve"> </w:t>
      </w:r>
      <w:r w:rsidR="00BF2E32" w:rsidRPr="00C77F8D">
        <w:rPr>
          <w:lang w:val="en-GB"/>
        </w:rPr>
        <w:t xml:space="preserve">the key outcomes, </w:t>
      </w:r>
      <w:r w:rsidR="00AC38A8">
        <w:rPr>
          <w:lang w:val="en-GB"/>
        </w:rPr>
        <w:t>the</w:t>
      </w:r>
      <w:r w:rsidR="00AC38A8" w:rsidRPr="00C77F8D">
        <w:rPr>
          <w:lang w:val="en-GB"/>
        </w:rPr>
        <w:t xml:space="preserve"> </w:t>
      </w:r>
      <w:r w:rsidR="00BF2E32" w:rsidRPr="00C77F8D">
        <w:rPr>
          <w:lang w:val="en-GB"/>
        </w:rPr>
        <w:t xml:space="preserve">modified Pouchitis Disease Activity index (mPDAI) and Pouchitis Disease Activity index (PDAI) measured at Weeks 14 and 34, were poorly validated surrogate outcomes. </w:t>
      </w:r>
    </w:p>
    <w:p w14:paraId="777C5806" w14:textId="65C258CD" w:rsidR="00C77F8D" w:rsidRDefault="00696C18" w:rsidP="00E93F4F">
      <w:pPr>
        <w:pStyle w:val="3-BodyText"/>
        <w:rPr>
          <w:lang w:val="en-GB"/>
        </w:rPr>
      </w:pPr>
      <w:r>
        <w:rPr>
          <w:lang w:val="en-GB"/>
        </w:rPr>
        <w:t xml:space="preserve">The </w:t>
      </w:r>
      <w:r w:rsidRPr="00382AA2">
        <w:rPr>
          <w:lang w:val="en-GB"/>
        </w:rPr>
        <w:t>EARNEST</w:t>
      </w:r>
      <w:r>
        <w:rPr>
          <w:lang w:val="en-GB"/>
        </w:rPr>
        <w:t xml:space="preserve"> trial</w:t>
      </w:r>
      <w:r w:rsidR="00C2464D" w:rsidRPr="00C2464D">
        <w:rPr>
          <w:lang w:val="en-GB"/>
        </w:rPr>
        <w:t xml:space="preserve"> </w:t>
      </w:r>
      <w:r w:rsidR="002F35EA">
        <w:rPr>
          <w:lang w:val="en-GB"/>
        </w:rPr>
        <w:t>found</w:t>
      </w:r>
      <w:r w:rsidR="00C2464D">
        <w:rPr>
          <w:lang w:val="en-GB"/>
        </w:rPr>
        <w:t xml:space="preserve"> a statistically significant difference in the primary outcome of </w:t>
      </w:r>
      <w:r w:rsidR="00C2464D" w:rsidRPr="00E93F4F">
        <w:rPr>
          <w:lang w:val="en-GB"/>
        </w:rPr>
        <w:t>mPDAI-defined remission</w:t>
      </w:r>
      <w:r w:rsidR="00C2464D">
        <w:rPr>
          <w:lang w:val="en-GB"/>
        </w:rPr>
        <w:t xml:space="preserve"> a</w:t>
      </w:r>
      <w:r w:rsidR="00E93F4F" w:rsidRPr="00E93F4F">
        <w:rPr>
          <w:lang w:val="en-GB"/>
        </w:rPr>
        <w:t xml:space="preserve">t Week 14, </w:t>
      </w:r>
      <w:r w:rsidR="002F35EA">
        <w:rPr>
          <w:lang w:val="en-GB"/>
        </w:rPr>
        <w:t xml:space="preserve">with 31.4% of </w:t>
      </w:r>
      <w:r w:rsidR="00C2464D" w:rsidRPr="00E93F4F">
        <w:rPr>
          <w:lang w:val="en-GB"/>
        </w:rPr>
        <w:t xml:space="preserve">patients </w:t>
      </w:r>
      <w:r w:rsidR="00AD115E">
        <w:rPr>
          <w:lang w:val="en-GB"/>
        </w:rPr>
        <w:t xml:space="preserve">in the vedolizumab arm </w:t>
      </w:r>
      <w:r w:rsidR="00C2464D">
        <w:rPr>
          <w:lang w:val="en-GB"/>
        </w:rPr>
        <w:t>achieving</w:t>
      </w:r>
      <w:r w:rsidR="00C2464D" w:rsidRPr="00E93F4F">
        <w:rPr>
          <w:lang w:val="en-GB"/>
        </w:rPr>
        <w:t xml:space="preserve"> </w:t>
      </w:r>
      <w:r w:rsidR="00AD115E">
        <w:rPr>
          <w:lang w:val="en-GB"/>
        </w:rPr>
        <w:t>t</w:t>
      </w:r>
      <w:r w:rsidR="002F35EA">
        <w:rPr>
          <w:lang w:val="en-GB"/>
        </w:rPr>
        <w:t>his outcome</w:t>
      </w:r>
      <w:r w:rsidR="00E93F4F" w:rsidRPr="00E93F4F">
        <w:rPr>
          <w:lang w:val="en-GB"/>
        </w:rPr>
        <w:t xml:space="preserve"> </w:t>
      </w:r>
      <w:r w:rsidR="002F35EA">
        <w:rPr>
          <w:lang w:val="en-GB"/>
        </w:rPr>
        <w:t xml:space="preserve">versus 9.8% </w:t>
      </w:r>
      <w:r w:rsidR="00AD115E">
        <w:rPr>
          <w:lang w:val="en-GB"/>
        </w:rPr>
        <w:t>in the</w:t>
      </w:r>
      <w:r w:rsidR="003C2905">
        <w:rPr>
          <w:lang w:val="en-GB"/>
        </w:rPr>
        <w:t xml:space="preserve"> placebo</w:t>
      </w:r>
      <w:r w:rsidR="00AD115E">
        <w:rPr>
          <w:lang w:val="en-GB"/>
        </w:rPr>
        <w:t xml:space="preserve"> arm</w:t>
      </w:r>
      <w:r w:rsidR="003C2905">
        <w:rPr>
          <w:lang w:val="en-GB"/>
        </w:rPr>
        <w:t xml:space="preserve"> </w:t>
      </w:r>
      <w:r w:rsidR="00E93F4F" w:rsidRPr="00E93F4F">
        <w:rPr>
          <w:lang w:val="en-GB"/>
        </w:rPr>
        <w:t>(treatment difference of 21.6 percentage points</w:t>
      </w:r>
      <w:r w:rsidR="002F35EA">
        <w:rPr>
          <w:lang w:val="en-GB"/>
        </w:rPr>
        <w:t xml:space="preserve">, </w:t>
      </w:r>
      <w:r w:rsidR="00E93F4F" w:rsidRPr="00E93F4F">
        <w:rPr>
          <w:lang w:val="en-GB"/>
        </w:rPr>
        <w:t>95% CI: 4.9</w:t>
      </w:r>
      <w:r w:rsidR="002F35EA">
        <w:rPr>
          <w:lang w:val="en-GB"/>
        </w:rPr>
        <w:t>%</w:t>
      </w:r>
      <w:r w:rsidR="00E93F4F" w:rsidRPr="00E93F4F">
        <w:rPr>
          <w:lang w:val="en-GB"/>
        </w:rPr>
        <w:t>, 37.5</w:t>
      </w:r>
      <w:r w:rsidR="002F35EA">
        <w:rPr>
          <w:lang w:val="en-GB"/>
        </w:rPr>
        <w:t>%</w:t>
      </w:r>
      <w:r w:rsidR="00E93F4F" w:rsidRPr="00E93F4F">
        <w:rPr>
          <w:lang w:val="en-GB"/>
        </w:rPr>
        <w:t xml:space="preserve">). </w:t>
      </w:r>
      <w:r>
        <w:rPr>
          <w:lang w:val="en-GB"/>
        </w:rPr>
        <w:t>However, the PB</w:t>
      </w:r>
      <w:r w:rsidR="00860EB0">
        <w:rPr>
          <w:lang w:val="en-GB"/>
        </w:rPr>
        <w:t>AC noted</w:t>
      </w:r>
      <w:r>
        <w:rPr>
          <w:lang w:val="en-GB"/>
        </w:rPr>
        <w:t>:</w:t>
      </w:r>
      <w:r w:rsidR="00860EB0">
        <w:rPr>
          <w:lang w:val="en-GB"/>
        </w:rPr>
        <w:t xml:space="preserve"> the trial did not achieve the </w:t>
      </w:r>
      <w:r w:rsidR="00860EB0" w:rsidRPr="00E93F4F">
        <w:rPr>
          <w:lang w:val="en-GB"/>
        </w:rPr>
        <w:t xml:space="preserve">25 percentage point </w:t>
      </w:r>
      <w:r w:rsidR="00860EB0">
        <w:rPr>
          <w:lang w:val="en-GB"/>
        </w:rPr>
        <w:t>difference</w:t>
      </w:r>
      <w:r w:rsidR="00E93F4F" w:rsidRPr="00E93F4F">
        <w:rPr>
          <w:lang w:val="en-GB"/>
        </w:rPr>
        <w:t xml:space="preserve"> </w:t>
      </w:r>
      <w:r w:rsidR="00860EB0">
        <w:rPr>
          <w:lang w:val="en-GB"/>
        </w:rPr>
        <w:t xml:space="preserve">that </w:t>
      </w:r>
      <w:r w:rsidR="002F35EA">
        <w:rPr>
          <w:lang w:val="en-GB"/>
        </w:rPr>
        <w:t>was</w:t>
      </w:r>
      <w:r w:rsidR="00860EB0">
        <w:rPr>
          <w:lang w:val="en-GB"/>
        </w:rPr>
        <w:t xml:space="preserve"> </w:t>
      </w:r>
      <w:r w:rsidR="00AC38A8">
        <w:rPr>
          <w:lang w:val="en-GB"/>
        </w:rPr>
        <w:t>considered meaningful when the</w:t>
      </w:r>
      <w:r w:rsidR="00860EB0">
        <w:rPr>
          <w:lang w:val="en-GB"/>
        </w:rPr>
        <w:t xml:space="preserve"> </w:t>
      </w:r>
      <w:r w:rsidR="00E93F4F" w:rsidRPr="00E93F4F">
        <w:rPr>
          <w:lang w:val="en-GB"/>
        </w:rPr>
        <w:t>sample size</w:t>
      </w:r>
      <w:r w:rsidR="00AC38A8">
        <w:rPr>
          <w:lang w:val="en-GB"/>
        </w:rPr>
        <w:t xml:space="preserve"> for the trial was calculated</w:t>
      </w:r>
      <w:r>
        <w:rPr>
          <w:lang w:val="en-GB"/>
        </w:rPr>
        <w:t xml:space="preserve">; the 95% confidence intervals were wide; and </w:t>
      </w:r>
      <w:r w:rsidR="00860EB0">
        <w:rPr>
          <w:lang w:val="en-GB"/>
        </w:rPr>
        <w:t>a</w:t>
      </w:r>
      <w:r w:rsidR="00E93F4F" w:rsidRPr="00E93F4F">
        <w:rPr>
          <w:lang w:val="en-GB"/>
        </w:rPr>
        <w:t>t Week 34 the treatment difference decreased to 17.6 percentage points (95% CI: 0.3</w:t>
      </w:r>
      <w:r w:rsidR="006A4458">
        <w:rPr>
          <w:lang w:val="en-GB"/>
        </w:rPr>
        <w:t>%</w:t>
      </w:r>
      <w:r w:rsidR="00E93F4F" w:rsidRPr="00E93F4F">
        <w:rPr>
          <w:lang w:val="en-GB"/>
        </w:rPr>
        <w:t>, 35.1</w:t>
      </w:r>
      <w:r w:rsidR="006A4458">
        <w:rPr>
          <w:lang w:val="en-GB"/>
        </w:rPr>
        <w:t>%</w:t>
      </w:r>
      <w:r w:rsidR="00E93F4F" w:rsidRPr="00E93F4F">
        <w:rPr>
          <w:lang w:val="en-GB"/>
        </w:rPr>
        <w:t>).</w:t>
      </w:r>
      <w:r w:rsidR="00860EB0">
        <w:rPr>
          <w:lang w:val="en-GB"/>
        </w:rPr>
        <w:t xml:space="preserve"> Overall, the PBAC considered th</w:t>
      </w:r>
      <w:r w:rsidR="005D4633">
        <w:rPr>
          <w:lang w:val="en-GB"/>
        </w:rPr>
        <w:t>at the treatment effect of vedolizumab is likely to be modest</w:t>
      </w:r>
      <w:r w:rsidR="00860EB0">
        <w:rPr>
          <w:lang w:val="en-GB"/>
        </w:rPr>
        <w:t xml:space="preserve"> </w:t>
      </w:r>
      <w:r w:rsidR="005D4633">
        <w:rPr>
          <w:lang w:val="en-GB"/>
        </w:rPr>
        <w:t>in this condition</w:t>
      </w:r>
      <w:r w:rsidR="00860EB0">
        <w:rPr>
          <w:lang w:val="en-GB"/>
        </w:rPr>
        <w:t>.</w:t>
      </w:r>
      <w:r>
        <w:rPr>
          <w:lang w:val="en-GB"/>
        </w:rPr>
        <w:t xml:space="preserve"> </w:t>
      </w:r>
    </w:p>
    <w:p w14:paraId="2163DCC8" w14:textId="7A4E4839" w:rsidR="00531D9C" w:rsidRDefault="0055758B" w:rsidP="00526BC3">
      <w:pPr>
        <w:pStyle w:val="3-BodyText"/>
        <w:widowControl w:val="0"/>
        <w:rPr>
          <w:lang w:val="en-GB"/>
        </w:rPr>
      </w:pPr>
      <w:r w:rsidRPr="0055758B">
        <w:rPr>
          <w:lang w:val="en-GB"/>
        </w:rPr>
        <w:t xml:space="preserve">Further, the </w:t>
      </w:r>
      <w:r>
        <w:rPr>
          <w:lang w:val="en-GB"/>
        </w:rPr>
        <w:t>PBAC</w:t>
      </w:r>
      <w:r w:rsidR="00E73F38">
        <w:rPr>
          <w:lang w:val="en-GB"/>
        </w:rPr>
        <w:t xml:space="preserve"> </w:t>
      </w:r>
      <w:r w:rsidRPr="0055758B">
        <w:rPr>
          <w:lang w:val="en-GB"/>
        </w:rPr>
        <w:t>considered that the outcome of ‘sustained remission’ reported in the trial may not be indicative of long-term remission as it was based solely on a patient achieving mPDAI-assessed remission at two discrete time points (Weeks 14 and 34) with no requirement for remission to be maintained between these two timepoints</w:t>
      </w:r>
      <w:r w:rsidR="00E73F38">
        <w:rPr>
          <w:lang w:val="en-GB"/>
        </w:rPr>
        <w:t xml:space="preserve">. </w:t>
      </w:r>
      <w:r w:rsidR="00531D9C" w:rsidRPr="00531D9C">
        <w:rPr>
          <w:lang w:val="en-GB"/>
        </w:rPr>
        <w:t>In addi</w:t>
      </w:r>
      <w:r w:rsidR="00531D9C">
        <w:rPr>
          <w:lang w:val="en-GB"/>
        </w:rPr>
        <w:t>ti</w:t>
      </w:r>
      <w:r w:rsidR="00531D9C" w:rsidRPr="00531D9C">
        <w:rPr>
          <w:lang w:val="en-GB"/>
        </w:rPr>
        <w:t>on</w:t>
      </w:r>
      <w:r w:rsidR="00696C18" w:rsidRPr="00531D9C">
        <w:rPr>
          <w:lang w:val="en-GB"/>
        </w:rPr>
        <w:t>, the PBAC noted that no</w:t>
      </w:r>
      <w:r w:rsidR="00E93F4F" w:rsidRPr="00531D9C">
        <w:rPr>
          <w:lang w:val="en-GB"/>
        </w:rPr>
        <w:t xml:space="preserve"> clinical data were presented </w:t>
      </w:r>
      <w:r w:rsidR="00531D9C">
        <w:rPr>
          <w:lang w:val="en-GB"/>
        </w:rPr>
        <w:t xml:space="preserve">regarding the efficacy of vedolizumab for chronic pouchitis </w:t>
      </w:r>
      <w:r w:rsidR="00E93F4F" w:rsidRPr="00531D9C">
        <w:rPr>
          <w:lang w:val="en-GB"/>
        </w:rPr>
        <w:t xml:space="preserve">beyond </w:t>
      </w:r>
      <w:r w:rsidR="003C2905" w:rsidRPr="00531D9C">
        <w:rPr>
          <w:lang w:val="en-GB"/>
        </w:rPr>
        <w:t>34 weeks</w:t>
      </w:r>
      <w:r w:rsidR="00531D9C">
        <w:rPr>
          <w:lang w:val="en-GB"/>
        </w:rPr>
        <w:t xml:space="preserve">, despite there </w:t>
      </w:r>
      <w:r w:rsidR="00531D9C">
        <w:rPr>
          <w:lang w:val="en-GB"/>
        </w:rPr>
        <w:lastRenderedPageBreak/>
        <w:t xml:space="preserve">being a </w:t>
      </w:r>
      <w:r w:rsidR="00531D9C" w:rsidRPr="00531D9C">
        <w:rPr>
          <w:lang w:val="en-GB"/>
        </w:rPr>
        <w:t xml:space="preserve">proportion of patients who would </w:t>
      </w:r>
      <w:r w:rsidR="00531D9C">
        <w:rPr>
          <w:lang w:val="en-GB"/>
        </w:rPr>
        <w:t xml:space="preserve">likely </w:t>
      </w:r>
      <w:r w:rsidR="00531D9C" w:rsidRPr="00531D9C">
        <w:rPr>
          <w:lang w:val="en-GB"/>
        </w:rPr>
        <w:t xml:space="preserve">continue </w:t>
      </w:r>
      <w:r w:rsidR="00531D9C">
        <w:rPr>
          <w:lang w:val="en-GB"/>
        </w:rPr>
        <w:t>treatment</w:t>
      </w:r>
      <w:r w:rsidR="00531D9C" w:rsidRPr="00531D9C">
        <w:rPr>
          <w:lang w:val="en-GB"/>
        </w:rPr>
        <w:t xml:space="preserve"> long-term</w:t>
      </w:r>
      <w:r w:rsidR="00531D9C">
        <w:rPr>
          <w:lang w:val="en-GB"/>
        </w:rPr>
        <w:t>.</w:t>
      </w:r>
    </w:p>
    <w:p w14:paraId="1BE5F128" w14:textId="28359E02" w:rsidR="003C2905" w:rsidRPr="00531D9C" w:rsidRDefault="003C2905" w:rsidP="00FE62C0">
      <w:pPr>
        <w:pStyle w:val="3-BodyText"/>
        <w:widowControl w:val="0"/>
        <w:rPr>
          <w:szCs w:val="20"/>
        </w:rPr>
      </w:pPr>
      <w:r w:rsidRPr="00531D9C">
        <w:rPr>
          <w:szCs w:val="20"/>
        </w:rPr>
        <w:t xml:space="preserve">The PBAC </w:t>
      </w:r>
      <w:r w:rsidR="004012F3">
        <w:rPr>
          <w:lang w:val="en-GB"/>
        </w:rPr>
        <w:t>noted</w:t>
      </w:r>
      <w:r w:rsidR="004012F3" w:rsidRPr="00531D9C">
        <w:rPr>
          <w:lang w:val="en-GB"/>
        </w:rPr>
        <w:t xml:space="preserve"> </w:t>
      </w:r>
      <w:r w:rsidRPr="00531D9C">
        <w:rPr>
          <w:lang w:val="en-GB"/>
        </w:rPr>
        <w:t>the safety data appeared to be consistent with the established profile of vedolizumab in other gastrointestinal conditions</w:t>
      </w:r>
      <w:r w:rsidR="00696C18" w:rsidRPr="00531D9C">
        <w:rPr>
          <w:lang w:val="en-GB"/>
        </w:rPr>
        <w:t>. Overall, the PBAC</w:t>
      </w:r>
      <w:r w:rsidRPr="00531D9C">
        <w:rPr>
          <w:szCs w:val="20"/>
        </w:rPr>
        <w:t xml:space="preserve"> considered that the claim of non-inferior comparative safety versus </w:t>
      </w:r>
      <w:r w:rsidR="006234C2" w:rsidRPr="00531D9C">
        <w:rPr>
          <w:szCs w:val="20"/>
        </w:rPr>
        <w:t>SOC</w:t>
      </w:r>
      <w:r w:rsidRPr="00531D9C">
        <w:rPr>
          <w:szCs w:val="20"/>
        </w:rPr>
        <w:t xml:space="preserve"> was reasonable.</w:t>
      </w:r>
    </w:p>
    <w:p w14:paraId="51953CE4" w14:textId="02561D58" w:rsidR="00772600" w:rsidRDefault="00772600" w:rsidP="00F559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base case ICER presented in the submission was </w:t>
      </w:r>
      <w:r w:rsidRPr="00772600">
        <w:rPr>
          <w:rFonts w:asciiTheme="minorHAnsi" w:hAnsiTheme="minorHAnsi"/>
          <w:snapToGrid w:val="0"/>
          <w:lang w:val="en-GB"/>
        </w:rPr>
        <w:t>$</w:t>
      </w:r>
      <w:r w:rsidR="00021ED4" w:rsidRPr="00021ED4">
        <w:rPr>
          <w:rFonts w:asciiTheme="minorHAnsi" w:hAnsiTheme="minorHAnsi"/>
          <w:snapToGrid w:val="0"/>
          <w:lang w:val="en-GB"/>
        </w:rPr>
        <w:t>35,000 to &lt; $45,000</w:t>
      </w:r>
      <w:r w:rsidR="00E44785">
        <w:rPr>
          <w:rFonts w:asciiTheme="minorHAnsi" w:hAnsiTheme="minorHAnsi"/>
          <w:snapToGrid w:val="0"/>
          <w:lang w:val="en-GB"/>
        </w:rPr>
        <w:t xml:space="preserve"> </w:t>
      </w:r>
      <w:r w:rsidRPr="00772600">
        <w:rPr>
          <w:rFonts w:asciiTheme="minorHAnsi" w:hAnsiTheme="minorHAnsi"/>
          <w:snapToGrid w:val="0"/>
          <w:lang w:val="en-GB"/>
        </w:rPr>
        <w:t>per QALY</w:t>
      </w:r>
      <w:r>
        <w:rPr>
          <w:rFonts w:asciiTheme="minorHAnsi" w:hAnsiTheme="minorHAnsi"/>
          <w:snapToGrid w:val="0"/>
          <w:lang w:val="en-GB"/>
        </w:rPr>
        <w:t xml:space="preserve">, </w:t>
      </w:r>
      <w:r w:rsidR="00DB75CF">
        <w:rPr>
          <w:rFonts w:asciiTheme="minorHAnsi" w:hAnsiTheme="minorHAnsi"/>
          <w:snapToGrid w:val="0"/>
          <w:lang w:val="en-GB"/>
        </w:rPr>
        <w:t xml:space="preserve">and </w:t>
      </w:r>
      <w:r>
        <w:rPr>
          <w:rFonts w:asciiTheme="minorHAnsi" w:hAnsiTheme="minorHAnsi"/>
          <w:snapToGrid w:val="0"/>
          <w:lang w:val="en-GB"/>
        </w:rPr>
        <w:t xml:space="preserve">this reduced to </w:t>
      </w:r>
      <w:r w:rsidRPr="00772600">
        <w:rPr>
          <w:rFonts w:asciiTheme="minorHAnsi" w:hAnsiTheme="minorHAnsi"/>
          <w:snapToGrid w:val="0"/>
          <w:lang w:val="en-GB"/>
        </w:rPr>
        <w:t>$</w:t>
      </w:r>
      <w:r w:rsidR="006D7A11" w:rsidRPr="006D7A11">
        <w:rPr>
          <w:rFonts w:asciiTheme="minorHAnsi" w:hAnsiTheme="minorHAnsi"/>
          <w:snapToGrid w:val="0"/>
          <w:lang w:val="en-GB"/>
        </w:rPr>
        <w:t>25,000 to &lt; $35,000</w:t>
      </w:r>
      <w:r w:rsidR="00E44785">
        <w:rPr>
          <w:rFonts w:asciiTheme="minorHAnsi" w:hAnsiTheme="minorHAnsi"/>
          <w:snapToGrid w:val="0"/>
          <w:lang w:val="en-GB"/>
        </w:rPr>
        <w:t xml:space="preserve"> </w:t>
      </w:r>
      <w:r w:rsidRPr="00772600">
        <w:rPr>
          <w:rFonts w:asciiTheme="minorHAnsi" w:hAnsiTheme="minorHAnsi"/>
          <w:snapToGrid w:val="0"/>
          <w:lang w:val="en-GB"/>
        </w:rPr>
        <w:t>per QALY</w:t>
      </w:r>
      <w:r>
        <w:rPr>
          <w:rFonts w:asciiTheme="minorHAnsi" w:hAnsiTheme="minorHAnsi"/>
          <w:snapToGrid w:val="0"/>
          <w:lang w:val="en-GB"/>
        </w:rPr>
        <w:t xml:space="preserve"> with the </w:t>
      </w:r>
      <w:r w:rsidRPr="00772600">
        <w:rPr>
          <w:rFonts w:asciiTheme="minorHAnsi" w:hAnsiTheme="minorHAnsi"/>
          <w:snapToGrid w:val="0"/>
          <w:lang w:val="en-GB"/>
        </w:rPr>
        <w:t xml:space="preserve">revised price </w:t>
      </w:r>
      <w:r>
        <w:rPr>
          <w:rFonts w:asciiTheme="minorHAnsi" w:hAnsiTheme="minorHAnsi"/>
          <w:snapToGrid w:val="0"/>
          <w:lang w:val="en-GB"/>
        </w:rPr>
        <w:t>proposed in the pre-PBAC response</w:t>
      </w:r>
      <w:r w:rsidRPr="00772600">
        <w:rPr>
          <w:rFonts w:asciiTheme="minorHAnsi" w:hAnsiTheme="minorHAnsi"/>
          <w:snapToGrid w:val="0"/>
          <w:lang w:val="en-GB"/>
        </w:rPr>
        <w:t>.</w:t>
      </w:r>
    </w:p>
    <w:p w14:paraId="2ADA4510" w14:textId="69A14AB2" w:rsidR="000217DE" w:rsidRDefault="00772600" w:rsidP="00F559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ESC had raised the following issues with the economic model:</w:t>
      </w:r>
    </w:p>
    <w:p w14:paraId="0C625CF4" w14:textId="0905A8DF" w:rsidR="00772600" w:rsidRPr="00772600" w:rsidRDefault="00772600" w:rsidP="00772600">
      <w:pPr>
        <w:pStyle w:val="3-BodyText"/>
        <w:numPr>
          <w:ilvl w:val="3"/>
          <w:numId w:val="10"/>
        </w:numPr>
        <w:ind w:left="1134" w:hanging="283"/>
        <w:rPr>
          <w:lang w:val="en-GB"/>
        </w:rPr>
      </w:pPr>
      <w:r w:rsidRPr="00772600">
        <w:rPr>
          <w:lang w:val="en-GB"/>
        </w:rPr>
        <w:t>the trial results observed from Week 14 to 34</w:t>
      </w:r>
      <w:r>
        <w:rPr>
          <w:lang w:val="en-GB"/>
        </w:rPr>
        <w:t xml:space="preserve"> were assumed to</w:t>
      </w:r>
      <w:r w:rsidRPr="00772600">
        <w:rPr>
          <w:lang w:val="en-GB"/>
        </w:rPr>
        <w:t xml:space="preserve"> continue repeatedly, each model cycle, throughout the 10.4 year time horizon. The ESC considered a shorter time horizon may be more appropriate given the lack of data beyond 34 weeks. </w:t>
      </w:r>
    </w:p>
    <w:p w14:paraId="3494B36A" w14:textId="5C0D13B6" w:rsidR="00772600" w:rsidRPr="00772600" w:rsidRDefault="00DB75CF" w:rsidP="00772600">
      <w:pPr>
        <w:pStyle w:val="3-BodyText"/>
        <w:numPr>
          <w:ilvl w:val="3"/>
          <w:numId w:val="10"/>
        </w:numPr>
        <w:ind w:left="1134" w:hanging="283"/>
        <w:rPr>
          <w:lang w:val="en-GB"/>
        </w:rPr>
      </w:pPr>
      <w:r>
        <w:rPr>
          <w:lang w:val="en-GB"/>
        </w:rPr>
        <w:t xml:space="preserve">in the model, </w:t>
      </w:r>
      <w:r w:rsidR="00772600" w:rsidRPr="00772600">
        <w:rPr>
          <w:lang w:val="en-GB"/>
        </w:rPr>
        <w:t>patients only continue</w:t>
      </w:r>
      <w:r>
        <w:rPr>
          <w:lang w:val="en-GB"/>
        </w:rPr>
        <w:t>d</w:t>
      </w:r>
      <w:r w:rsidR="00772600" w:rsidRPr="00772600">
        <w:rPr>
          <w:lang w:val="en-GB"/>
        </w:rPr>
        <w:t xml:space="preserve"> vedolizumab if they experienced mPDAI-defined remission</w:t>
      </w:r>
      <w:r>
        <w:rPr>
          <w:lang w:val="en-GB"/>
        </w:rPr>
        <w:t xml:space="preserve">. However, </w:t>
      </w:r>
      <w:r w:rsidR="00772600" w:rsidRPr="00772600">
        <w:rPr>
          <w:lang w:val="en-GB"/>
        </w:rPr>
        <w:t xml:space="preserve">the requested restriction </w:t>
      </w:r>
      <w:r>
        <w:rPr>
          <w:lang w:val="en-GB"/>
        </w:rPr>
        <w:t xml:space="preserve">was broader </w:t>
      </w:r>
      <w:r w:rsidR="001A4A35">
        <w:rPr>
          <w:lang w:val="en-GB"/>
        </w:rPr>
        <w:t xml:space="preserve">with patients able to </w:t>
      </w:r>
      <w:r>
        <w:rPr>
          <w:lang w:val="en-GB"/>
        </w:rPr>
        <w:t>continu</w:t>
      </w:r>
      <w:r w:rsidR="001A4A35">
        <w:rPr>
          <w:lang w:val="en-GB"/>
        </w:rPr>
        <w:t>e ve</w:t>
      </w:r>
      <w:r w:rsidR="00772600" w:rsidRPr="00772600">
        <w:rPr>
          <w:lang w:val="en-GB"/>
        </w:rPr>
        <w:t xml:space="preserve">dolizumab </w:t>
      </w:r>
      <w:r w:rsidR="001A4A35">
        <w:rPr>
          <w:lang w:val="en-GB"/>
        </w:rPr>
        <w:t>if they</w:t>
      </w:r>
      <w:r w:rsidR="00772600" w:rsidRPr="00772600">
        <w:rPr>
          <w:lang w:val="en-GB"/>
        </w:rPr>
        <w:t xml:space="preserve"> experienc</w:t>
      </w:r>
      <w:r w:rsidR="001A4A35">
        <w:rPr>
          <w:lang w:val="en-GB"/>
        </w:rPr>
        <w:t>ed</w:t>
      </w:r>
      <w:r w:rsidR="00772600" w:rsidRPr="00772600">
        <w:rPr>
          <w:lang w:val="en-GB"/>
        </w:rPr>
        <w:t xml:space="preserve"> an “adequate response” (no definition was specified in the proposed restriction). The ESC considered that, </w:t>
      </w:r>
      <w:r w:rsidR="001A4A35">
        <w:rPr>
          <w:lang w:val="en-GB"/>
        </w:rPr>
        <w:t>given the proposed</w:t>
      </w:r>
      <w:r w:rsidR="00772600" w:rsidRPr="00772600">
        <w:rPr>
          <w:lang w:val="en-GB"/>
        </w:rPr>
        <w:t xml:space="preserve"> continuing restriction, </w:t>
      </w:r>
      <w:r w:rsidR="001A4A35">
        <w:rPr>
          <w:lang w:val="en-GB"/>
        </w:rPr>
        <w:t xml:space="preserve">it would be more appropriate for the </w:t>
      </w:r>
      <w:r w:rsidR="00772600" w:rsidRPr="00772600">
        <w:rPr>
          <w:lang w:val="en-GB"/>
        </w:rPr>
        <w:t xml:space="preserve">model </w:t>
      </w:r>
      <w:r w:rsidR="001A4A35">
        <w:rPr>
          <w:lang w:val="en-GB"/>
        </w:rPr>
        <w:t>to</w:t>
      </w:r>
      <w:r w:rsidR="00772600" w:rsidRPr="00772600">
        <w:rPr>
          <w:lang w:val="en-GB"/>
        </w:rPr>
        <w:t xml:space="preserve"> assume </w:t>
      </w:r>
      <w:r w:rsidR="006D7631">
        <w:rPr>
          <w:lang w:val="en-GB"/>
        </w:rPr>
        <w:t xml:space="preserve">that </w:t>
      </w:r>
      <w:r w:rsidR="00772600" w:rsidRPr="00772600">
        <w:rPr>
          <w:lang w:val="en-GB"/>
        </w:rPr>
        <w:t>patients</w:t>
      </w:r>
      <w:r w:rsidR="001A4A35">
        <w:rPr>
          <w:lang w:val="en-GB"/>
        </w:rPr>
        <w:t xml:space="preserve"> with</w:t>
      </w:r>
      <w:r w:rsidR="00772600" w:rsidRPr="00772600">
        <w:rPr>
          <w:lang w:val="en-GB"/>
        </w:rPr>
        <w:t xml:space="preserve"> </w:t>
      </w:r>
      <w:r w:rsidR="001A4A35">
        <w:rPr>
          <w:lang w:val="en-GB"/>
        </w:rPr>
        <w:t>‘</w:t>
      </w:r>
      <w:r w:rsidR="001A4A35" w:rsidRPr="00772600">
        <w:rPr>
          <w:lang w:val="en-GB"/>
        </w:rPr>
        <w:t>partial mPDAI-defined response</w:t>
      </w:r>
      <w:r w:rsidR="001A4A35">
        <w:rPr>
          <w:lang w:val="en-GB"/>
        </w:rPr>
        <w:t xml:space="preserve">’ would also continue vedolizumab. </w:t>
      </w:r>
    </w:p>
    <w:p w14:paraId="47B3BAE1" w14:textId="533A688E" w:rsidR="00772600" w:rsidRPr="00772600" w:rsidRDefault="00772600" w:rsidP="00772600">
      <w:pPr>
        <w:pStyle w:val="3-BodyText"/>
        <w:numPr>
          <w:ilvl w:val="3"/>
          <w:numId w:val="10"/>
        </w:numPr>
        <w:ind w:left="1134" w:hanging="283"/>
        <w:rPr>
          <w:lang w:val="en-GB"/>
        </w:rPr>
      </w:pPr>
      <w:r w:rsidRPr="00772600">
        <w:rPr>
          <w:lang w:val="en-GB"/>
        </w:rPr>
        <w:t>The vedolizumab group was split into two further treatment arms (VEDO and SOC)</w:t>
      </w:r>
      <w:r w:rsidR="001A4A35">
        <w:rPr>
          <w:lang w:val="en-GB"/>
        </w:rPr>
        <w:t>. W</w:t>
      </w:r>
      <w:r w:rsidRPr="00772600">
        <w:rPr>
          <w:lang w:val="en-GB"/>
        </w:rPr>
        <w:t>hen patients in the vedolizumab group cease</w:t>
      </w:r>
      <w:r w:rsidR="001A4A35">
        <w:rPr>
          <w:lang w:val="en-GB"/>
        </w:rPr>
        <w:t>d</w:t>
      </w:r>
      <w:r w:rsidRPr="00772600">
        <w:rPr>
          <w:lang w:val="en-GB"/>
        </w:rPr>
        <w:t xml:space="preserve"> vedolizumab</w:t>
      </w:r>
      <w:r w:rsidR="001A4A35">
        <w:rPr>
          <w:lang w:val="en-GB"/>
        </w:rPr>
        <w:t xml:space="preserve">, </w:t>
      </w:r>
      <w:r w:rsidRPr="00772600">
        <w:rPr>
          <w:lang w:val="en-GB"/>
        </w:rPr>
        <w:t xml:space="preserve">the transition probabilities for the SOC group </w:t>
      </w:r>
      <w:r w:rsidR="001A4A35">
        <w:rPr>
          <w:lang w:val="en-GB"/>
        </w:rPr>
        <w:t>we</w:t>
      </w:r>
      <w:r w:rsidRPr="00772600">
        <w:rPr>
          <w:lang w:val="en-GB"/>
        </w:rPr>
        <w:t xml:space="preserve">re applied, which </w:t>
      </w:r>
      <w:r w:rsidR="001A4A35">
        <w:rPr>
          <w:lang w:val="en-GB"/>
        </w:rPr>
        <w:t>wa</w:t>
      </w:r>
      <w:r w:rsidRPr="00772600">
        <w:rPr>
          <w:lang w:val="en-GB"/>
        </w:rPr>
        <w:t>s associated with a large placebo effect</w:t>
      </w:r>
      <w:r w:rsidR="00DB75CF">
        <w:rPr>
          <w:lang w:val="en-GB"/>
        </w:rPr>
        <w:t xml:space="preserve">. </w:t>
      </w:r>
    </w:p>
    <w:p w14:paraId="2FFB2BD8" w14:textId="0DB3925B" w:rsidR="00DE7F7B" w:rsidRPr="006D7631" w:rsidRDefault="00772600" w:rsidP="00DE7F7B">
      <w:pPr>
        <w:pStyle w:val="3-BodyText"/>
        <w:rPr>
          <w:lang w:val="en-GB"/>
        </w:rPr>
      </w:pPr>
      <w:r w:rsidRPr="00DB75CF">
        <w:rPr>
          <w:lang w:val="en-GB"/>
        </w:rPr>
        <w:t xml:space="preserve">The </w:t>
      </w:r>
      <w:r w:rsidR="00DB75CF" w:rsidRPr="00DB75CF">
        <w:rPr>
          <w:lang w:val="en-GB"/>
        </w:rPr>
        <w:t xml:space="preserve">PBAC noted that the </w:t>
      </w:r>
      <w:r w:rsidRPr="00DB75CF">
        <w:rPr>
          <w:lang w:val="en-GB"/>
        </w:rPr>
        <w:t xml:space="preserve">pre-PBAC response presented </w:t>
      </w:r>
      <w:r w:rsidR="00DB75CF">
        <w:rPr>
          <w:lang w:val="en-GB"/>
        </w:rPr>
        <w:t xml:space="preserve">a range of </w:t>
      </w:r>
      <w:r w:rsidRPr="00DB75CF">
        <w:rPr>
          <w:lang w:val="en-GB"/>
        </w:rPr>
        <w:t xml:space="preserve">multivariate sensitivity analyses that included the revised price and addressed </w:t>
      </w:r>
      <w:r w:rsidR="00DB75CF">
        <w:rPr>
          <w:lang w:val="en-GB"/>
        </w:rPr>
        <w:t xml:space="preserve">the three </w:t>
      </w:r>
      <w:r w:rsidRPr="00DB75CF">
        <w:rPr>
          <w:lang w:val="en-GB"/>
        </w:rPr>
        <w:t xml:space="preserve">key issues </w:t>
      </w:r>
      <w:r w:rsidR="00C77F8D">
        <w:rPr>
          <w:lang w:val="en-GB"/>
        </w:rPr>
        <w:t xml:space="preserve">raised by ESC </w:t>
      </w:r>
      <w:r w:rsidR="00DB75CF">
        <w:rPr>
          <w:lang w:val="en-GB"/>
        </w:rPr>
        <w:t xml:space="preserve">by: </w:t>
      </w:r>
      <w:r w:rsidRPr="00DB75CF">
        <w:rPr>
          <w:lang w:val="en-GB"/>
        </w:rPr>
        <w:t>applying a shorter time horizon</w:t>
      </w:r>
      <w:r w:rsidR="001A4A35">
        <w:rPr>
          <w:lang w:val="en-GB"/>
        </w:rPr>
        <w:t xml:space="preserve"> (five years)</w:t>
      </w:r>
      <w:r w:rsidRPr="00DB75CF">
        <w:rPr>
          <w:lang w:val="en-GB"/>
        </w:rPr>
        <w:t xml:space="preserve">; </w:t>
      </w:r>
      <w:r w:rsidR="00DB75CF">
        <w:rPr>
          <w:lang w:val="en-GB"/>
        </w:rPr>
        <w:t xml:space="preserve">adjusting the </w:t>
      </w:r>
      <w:r w:rsidRPr="00DB75CF">
        <w:rPr>
          <w:lang w:val="en-GB"/>
        </w:rPr>
        <w:t>continuation criteria applied in the model</w:t>
      </w:r>
      <w:r w:rsidR="001A4A35">
        <w:rPr>
          <w:lang w:val="en-GB"/>
        </w:rPr>
        <w:t xml:space="preserve"> (to be based on ‘</w:t>
      </w:r>
      <w:r w:rsidR="001A4A35" w:rsidRPr="00772600">
        <w:rPr>
          <w:lang w:val="en-GB"/>
        </w:rPr>
        <w:t>partial mPDAI-defined response</w:t>
      </w:r>
      <w:r w:rsidR="001A4A35">
        <w:rPr>
          <w:lang w:val="en-GB"/>
        </w:rPr>
        <w:t>’ rather than ‘</w:t>
      </w:r>
      <w:r w:rsidR="001A4A35" w:rsidRPr="00772600">
        <w:rPr>
          <w:lang w:val="en-GB"/>
        </w:rPr>
        <w:t>mPDAI-defined remission</w:t>
      </w:r>
      <w:r w:rsidR="001A4A35">
        <w:rPr>
          <w:lang w:val="en-GB"/>
        </w:rPr>
        <w:t>’)</w:t>
      </w:r>
      <w:r w:rsidRPr="00DB75CF">
        <w:rPr>
          <w:lang w:val="en-GB"/>
        </w:rPr>
        <w:t xml:space="preserve">; and </w:t>
      </w:r>
      <w:r w:rsidR="00DB75CF">
        <w:rPr>
          <w:lang w:val="en-GB"/>
        </w:rPr>
        <w:t xml:space="preserve">applying alternative </w:t>
      </w:r>
      <w:r w:rsidRPr="00DB75CF">
        <w:rPr>
          <w:lang w:val="en-GB"/>
        </w:rPr>
        <w:t>extrapolation method</w:t>
      </w:r>
      <w:r w:rsidR="00DB75CF">
        <w:rPr>
          <w:lang w:val="en-GB"/>
        </w:rPr>
        <w:t>s</w:t>
      </w:r>
      <w:r w:rsidR="001A4A35">
        <w:rPr>
          <w:lang w:val="en-GB"/>
        </w:rPr>
        <w:t xml:space="preserve"> which removed the issues associated with patients ceasing vedolizumab experiencing </w:t>
      </w:r>
      <w:r w:rsidR="001A4A35" w:rsidRPr="006D7631">
        <w:rPr>
          <w:lang w:val="en-GB"/>
        </w:rPr>
        <w:t>a placebo effect</w:t>
      </w:r>
      <w:r w:rsidRPr="00DB75CF">
        <w:rPr>
          <w:lang w:val="en-GB"/>
        </w:rPr>
        <w:t xml:space="preserve">. </w:t>
      </w:r>
      <w:r w:rsidR="00DE7F7B" w:rsidRPr="006D7631">
        <w:rPr>
          <w:lang w:val="en-GB"/>
        </w:rPr>
        <w:t>The PBAC also noted the revised price proposed in the pre-PBAC response was lower than the price of vedolizumab for Crohn’s disease.</w:t>
      </w:r>
      <w:r w:rsidR="00DE7F7B">
        <w:rPr>
          <w:lang w:val="en-GB"/>
        </w:rPr>
        <w:t xml:space="preserve"> </w:t>
      </w:r>
      <w:r w:rsidR="00DE7F7B" w:rsidRPr="006D7631">
        <w:rPr>
          <w:lang w:val="en-GB"/>
        </w:rPr>
        <w:t>Overall, in the context of the high clinical need and small patient population, the PBAC considered vedolizumab was likely cost-effective at the price proposed in the pre-PBAC response.</w:t>
      </w:r>
    </w:p>
    <w:p w14:paraId="277DB110" w14:textId="1A91C5AB" w:rsidR="00172D8F" w:rsidRDefault="00172D8F" w:rsidP="00F559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financial estimates were generally reasonable but that the following </w:t>
      </w:r>
      <w:r w:rsidR="004C0920">
        <w:rPr>
          <w:rFonts w:asciiTheme="minorHAnsi" w:hAnsiTheme="minorHAnsi"/>
          <w:snapToGrid w:val="0"/>
          <w:lang w:val="en-GB"/>
        </w:rPr>
        <w:t>assumption</w:t>
      </w:r>
      <w:r>
        <w:rPr>
          <w:rFonts w:asciiTheme="minorHAnsi" w:hAnsiTheme="minorHAnsi"/>
          <w:snapToGrid w:val="0"/>
          <w:lang w:val="en-GB"/>
        </w:rPr>
        <w:t>s would be more appropriate:</w:t>
      </w:r>
    </w:p>
    <w:p w14:paraId="2126BC07" w14:textId="0F353B62" w:rsidR="00172D8F" w:rsidRDefault="00172D8F" w:rsidP="00172D8F">
      <w:pPr>
        <w:pStyle w:val="3-BodyText"/>
        <w:numPr>
          <w:ilvl w:val="3"/>
          <w:numId w:val="10"/>
        </w:numPr>
        <w:ind w:left="1134" w:hanging="283"/>
        <w:rPr>
          <w:lang w:val="en-GB"/>
        </w:rPr>
      </w:pPr>
      <w:r w:rsidRPr="00172D8F">
        <w:rPr>
          <w:lang w:val="en-GB"/>
        </w:rPr>
        <w:t>patients who previously failed vedolizumab for pouchitis should not be permitted to re-trial PBS-subsidised vedolizumab</w:t>
      </w:r>
      <w:r>
        <w:rPr>
          <w:lang w:val="en-GB"/>
        </w:rPr>
        <w:t>.</w:t>
      </w:r>
    </w:p>
    <w:p w14:paraId="3F76A724" w14:textId="5A3ECFCC" w:rsidR="00172D8F" w:rsidRDefault="00172D8F" w:rsidP="00172D8F">
      <w:pPr>
        <w:pStyle w:val="3-BodyText"/>
        <w:numPr>
          <w:ilvl w:val="3"/>
          <w:numId w:val="10"/>
        </w:numPr>
        <w:ind w:left="1134" w:hanging="283"/>
        <w:rPr>
          <w:lang w:val="en-GB"/>
        </w:rPr>
      </w:pPr>
      <w:r>
        <w:rPr>
          <w:lang w:val="en-GB"/>
        </w:rPr>
        <w:lastRenderedPageBreak/>
        <w:t xml:space="preserve">the </w:t>
      </w:r>
      <w:r w:rsidRPr="00172D8F">
        <w:rPr>
          <w:lang w:val="en-GB"/>
        </w:rPr>
        <w:t xml:space="preserve">continuation </w:t>
      </w:r>
      <w:r>
        <w:rPr>
          <w:lang w:val="en-GB"/>
        </w:rPr>
        <w:t>rate</w:t>
      </w:r>
      <w:r w:rsidR="00276600">
        <w:rPr>
          <w:lang w:val="en-GB"/>
        </w:rPr>
        <w:t xml:space="preserve"> at 14 weeks (i.e. after the initial treatment period)</w:t>
      </w:r>
      <w:r>
        <w:rPr>
          <w:lang w:val="en-GB"/>
        </w:rPr>
        <w:t xml:space="preserve"> should</w:t>
      </w:r>
      <w:r w:rsidRPr="00172D8F">
        <w:rPr>
          <w:lang w:val="en-GB"/>
        </w:rPr>
        <w:t xml:space="preserve"> be based on the proportion of patients in the trial who experienced ‘partial mPDAI-defined response’ at Week 14 (62.7%), rather than ‘mPDAI-defined remission’.</w:t>
      </w:r>
    </w:p>
    <w:p w14:paraId="6D2936FC" w14:textId="034EEB6B" w:rsidR="00172D8F" w:rsidRDefault="00172D8F" w:rsidP="00172D8F">
      <w:pPr>
        <w:pStyle w:val="3-BodyText"/>
        <w:numPr>
          <w:ilvl w:val="3"/>
          <w:numId w:val="10"/>
        </w:numPr>
        <w:ind w:left="1134" w:hanging="283"/>
        <w:rPr>
          <w:lang w:val="en-GB"/>
        </w:rPr>
      </w:pPr>
      <w:r w:rsidRPr="00172D8F">
        <w:rPr>
          <w:lang w:val="en-GB"/>
        </w:rPr>
        <w:t xml:space="preserve">long-term continuation </w:t>
      </w:r>
      <w:r w:rsidR="00276600">
        <w:rPr>
          <w:lang w:val="en-GB"/>
        </w:rPr>
        <w:t xml:space="preserve">(beyond 14 weeks) </w:t>
      </w:r>
      <w:r>
        <w:rPr>
          <w:lang w:val="en-GB"/>
        </w:rPr>
        <w:t xml:space="preserve">should </w:t>
      </w:r>
      <w:r w:rsidRPr="00172D8F">
        <w:rPr>
          <w:lang w:val="en-GB"/>
        </w:rPr>
        <w:t>be based on the proportion of patients in the trial who experienced ‘partial mPDAI-defined response’ at Week 34 (51.0%)</w:t>
      </w:r>
      <w:r>
        <w:rPr>
          <w:lang w:val="en-GB"/>
        </w:rPr>
        <w:t>, in the absence of more reliable l</w:t>
      </w:r>
      <w:r w:rsidRPr="00172D8F">
        <w:rPr>
          <w:lang w:val="en-GB"/>
        </w:rPr>
        <w:t>ong-term data</w:t>
      </w:r>
      <w:r>
        <w:rPr>
          <w:lang w:val="en-GB"/>
        </w:rPr>
        <w:t>.</w:t>
      </w:r>
    </w:p>
    <w:p w14:paraId="2E60DD49" w14:textId="4F790F6D" w:rsidR="002358C6" w:rsidRDefault="002358C6" w:rsidP="00F55938">
      <w:pPr>
        <w:widowControl w:val="0"/>
        <w:numPr>
          <w:ilvl w:val="1"/>
          <w:numId w:val="1"/>
        </w:numPr>
        <w:spacing w:after="120"/>
        <w:rPr>
          <w:rFonts w:asciiTheme="minorHAnsi" w:hAnsiTheme="minorHAnsi"/>
          <w:snapToGrid w:val="0"/>
          <w:lang w:val="en-GB"/>
        </w:rPr>
      </w:pPr>
      <w:r w:rsidRPr="002358C6">
        <w:rPr>
          <w:rFonts w:asciiTheme="minorHAnsi" w:hAnsiTheme="minorHAnsi"/>
          <w:snapToGrid w:val="0"/>
          <w:lang w:val="en-GB"/>
        </w:rPr>
        <w:t xml:space="preserve">The PBAC </w:t>
      </w:r>
      <w:r w:rsidR="00172D8F">
        <w:rPr>
          <w:rFonts w:asciiTheme="minorHAnsi" w:hAnsiTheme="minorHAnsi"/>
          <w:snapToGrid w:val="0"/>
          <w:lang w:val="en-GB"/>
        </w:rPr>
        <w:t>noted that, with the revised price proposed in the pre-PBAC response and the combined impact of the above changes, the estimated financial impact to the PBS/RPBS would be around $</w:t>
      </w:r>
      <w:r w:rsidR="002433D0" w:rsidRPr="002433D0">
        <w:rPr>
          <w:rFonts w:asciiTheme="minorHAnsi" w:hAnsiTheme="minorHAnsi"/>
          <w:snapToGrid w:val="0"/>
          <w:lang w:val="en-GB"/>
        </w:rPr>
        <w:t>0 to &lt; $10 million</w:t>
      </w:r>
      <w:r w:rsidR="00E96B9F">
        <w:rPr>
          <w:rFonts w:asciiTheme="minorHAnsi" w:hAnsiTheme="minorHAnsi"/>
          <w:snapToGrid w:val="0"/>
          <w:lang w:val="en-GB"/>
        </w:rPr>
        <w:t xml:space="preserve"> </w:t>
      </w:r>
      <w:r w:rsidR="00172D8F">
        <w:rPr>
          <w:rFonts w:asciiTheme="minorHAnsi" w:hAnsiTheme="minorHAnsi"/>
          <w:snapToGrid w:val="0"/>
          <w:lang w:val="en-GB"/>
        </w:rPr>
        <w:t>to $</w:t>
      </w:r>
      <w:r w:rsidR="002433D0" w:rsidRPr="002433D0">
        <w:rPr>
          <w:rFonts w:asciiTheme="minorHAnsi" w:hAnsiTheme="minorHAnsi"/>
          <w:snapToGrid w:val="0"/>
          <w:lang w:val="en-GB"/>
        </w:rPr>
        <w:t xml:space="preserve">0 to &lt; $10 </w:t>
      </w:r>
      <w:r w:rsidR="00E96B9F" w:rsidRPr="002433D0">
        <w:rPr>
          <w:rFonts w:asciiTheme="minorHAnsi" w:hAnsiTheme="minorHAnsi"/>
          <w:snapToGrid w:val="0"/>
          <w:lang w:val="en-GB"/>
        </w:rPr>
        <w:t>million</w:t>
      </w:r>
      <w:r w:rsidR="00E96B9F">
        <w:rPr>
          <w:rFonts w:asciiTheme="minorHAnsi" w:hAnsiTheme="minorHAnsi"/>
          <w:snapToGrid w:val="0"/>
          <w:lang w:val="en-GB"/>
        </w:rPr>
        <w:t xml:space="preserve"> over</w:t>
      </w:r>
      <w:r w:rsidR="00172D8F">
        <w:rPr>
          <w:rFonts w:asciiTheme="minorHAnsi" w:hAnsiTheme="minorHAnsi"/>
          <w:snapToGrid w:val="0"/>
          <w:lang w:val="en-GB"/>
        </w:rPr>
        <w:t xml:space="preserve"> the first six years of listing. </w:t>
      </w:r>
    </w:p>
    <w:p w14:paraId="0D1AF412" w14:textId="415B34AF" w:rsidR="00C77F8D" w:rsidRDefault="00242708" w:rsidP="00F5593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With regard to the restriction, t</w:t>
      </w:r>
      <w:r w:rsidR="00C77F8D">
        <w:rPr>
          <w:rFonts w:asciiTheme="minorHAnsi" w:hAnsiTheme="minorHAnsi"/>
          <w:snapToGrid w:val="0"/>
          <w:lang w:val="en-GB"/>
        </w:rPr>
        <w:t>he PBAC considered:</w:t>
      </w:r>
    </w:p>
    <w:p w14:paraId="27AF26B1" w14:textId="6C26EB5A" w:rsidR="00C77F8D" w:rsidRDefault="00C77F8D" w:rsidP="00C77F8D">
      <w:pPr>
        <w:pStyle w:val="3-BodyText"/>
        <w:numPr>
          <w:ilvl w:val="3"/>
          <w:numId w:val="10"/>
        </w:numPr>
        <w:ind w:left="1134" w:hanging="283"/>
        <w:rPr>
          <w:lang w:val="en-GB"/>
        </w:rPr>
      </w:pPr>
      <w:r w:rsidRPr="00C77F8D">
        <w:rPr>
          <w:lang w:val="en-GB"/>
        </w:rPr>
        <w:t xml:space="preserve">the </w:t>
      </w:r>
      <w:r>
        <w:rPr>
          <w:lang w:val="en-GB"/>
        </w:rPr>
        <w:t>i</w:t>
      </w:r>
      <w:r w:rsidRPr="00C77F8D">
        <w:rPr>
          <w:lang w:val="en-GB"/>
        </w:rPr>
        <w:t xml:space="preserve">nitial PBS restriction </w:t>
      </w:r>
      <w:r>
        <w:rPr>
          <w:lang w:val="en-GB"/>
        </w:rPr>
        <w:t xml:space="preserve">should </w:t>
      </w:r>
      <w:r w:rsidRPr="00C77F8D">
        <w:rPr>
          <w:lang w:val="en-GB"/>
        </w:rPr>
        <w:t xml:space="preserve">require patients to have an mPDAI total score </w:t>
      </w:r>
      <w:r w:rsidR="0034504B">
        <w:rPr>
          <w:lang w:val="en-GB"/>
        </w:rPr>
        <w:t xml:space="preserve">of </w:t>
      </w:r>
      <w:r w:rsidRPr="00C77F8D">
        <w:rPr>
          <w:lang w:val="en-GB"/>
        </w:rPr>
        <w:t xml:space="preserve">5 </w:t>
      </w:r>
      <w:r w:rsidR="0034504B">
        <w:rPr>
          <w:lang w:val="en-GB"/>
        </w:rPr>
        <w:t xml:space="preserve">or more </w:t>
      </w:r>
      <w:r w:rsidRPr="00C77F8D">
        <w:rPr>
          <w:lang w:val="en-GB"/>
        </w:rPr>
        <w:t xml:space="preserve">with a minimum endoscopic sub-score of 2, </w:t>
      </w:r>
      <w:r>
        <w:rPr>
          <w:lang w:val="en-GB"/>
        </w:rPr>
        <w:t xml:space="preserve">as proposed </w:t>
      </w:r>
      <w:r w:rsidR="00242708">
        <w:rPr>
          <w:lang w:val="en-GB"/>
        </w:rPr>
        <w:t>in</w:t>
      </w:r>
      <w:r>
        <w:rPr>
          <w:lang w:val="en-GB"/>
        </w:rPr>
        <w:t xml:space="preserve"> the submission and </w:t>
      </w:r>
      <w:r w:rsidRPr="00C77F8D">
        <w:rPr>
          <w:lang w:val="en-GB"/>
        </w:rPr>
        <w:t>consistent with the clinical trial</w:t>
      </w:r>
      <w:r w:rsidR="00242708">
        <w:rPr>
          <w:lang w:val="en-GB"/>
        </w:rPr>
        <w:t>.</w:t>
      </w:r>
    </w:p>
    <w:p w14:paraId="71CCF27C" w14:textId="2F3F8DE4" w:rsidR="00C77F8D" w:rsidRDefault="00C77F8D" w:rsidP="00C77F8D">
      <w:pPr>
        <w:pStyle w:val="3-BodyText"/>
        <w:numPr>
          <w:ilvl w:val="3"/>
          <w:numId w:val="10"/>
        </w:numPr>
        <w:ind w:left="1134" w:hanging="283"/>
        <w:rPr>
          <w:lang w:val="en-GB"/>
        </w:rPr>
      </w:pPr>
      <w:r>
        <w:rPr>
          <w:lang w:val="en-GB"/>
        </w:rPr>
        <w:t xml:space="preserve">the </w:t>
      </w:r>
      <w:r w:rsidRPr="00C77F8D">
        <w:rPr>
          <w:lang w:val="en-GB"/>
        </w:rPr>
        <w:t>continuing</w:t>
      </w:r>
      <w:r>
        <w:rPr>
          <w:lang w:val="en-GB"/>
        </w:rPr>
        <w:t xml:space="preserve"> PBS restriction should require patients to </w:t>
      </w:r>
      <w:r w:rsidR="00407526" w:rsidRPr="00407526">
        <w:rPr>
          <w:lang w:val="en-GB"/>
        </w:rPr>
        <w:t>demonstrate or sustain a partial or complete response</w:t>
      </w:r>
      <w:r w:rsidR="00407526">
        <w:rPr>
          <w:lang w:val="en-GB"/>
        </w:rPr>
        <w:t>,</w:t>
      </w:r>
      <w:r w:rsidR="00407526" w:rsidRPr="00407526">
        <w:t xml:space="preserve"> </w:t>
      </w:r>
      <w:r w:rsidR="00407526" w:rsidRPr="00407526">
        <w:rPr>
          <w:lang w:val="en-GB"/>
        </w:rPr>
        <w:t>as determined by the treating clinician</w:t>
      </w:r>
      <w:r w:rsidR="00407526">
        <w:rPr>
          <w:lang w:val="en-GB"/>
        </w:rPr>
        <w:t xml:space="preserve">. As proposed in the submission, the PBAC considered that </w:t>
      </w:r>
      <w:r w:rsidR="00407526" w:rsidRPr="00407526">
        <w:rPr>
          <w:lang w:val="en-GB"/>
        </w:rPr>
        <w:t>response</w:t>
      </w:r>
      <w:r w:rsidR="00407526">
        <w:rPr>
          <w:lang w:val="en-GB"/>
        </w:rPr>
        <w:t xml:space="preserve"> should not be defined in the </w:t>
      </w:r>
      <w:r w:rsidR="00D7236A">
        <w:rPr>
          <w:lang w:val="en-GB"/>
        </w:rPr>
        <w:t>restriction and</w:t>
      </w:r>
      <w:r w:rsidR="004A61EB">
        <w:rPr>
          <w:lang w:val="en-GB"/>
        </w:rPr>
        <w:t xml:space="preserve"> </w:t>
      </w:r>
      <w:r w:rsidR="00407526">
        <w:rPr>
          <w:lang w:val="en-GB"/>
        </w:rPr>
        <w:t>should instead</w:t>
      </w:r>
      <w:r>
        <w:rPr>
          <w:lang w:val="en-GB"/>
        </w:rPr>
        <w:t xml:space="preserve"> rely on </w:t>
      </w:r>
      <w:r w:rsidR="00CC317F">
        <w:rPr>
          <w:lang w:val="en-GB"/>
        </w:rPr>
        <w:t xml:space="preserve">the </w:t>
      </w:r>
      <w:r>
        <w:rPr>
          <w:lang w:val="en-GB"/>
        </w:rPr>
        <w:t>clinician</w:t>
      </w:r>
      <w:r w:rsidR="00CC317F">
        <w:rPr>
          <w:lang w:val="en-GB"/>
        </w:rPr>
        <w:t>’s</w:t>
      </w:r>
      <w:r>
        <w:rPr>
          <w:lang w:val="en-GB"/>
        </w:rPr>
        <w:t xml:space="preserve"> judgement</w:t>
      </w:r>
      <w:r w:rsidR="00407526">
        <w:rPr>
          <w:lang w:val="en-GB"/>
        </w:rPr>
        <w:t>. The PBAC considered it would be reasonable for decisions around continuation of therapy to be based on</w:t>
      </w:r>
      <w:r>
        <w:rPr>
          <w:lang w:val="en-GB"/>
        </w:rPr>
        <w:t xml:space="preserve"> symptoms alone</w:t>
      </w:r>
      <w:r w:rsidR="00407526">
        <w:rPr>
          <w:lang w:val="en-GB"/>
        </w:rPr>
        <w:t xml:space="preserve">, without the need for six-monthly endoscopies given these are likely performed less </w:t>
      </w:r>
      <w:r w:rsidR="00276600">
        <w:rPr>
          <w:lang w:val="en-GB"/>
        </w:rPr>
        <w:t>frequently</w:t>
      </w:r>
      <w:r w:rsidR="00407526">
        <w:rPr>
          <w:lang w:val="en-GB"/>
        </w:rPr>
        <w:t xml:space="preserve"> </w:t>
      </w:r>
      <w:r w:rsidR="00242708">
        <w:rPr>
          <w:lang w:val="en-GB"/>
        </w:rPr>
        <w:t xml:space="preserve">in routine </w:t>
      </w:r>
      <w:r w:rsidR="00407526">
        <w:rPr>
          <w:lang w:val="en-GB"/>
        </w:rPr>
        <w:t xml:space="preserve">clinical practice. </w:t>
      </w:r>
    </w:p>
    <w:p w14:paraId="7AFBB3F2" w14:textId="2B1A9A16" w:rsidR="00C77F8D" w:rsidRDefault="00242708" w:rsidP="00C77F8D">
      <w:pPr>
        <w:pStyle w:val="3-BodyText"/>
        <w:numPr>
          <w:ilvl w:val="3"/>
          <w:numId w:val="10"/>
        </w:numPr>
        <w:ind w:left="1134" w:hanging="283"/>
        <w:rPr>
          <w:lang w:val="en-GB"/>
        </w:rPr>
      </w:pPr>
      <w:r>
        <w:rPr>
          <w:lang w:val="en-GB"/>
        </w:rPr>
        <w:t xml:space="preserve">the restriction should </w:t>
      </w:r>
      <w:r w:rsidR="00C77F8D">
        <w:rPr>
          <w:lang w:val="en-GB"/>
        </w:rPr>
        <w:t>allow recommencement of vedolizumab</w:t>
      </w:r>
      <w:r w:rsidR="00CC317F">
        <w:rPr>
          <w:lang w:val="en-GB"/>
        </w:rPr>
        <w:t xml:space="preserve"> (initial 2 treatment phase)</w:t>
      </w:r>
      <w:r w:rsidR="00C77F8D">
        <w:rPr>
          <w:lang w:val="en-GB"/>
        </w:rPr>
        <w:t xml:space="preserve"> following a treatment break in those patients who </w:t>
      </w:r>
      <w:r w:rsidR="00CC317F">
        <w:rPr>
          <w:lang w:val="en-GB"/>
        </w:rPr>
        <w:t xml:space="preserve">would have </w:t>
      </w:r>
      <w:r w:rsidR="00C77F8D">
        <w:rPr>
          <w:lang w:val="en-GB"/>
        </w:rPr>
        <w:t>cease</w:t>
      </w:r>
      <w:r w:rsidR="00CC317F">
        <w:rPr>
          <w:lang w:val="en-GB"/>
        </w:rPr>
        <w:t>d</w:t>
      </w:r>
      <w:r w:rsidR="00C77F8D">
        <w:rPr>
          <w:lang w:val="en-GB"/>
        </w:rPr>
        <w:t xml:space="preserve"> due to reasons other than </w:t>
      </w:r>
      <w:r w:rsidR="00C77F8D" w:rsidRPr="00C77F8D">
        <w:rPr>
          <w:lang w:val="en-GB"/>
        </w:rPr>
        <w:t>failure to maintain an adequate treatment response</w:t>
      </w:r>
      <w:r w:rsidR="00C77F8D">
        <w:rPr>
          <w:lang w:val="en-GB"/>
        </w:rPr>
        <w:t>. The PBAC considered that there should be no requirement for these patients to re-trial antibiotics</w:t>
      </w:r>
      <w:r>
        <w:rPr>
          <w:lang w:val="en-GB"/>
        </w:rPr>
        <w:t xml:space="preserve"> </w:t>
      </w:r>
      <w:r w:rsidR="00656AB8">
        <w:rPr>
          <w:lang w:val="en-GB"/>
        </w:rPr>
        <w:t>prior to</w:t>
      </w:r>
      <w:r w:rsidR="008F7CBB">
        <w:rPr>
          <w:lang w:val="en-GB"/>
        </w:rPr>
        <w:t xml:space="preserve"> re-initiating </w:t>
      </w:r>
      <w:r w:rsidR="00656AB8">
        <w:rPr>
          <w:lang w:val="en-GB"/>
        </w:rPr>
        <w:t xml:space="preserve">vedolizumab, but that </w:t>
      </w:r>
      <w:r w:rsidR="00782854">
        <w:rPr>
          <w:lang w:val="en-GB"/>
        </w:rPr>
        <w:t>vedolizumab</w:t>
      </w:r>
      <w:r w:rsidR="00656AB8">
        <w:rPr>
          <w:lang w:val="en-GB"/>
        </w:rPr>
        <w:t xml:space="preserve"> should be recommenced in </w:t>
      </w:r>
      <w:r w:rsidR="00656AB8" w:rsidRPr="008F7CBB">
        <w:rPr>
          <w:lang w:val="en-GB"/>
        </w:rPr>
        <w:t>combination with standard of care antibiotic</w:t>
      </w:r>
      <w:r w:rsidR="00656AB8">
        <w:rPr>
          <w:lang w:val="en-GB"/>
        </w:rPr>
        <w:t xml:space="preserve"> therapy (given the Product Information states ‘</w:t>
      </w:r>
      <w:r w:rsidR="00656AB8" w:rsidRPr="00656AB8">
        <w:rPr>
          <w:lang w:val="en-GB"/>
        </w:rPr>
        <w:t>vedolizumab should be initiated in parallel with standard of care antibiotic</w:t>
      </w:r>
      <w:r w:rsidR="00656AB8">
        <w:rPr>
          <w:lang w:val="en-GB"/>
        </w:rPr>
        <w:t xml:space="preserve">’). In addition, the PBAC considered there should </w:t>
      </w:r>
      <w:r w:rsidR="00782854">
        <w:rPr>
          <w:lang w:val="en-GB"/>
        </w:rPr>
        <w:t xml:space="preserve">not </w:t>
      </w:r>
      <w:r w:rsidR="00656AB8">
        <w:rPr>
          <w:lang w:val="en-GB"/>
        </w:rPr>
        <w:t xml:space="preserve">be </w:t>
      </w:r>
      <w:r w:rsidR="00782854">
        <w:rPr>
          <w:lang w:val="en-GB"/>
        </w:rPr>
        <w:t>a</w:t>
      </w:r>
      <w:r w:rsidR="00656AB8">
        <w:rPr>
          <w:lang w:val="en-GB"/>
        </w:rPr>
        <w:t xml:space="preserve"> requirement for patients recommencing </w:t>
      </w:r>
      <w:r w:rsidR="00782854">
        <w:rPr>
          <w:lang w:val="en-GB"/>
        </w:rPr>
        <w:t xml:space="preserve">therapy </w:t>
      </w:r>
      <w:r w:rsidR="00656AB8">
        <w:rPr>
          <w:lang w:val="en-GB"/>
        </w:rPr>
        <w:t xml:space="preserve">following a treatment break to </w:t>
      </w:r>
      <w:r w:rsidR="008F7CBB">
        <w:rPr>
          <w:lang w:val="en-GB"/>
        </w:rPr>
        <w:t xml:space="preserve">have a </w:t>
      </w:r>
      <w:r w:rsidR="008F7CBB" w:rsidRPr="00C77F8D">
        <w:rPr>
          <w:lang w:val="en-GB"/>
        </w:rPr>
        <w:t xml:space="preserve">mPDAI total score </w:t>
      </w:r>
      <w:r w:rsidR="008F7CBB">
        <w:rPr>
          <w:lang w:val="en-GB"/>
        </w:rPr>
        <w:t xml:space="preserve">of </w:t>
      </w:r>
      <w:r w:rsidR="008F7CBB" w:rsidRPr="00C77F8D">
        <w:rPr>
          <w:lang w:val="en-GB"/>
        </w:rPr>
        <w:t xml:space="preserve">5 </w:t>
      </w:r>
      <w:r w:rsidR="008F7CBB">
        <w:rPr>
          <w:lang w:val="en-GB"/>
        </w:rPr>
        <w:t xml:space="preserve">or more </w:t>
      </w:r>
      <w:r w:rsidR="008F7CBB" w:rsidRPr="00C77F8D">
        <w:rPr>
          <w:lang w:val="en-GB"/>
        </w:rPr>
        <w:t>with a minimum endoscopic sub-score of 2</w:t>
      </w:r>
      <w:r w:rsidR="00267F43">
        <w:rPr>
          <w:lang w:val="en-GB"/>
        </w:rPr>
        <w:t xml:space="preserve">. </w:t>
      </w:r>
    </w:p>
    <w:p w14:paraId="605C4060" w14:textId="4312E5CD" w:rsidR="00C77F8D" w:rsidRDefault="00242708" w:rsidP="00C77F8D">
      <w:pPr>
        <w:pStyle w:val="3-BodyText"/>
        <w:numPr>
          <w:ilvl w:val="3"/>
          <w:numId w:val="10"/>
        </w:numPr>
        <w:ind w:left="1134" w:hanging="283"/>
        <w:rPr>
          <w:lang w:val="en-GB"/>
        </w:rPr>
      </w:pPr>
      <w:r>
        <w:rPr>
          <w:lang w:val="en-GB"/>
        </w:rPr>
        <w:t xml:space="preserve">the restriction should </w:t>
      </w:r>
      <w:r w:rsidR="00C77F8D">
        <w:rPr>
          <w:lang w:val="en-GB"/>
        </w:rPr>
        <w:t xml:space="preserve">not allow recommencement of vedolizumab </w:t>
      </w:r>
      <w:r w:rsidR="00C77F8D" w:rsidRPr="00C77F8D">
        <w:rPr>
          <w:lang w:val="en-GB"/>
        </w:rPr>
        <w:t xml:space="preserve">if it was previously ineffective </w:t>
      </w:r>
      <w:r w:rsidR="00C77F8D">
        <w:rPr>
          <w:lang w:val="en-GB"/>
        </w:rPr>
        <w:t>for this condition</w:t>
      </w:r>
      <w:r w:rsidR="00267F43">
        <w:rPr>
          <w:lang w:val="en-GB"/>
        </w:rPr>
        <w:t xml:space="preserve"> (i.e. in patients who previously</w:t>
      </w:r>
      <w:r w:rsidR="00267F43" w:rsidRPr="00267F43">
        <w:t xml:space="preserve"> </w:t>
      </w:r>
      <w:r w:rsidR="00267F43" w:rsidRPr="00267F43">
        <w:rPr>
          <w:lang w:val="en-GB"/>
        </w:rPr>
        <w:t xml:space="preserve">failed, or ceased to respond to, PBS-subsidised treatment with </w:t>
      </w:r>
      <w:r w:rsidR="00267F43">
        <w:rPr>
          <w:lang w:val="en-GB"/>
        </w:rPr>
        <w:t>vedolizumab</w:t>
      </w:r>
      <w:r w:rsidR="00267F43" w:rsidRPr="00267F43">
        <w:rPr>
          <w:lang w:val="en-GB"/>
        </w:rPr>
        <w:t xml:space="preserve"> for this condition</w:t>
      </w:r>
      <w:r w:rsidR="00267F43">
        <w:rPr>
          <w:lang w:val="en-GB"/>
        </w:rPr>
        <w:t>)</w:t>
      </w:r>
      <w:r w:rsidR="00276600">
        <w:rPr>
          <w:lang w:val="en-GB"/>
        </w:rPr>
        <w:t>.</w:t>
      </w:r>
      <w:r w:rsidR="00C77F8D">
        <w:rPr>
          <w:lang w:val="en-GB"/>
        </w:rPr>
        <w:t xml:space="preserve">  </w:t>
      </w:r>
    </w:p>
    <w:p w14:paraId="481B61B9" w14:textId="753F4B59" w:rsidR="00C77F8D" w:rsidRDefault="00C77F8D" w:rsidP="00C77F8D">
      <w:pPr>
        <w:pStyle w:val="3-BodyText"/>
        <w:numPr>
          <w:ilvl w:val="3"/>
          <w:numId w:val="10"/>
        </w:numPr>
        <w:ind w:left="1134" w:hanging="283"/>
        <w:rPr>
          <w:lang w:val="en-GB"/>
        </w:rPr>
      </w:pPr>
      <w:r>
        <w:rPr>
          <w:lang w:val="en-GB"/>
        </w:rPr>
        <w:lastRenderedPageBreak/>
        <w:t xml:space="preserve">the restriction should not include an age restriction (i.e. remove the </w:t>
      </w:r>
      <w:r w:rsidR="0034504B">
        <w:rPr>
          <w:lang w:val="en-GB"/>
        </w:rPr>
        <w:t xml:space="preserve">following </w:t>
      </w:r>
      <w:r>
        <w:rPr>
          <w:lang w:val="en-GB"/>
        </w:rPr>
        <w:t>population criteria proposed in the submission</w:t>
      </w:r>
      <w:r w:rsidR="0034504B">
        <w:rPr>
          <w:lang w:val="en-GB"/>
        </w:rPr>
        <w:t>:</w:t>
      </w:r>
      <w:r>
        <w:rPr>
          <w:lang w:val="en-GB"/>
        </w:rPr>
        <w:t xml:space="preserve"> </w:t>
      </w:r>
      <w:bookmarkStart w:id="118" w:name="_Hlk172289552"/>
      <w:r>
        <w:rPr>
          <w:lang w:val="en-GB"/>
        </w:rPr>
        <w:t>‘</w:t>
      </w:r>
      <w:r w:rsidRPr="00C77F8D">
        <w:rPr>
          <w:lang w:val="en-GB"/>
        </w:rPr>
        <w:t>Patient must be aged 18 years or older</w:t>
      </w:r>
      <w:r>
        <w:rPr>
          <w:lang w:val="en-GB"/>
        </w:rPr>
        <w:t>’</w:t>
      </w:r>
      <w:bookmarkEnd w:id="118"/>
      <w:r>
        <w:rPr>
          <w:lang w:val="en-GB"/>
        </w:rPr>
        <w:t>)</w:t>
      </w:r>
      <w:r w:rsidR="00242708">
        <w:rPr>
          <w:lang w:val="en-GB"/>
        </w:rPr>
        <w:t>.</w:t>
      </w:r>
    </w:p>
    <w:p w14:paraId="79BF1AD5" w14:textId="355D2330" w:rsidR="002862AD" w:rsidRDefault="002862AD" w:rsidP="00C77F8D">
      <w:pPr>
        <w:pStyle w:val="3-BodyText"/>
        <w:numPr>
          <w:ilvl w:val="3"/>
          <w:numId w:val="10"/>
        </w:numPr>
        <w:ind w:left="1134" w:hanging="283"/>
        <w:rPr>
          <w:lang w:val="en-GB"/>
        </w:rPr>
      </w:pPr>
      <w:r>
        <w:rPr>
          <w:lang w:val="en-GB"/>
        </w:rPr>
        <w:t xml:space="preserve">grandfather </w:t>
      </w:r>
      <w:r w:rsidR="00267F43">
        <w:rPr>
          <w:lang w:val="en-GB"/>
        </w:rPr>
        <w:t xml:space="preserve">and balance of supply </w:t>
      </w:r>
      <w:r w:rsidR="00CC317F">
        <w:rPr>
          <w:lang w:val="en-GB"/>
        </w:rPr>
        <w:t xml:space="preserve">(for initial 1 and 2 treatment) </w:t>
      </w:r>
      <w:r w:rsidR="00267F43">
        <w:rPr>
          <w:lang w:val="en-GB"/>
        </w:rPr>
        <w:t xml:space="preserve">restrictions </w:t>
      </w:r>
      <w:r>
        <w:rPr>
          <w:lang w:val="en-GB"/>
        </w:rPr>
        <w:t>would be appropriate</w:t>
      </w:r>
      <w:r w:rsidR="00242708">
        <w:rPr>
          <w:lang w:val="en-GB"/>
        </w:rPr>
        <w:t>.</w:t>
      </w:r>
      <w:r>
        <w:rPr>
          <w:lang w:val="en-GB"/>
        </w:rPr>
        <w:t xml:space="preserve"> </w:t>
      </w:r>
    </w:p>
    <w:bookmarkEnd w:id="117"/>
    <w:p w14:paraId="205E9B35" w14:textId="62FBE50A" w:rsidR="00F55938" w:rsidRPr="00D121C5" w:rsidRDefault="00F55938" w:rsidP="002358C6">
      <w:pPr>
        <w:widowControl w:val="0"/>
        <w:numPr>
          <w:ilvl w:val="1"/>
          <w:numId w:val="1"/>
        </w:numPr>
        <w:contextualSpacing/>
        <w:rPr>
          <w:rFonts w:asciiTheme="minorHAnsi" w:hAnsiTheme="minorHAnsi" w:cstheme="minorHAnsi"/>
          <w:b/>
          <w:lang w:val="en-GB"/>
        </w:rPr>
      </w:pPr>
      <w:r w:rsidRPr="00D121C5">
        <w:rPr>
          <w:rFonts w:asciiTheme="minorHAnsi" w:hAnsiTheme="minorHAnsi" w:cstheme="minorHAnsi"/>
          <w:lang w:val="en-GB"/>
        </w:rPr>
        <w:t xml:space="preserve">The PBAC found that the criteria prescribed by the </w:t>
      </w:r>
      <w:r w:rsidRPr="00D121C5">
        <w:rPr>
          <w:rFonts w:asciiTheme="minorHAnsi" w:hAnsiTheme="minorHAnsi" w:cstheme="minorHAnsi"/>
          <w:i/>
          <w:lang w:val="en-GB"/>
        </w:rPr>
        <w:t>National Health (Pharmaceuticals and Vaccines – Cost Recovery) Regulations 20</w:t>
      </w:r>
      <w:r>
        <w:rPr>
          <w:rFonts w:asciiTheme="minorHAnsi" w:hAnsiTheme="minorHAnsi" w:cstheme="minorHAnsi"/>
          <w:i/>
          <w:lang w:val="en-GB"/>
        </w:rPr>
        <w:t>22</w:t>
      </w:r>
      <w:r w:rsidRPr="00D121C5">
        <w:rPr>
          <w:rFonts w:asciiTheme="minorHAnsi" w:hAnsiTheme="minorHAnsi" w:cstheme="minorHAnsi"/>
          <w:lang w:val="en-GB"/>
        </w:rPr>
        <w:t xml:space="preserve"> for Pricing Pathway A were not met. Specifically</w:t>
      </w:r>
      <w:r w:rsidR="00782854">
        <w:rPr>
          <w:rFonts w:asciiTheme="minorHAnsi" w:hAnsiTheme="minorHAnsi" w:cstheme="minorHAnsi"/>
          <w:lang w:val="en-GB"/>
        </w:rPr>
        <w:t>,</w:t>
      </w:r>
      <w:r w:rsidRPr="00D121C5">
        <w:rPr>
          <w:rFonts w:asciiTheme="minorHAnsi" w:hAnsiTheme="minorHAnsi" w:cstheme="minorHAnsi"/>
          <w:lang w:val="en-GB"/>
        </w:rPr>
        <w:t xml:space="preserve"> the PBAC found that in the circumstances of its recommendation for </w:t>
      </w:r>
      <w:r w:rsidR="002358C6">
        <w:rPr>
          <w:rFonts w:asciiTheme="minorHAnsi" w:hAnsiTheme="minorHAnsi" w:cstheme="minorHAnsi"/>
          <w:lang w:val="en-GB"/>
        </w:rPr>
        <w:t>vedolizumab</w:t>
      </w:r>
      <w:r w:rsidRPr="00D121C5">
        <w:rPr>
          <w:rFonts w:asciiTheme="minorHAnsi" w:hAnsiTheme="minorHAnsi" w:cstheme="minorHAnsi"/>
          <w:lang w:val="en-GB"/>
        </w:rPr>
        <w:t>:</w:t>
      </w:r>
    </w:p>
    <w:p w14:paraId="68750C9B" w14:textId="6E76DD45" w:rsidR="00F55938" w:rsidRPr="00763DFB" w:rsidRDefault="00F55938" w:rsidP="004A61EB">
      <w:pPr>
        <w:widowControl w:val="0"/>
        <w:numPr>
          <w:ilvl w:val="1"/>
          <w:numId w:val="23"/>
        </w:numPr>
        <w:spacing w:after="120"/>
        <w:ind w:left="1134" w:hanging="425"/>
        <w:rPr>
          <w:rFonts w:asciiTheme="minorHAnsi" w:hAnsiTheme="minorHAnsi" w:cstheme="minorHAnsi"/>
          <w:lang w:val="en-GB"/>
        </w:rPr>
      </w:pPr>
      <w:r w:rsidRPr="00763DFB">
        <w:rPr>
          <w:rFonts w:asciiTheme="minorHAnsi" w:hAnsiTheme="minorHAnsi" w:cstheme="minorHAnsi"/>
          <w:lang w:val="en-GB"/>
        </w:rPr>
        <w:t xml:space="preserve">The treatment is not expected to provide a substantial and clinically relevant improvement in efficacy, or reduction of toxicity over alternative therapies, </w:t>
      </w:r>
      <w:r w:rsidR="002358C6">
        <w:rPr>
          <w:rFonts w:asciiTheme="minorHAnsi" w:hAnsiTheme="minorHAnsi" w:cstheme="minorHAnsi"/>
          <w:lang w:val="en-GB"/>
        </w:rPr>
        <w:t>as the treatment effect of vedolizumab appears to be modest;</w:t>
      </w:r>
    </w:p>
    <w:p w14:paraId="6D7173AB" w14:textId="31D9B33A" w:rsidR="00F55938" w:rsidRPr="00763DFB" w:rsidRDefault="00F55938" w:rsidP="004A61EB">
      <w:pPr>
        <w:widowControl w:val="0"/>
        <w:numPr>
          <w:ilvl w:val="1"/>
          <w:numId w:val="23"/>
        </w:numPr>
        <w:spacing w:after="120"/>
        <w:ind w:left="1134" w:hanging="425"/>
        <w:rPr>
          <w:rFonts w:asciiTheme="minorHAnsi" w:hAnsiTheme="minorHAnsi" w:cstheme="minorHAnsi"/>
          <w:lang w:val="en-GB"/>
        </w:rPr>
      </w:pPr>
      <w:r w:rsidRPr="00763DFB">
        <w:rPr>
          <w:rFonts w:asciiTheme="minorHAnsi" w:hAnsiTheme="minorHAnsi" w:cstheme="minorHAnsi"/>
          <w:lang w:val="en-GB"/>
        </w:rPr>
        <w:t xml:space="preserve">The treatment is not </w:t>
      </w:r>
      <w:r w:rsidRPr="00276600">
        <w:rPr>
          <w:rFonts w:asciiTheme="minorHAnsi" w:hAnsiTheme="minorHAnsi" w:cstheme="minorHAnsi"/>
          <w:lang w:val="en-GB"/>
        </w:rPr>
        <w:t>expected to address a high and urgent unmet clinical need</w:t>
      </w:r>
      <w:r w:rsidR="002358C6" w:rsidRPr="00276600">
        <w:rPr>
          <w:rFonts w:asciiTheme="minorHAnsi" w:hAnsiTheme="minorHAnsi" w:cstheme="minorHAnsi"/>
          <w:lang w:val="en-GB"/>
        </w:rPr>
        <w:t xml:space="preserve"> as alternative medical interventions are available;</w:t>
      </w:r>
    </w:p>
    <w:p w14:paraId="75EE0711" w14:textId="55B6BC55" w:rsidR="00F55938" w:rsidRPr="002358C6" w:rsidRDefault="00F55938" w:rsidP="004A61EB">
      <w:pPr>
        <w:widowControl w:val="0"/>
        <w:numPr>
          <w:ilvl w:val="1"/>
          <w:numId w:val="23"/>
        </w:numPr>
        <w:spacing w:after="120"/>
        <w:ind w:left="1134" w:hanging="425"/>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 OR</w:t>
      </w:r>
    </w:p>
    <w:p w14:paraId="622392FE" w14:textId="3E3F86E6" w:rsidR="00F55938" w:rsidRDefault="00F55938" w:rsidP="002358C6">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 submission is not eligible for an Independent Review</w:t>
      </w:r>
      <w:r w:rsidR="002358C6">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36B4386D" w14:textId="77777777" w:rsidR="00F55938" w:rsidRPr="00525B39" w:rsidRDefault="00F55938" w:rsidP="00F55938">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AE57F32" w14:textId="176CB8C9" w:rsidR="00F55938" w:rsidRPr="00525B39" w:rsidRDefault="00F55938" w:rsidP="00F55938">
      <w:pPr>
        <w:rPr>
          <w:rFonts w:asciiTheme="minorHAnsi" w:hAnsiTheme="minorHAnsi"/>
          <w:bCs/>
          <w:snapToGrid w:val="0"/>
          <w:lang w:val="en-GB"/>
        </w:rPr>
      </w:pPr>
      <w:r w:rsidRPr="00525B39">
        <w:rPr>
          <w:rFonts w:asciiTheme="minorHAnsi" w:hAnsiTheme="minorHAnsi"/>
          <w:bCs/>
          <w:snapToGrid w:val="0"/>
          <w:lang w:val="en-GB"/>
        </w:rPr>
        <w:t>Recommended</w:t>
      </w:r>
    </w:p>
    <w:bookmarkEnd w:id="114"/>
    <w:p w14:paraId="024075D4" w14:textId="0D905113" w:rsidR="00F55938" w:rsidRPr="00907671" w:rsidRDefault="00F55938" w:rsidP="00F55938">
      <w:pPr>
        <w:pStyle w:val="2-SectionHeading"/>
        <w:numPr>
          <w:ilvl w:val="0"/>
          <w:numId w:val="1"/>
        </w:numPr>
      </w:pPr>
      <w:r w:rsidRPr="00907671">
        <w:t>Recommended listing</w:t>
      </w:r>
    </w:p>
    <w:p w14:paraId="3C0B31D1" w14:textId="198599FD" w:rsidR="00F55938" w:rsidRPr="009775D1" w:rsidRDefault="00F55938" w:rsidP="009775D1">
      <w:pPr>
        <w:widowControl w:val="0"/>
        <w:numPr>
          <w:ilvl w:val="1"/>
          <w:numId w:val="1"/>
        </w:numPr>
        <w:spacing w:after="120"/>
        <w:contextualSpacing/>
        <w:rPr>
          <w:rFonts w:asciiTheme="minorHAnsi" w:hAnsiTheme="minorHAnsi"/>
          <w:b/>
          <w:bCs/>
          <w:snapToGrid w:val="0"/>
        </w:rPr>
      </w:pPr>
      <w:r w:rsidRPr="009775D1">
        <w:rPr>
          <w:rFonts w:asciiTheme="minorHAnsi" w:hAnsiTheme="minorHAnsi"/>
          <w:bCs/>
          <w:snapToGrid w:val="0"/>
        </w:rPr>
        <w:t>Add new item</w:t>
      </w:r>
      <w:r w:rsidR="00CC317F">
        <w:rPr>
          <w:rFonts w:asciiTheme="minorHAnsi" w:hAnsiTheme="minorHAnsi"/>
          <w:bCs/>
          <w:snapToGrid w:val="0"/>
        </w:rPr>
        <w:t xml:space="preserve"> and new indication</w:t>
      </w:r>
      <w:r w:rsidRPr="009775D1">
        <w:rPr>
          <w:rFonts w:asciiTheme="minorHAnsi" w:hAnsiTheme="minorHAnsi"/>
          <w:bCs/>
          <w:snapToGrid w:val="0"/>
        </w:rPr>
        <w:t>:</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34504B" w:rsidRPr="009A610D" w14:paraId="75744B26" w14:textId="77777777" w:rsidTr="00762948">
        <w:trPr>
          <w:cantSplit/>
          <w:trHeight w:val="471"/>
        </w:trPr>
        <w:tc>
          <w:tcPr>
            <w:tcW w:w="2689" w:type="dxa"/>
            <w:tcBorders>
              <w:top w:val="single" w:sz="4" w:space="0" w:color="auto"/>
              <w:left w:val="single" w:sz="4" w:space="0" w:color="auto"/>
              <w:bottom w:val="single" w:sz="4" w:space="0" w:color="auto"/>
              <w:right w:val="single" w:sz="4" w:space="0" w:color="auto"/>
            </w:tcBorders>
          </w:tcPr>
          <w:p w14:paraId="1AED732D" w14:textId="77777777" w:rsidR="0034504B" w:rsidRPr="009A610D" w:rsidRDefault="0034504B" w:rsidP="00762948">
            <w:pPr>
              <w:keepNext/>
              <w:ind w:left="-108"/>
              <w:rPr>
                <w:rFonts w:ascii="Arial Narrow" w:hAnsi="Arial Narrow"/>
                <w:b/>
                <w:sz w:val="18"/>
                <w:szCs w:val="18"/>
              </w:rPr>
            </w:pPr>
            <w:r w:rsidRPr="009A610D">
              <w:rPr>
                <w:rFonts w:ascii="Arial Narrow" w:hAnsi="Arial Narrow"/>
                <w:b/>
                <w:sz w:val="18"/>
                <w:szCs w:val="18"/>
              </w:rPr>
              <w:t>Name, Restriction,</w:t>
            </w:r>
          </w:p>
          <w:p w14:paraId="2268548D" w14:textId="77777777" w:rsidR="0034504B" w:rsidRPr="009A610D" w:rsidRDefault="0034504B" w:rsidP="00762948">
            <w:pPr>
              <w:keepNext/>
              <w:ind w:left="-108"/>
              <w:rPr>
                <w:rFonts w:ascii="Arial Narrow" w:hAnsi="Arial Narrow"/>
                <w:b/>
                <w:sz w:val="18"/>
                <w:szCs w:val="18"/>
              </w:rPr>
            </w:pPr>
            <w:r w:rsidRPr="009A610D">
              <w:rPr>
                <w:rFonts w:ascii="Arial Narrow" w:hAnsi="Arial Narrow"/>
                <w:b/>
                <w:sz w:val="18"/>
                <w:szCs w:val="18"/>
              </w:rPr>
              <w:t>Manner of administration and form</w:t>
            </w:r>
          </w:p>
        </w:tc>
        <w:tc>
          <w:tcPr>
            <w:tcW w:w="1275" w:type="dxa"/>
            <w:tcBorders>
              <w:top w:val="single" w:sz="4" w:space="0" w:color="auto"/>
              <w:left w:val="single" w:sz="4" w:space="0" w:color="auto"/>
              <w:bottom w:val="single" w:sz="4" w:space="0" w:color="auto"/>
              <w:right w:val="single" w:sz="4" w:space="0" w:color="auto"/>
            </w:tcBorders>
          </w:tcPr>
          <w:p w14:paraId="1780587A" w14:textId="77777777" w:rsidR="0034504B" w:rsidRPr="009A610D" w:rsidRDefault="0034504B" w:rsidP="00762948">
            <w:pPr>
              <w:keepNext/>
              <w:ind w:left="-108"/>
              <w:jc w:val="center"/>
              <w:rPr>
                <w:rFonts w:ascii="Arial Narrow" w:hAnsi="Arial Narrow"/>
                <w:b/>
                <w:sz w:val="18"/>
                <w:szCs w:val="18"/>
              </w:rPr>
            </w:pPr>
            <w:r>
              <w:rPr>
                <w:rFonts w:ascii="Arial Narrow" w:hAnsi="Arial Narrow"/>
                <w:b/>
                <w:sz w:val="18"/>
                <w:szCs w:val="18"/>
              </w:rPr>
              <w:t>PBS item code</w:t>
            </w:r>
          </w:p>
        </w:tc>
        <w:tc>
          <w:tcPr>
            <w:tcW w:w="851" w:type="dxa"/>
            <w:tcBorders>
              <w:top w:val="single" w:sz="4" w:space="0" w:color="auto"/>
              <w:left w:val="single" w:sz="4" w:space="0" w:color="auto"/>
              <w:bottom w:val="single" w:sz="4" w:space="0" w:color="auto"/>
              <w:right w:val="single" w:sz="4" w:space="0" w:color="auto"/>
            </w:tcBorders>
          </w:tcPr>
          <w:p w14:paraId="31CEFD17" w14:textId="77777777" w:rsidR="0034504B" w:rsidRPr="009A610D" w:rsidRDefault="0034504B" w:rsidP="00762948">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850" w:type="dxa"/>
            <w:tcBorders>
              <w:top w:val="single" w:sz="4" w:space="0" w:color="auto"/>
              <w:left w:val="single" w:sz="4" w:space="0" w:color="auto"/>
              <w:bottom w:val="single" w:sz="4" w:space="0" w:color="auto"/>
              <w:right w:val="single" w:sz="4" w:space="0" w:color="auto"/>
            </w:tcBorders>
          </w:tcPr>
          <w:p w14:paraId="6CD01ABE" w14:textId="77777777" w:rsidR="0034504B" w:rsidRPr="009A610D" w:rsidRDefault="0034504B" w:rsidP="00762948">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Borders>
              <w:top w:val="single" w:sz="4" w:space="0" w:color="auto"/>
              <w:left w:val="single" w:sz="4" w:space="0" w:color="auto"/>
              <w:bottom w:val="single" w:sz="4" w:space="0" w:color="auto"/>
              <w:right w:val="single" w:sz="4" w:space="0" w:color="auto"/>
            </w:tcBorders>
          </w:tcPr>
          <w:p w14:paraId="069EDE7E" w14:textId="77777777" w:rsidR="0034504B" w:rsidRPr="009A610D" w:rsidRDefault="0034504B" w:rsidP="00762948">
            <w:pPr>
              <w:keepNext/>
              <w:ind w:left="-108"/>
              <w:jc w:val="center"/>
              <w:rPr>
                <w:rFonts w:ascii="Arial Narrow" w:hAnsi="Arial Narrow"/>
                <w:b/>
                <w:sz w:val="18"/>
                <w:szCs w:val="18"/>
              </w:rPr>
            </w:pPr>
            <w:r w:rsidRPr="009A610D">
              <w:rPr>
                <w:rFonts w:ascii="Arial Narrow" w:hAnsi="Arial Narrow"/>
                <w:b/>
                <w:sz w:val="18"/>
                <w:szCs w:val="18"/>
              </w:rPr>
              <w:t>№.of</w:t>
            </w:r>
          </w:p>
          <w:p w14:paraId="17CA37CE" w14:textId="77777777" w:rsidR="0034504B" w:rsidRPr="009A610D" w:rsidRDefault="0034504B" w:rsidP="00762948">
            <w:pPr>
              <w:keepNext/>
              <w:ind w:left="-108"/>
              <w:jc w:val="center"/>
              <w:rPr>
                <w:rFonts w:ascii="Arial Narrow" w:hAnsi="Arial Narrow"/>
                <w:b/>
                <w:sz w:val="18"/>
                <w:szCs w:val="18"/>
              </w:rPr>
            </w:pPr>
            <w:r w:rsidRPr="009A610D">
              <w:rPr>
                <w:rFonts w:ascii="Arial Narrow" w:hAnsi="Arial Narrow"/>
                <w:b/>
                <w:sz w:val="18"/>
                <w:szCs w:val="18"/>
              </w:rPr>
              <w:t>Rpts</w:t>
            </w:r>
          </w:p>
        </w:tc>
        <w:tc>
          <w:tcPr>
            <w:tcW w:w="2551" w:type="dxa"/>
            <w:gridSpan w:val="2"/>
            <w:tcBorders>
              <w:top w:val="single" w:sz="4" w:space="0" w:color="auto"/>
              <w:left w:val="single" w:sz="4" w:space="0" w:color="auto"/>
              <w:bottom w:val="single" w:sz="4" w:space="0" w:color="auto"/>
              <w:right w:val="single" w:sz="4" w:space="0" w:color="auto"/>
            </w:tcBorders>
          </w:tcPr>
          <w:p w14:paraId="43CB9DDF" w14:textId="77777777" w:rsidR="0034504B" w:rsidRPr="009A610D" w:rsidRDefault="0034504B" w:rsidP="00762948">
            <w:pPr>
              <w:keepNext/>
              <w:rPr>
                <w:rFonts w:ascii="Arial Narrow" w:hAnsi="Arial Narrow"/>
                <w:b/>
                <w:sz w:val="18"/>
                <w:szCs w:val="18"/>
                <w:lang w:val="fr-FR"/>
              </w:rPr>
            </w:pPr>
            <w:r w:rsidRPr="009A610D">
              <w:rPr>
                <w:rFonts w:ascii="Arial Narrow" w:hAnsi="Arial Narrow"/>
                <w:b/>
                <w:sz w:val="18"/>
                <w:szCs w:val="18"/>
              </w:rPr>
              <w:t>Proprietary Name and Manufacturer</w:t>
            </w:r>
          </w:p>
        </w:tc>
      </w:tr>
      <w:tr w:rsidR="00CC317F" w:rsidRPr="009A610D" w14:paraId="28CED509" w14:textId="77777777" w:rsidTr="005F1895">
        <w:trPr>
          <w:cantSplit/>
          <w:trHeight w:val="471"/>
        </w:trPr>
        <w:tc>
          <w:tcPr>
            <w:tcW w:w="8925" w:type="dxa"/>
            <w:gridSpan w:val="7"/>
            <w:tcBorders>
              <w:top w:val="single" w:sz="4" w:space="0" w:color="auto"/>
              <w:left w:val="single" w:sz="4" w:space="0" w:color="auto"/>
              <w:bottom w:val="single" w:sz="4" w:space="0" w:color="auto"/>
              <w:right w:val="single" w:sz="4" w:space="0" w:color="auto"/>
            </w:tcBorders>
          </w:tcPr>
          <w:p w14:paraId="4E30DA9D" w14:textId="77777777" w:rsidR="00CC317F" w:rsidRPr="00120A12" w:rsidRDefault="00CC317F" w:rsidP="00CC317F">
            <w:pPr>
              <w:keepNext/>
              <w:ind w:left="-108"/>
              <w:rPr>
                <w:rFonts w:ascii="Arial Narrow" w:hAnsi="Arial Narrow"/>
                <w:sz w:val="18"/>
                <w:szCs w:val="18"/>
              </w:rPr>
            </w:pPr>
            <w:r>
              <w:rPr>
                <w:rFonts w:ascii="Arial Narrow" w:hAnsi="Arial Narrow"/>
                <w:sz w:val="18"/>
                <w:szCs w:val="18"/>
              </w:rPr>
              <w:t>VEDOLIZUMAB</w:t>
            </w:r>
          </w:p>
          <w:p w14:paraId="7F4C2FB3" w14:textId="77777777" w:rsidR="00CC317F" w:rsidRPr="009A610D" w:rsidRDefault="00CC317F" w:rsidP="00762948">
            <w:pPr>
              <w:keepNext/>
              <w:rPr>
                <w:rFonts w:ascii="Arial Narrow" w:hAnsi="Arial Narrow"/>
                <w:b/>
                <w:sz w:val="18"/>
                <w:szCs w:val="18"/>
              </w:rPr>
            </w:pPr>
          </w:p>
        </w:tc>
      </w:tr>
      <w:tr w:rsidR="0034504B" w:rsidRPr="009A610D" w14:paraId="203841FD" w14:textId="77777777" w:rsidTr="00762948">
        <w:trPr>
          <w:cantSplit/>
          <w:trHeight w:val="761"/>
        </w:trPr>
        <w:tc>
          <w:tcPr>
            <w:tcW w:w="2689" w:type="dxa"/>
            <w:tcBorders>
              <w:top w:val="single" w:sz="4" w:space="0" w:color="auto"/>
            </w:tcBorders>
          </w:tcPr>
          <w:p w14:paraId="0973FA87" w14:textId="32E45DD9" w:rsidR="0034504B" w:rsidRPr="00120A12" w:rsidRDefault="0034504B" w:rsidP="00762948">
            <w:pPr>
              <w:keepNext/>
              <w:ind w:left="-108"/>
              <w:rPr>
                <w:rFonts w:ascii="Arial Narrow" w:hAnsi="Arial Narrow"/>
                <w:sz w:val="18"/>
                <w:szCs w:val="18"/>
              </w:rPr>
            </w:pPr>
          </w:p>
          <w:p w14:paraId="415EBB20" w14:textId="77777777" w:rsidR="0034504B" w:rsidRDefault="0034504B" w:rsidP="00762948">
            <w:pPr>
              <w:keepNext/>
              <w:ind w:left="-108"/>
              <w:rPr>
                <w:rFonts w:ascii="Arial Narrow" w:hAnsi="Arial Narrow"/>
                <w:sz w:val="18"/>
                <w:szCs w:val="18"/>
              </w:rPr>
            </w:pPr>
          </w:p>
          <w:p w14:paraId="6A3D894C" w14:textId="1294EF63" w:rsidR="0034504B" w:rsidRPr="003803A0" w:rsidRDefault="00CC317F" w:rsidP="00762948">
            <w:pPr>
              <w:keepNext/>
              <w:ind w:left="-108"/>
              <w:rPr>
                <w:rFonts w:ascii="Arial Narrow" w:hAnsi="Arial Narrow"/>
                <w:sz w:val="18"/>
                <w:szCs w:val="18"/>
              </w:rPr>
            </w:pPr>
            <w:r w:rsidRPr="00CC317F">
              <w:rPr>
                <w:rFonts w:ascii="Arial Narrow" w:hAnsi="Arial Narrow"/>
                <w:sz w:val="18"/>
                <w:szCs w:val="18"/>
              </w:rPr>
              <w:t xml:space="preserve">vedolizumab </w:t>
            </w:r>
            <w:r w:rsidR="0034504B" w:rsidRPr="004119CC">
              <w:rPr>
                <w:rFonts w:ascii="Arial Narrow" w:hAnsi="Arial Narrow"/>
                <w:sz w:val="18"/>
                <w:szCs w:val="18"/>
              </w:rPr>
              <w:t>300 mg injection, 1 vial</w:t>
            </w:r>
          </w:p>
        </w:tc>
        <w:tc>
          <w:tcPr>
            <w:tcW w:w="1275" w:type="dxa"/>
            <w:tcBorders>
              <w:top w:val="single" w:sz="4" w:space="0" w:color="auto"/>
            </w:tcBorders>
          </w:tcPr>
          <w:p w14:paraId="55C91E2C" w14:textId="77777777" w:rsidR="0034504B" w:rsidRDefault="0034504B" w:rsidP="00762948">
            <w:pPr>
              <w:keepNext/>
              <w:ind w:left="-108"/>
              <w:jc w:val="center"/>
              <w:rPr>
                <w:rFonts w:ascii="Arial Narrow" w:hAnsi="Arial Narrow"/>
                <w:sz w:val="18"/>
                <w:szCs w:val="18"/>
              </w:rPr>
            </w:pPr>
          </w:p>
          <w:p w14:paraId="1F97579A" w14:textId="77777777" w:rsidR="0034504B" w:rsidRDefault="0034504B" w:rsidP="00762948">
            <w:pPr>
              <w:keepNext/>
              <w:ind w:left="-108"/>
              <w:jc w:val="center"/>
              <w:rPr>
                <w:rFonts w:ascii="Arial Narrow" w:hAnsi="Arial Narrow"/>
                <w:sz w:val="18"/>
                <w:szCs w:val="18"/>
              </w:rPr>
            </w:pPr>
          </w:p>
          <w:p w14:paraId="326C83E2" w14:textId="4CA2D740" w:rsidR="00CC317F" w:rsidRPr="00BD19A7" w:rsidRDefault="00CC317F" w:rsidP="00CC317F">
            <w:pPr>
              <w:keepNext/>
              <w:keepLines/>
              <w:jc w:val="center"/>
              <w:rPr>
                <w:rFonts w:ascii="Arial Narrow" w:hAnsi="Arial Narrow"/>
                <w:sz w:val="20"/>
                <w:szCs w:val="20"/>
              </w:rPr>
            </w:pPr>
            <w:r w:rsidRPr="00BD19A7">
              <w:rPr>
                <w:rFonts w:ascii="Arial Narrow" w:hAnsi="Arial Narrow"/>
                <w:sz w:val="20"/>
                <w:szCs w:val="20"/>
              </w:rPr>
              <w:t xml:space="preserve"> NEW (</w:t>
            </w:r>
            <w:r w:rsidR="00A976DE">
              <w:rPr>
                <w:rFonts w:ascii="Arial Narrow" w:hAnsi="Arial Narrow"/>
                <w:sz w:val="20"/>
                <w:szCs w:val="20"/>
              </w:rPr>
              <w:t xml:space="preserve">HSD </w:t>
            </w:r>
            <w:r w:rsidRPr="00BD19A7">
              <w:rPr>
                <w:rFonts w:ascii="Arial Narrow" w:hAnsi="Arial Narrow"/>
                <w:sz w:val="20"/>
                <w:szCs w:val="20"/>
              </w:rPr>
              <w:t>Public)</w:t>
            </w:r>
          </w:p>
          <w:p w14:paraId="080C52B1" w14:textId="098AABBC" w:rsidR="00CC317F" w:rsidRPr="00BD19A7" w:rsidRDefault="00CC317F" w:rsidP="00CC317F">
            <w:pPr>
              <w:keepNext/>
              <w:keepLines/>
              <w:jc w:val="center"/>
              <w:rPr>
                <w:rFonts w:ascii="Arial Narrow" w:hAnsi="Arial Narrow"/>
                <w:sz w:val="20"/>
                <w:szCs w:val="20"/>
              </w:rPr>
            </w:pPr>
            <w:r w:rsidRPr="00BD19A7">
              <w:rPr>
                <w:rFonts w:ascii="Arial Narrow" w:hAnsi="Arial Narrow"/>
                <w:sz w:val="20"/>
                <w:szCs w:val="20"/>
              </w:rPr>
              <w:t>NEW (</w:t>
            </w:r>
            <w:r w:rsidR="00A976DE">
              <w:rPr>
                <w:rFonts w:ascii="Arial Narrow" w:hAnsi="Arial Narrow"/>
                <w:sz w:val="20"/>
                <w:szCs w:val="20"/>
              </w:rPr>
              <w:t xml:space="preserve">HSD </w:t>
            </w:r>
            <w:r w:rsidRPr="00BD19A7">
              <w:rPr>
                <w:rFonts w:ascii="Arial Narrow" w:hAnsi="Arial Narrow"/>
                <w:sz w:val="20"/>
                <w:szCs w:val="20"/>
              </w:rPr>
              <w:t>Private)</w:t>
            </w:r>
          </w:p>
          <w:p w14:paraId="0C086BB7" w14:textId="5BCCFEC1" w:rsidR="0034504B" w:rsidRPr="009A610D" w:rsidRDefault="00CC317F" w:rsidP="00CC317F">
            <w:pPr>
              <w:keepNext/>
              <w:ind w:left="-108"/>
              <w:jc w:val="center"/>
              <w:rPr>
                <w:rFonts w:ascii="Arial Narrow" w:hAnsi="Arial Narrow"/>
                <w:sz w:val="18"/>
                <w:szCs w:val="18"/>
              </w:rPr>
            </w:pPr>
            <w:r w:rsidRPr="00BD19A7">
              <w:rPr>
                <w:rFonts w:ascii="Arial Narrow" w:hAnsi="Arial Narrow"/>
                <w:sz w:val="20"/>
                <w:szCs w:val="20"/>
                <w:vertAlign w:val="subscript"/>
              </w:rPr>
              <w:t>MP</w:t>
            </w:r>
          </w:p>
        </w:tc>
        <w:tc>
          <w:tcPr>
            <w:tcW w:w="851" w:type="dxa"/>
            <w:tcBorders>
              <w:top w:val="single" w:sz="4" w:space="0" w:color="auto"/>
            </w:tcBorders>
          </w:tcPr>
          <w:p w14:paraId="3A190ADF" w14:textId="77777777" w:rsidR="0034504B" w:rsidRDefault="0034504B" w:rsidP="00762948">
            <w:pPr>
              <w:keepNext/>
              <w:jc w:val="center"/>
              <w:rPr>
                <w:rFonts w:ascii="Arial Narrow" w:hAnsi="Arial Narrow"/>
                <w:sz w:val="18"/>
                <w:szCs w:val="18"/>
              </w:rPr>
            </w:pPr>
          </w:p>
          <w:p w14:paraId="6DC2DA1C" w14:textId="77777777" w:rsidR="0034504B" w:rsidRDefault="0034504B" w:rsidP="00762948">
            <w:pPr>
              <w:keepNext/>
              <w:ind w:left="-108"/>
              <w:jc w:val="center"/>
              <w:rPr>
                <w:rFonts w:ascii="Arial Narrow" w:hAnsi="Arial Narrow"/>
                <w:sz w:val="18"/>
                <w:szCs w:val="18"/>
              </w:rPr>
            </w:pPr>
          </w:p>
          <w:p w14:paraId="673660DA" w14:textId="77777777" w:rsidR="0034504B" w:rsidRPr="009A610D" w:rsidRDefault="0034504B" w:rsidP="00762948">
            <w:pPr>
              <w:keepNext/>
              <w:jc w:val="center"/>
              <w:rPr>
                <w:rFonts w:ascii="Arial Narrow" w:hAnsi="Arial Narrow"/>
                <w:sz w:val="18"/>
                <w:szCs w:val="18"/>
              </w:rPr>
            </w:pPr>
            <w:r w:rsidRPr="009A610D">
              <w:rPr>
                <w:rFonts w:ascii="Arial Narrow" w:hAnsi="Arial Narrow"/>
                <w:sz w:val="18"/>
                <w:szCs w:val="18"/>
              </w:rPr>
              <w:t>1</w:t>
            </w:r>
          </w:p>
        </w:tc>
        <w:tc>
          <w:tcPr>
            <w:tcW w:w="850" w:type="dxa"/>
            <w:tcBorders>
              <w:top w:val="single" w:sz="4" w:space="0" w:color="auto"/>
            </w:tcBorders>
          </w:tcPr>
          <w:p w14:paraId="2C2E6EA0" w14:textId="77777777" w:rsidR="0034504B" w:rsidRDefault="0034504B" w:rsidP="00762948">
            <w:pPr>
              <w:keepNext/>
              <w:ind w:left="-108"/>
              <w:jc w:val="center"/>
              <w:rPr>
                <w:rFonts w:ascii="Arial Narrow" w:hAnsi="Arial Narrow"/>
                <w:sz w:val="18"/>
                <w:szCs w:val="18"/>
              </w:rPr>
            </w:pPr>
          </w:p>
          <w:p w14:paraId="0C56CB64" w14:textId="77777777" w:rsidR="0034504B" w:rsidRDefault="0034504B" w:rsidP="00762948">
            <w:pPr>
              <w:keepNext/>
              <w:rPr>
                <w:rFonts w:ascii="Arial Narrow" w:hAnsi="Arial Narrow"/>
                <w:sz w:val="18"/>
                <w:szCs w:val="18"/>
              </w:rPr>
            </w:pPr>
          </w:p>
          <w:p w14:paraId="78C577F1" w14:textId="77777777" w:rsidR="0034504B" w:rsidRPr="009A610D" w:rsidRDefault="0034504B" w:rsidP="00762948">
            <w:pPr>
              <w:keepNext/>
              <w:ind w:left="-108"/>
              <w:jc w:val="center"/>
              <w:rPr>
                <w:rFonts w:ascii="Arial Narrow" w:hAnsi="Arial Narrow"/>
                <w:sz w:val="18"/>
                <w:szCs w:val="18"/>
              </w:rPr>
            </w:pPr>
            <w:r>
              <w:rPr>
                <w:rFonts w:ascii="Arial Narrow" w:hAnsi="Arial Narrow"/>
                <w:sz w:val="18"/>
                <w:szCs w:val="18"/>
              </w:rPr>
              <w:t>1</w:t>
            </w:r>
          </w:p>
        </w:tc>
        <w:tc>
          <w:tcPr>
            <w:tcW w:w="709" w:type="dxa"/>
            <w:tcBorders>
              <w:top w:val="single" w:sz="4" w:space="0" w:color="auto"/>
            </w:tcBorders>
          </w:tcPr>
          <w:p w14:paraId="4A9756BB" w14:textId="77777777" w:rsidR="0034504B" w:rsidRPr="009A610D" w:rsidRDefault="0034504B" w:rsidP="00762948">
            <w:pPr>
              <w:keepNext/>
              <w:ind w:left="-108"/>
              <w:jc w:val="center"/>
              <w:rPr>
                <w:rFonts w:ascii="Arial Narrow" w:hAnsi="Arial Narrow"/>
                <w:sz w:val="18"/>
                <w:szCs w:val="18"/>
              </w:rPr>
            </w:pPr>
          </w:p>
          <w:p w14:paraId="2AE71947" w14:textId="77777777" w:rsidR="0034504B" w:rsidRDefault="0034504B" w:rsidP="00762948">
            <w:pPr>
              <w:keepNext/>
              <w:ind w:left="-108"/>
              <w:jc w:val="center"/>
              <w:rPr>
                <w:rFonts w:ascii="Arial Narrow" w:hAnsi="Arial Narrow"/>
                <w:sz w:val="18"/>
                <w:szCs w:val="18"/>
              </w:rPr>
            </w:pPr>
          </w:p>
          <w:p w14:paraId="7EC18E5C" w14:textId="77777777" w:rsidR="0034504B" w:rsidRPr="009A610D" w:rsidRDefault="0034504B" w:rsidP="00762948">
            <w:pPr>
              <w:keepNext/>
              <w:ind w:left="-108"/>
              <w:jc w:val="center"/>
              <w:rPr>
                <w:rFonts w:ascii="Arial Narrow" w:hAnsi="Arial Narrow"/>
                <w:sz w:val="18"/>
                <w:szCs w:val="18"/>
              </w:rPr>
            </w:pPr>
            <w:r>
              <w:rPr>
                <w:rFonts w:ascii="Arial Narrow" w:hAnsi="Arial Narrow"/>
                <w:sz w:val="18"/>
                <w:szCs w:val="18"/>
              </w:rPr>
              <w:t>2</w:t>
            </w:r>
          </w:p>
          <w:p w14:paraId="627F49E5" w14:textId="77777777" w:rsidR="0034504B" w:rsidRPr="009A610D" w:rsidRDefault="0034504B" w:rsidP="00762948">
            <w:pPr>
              <w:keepNext/>
              <w:rPr>
                <w:rFonts w:ascii="Arial Narrow" w:hAnsi="Arial Narrow"/>
                <w:sz w:val="18"/>
                <w:szCs w:val="18"/>
              </w:rPr>
            </w:pPr>
          </w:p>
        </w:tc>
        <w:tc>
          <w:tcPr>
            <w:tcW w:w="1134" w:type="dxa"/>
            <w:tcBorders>
              <w:top w:val="single" w:sz="4" w:space="0" w:color="auto"/>
            </w:tcBorders>
          </w:tcPr>
          <w:p w14:paraId="4842B460" w14:textId="77777777" w:rsidR="0034504B" w:rsidRDefault="0034504B" w:rsidP="00762948">
            <w:pPr>
              <w:keepNext/>
              <w:rPr>
                <w:rFonts w:ascii="Arial Narrow" w:hAnsi="Arial Narrow"/>
                <w:sz w:val="18"/>
                <w:szCs w:val="18"/>
              </w:rPr>
            </w:pPr>
          </w:p>
          <w:p w14:paraId="420EAD14" w14:textId="77777777" w:rsidR="0034504B" w:rsidRDefault="0034504B" w:rsidP="00762948">
            <w:pPr>
              <w:keepNext/>
              <w:rPr>
                <w:rFonts w:ascii="Arial Narrow" w:hAnsi="Arial Narrow"/>
                <w:sz w:val="18"/>
                <w:szCs w:val="18"/>
              </w:rPr>
            </w:pPr>
          </w:p>
          <w:p w14:paraId="4812A8D0" w14:textId="77777777" w:rsidR="0034504B" w:rsidRPr="009A610D" w:rsidRDefault="0034504B" w:rsidP="00762948">
            <w:pPr>
              <w:keepNext/>
              <w:rPr>
                <w:rFonts w:ascii="Arial Narrow" w:hAnsi="Arial Narrow"/>
                <w:sz w:val="18"/>
                <w:szCs w:val="18"/>
              </w:rPr>
            </w:pPr>
            <w:r>
              <w:rPr>
                <w:rFonts w:ascii="Arial Narrow" w:hAnsi="Arial Narrow"/>
                <w:sz w:val="18"/>
                <w:szCs w:val="18"/>
              </w:rPr>
              <w:t>Entyvio</w:t>
            </w:r>
            <w:r w:rsidRPr="009A610D">
              <w:rPr>
                <w:rFonts w:ascii="Arial Narrow" w:hAnsi="Arial Narrow"/>
                <w:sz w:val="18"/>
                <w:szCs w:val="18"/>
                <w:vertAlign w:val="superscript"/>
              </w:rPr>
              <w:t>®</w:t>
            </w:r>
          </w:p>
        </w:tc>
        <w:tc>
          <w:tcPr>
            <w:tcW w:w="1417" w:type="dxa"/>
            <w:tcBorders>
              <w:top w:val="single" w:sz="4" w:space="0" w:color="auto"/>
            </w:tcBorders>
          </w:tcPr>
          <w:p w14:paraId="0EE31785" w14:textId="77777777" w:rsidR="0034504B" w:rsidRDefault="0034504B" w:rsidP="00762948">
            <w:pPr>
              <w:keepNext/>
              <w:rPr>
                <w:rFonts w:ascii="Arial Narrow" w:hAnsi="Arial Narrow"/>
                <w:sz w:val="18"/>
                <w:szCs w:val="18"/>
              </w:rPr>
            </w:pPr>
          </w:p>
          <w:p w14:paraId="390A08A2" w14:textId="77777777" w:rsidR="0034504B" w:rsidRDefault="0034504B" w:rsidP="00762948">
            <w:pPr>
              <w:keepNext/>
              <w:rPr>
                <w:rFonts w:ascii="Arial Narrow" w:hAnsi="Arial Narrow"/>
                <w:sz w:val="18"/>
                <w:szCs w:val="18"/>
              </w:rPr>
            </w:pPr>
          </w:p>
          <w:p w14:paraId="50F9F4FC" w14:textId="77777777" w:rsidR="0034504B" w:rsidRPr="009A610D" w:rsidRDefault="0034504B" w:rsidP="00762948">
            <w:pPr>
              <w:keepNext/>
              <w:rPr>
                <w:rFonts w:ascii="Arial Narrow" w:hAnsi="Arial Narrow"/>
                <w:sz w:val="18"/>
                <w:szCs w:val="18"/>
              </w:rPr>
            </w:pPr>
            <w:r>
              <w:rPr>
                <w:rFonts w:ascii="Arial Narrow" w:hAnsi="Arial Narrow"/>
                <w:sz w:val="18"/>
                <w:szCs w:val="18"/>
              </w:rPr>
              <w:t>Takeda Pharmaceuticals Pty Ltd</w:t>
            </w:r>
          </w:p>
        </w:tc>
      </w:tr>
    </w:tbl>
    <w:p w14:paraId="2948439B" w14:textId="77777777" w:rsidR="0034504B" w:rsidRDefault="0034504B" w:rsidP="0034504B"/>
    <w:p w14:paraId="545649BB" w14:textId="2D5B4313" w:rsidR="0034504B" w:rsidRPr="00507253" w:rsidRDefault="0034504B" w:rsidP="0034504B">
      <w:pPr>
        <w:rPr>
          <w:rFonts w:ascii="Arial Narrow" w:hAnsi="Arial Narrow"/>
          <w:b/>
          <w:sz w:val="18"/>
          <w:szCs w:val="18"/>
        </w:rPr>
      </w:pPr>
      <w:r w:rsidRPr="00507253">
        <w:rPr>
          <w:rFonts w:ascii="Arial Narrow" w:hAnsi="Arial Narrow"/>
          <w:b/>
          <w:sz w:val="18"/>
          <w:szCs w:val="18"/>
        </w:rPr>
        <w:t>Restriction Summary [new</w:t>
      </w:r>
      <w:r w:rsidR="00CC317F">
        <w:rPr>
          <w:rFonts w:ascii="Arial Narrow" w:hAnsi="Arial Narrow"/>
          <w:b/>
          <w:sz w:val="18"/>
          <w:szCs w:val="18"/>
        </w:rPr>
        <w:t xml:space="preserve"> 1</w:t>
      </w:r>
      <w:r w:rsidRPr="00507253">
        <w:rPr>
          <w:rFonts w:ascii="Arial Narrow" w:hAnsi="Arial Narrow"/>
          <w:b/>
          <w:sz w:val="18"/>
          <w:szCs w:val="18"/>
        </w:rPr>
        <w:t>] / Treatment of Concept: [new</w:t>
      </w:r>
      <w:r w:rsidR="00CC317F">
        <w:rPr>
          <w:rFonts w:ascii="Arial Narrow" w:hAnsi="Arial Narrow"/>
          <w:b/>
          <w:sz w:val="18"/>
          <w:szCs w:val="18"/>
        </w:rPr>
        <w:t xml:space="preserve"> 2</w:t>
      </w:r>
      <w:r w:rsidRPr="00507253">
        <w:rPr>
          <w:rFonts w:ascii="Arial Narrow" w:hAnsi="Arial Narrow"/>
          <w:b/>
          <w:sz w:val="18"/>
          <w:szCs w:val="18"/>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34504B" w:rsidRPr="00120A12" w14:paraId="58F148E8" w14:textId="77777777" w:rsidTr="00762948">
        <w:tc>
          <w:tcPr>
            <w:tcW w:w="553" w:type="pct"/>
            <w:tcBorders>
              <w:top w:val="single" w:sz="4" w:space="0" w:color="auto"/>
              <w:left w:val="single" w:sz="4" w:space="0" w:color="auto"/>
              <w:bottom w:val="single" w:sz="4" w:space="0" w:color="auto"/>
              <w:right w:val="single" w:sz="4" w:space="0" w:color="auto"/>
            </w:tcBorders>
          </w:tcPr>
          <w:p w14:paraId="0D575C29" w14:textId="77777777" w:rsidR="0034504B" w:rsidRPr="00507253" w:rsidRDefault="0034504B" w:rsidP="00762948">
            <w:pPr>
              <w:jc w:val="center"/>
              <w:rPr>
                <w:rFonts w:ascii="Arial Narrow" w:hAnsi="Arial Narrow"/>
                <w:b/>
                <w:sz w:val="18"/>
                <w:szCs w:val="18"/>
              </w:rPr>
            </w:pPr>
            <w:r w:rsidRPr="00507253">
              <w:rPr>
                <w:rFonts w:ascii="Arial Narrow" w:hAnsi="Arial Narrow"/>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14:paraId="6B774079" w14:textId="77777777" w:rsidR="0034504B" w:rsidRPr="00120A12" w:rsidRDefault="0034504B" w:rsidP="00762948">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Section 100 – Highly Specialised Drugs Program {</w:t>
            </w:r>
            <w:r>
              <w:rPr>
                <w:rFonts w:ascii="Arial Narrow" w:hAnsi="Arial Narrow"/>
                <w:sz w:val="18"/>
                <w:szCs w:val="18"/>
              </w:rPr>
              <w:t>Public/Private Hospitals}</w:t>
            </w:r>
            <w:r w:rsidRPr="003D201F">
              <w:rPr>
                <w:rFonts w:ascii="Arial Narrow" w:hAnsi="Arial Narrow"/>
                <w:sz w:val="18"/>
                <w:szCs w:val="18"/>
              </w:rPr>
              <w:t xml:space="preserve"> </w:t>
            </w:r>
          </w:p>
        </w:tc>
      </w:tr>
      <w:tr w:rsidR="0034504B" w:rsidRPr="00120A12" w14:paraId="00766DDB" w14:textId="77777777" w:rsidTr="00762948">
        <w:trPr>
          <w:trHeight w:val="366"/>
        </w:trPr>
        <w:tc>
          <w:tcPr>
            <w:tcW w:w="553" w:type="pct"/>
            <w:tcBorders>
              <w:top w:val="single" w:sz="4" w:space="0" w:color="auto"/>
              <w:left w:val="single" w:sz="4" w:space="0" w:color="auto"/>
              <w:bottom w:val="single" w:sz="4" w:space="0" w:color="auto"/>
              <w:right w:val="single" w:sz="4" w:space="0" w:color="auto"/>
            </w:tcBorders>
          </w:tcPr>
          <w:p w14:paraId="3B86DC4D" w14:textId="77777777" w:rsidR="0034504B" w:rsidRPr="0020649C"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3FBE3EA7" w14:textId="77777777" w:rsidR="0034504B" w:rsidRPr="00120A12" w:rsidRDefault="0034504B" w:rsidP="00762948">
            <w:pPr>
              <w:rPr>
                <w:rFonts w:ascii="Arial Narrow" w:hAnsi="Arial Narrow"/>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ldLock="1">
                <w:ffData>
                  <w:name w:val=""/>
                  <w:enabled/>
                  <w:calcOnExit w:val="0"/>
                  <w:checkBox>
                    <w:sizeAuto/>
                    <w:default w:val="1"/>
                  </w:checkBox>
                </w:ffData>
              </w:fldChar>
            </w:r>
            <w:r>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 xml:space="preserve">Medical Practitioners  </w:t>
            </w:r>
          </w:p>
        </w:tc>
      </w:tr>
      <w:tr w:rsidR="0034504B" w:rsidRPr="00120A12" w14:paraId="30EF8B7A" w14:textId="77777777" w:rsidTr="00762948">
        <w:tc>
          <w:tcPr>
            <w:tcW w:w="553" w:type="pct"/>
            <w:tcBorders>
              <w:top w:val="single" w:sz="4" w:space="0" w:color="auto"/>
              <w:left w:val="single" w:sz="4" w:space="0" w:color="auto"/>
              <w:bottom w:val="single" w:sz="4" w:space="0" w:color="auto"/>
              <w:right w:val="single" w:sz="4" w:space="0" w:color="auto"/>
            </w:tcBorders>
          </w:tcPr>
          <w:p w14:paraId="5A610E39" w14:textId="77777777" w:rsidR="0034504B" w:rsidRPr="0020649C"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586B8C3B" w14:textId="7DF11FE0" w:rsidR="0034504B" w:rsidRPr="007C787E" w:rsidRDefault="0034504B" w:rsidP="00762948">
            <w:pPr>
              <w:rPr>
                <w:rFonts w:ascii="Arial Narrow" w:hAnsi="Arial Narrow"/>
                <w:b/>
                <w:sz w:val="18"/>
                <w:szCs w:val="18"/>
              </w:rPr>
            </w:pPr>
            <w:r w:rsidRPr="0020649C">
              <w:rPr>
                <w:rFonts w:ascii="Arial Narrow" w:hAnsi="Arial Narrow"/>
                <w:b/>
                <w:sz w:val="18"/>
                <w:szCs w:val="18"/>
              </w:rPr>
              <w:t>Restriction Level / Method:</w:t>
            </w:r>
            <w:r>
              <w:rPr>
                <w:rFonts w:ascii="Arial Narrow" w:hAnsi="Arial Narrow"/>
                <w:b/>
                <w:sz w:val="18"/>
                <w:szCs w:val="18"/>
              </w:rPr>
              <w:t xml:space="preserve"> </w:t>
            </w:r>
            <w:r>
              <w:rPr>
                <w:rFonts w:ascii="Arial Narrow" w:hAnsi="Arial Narrow"/>
                <w:sz w:val="18"/>
                <w:szCs w:val="18"/>
              </w:rPr>
              <w:fldChar w:fldCharType="begin" w:fldLock="1">
                <w:ffData>
                  <w:name w:val=""/>
                  <w:enabled/>
                  <w:calcOnExit w:val="0"/>
                  <w:checkBox>
                    <w:sizeAuto/>
                    <w:default w:val="1"/>
                  </w:checkBox>
                </w:ffData>
              </w:fldChar>
            </w:r>
            <w:r>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Authority Required – In Writing</w:t>
            </w:r>
            <w:r>
              <w:rPr>
                <w:rFonts w:ascii="Arial Narrow" w:hAnsi="Arial Narrow"/>
                <w:sz w:val="18"/>
                <w:szCs w:val="18"/>
              </w:rPr>
              <w:t xml:space="preserve">/HPOS </w:t>
            </w:r>
          </w:p>
        </w:tc>
      </w:tr>
      <w:tr w:rsidR="001D4123" w:rsidRPr="00120A12" w14:paraId="04376751" w14:textId="77777777" w:rsidTr="00762948">
        <w:tc>
          <w:tcPr>
            <w:tcW w:w="553" w:type="pct"/>
            <w:tcBorders>
              <w:top w:val="single" w:sz="4" w:space="0" w:color="auto"/>
              <w:left w:val="single" w:sz="4" w:space="0" w:color="auto"/>
              <w:bottom w:val="single" w:sz="4" w:space="0" w:color="auto"/>
              <w:right w:val="single" w:sz="4" w:space="0" w:color="auto"/>
            </w:tcBorders>
          </w:tcPr>
          <w:p w14:paraId="3813D20F" w14:textId="77777777" w:rsidR="001D4123" w:rsidRPr="0020649C" w:rsidRDefault="001D4123"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12422D22" w14:textId="77777777" w:rsidR="001D4123" w:rsidRPr="00ED24EE" w:rsidRDefault="001D4123" w:rsidP="001D4123">
            <w:pPr>
              <w:keepNext/>
              <w:keepLines/>
              <w:rPr>
                <w:rFonts w:ascii="Arial Narrow" w:hAnsi="Arial Narrow"/>
                <w:b/>
                <w:iCs/>
                <w:sz w:val="18"/>
                <w:szCs w:val="18"/>
              </w:rPr>
            </w:pPr>
            <w:r w:rsidRPr="00ED24EE">
              <w:rPr>
                <w:rFonts w:ascii="Arial Narrow" w:hAnsi="Arial Narrow"/>
                <w:b/>
                <w:iCs/>
                <w:sz w:val="18"/>
                <w:szCs w:val="18"/>
              </w:rPr>
              <w:t xml:space="preserve">Authority </w:t>
            </w:r>
            <w:r w:rsidRPr="005F6014">
              <w:rPr>
                <w:rFonts w:ascii="Arial Narrow" w:hAnsi="Arial Narrow"/>
                <w:b/>
                <w:iCs/>
                <w:sz w:val="18"/>
                <w:szCs w:val="18"/>
              </w:rPr>
              <w:t xml:space="preserve">type: </w:t>
            </w:r>
            <w:r w:rsidRPr="005F6014">
              <w:rPr>
                <w:rFonts w:ascii="Arial Narrow" w:hAnsi="Arial Narrow"/>
                <w:bCs/>
                <w:iCs/>
                <w:sz w:val="18"/>
                <w:szCs w:val="18"/>
              </w:rPr>
              <w:t>required for s100 HSD</w:t>
            </w:r>
          </w:p>
          <w:p w14:paraId="6B6E5ECA" w14:textId="1FBE7EEE" w:rsidR="001D4123" w:rsidRPr="00ED24EE" w:rsidRDefault="001D4123" w:rsidP="001D4123">
            <w:pPr>
              <w:rPr>
                <w:rFonts w:ascii="Arial Narrow" w:hAnsi="Arial Narrow"/>
                <w:b/>
                <w:sz w:val="18"/>
                <w:szCs w:val="18"/>
              </w:rPr>
            </w:pPr>
            <w:r w:rsidRPr="00ED24EE">
              <w:rPr>
                <w:rFonts w:ascii="Arial Narrow" w:eastAsia="Calibri" w:hAnsi="Arial Narrow"/>
                <w:iCs/>
                <w:sz w:val="18"/>
                <w:szCs w:val="18"/>
              </w:rPr>
              <w:fldChar w:fldCharType="begin" w:fldLock="1">
                <w:ffData>
                  <w:name w:val=""/>
                  <w:enabled/>
                  <w:calcOnExit w:val="0"/>
                  <w:checkBox>
                    <w:sizeAuto/>
                    <w:default w:val="1"/>
                  </w:checkBox>
                </w:ffData>
              </w:fldChar>
            </w:r>
            <w:r w:rsidRPr="00ED24EE">
              <w:rPr>
                <w:rFonts w:ascii="Arial Narrow" w:eastAsia="Calibri" w:hAnsi="Arial Narrow"/>
                <w:iCs/>
                <w:sz w:val="18"/>
                <w:szCs w:val="18"/>
              </w:rPr>
              <w:instrText xml:space="preserve"> FORMCHECKBOX </w:instrText>
            </w:r>
            <w:r w:rsidR="00827768">
              <w:rPr>
                <w:rFonts w:ascii="Arial Narrow" w:eastAsia="Calibri" w:hAnsi="Arial Narrow"/>
                <w:iCs/>
                <w:sz w:val="18"/>
                <w:szCs w:val="18"/>
              </w:rPr>
            </w:r>
            <w:r w:rsidR="00827768">
              <w:rPr>
                <w:rFonts w:ascii="Arial Narrow" w:eastAsia="Calibri" w:hAnsi="Arial Narrow"/>
                <w:iCs/>
                <w:sz w:val="18"/>
                <w:szCs w:val="18"/>
              </w:rPr>
              <w:fldChar w:fldCharType="separate"/>
            </w:r>
            <w:r w:rsidRPr="00ED24EE">
              <w:rPr>
                <w:rFonts w:ascii="Arial Narrow" w:eastAsia="Calibri" w:hAnsi="Arial Narrow"/>
                <w:iCs/>
                <w:sz w:val="18"/>
                <w:szCs w:val="18"/>
              </w:rPr>
              <w:fldChar w:fldCharType="end"/>
            </w:r>
            <w:r w:rsidRPr="00ED24EE">
              <w:rPr>
                <w:rFonts w:ascii="Arial Narrow" w:eastAsia="Calibri" w:hAnsi="Arial Narrow"/>
                <w:iCs/>
                <w:sz w:val="18"/>
                <w:szCs w:val="18"/>
              </w:rPr>
              <w:t xml:space="preserve"> C</w:t>
            </w:r>
            <w:r w:rsidRPr="00ED24EE">
              <w:rPr>
                <w:rFonts w:ascii="Arial Narrow" w:hAnsi="Arial Narrow"/>
                <w:bCs/>
                <w:iCs/>
                <w:sz w:val="18"/>
                <w:szCs w:val="18"/>
              </w:rPr>
              <w:t>omplex Authority Required (CAR)</w:t>
            </w:r>
          </w:p>
        </w:tc>
      </w:tr>
      <w:tr w:rsidR="0034504B" w:rsidRPr="00120A12" w14:paraId="326C7DDD" w14:textId="77777777" w:rsidTr="00762948">
        <w:tc>
          <w:tcPr>
            <w:tcW w:w="553" w:type="pct"/>
            <w:vAlign w:val="center"/>
          </w:tcPr>
          <w:p w14:paraId="70C68B34" w14:textId="2B41EB4B" w:rsidR="0034504B" w:rsidRPr="00C86425" w:rsidRDefault="0034504B" w:rsidP="00762948">
            <w:pPr>
              <w:jc w:val="center"/>
              <w:rPr>
                <w:rFonts w:ascii="Arial Narrow" w:hAnsi="Arial Narrow"/>
                <w:color w:val="333333"/>
                <w:sz w:val="18"/>
                <w:szCs w:val="18"/>
              </w:rPr>
            </w:pPr>
          </w:p>
        </w:tc>
        <w:tc>
          <w:tcPr>
            <w:tcW w:w="4447" w:type="pct"/>
            <w:vAlign w:val="center"/>
          </w:tcPr>
          <w:p w14:paraId="0BD73976" w14:textId="77777777" w:rsidR="0034504B" w:rsidRPr="00C86425" w:rsidRDefault="0034504B" w:rsidP="00762948">
            <w:pPr>
              <w:rPr>
                <w:rFonts w:ascii="Arial Narrow" w:hAnsi="Arial Narrow"/>
                <w:color w:val="333333"/>
                <w:sz w:val="18"/>
                <w:szCs w:val="18"/>
              </w:rPr>
            </w:pPr>
            <w:r w:rsidRPr="00C86425">
              <w:rPr>
                <w:rFonts w:ascii="Arial Narrow" w:hAnsi="Arial Narrow"/>
                <w:b/>
                <w:bCs/>
                <w:color w:val="333333"/>
                <w:sz w:val="18"/>
                <w:szCs w:val="18"/>
              </w:rPr>
              <w:t>Administrative Advice:</w:t>
            </w:r>
          </w:p>
          <w:p w14:paraId="5AC4292D"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lastRenderedPageBreak/>
              <w:t>No increase in the maximum quantity or number of units may be authorised.</w:t>
            </w:r>
          </w:p>
        </w:tc>
      </w:tr>
      <w:tr w:rsidR="0034504B" w:rsidRPr="00120A12" w14:paraId="6AEC6534" w14:textId="77777777" w:rsidTr="00762948">
        <w:tc>
          <w:tcPr>
            <w:tcW w:w="553" w:type="pct"/>
            <w:vAlign w:val="center"/>
          </w:tcPr>
          <w:p w14:paraId="07254AF3" w14:textId="1AEC641B" w:rsidR="0034504B" w:rsidRPr="00C86425" w:rsidRDefault="0034504B" w:rsidP="00762948">
            <w:pPr>
              <w:jc w:val="center"/>
              <w:rPr>
                <w:rFonts w:ascii="Arial Narrow" w:hAnsi="Arial Narrow"/>
                <w:color w:val="333333"/>
                <w:sz w:val="18"/>
                <w:szCs w:val="18"/>
              </w:rPr>
            </w:pPr>
          </w:p>
        </w:tc>
        <w:tc>
          <w:tcPr>
            <w:tcW w:w="4447" w:type="pct"/>
            <w:vAlign w:val="center"/>
          </w:tcPr>
          <w:p w14:paraId="3CB90094" w14:textId="77777777" w:rsidR="0034504B" w:rsidRPr="00C86425" w:rsidRDefault="0034504B" w:rsidP="00762948">
            <w:pPr>
              <w:rPr>
                <w:rFonts w:ascii="Arial Narrow" w:hAnsi="Arial Narrow"/>
                <w:color w:val="333333"/>
                <w:sz w:val="18"/>
                <w:szCs w:val="18"/>
              </w:rPr>
            </w:pPr>
            <w:r w:rsidRPr="00C86425">
              <w:rPr>
                <w:rFonts w:ascii="Arial Narrow" w:hAnsi="Arial Narrow"/>
                <w:b/>
                <w:bCs/>
                <w:color w:val="333333"/>
                <w:sz w:val="18"/>
                <w:szCs w:val="18"/>
              </w:rPr>
              <w:t>Administrative Advice:</w:t>
            </w:r>
          </w:p>
          <w:p w14:paraId="2057FF5D" w14:textId="77777777" w:rsidR="0034504B" w:rsidRPr="00C86425" w:rsidRDefault="0034504B" w:rsidP="00762948">
            <w:pPr>
              <w:rPr>
                <w:rFonts w:ascii="Arial Narrow" w:hAnsi="Arial Narrow"/>
                <w:b/>
                <w:bCs/>
                <w:color w:val="333333"/>
                <w:sz w:val="18"/>
                <w:szCs w:val="18"/>
              </w:rPr>
            </w:pPr>
            <w:r w:rsidRPr="00C86425">
              <w:rPr>
                <w:rFonts w:ascii="Arial Narrow" w:hAnsi="Arial Narrow"/>
                <w:color w:val="333333"/>
                <w:sz w:val="18"/>
                <w:szCs w:val="18"/>
              </w:rPr>
              <w:t>No increase in the maximum number of repeats may be authorised.</w:t>
            </w:r>
          </w:p>
        </w:tc>
      </w:tr>
      <w:tr w:rsidR="0034504B" w:rsidRPr="00120A12" w14:paraId="4D207DAF" w14:textId="77777777" w:rsidTr="00762948">
        <w:tc>
          <w:tcPr>
            <w:tcW w:w="553" w:type="pct"/>
            <w:vAlign w:val="center"/>
          </w:tcPr>
          <w:p w14:paraId="09F3749B" w14:textId="79C91AB3" w:rsidR="0034504B" w:rsidRPr="00C86425" w:rsidRDefault="0034504B" w:rsidP="00762948">
            <w:pPr>
              <w:jc w:val="center"/>
              <w:rPr>
                <w:rFonts w:ascii="Arial Narrow" w:hAnsi="Arial Narrow"/>
                <w:color w:val="333333"/>
                <w:sz w:val="18"/>
                <w:szCs w:val="18"/>
              </w:rPr>
            </w:pPr>
          </w:p>
        </w:tc>
        <w:tc>
          <w:tcPr>
            <w:tcW w:w="4447" w:type="pct"/>
            <w:vAlign w:val="center"/>
          </w:tcPr>
          <w:p w14:paraId="5BCD0366" w14:textId="77777777" w:rsidR="0034504B" w:rsidRPr="00C86425" w:rsidRDefault="0034504B" w:rsidP="00762948">
            <w:pPr>
              <w:rPr>
                <w:rFonts w:ascii="Arial Narrow" w:hAnsi="Arial Narrow"/>
                <w:color w:val="333333"/>
                <w:sz w:val="18"/>
                <w:szCs w:val="18"/>
              </w:rPr>
            </w:pPr>
            <w:r w:rsidRPr="00C86425">
              <w:rPr>
                <w:rFonts w:ascii="Arial Narrow" w:hAnsi="Arial Narrow"/>
                <w:b/>
                <w:bCs/>
                <w:color w:val="333333"/>
                <w:sz w:val="18"/>
                <w:szCs w:val="18"/>
              </w:rPr>
              <w:t>Administrative Advice:</w:t>
            </w:r>
          </w:p>
          <w:p w14:paraId="63083685" w14:textId="77777777" w:rsidR="0034504B" w:rsidRPr="00C86425" w:rsidRDefault="0034504B" w:rsidP="00762948">
            <w:pPr>
              <w:rPr>
                <w:rFonts w:ascii="Arial Narrow" w:hAnsi="Arial Narrow"/>
                <w:b/>
                <w:bCs/>
                <w:color w:val="333333"/>
                <w:sz w:val="18"/>
                <w:szCs w:val="18"/>
              </w:rPr>
            </w:pPr>
            <w:r w:rsidRPr="00C86425">
              <w:rPr>
                <w:rFonts w:ascii="Arial Narrow" w:hAnsi="Arial Narrow"/>
                <w:color w:val="333333"/>
                <w:sz w:val="18"/>
                <w:szCs w:val="18"/>
              </w:rPr>
              <w:t>Special Pricing Arrangements apply.</w:t>
            </w:r>
          </w:p>
        </w:tc>
      </w:tr>
      <w:tr w:rsidR="0034504B" w:rsidRPr="00120A12" w14:paraId="4630DA20" w14:textId="77777777" w:rsidTr="00762948">
        <w:tc>
          <w:tcPr>
            <w:tcW w:w="553" w:type="pct"/>
            <w:vAlign w:val="center"/>
          </w:tcPr>
          <w:p w14:paraId="72827598" w14:textId="77777777" w:rsidR="0034504B" w:rsidRDefault="0034504B" w:rsidP="00762948">
            <w:pPr>
              <w:jc w:val="center"/>
              <w:rPr>
                <w:rFonts w:ascii="Arial Narrow" w:hAnsi="Arial Narrow"/>
                <w:color w:val="333333"/>
                <w:sz w:val="18"/>
                <w:szCs w:val="18"/>
              </w:rPr>
            </w:pPr>
          </w:p>
        </w:tc>
        <w:tc>
          <w:tcPr>
            <w:tcW w:w="4447" w:type="pct"/>
            <w:vAlign w:val="center"/>
          </w:tcPr>
          <w:p w14:paraId="11E62BF4" w14:textId="77777777" w:rsidR="0034504B" w:rsidRPr="001D4123" w:rsidRDefault="0034504B" w:rsidP="00762948">
            <w:pPr>
              <w:rPr>
                <w:rFonts w:ascii="Arial Narrow" w:hAnsi="Arial Narrow"/>
                <w:i/>
                <w:iCs/>
                <w:color w:val="BFBFBF" w:themeColor="background1" w:themeShade="BF"/>
                <w:sz w:val="18"/>
                <w:szCs w:val="18"/>
              </w:rPr>
            </w:pPr>
            <w:r w:rsidRPr="001D4123">
              <w:rPr>
                <w:rFonts w:ascii="Arial Narrow" w:hAnsi="Arial Narrow"/>
                <w:b/>
                <w:bCs/>
                <w:color w:val="BFBFBF" w:themeColor="background1" w:themeShade="BF"/>
                <w:sz w:val="18"/>
                <w:szCs w:val="18"/>
              </w:rPr>
              <w:t>Episodicity:</w:t>
            </w:r>
            <w:r w:rsidRPr="001D4123">
              <w:rPr>
                <w:rFonts w:ascii="Arial Narrow" w:hAnsi="Arial Narrow"/>
                <w:i/>
                <w:iCs/>
                <w:color w:val="BFBFBF" w:themeColor="background1" w:themeShade="BF"/>
                <w:sz w:val="18"/>
                <w:szCs w:val="18"/>
              </w:rPr>
              <w:t xml:space="preserve"> </w:t>
            </w:r>
            <w:r w:rsidRPr="001D4123">
              <w:rPr>
                <w:rFonts w:ascii="Arial Narrow" w:hAnsi="Arial Narrow"/>
                <w:color w:val="BFBFBF" w:themeColor="background1" w:themeShade="BF"/>
                <w:sz w:val="18"/>
                <w:szCs w:val="18"/>
              </w:rPr>
              <w:t>Chronic</w:t>
            </w:r>
          </w:p>
        </w:tc>
      </w:tr>
      <w:tr w:rsidR="0034504B" w:rsidRPr="00120A12" w14:paraId="748582DA" w14:textId="77777777" w:rsidTr="00762948">
        <w:tc>
          <w:tcPr>
            <w:tcW w:w="553" w:type="pct"/>
            <w:vAlign w:val="center"/>
          </w:tcPr>
          <w:p w14:paraId="5B2CD717" w14:textId="77777777" w:rsidR="0034504B" w:rsidRDefault="0034504B" w:rsidP="00762948">
            <w:pPr>
              <w:jc w:val="center"/>
              <w:rPr>
                <w:rFonts w:ascii="Arial Narrow" w:hAnsi="Arial Narrow"/>
                <w:color w:val="333333"/>
                <w:sz w:val="18"/>
                <w:szCs w:val="18"/>
              </w:rPr>
            </w:pPr>
          </w:p>
        </w:tc>
        <w:tc>
          <w:tcPr>
            <w:tcW w:w="4447" w:type="pct"/>
            <w:vAlign w:val="center"/>
          </w:tcPr>
          <w:p w14:paraId="6244628C" w14:textId="77777777" w:rsidR="0034504B" w:rsidRPr="001D4123" w:rsidRDefault="0034504B" w:rsidP="00762948">
            <w:pPr>
              <w:rPr>
                <w:rFonts w:ascii="Arial Narrow" w:hAnsi="Arial Narrow"/>
                <w:b/>
                <w:bCs/>
                <w:color w:val="BFBFBF" w:themeColor="background1" w:themeShade="BF"/>
                <w:sz w:val="18"/>
                <w:szCs w:val="18"/>
              </w:rPr>
            </w:pPr>
            <w:r w:rsidRPr="001D4123">
              <w:rPr>
                <w:rFonts w:ascii="Arial Narrow" w:hAnsi="Arial Narrow"/>
                <w:b/>
                <w:bCs/>
                <w:color w:val="BFBFBF" w:themeColor="background1" w:themeShade="BF"/>
                <w:sz w:val="18"/>
                <w:szCs w:val="18"/>
              </w:rPr>
              <w:t xml:space="preserve">Severity: </w:t>
            </w:r>
            <w:r w:rsidRPr="001D4123">
              <w:rPr>
                <w:rFonts w:ascii="Arial Narrow" w:hAnsi="Arial Narrow"/>
                <w:color w:val="BFBFBF" w:themeColor="background1" w:themeShade="BF"/>
                <w:sz w:val="18"/>
                <w:szCs w:val="18"/>
              </w:rPr>
              <w:t>Moderate to severe</w:t>
            </w:r>
          </w:p>
        </w:tc>
      </w:tr>
      <w:tr w:rsidR="0034504B" w:rsidRPr="00120A12" w14:paraId="74006382" w14:textId="77777777" w:rsidTr="00762948">
        <w:tc>
          <w:tcPr>
            <w:tcW w:w="553" w:type="pct"/>
            <w:vAlign w:val="center"/>
          </w:tcPr>
          <w:p w14:paraId="40F9D7E9" w14:textId="77777777" w:rsidR="0034504B" w:rsidRDefault="0034504B" w:rsidP="00762948">
            <w:pPr>
              <w:jc w:val="center"/>
              <w:rPr>
                <w:rFonts w:ascii="Arial Narrow" w:hAnsi="Arial Narrow"/>
                <w:color w:val="333333"/>
                <w:sz w:val="18"/>
                <w:szCs w:val="18"/>
              </w:rPr>
            </w:pPr>
          </w:p>
        </w:tc>
        <w:tc>
          <w:tcPr>
            <w:tcW w:w="4447" w:type="pct"/>
            <w:vAlign w:val="center"/>
          </w:tcPr>
          <w:p w14:paraId="4BDCE314" w14:textId="77777777" w:rsidR="0034504B" w:rsidRPr="00120A12" w:rsidRDefault="0034504B" w:rsidP="00762948">
            <w:pPr>
              <w:rPr>
                <w:rFonts w:ascii="Arial Narrow" w:hAnsi="Arial Narrow"/>
                <w:b/>
                <w:bCs/>
                <w:color w:val="333333"/>
                <w:sz w:val="18"/>
                <w:szCs w:val="18"/>
              </w:rPr>
            </w:pPr>
            <w:r w:rsidRPr="001D4123">
              <w:rPr>
                <w:rFonts w:ascii="Arial Narrow" w:hAnsi="Arial Narrow"/>
                <w:b/>
                <w:bCs/>
                <w:color w:val="BFBFBF" w:themeColor="background1" w:themeShade="BF"/>
                <w:sz w:val="18"/>
                <w:szCs w:val="18"/>
              </w:rPr>
              <w:t xml:space="preserve">Condition: </w:t>
            </w:r>
            <w:r w:rsidRPr="001D4123">
              <w:rPr>
                <w:rFonts w:ascii="Arial Narrow" w:hAnsi="Arial Narrow"/>
                <w:bCs/>
                <w:color w:val="BFBFBF" w:themeColor="background1" w:themeShade="BF"/>
                <w:sz w:val="18"/>
                <w:szCs w:val="18"/>
              </w:rPr>
              <w:t xml:space="preserve">Pouchitis </w:t>
            </w:r>
          </w:p>
        </w:tc>
      </w:tr>
      <w:tr w:rsidR="0034504B" w:rsidRPr="00120A12" w14:paraId="793CE883" w14:textId="77777777" w:rsidTr="00D30EB5">
        <w:tc>
          <w:tcPr>
            <w:tcW w:w="553" w:type="pct"/>
            <w:vAlign w:val="center"/>
          </w:tcPr>
          <w:p w14:paraId="4DF66BFC" w14:textId="33123C64" w:rsidR="0034504B" w:rsidRPr="00120A12" w:rsidRDefault="0034504B" w:rsidP="00762948">
            <w:pPr>
              <w:jc w:val="center"/>
              <w:rPr>
                <w:rFonts w:ascii="Arial Narrow" w:hAnsi="Arial Narrow"/>
                <w:color w:val="333333"/>
                <w:sz w:val="18"/>
                <w:szCs w:val="18"/>
              </w:rPr>
            </w:pPr>
          </w:p>
        </w:tc>
        <w:tc>
          <w:tcPr>
            <w:tcW w:w="4447" w:type="pct"/>
            <w:vAlign w:val="center"/>
            <w:hideMark/>
          </w:tcPr>
          <w:p w14:paraId="019982D5"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Moderate to severe chronic pouchitis</w:t>
            </w:r>
          </w:p>
        </w:tc>
      </w:tr>
      <w:tr w:rsidR="0034504B" w:rsidRPr="00120A12" w14:paraId="71549635" w14:textId="77777777" w:rsidTr="00D30EB5">
        <w:tc>
          <w:tcPr>
            <w:tcW w:w="553" w:type="pct"/>
            <w:vAlign w:val="center"/>
          </w:tcPr>
          <w:p w14:paraId="30B0E034"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0C95FE97"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Initial 1 treatment (new patient)</w:t>
            </w:r>
          </w:p>
        </w:tc>
      </w:tr>
      <w:tr w:rsidR="0034504B" w:rsidRPr="00120A12" w14:paraId="20134BFB" w14:textId="77777777" w:rsidTr="00D30EB5">
        <w:tc>
          <w:tcPr>
            <w:tcW w:w="553" w:type="pct"/>
            <w:vAlign w:val="center"/>
          </w:tcPr>
          <w:p w14:paraId="551367AA" w14:textId="5DA38970" w:rsidR="0034504B" w:rsidRPr="00120A12" w:rsidRDefault="0034504B" w:rsidP="00762948">
            <w:pPr>
              <w:jc w:val="center"/>
              <w:rPr>
                <w:rFonts w:ascii="Arial Narrow" w:hAnsi="Arial Narrow"/>
                <w:color w:val="333333"/>
                <w:sz w:val="18"/>
                <w:szCs w:val="18"/>
              </w:rPr>
            </w:pPr>
          </w:p>
        </w:tc>
        <w:tc>
          <w:tcPr>
            <w:tcW w:w="4447" w:type="pct"/>
            <w:vAlign w:val="center"/>
            <w:hideMark/>
          </w:tcPr>
          <w:p w14:paraId="647CBAB3"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34504B" w:rsidRPr="00120A12" w14:paraId="79CFB96B" w14:textId="77777777" w:rsidTr="00D30EB5">
        <w:tc>
          <w:tcPr>
            <w:tcW w:w="553" w:type="pct"/>
            <w:vAlign w:val="center"/>
          </w:tcPr>
          <w:p w14:paraId="1F56A5B1" w14:textId="65DC87F8" w:rsidR="0034504B" w:rsidRPr="00120A12" w:rsidRDefault="0034504B" w:rsidP="00762948">
            <w:pPr>
              <w:jc w:val="center"/>
              <w:rPr>
                <w:rFonts w:ascii="Arial Narrow" w:hAnsi="Arial Narrow"/>
                <w:color w:val="333333"/>
                <w:sz w:val="18"/>
                <w:szCs w:val="18"/>
              </w:rPr>
            </w:pPr>
          </w:p>
        </w:tc>
        <w:tc>
          <w:tcPr>
            <w:tcW w:w="4447" w:type="pct"/>
            <w:vAlign w:val="center"/>
            <w:hideMark/>
          </w:tcPr>
          <w:p w14:paraId="5A1F320B"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t xml:space="preserve">Patient must have undergone ileal pouch anal anastomosis (IPAA) due to ulcerative colitis </w:t>
            </w:r>
            <w:r>
              <w:rPr>
                <w:rFonts w:ascii="Arial Narrow" w:hAnsi="Arial Narrow"/>
                <w:color w:val="333333"/>
                <w:sz w:val="18"/>
                <w:szCs w:val="18"/>
              </w:rPr>
              <w:t xml:space="preserve">(UC) </w:t>
            </w:r>
            <w:r w:rsidRPr="00C86425">
              <w:rPr>
                <w:rFonts w:ascii="Arial Narrow" w:hAnsi="Arial Narrow"/>
                <w:color w:val="333333"/>
                <w:sz w:val="18"/>
                <w:szCs w:val="18"/>
              </w:rPr>
              <w:t>at least one year previously</w:t>
            </w:r>
          </w:p>
        </w:tc>
      </w:tr>
      <w:tr w:rsidR="0034504B" w:rsidRPr="00120A12" w14:paraId="2553A6B3" w14:textId="77777777" w:rsidTr="00762948">
        <w:tc>
          <w:tcPr>
            <w:tcW w:w="553" w:type="pct"/>
            <w:vAlign w:val="center"/>
          </w:tcPr>
          <w:p w14:paraId="31092D84"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4823ED4E"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AND</w:t>
            </w:r>
          </w:p>
        </w:tc>
      </w:tr>
      <w:tr w:rsidR="0034504B" w:rsidRPr="00120A12" w14:paraId="1D644D03" w14:textId="77777777" w:rsidTr="00762948">
        <w:tc>
          <w:tcPr>
            <w:tcW w:w="553" w:type="pct"/>
            <w:vAlign w:val="center"/>
          </w:tcPr>
          <w:p w14:paraId="152EE0F2" w14:textId="58591FB7" w:rsidR="0034504B" w:rsidRPr="00120A12" w:rsidRDefault="0034504B" w:rsidP="00762948">
            <w:pPr>
              <w:jc w:val="center"/>
              <w:rPr>
                <w:rFonts w:ascii="Arial Narrow" w:hAnsi="Arial Narrow"/>
                <w:color w:val="333333"/>
                <w:sz w:val="18"/>
                <w:szCs w:val="18"/>
              </w:rPr>
            </w:pPr>
          </w:p>
        </w:tc>
        <w:tc>
          <w:tcPr>
            <w:tcW w:w="4447" w:type="pct"/>
            <w:vAlign w:val="center"/>
            <w:hideMark/>
          </w:tcPr>
          <w:p w14:paraId="42785511"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34504B" w:rsidRPr="00120A12" w14:paraId="00C2CEE7" w14:textId="77777777" w:rsidTr="00762948">
        <w:tc>
          <w:tcPr>
            <w:tcW w:w="553" w:type="pct"/>
            <w:vAlign w:val="center"/>
          </w:tcPr>
          <w:p w14:paraId="2BEB2BC8" w14:textId="6E229B86" w:rsidR="0034504B" w:rsidRDefault="0034504B" w:rsidP="00762948">
            <w:pPr>
              <w:jc w:val="center"/>
              <w:rPr>
                <w:rFonts w:ascii="Arial Narrow" w:hAnsi="Arial Narrow"/>
                <w:color w:val="333333"/>
                <w:sz w:val="18"/>
                <w:szCs w:val="18"/>
              </w:rPr>
            </w:pPr>
          </w:p>
        </w:tc>
        <w:tc>
          <w:tcPr>
            <w:tcW w:w="4447" w:type="pct"/>
            <w:vAlign w:val="center"/>
          </w:tcPr>
          <w:p w14:paraId="77FB5A44" w14:textId="13EE2A67" w:rsidR="0034504B" w:rsidRPr="00F637C6" w:rsidRDefault="0034504B" w:rsidP="00762948">
            <w:pPr>
              <w:rPr>
                <w:rFonts w:ascii="Arial Narrow" w:hAnsi="Arial Narrow"/>
                <w:color w:val="333333"/>
                <w:sz w:val="18"/>
                <w:szCs w:val="18"/>
              </w:rPr>
            </w:pPr>
            <w:r w:rsidRPr="00F637C6">
              <w:rPr>
                <w:rFonts w:ascii="Arial Narrow" w:hAnsi="Arial Narrow"/>
                <w:color w:val="333333"/>
                <w:sz w:val="18"/>
                <w:szCs w:val="18"/>
              </w:rPr>
              <w:t>Patient must not have previously received PBS-subsidised treatment with this drug for this condition,</w:t>
            </w:r>
          </w:p>
        </w:tc>
      </w:tr>
      <w:tr w:rsidR="0034504B" w:rsidRPr="00120A12" w14:paraId="0FE14F76" w14:textId="77777777" w:rsidTr="00762948">
        <w:tc>
          <w:tcPr>
            <w:tcW w:w="553" w:type="pct"/>
            <w:vAlign w:val="center"/>
          </w:tcPr>
          <w:p w14:paraId="4C88327C" w14:textId="77777777" w:rsidR="0034504B" w:rsidRDefault="0034504B" w:rsidP="00762948">
            <w:pPr>
              <w:jc w:val="center"/>
              <w:rPr>
                <w:rFonts w:ascii="Arial Narrow" w:hAnsi="Arial Narrow"/>
                <w:color w:val="333333"/>
                <w:sz w:val="18"/>
                <w:szCs w:val="18"/>
              </w:rPr>
            </w:pPr>
          </w:p>
        </w:tc>
        <w:tc>
          <w:tcPr>
            <w:tcW w:w="4447" w:type="pct"/>
            <w:vAlign w:val="center"/>
          </w:tcPr>
          <w:p w14:paraId="20058C3A" w14:textId="77777777" w:rsidR="0034504B" w:rsidRPr="00120A12"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AND</w:t>
            </w:r>
          </w:p>
        </w:tc>
      </w:tr>
      <w:tr w:rsidR="0034504B" w:rsidRPr="00120A12" w14:paraId="73B736AF" w14:textId="77777777" w:rsidTr="00762948">
        <w:tc>
          <w:tcPr>
            <w:tcW w:w="553" w:type="pct"/>
            <w:vAlign w:val="center"/>
          </w:tcPr>
          <w:p w14:paraId="51B212CB" w14:textId="40B56109" w:rsidR="0034504B" w:rsidRDefault="0034504B" w:rsidP="00762948">
            <w:pPr>
              <w:jc w:val="center"/>
              <w:rPr>
                <w:rFonts w:ascii="Arial Narrow" w:hAnsi="Arial Narrow"/>
                <w:color w:val="333333"/>
                <w:sz w:val="18"/>
                <w:szCs w:val="18"/>
              </w:rPr>
            </w:pPr>
          </w:p>
        </w:tc>
        <w:tc>
          <w:tcPr>
            <w:tcW w:w="4447" w:type="pct"/>
            <w:vAlign w:val="center"/>
          </w:tcPr>
          <w:p w14:paraId="3787E70A" w14:textId="77777777" w:rsidR="0034504B" w:rsidRPr="00120A12"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34504B" w:rsidRPr="00120A12" w14:paraId="03273466" w14:textId="77777777" w:rsidTr="00762948">
        <w:tc>
          <w:tcPr>
            <w:tcW w:w="553" w:type="pct"/>
            <w:vAlign w:val="center"/>
          </w:tcPr>
          <w:p w14:paraId="56B9BF6C" w14:textId="09586BC4" w:rsidR="0034504B" w:rsidRPr="00120A12" w:rsidRDefault="0034504B" w:rsidP="00762948">
            <w:pPr>
              <w:jc w:val="center"/>
              <w:rPr>
                <w:rFonts w:ascii="Arial Narrow" w:hAnsi="Arial Narrow"/>
                <w:color w:val="333333"/>
                <w:sz w:val="18"/>
                <w:szCs w:val="18"/>
              </w:rPr>
            </w:pPr>
          </w:p>
        </w:tc>
        <w:tc>
          <w:tcPr>
            <w:tcW w:w="4447" w:type="pct"/>
            <w:vAlign w:val="center"/>
            <w:hideMark/>
          </w:tcPr>
          <w:p w14:paraId="2EF18926" w14:textId="77777777" w:rsidR="0034504B" w:rsidRPr="00120A12" w:rsidRDefault="0034504B" w:rsidP="00762948">
            <w:pPr>
              <w:rPr>
                <w:rFonts w:ascii="Arial Narrow" w:hAnsi="Arial Narrow"/>
                <w:color w:val="333333"/>
                <w:sz w:val="18"/>
                <w:szCs w:val="18"/>
              </w:rPr>
            </w:pPr>
            <w:r w:rsidRPr="00C37351">
              <w:rPr>
                <w:rFonts w:ascii="Arial Narrow" w:hAnsi="Arial Narrow"/>
                <w:color w:val="333333"/>
                <w:sz w:val="18"/>
                <w:szCs w:val="18"/>
              </w:rPr>
              <w:t>The condition must be confirmed based on the patient’s symptoms, treatment history and baseline endoscopic examination of the pouch (pouchoscopy)</w:t>
            </w:r>
          </w:p>
        </w:tc>
      </w:tr>
      <w:tr w:rsidR="0034504B" w:rsidRPr="00120A12" w14:paraId="758FB161" w14:textId="77777777" w:rsidTr="00762948">
        <w:tc>
          <w:tcPr>
            <w:tcW w:w="553" w:type="pct"/>
            <w:vAlign w:val="center"/>
          </w:tcPr>
          <w:p w14:paraId="1211EC5F"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54A5BEA5"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AND</w:t>
            </w:r>
          </w:p>
        </w:tc>
      </w:tr>
      <w:tr w:rsidR="0034504B" w:rsidRPr="00120A12" w14:paraId="00E10C41" w14:textId="77777777" w:rsidTr="00762948">
        <w:tc>
          <w:tcPr>
            <w:tcW w:w="553" w:type="pct"/>
            <w:vAlign w:val="center"/>
          </w:tcPr>
          <w:p w14:paraId="2494D698" w14:textId="202AFB59" w:rsidR="0034504B" w:rsidRPr="00120A12" w:rsidRDefault="0034504B" w:rsidP="00762948">
            <w:pPr>
              <w:jc w:val="center"/>
              <w:rPr>
                <w:rFonts w:ascii="Arial Narrow" w:hAnsi="Arial Narrow"/>
                <w:color w:val="333333"/>
                <w:sz w:val="18"/>
                <w:szCs w:val="18"/>
              </w:rPr>
            </w:pPr>
          </w:p>
        </w:tc>
        <w:tc>
          <w:tcPr>
            <w:tcW w:w="4447" w:type="pct"/>
            <w:vAlign w:val="center"/>
          </w:tcPr>
          <w:p w14:paraId="7CF93E89" w14:textId="77777777" w:rsidR="0034504B" w:rsidRPr="00120A12"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34504B" w:rsidRPr="00120A12" w14:paraId="11DCE044" w14:textId="77777777" w:rsidTr="00762948">
        <w:tc>
          <w:tcPr>
            <w:tcW w:w="553" w:type="pct"/>
            <w:vAlign w:val="center"/>
          </w:tcPr>
          <w:p w14:paraId="549FBE1A" w14:textId="2BF94134" w:rsidR="0034504B" w:rsidRPr="00120A12" w:rsidRDefault="0034504B" w:rsidP="00762948">
            <w:pPr>
              <w:jc w:val="center"/>
              <w:rPr>
                <w:rFonts w:ascii="Arial Narrow" w:hAnsi="Arial Narrow"/>
                <w:color w:val="333333"/>
                <w:sz w:val="18"/>
                <w:szCs w:val="18"/>
              </w:rPr>
            </w:pPr>
          </w:p>
        </w:tc>
        <w:tc>
          <w:tcPr>
            <w:tcW w:w="4447" w:type="pct"/>
            <w:vAlign w:val="center"/>
          </w:tcPr>
          <w:p w14:paraId="0F4CD6E6" w14:textId="77777777" w:rsidR="0034504B" w:rsidRPr="00C37351" w:rsidRDefault="0034504B" w:rsidP="00762948">
            <w:pPr>
              <w:rPr>
                <w:rFonts w:ascii="Arial Narrow" w:hAnsi="Arial Narrow"/>
                <w:color w:val="333333"/>
                <w:sz w:val="18"/>
                <w:szCs w:val="18"/>
              </w:rPr>
            </w:pPr>
            <w:r w:rsidRPr="00C37351">
              <w:rPr>
                <w:rFonts w:ascii="Arial Narrow" w:hAnsi="Arial Narrow"/>
                <w:color w:val="333333"/>
                <w:sz w:val="18"/>
                <w:szCs w:val="18"/>
              </w:rPr>
              <w:t>Patient must have a Modified Pouchitis Disease Activity Index (mPDAI) score of at least 5</w:t>
            </w:r>
          </w:p>
        </w:tc>
      </w:tr>
      <w:tr w:rsidR="0034504B" w:rsidRPr="00120A12" w14:paraId="35436109" w14:textId="77777777" w:rsidTr="00762948">
        <w:tc>
          <w:tcPr>
            <w:tcW w:w="553" w:type="pct"/>
            <w:vAlign w:val="center"/>
          </w:tcPr>
          <w:p w14:paraId="619458B5" w14:textId="77777777" w:rsidR="0034504B" w:rsidRPr="00120A12" w:rsidRDefault="0034504B" w:rsidP="00762948">
            <w:pPr>
              <w:jc w:val="center"/>
              <w:rPr>
                <w:rFonts w:ascii="Arial Narrow" w:hAnsi="Arial Narrow"/>
                <w:color w:val="333333"/>
                <w:sz w:val="18"/>
                <w:szCs w:val="18"/>
              </w:rPr>
            </w:pPr>
          </w:p>
        </w:tc>
        <w:tc>
          <w:tcPr>
            <w:tcW w:w="4447" w:type="pct"/>
            <w:vAlign w:val="center"/>
          </w:tcPr>
          <w:p w14:paraId="131C06F3" w14:textId="77777777" w:rsidR="0034504B" w:rsidRPr="00120A12"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AND</w:t>
            </w:r>
          </w:p>
        </w:tc>
      </w:tr>
      <w:tr w:rsidR="0034504B" w:rsidRPr="00120A12" w14:paraId="18687808" w14:textId="77777777" w:rsidTr="00762948">
        <w:tc>
          <w:tcPr>
            <w:tcW w:w="553" w:type="pct"/>
            <w:vAlign w:val="center"/>
          </w:tcPr>
          <w:p w14:paraId="74EE580E" w14:textId="14472064" w:rsidR="0034504B" w:rsidRPr="00120A12" w:rsidRDefault="0034504B" w:rsidP="00762948">
            <w:pPr>
              <w:jc w:val="center"/>
              <w:rPr>
                <w:rFonts w:ascii="Arial Narrow" w:hAnsi="Arial Narrow"/>
                <w:color w:val="333333"/>
                <w:sz w:val="18"/>
                <w:szCs w:val="18"/>
              </w:rPr>
            </w:pPr>
          </w:p>
        </w:tc>
        <w:tc>
          <w:tcPr>
            <w:tcW w:w="4447" w:type="pct"/>
            <w:vAlign w:val="center"/>
          </w:tcPr>
          <w:p w14:paraId="76B4FD5B" w14:textId="77777777" w:rsidR="0034504B" w:rsidRPr="00120A12"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34504B" w:rsidRPr="00120A12" w14:paraId="30CF240E" w14:textId="77777777" w:rsidTr="00762948">
        <w:tc>
          <w:tcPr>
            <w:tcW w:w="553" w:type="pct"/>
            <w:vAlign w:val="center"/>
          </w:tcPr>
          <w:p w14:paraId="7AD19B00" w14:textId="07B24E29" w:rsidR="0034504B" w:rsidRPr="00120A12" w:rsidRDefault="0034504B" w:rsidP="00762948">
            <w:pPr>
              <w:jc w:val="center"/>
              <w:rPr>
                <w:rFonts w:ascii="Arial Narrow" w:hAnsi="Arial Narrow"/>
                <w:color w:val="333333"/>
                <w:sz w:val="18"/>
                <w:szCs w:val="18"/>
              </w:rPr>
            </w:pPr>
          </w:p>
        </w:tc>
        <w:tc>
          <w:tcPr>
            <w:tcW w:w="4447" w:type="pct"/>
            <w:vAlign w:val="center"/>
          </w:tcPr>
          <w:p w14:paraId="563455DF" w14:textId="77777777" w:rsidR="0034504B" w:rsidRPr="00C37351" w:rsidRDefault="0034504B" w:rsidP="00762948">
            <w:pPr>
              <w:rPr>
                <w:rFonts w:ascii="Arial Narrow" w:hAnsi="Arial Narrow"/>
                <w:sz w:val="20"/>
                <w:lang w:val="en-US" w:eastAsia="en-GB"/>
              </w:rPr>
            </w:pPr>
            <w:r w:rsidRPr="00C37351">
              <w:rPr>
                <w:rFonts w:ascii="Arial Narrow" w:hAnsi="Arial Narrow"/>
                <w:color w:val="333333"/>
                <w:sz w:val="18"/>
                <w:szCs w:val="18"/>
              </w:rPr>
              <w:t>Patient must have a minimum endoscopic mPDAI sub-score of at least 2</w:t>
            </w:r>
          </w:p>
        </w:tc>
      </w:tr>
      <w:tr w:rsidR="0034504B" w:rsidRPr="00120A12" w14:paraId="3B51C3FE" w14:textId="77777777" w:rsidTr="00762948">
        <w:tc>
          <w:tcPr>
            <w:tcW w:w="553" w:type="pct"/>
            <w:vAlign w:val="center"/>
          </w:tcPr>
          <w:p w14:paraId="15A6F0F9" w14:textId="77777777" w:rsidR="0034504B" w:rsidRPr="00120A12" w:rsidRDefault="0034504B" w:rsidP="00762948">
            <w:pPr>
              <w:jc w:val="center"/>
              <w:rPr>
                <w:rFonts w:ascii="Arial Narrow" w:hAnsi="Arial Narrow"/>
                <w:color w:val="333333"/>
                <w:sz w:val="18"/>
                <w:szCs w:val="18"/>
              </w:rPr>
            </w:pPr>
          </w:p>
        </w:tc>
        <w:tc>
          <w:tcPr>
            <w:tcW w:w="4447" w:type="pct"/>
            <w:vAlign w:val="center"/>
          </w:tcPr>
          <w:p w14:paraId="407749AA" w14:textId="77777777" w:rsidR="0034504B" w:rsidRPr="00120A12"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AND</w:t>
            </w:r>
          </w:p>
        </w:tc>
      </w:tr>
      <w:tr w:rsidR="0034504B" w:rsidRPr="00120A12" w14:paraId="171ED6D5" w14:textId="77777777" w:rsidTr="00762948">
        <w:tc>
          <w:tcPr>
            <w:tcW w:w="553" w:type="pct"/>
            <w:vAlign w:val="center"/>
          </w:tcPr>
          <w:p w14:paraId="4AD8BAD1" w14:textId="5E6D265A" w:rsidR="0034504B" w:rsidRPr="00120A12" w:rsidRDefault="0034504B" w:rsidP="00762948">
            <w:pPr>
              <w:jc w:val="center"/>
              <w:rPr>
                <w:rFonts w:ascii="Arial Narrow" w:hAnsi="Arial Narrow"/>
                <w:color w:val="333333"/>
                <w:sz w:val="18"/>
                <w:szCs w:val="18"/>
              </w:rPr>
            </w:pPr>
          </w:p>
        </w:tc>
        <w:tc>
          <w:tcPr>
            <w:tcW w:w="4447" w:type="pct"/>
            <w:vAlign w:val="center"/>
          </w:tcPr>
          <w:p w14:paraId="7783D211" w14:textId="77777777" w:rsidR="0034504B" w:rsidRPr="00120A12"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34504B" w:rsidRPr="00120A12" w14:paraId="21467E9B" w14:textId="77777777" w:rsidTr="00762948">
        <w:tc>
          <w:tcPr>
            <w:tcW w:w="553" w:type="pct"/>
            <w:vAlign w:val="center"/>
          </w:tcPr>
          <w:p w14:paraId="15245836" w14:textId="1C653206" w:rsidR="0034504B" w:rsidRPr="00120A12" w:rsidRDefault="0034504B" w:rsidP="00762948">
            <w:pPr>
              <w:jc w:val="center"/>
              <w:rPr>
                <w:rFonts w:ascii="Arial Narrow" w:hAnsi="Arial Narrow"/>
                <w:color w:val="333333"/>
                <w:sz w:val="18"/>
                <w:szCs w:val="18"/>
              </w:rPr>
            </w:pPr>
          </w:p>
        </w:tc>
        <w:tc>
          <w:tcPr>
            <w:tcW w:w="4447" w:type="pct"/>
            <w:vAlign w:val="center"/>
          </w:tcPr>
          <w:p w14:paraId="2E58D740" w14:textId="77777777" w:rsidR="0034504B" w:rsidRPr="00C37351" w:rsidRDefault="0034504B" w:rsidP="00762948">
            <w:pPr>
              <w:rPr>
                <w:rFonts w:ascii="Arial Narrow" w:hAnsi="Arial Narrow"/>
                <w:color w:val="333333"/>
                <w:sz w:val="18"/>
                <w:szCs w:val="18"/>
              </w:rPr>
            </w:pPr>
            <w:r w:rsidRPr="00C37351">
              <w:rPr>
                <w:rFonts w:ascii="Arial Narrow" w:hAnsi="Arial Narrow"/>
                <w:color w:val="333333"/>
                <w:sz w:val="18"/>
                <w:szCs w:val="18"/>
              </w:rPr>
              <w:t>Patient must have had at least 3 recurrent episodes of pouchitis within the previous year each of which was treated with at least</w:t>
            </w:r>
            <w:r>
              <w:rPr>
                <w:rFonts w:ascii="Arial Narrow" w:hAnsi="Arial Narrow"/>
                <w:color w:val="333333"/>
                <w:sz w:val="18"/>
                <w:szCs w:val="18"/>
              </w:rPr>
              <w:t>:</w:t>
            </w:r>
            <w:r w:rsidRPr="00C37351">
              <w:rPr>
                <w:rFonts w:ascii="Arial Narrow" w:hAnsi="Arial Narrow"/>
                <w:color w:val="333333"/>
                <w:sz w:val="18"/>
                <w:szCs w:val="18"/>
              </w:rPr>
              <w:t xml:space="preserve"> </w:t>
            </w:r>
            <w:r w:rsidRPr="00C86425">
              <w:rPr>
                <w:rFonts w:ascii="Arial Narrow" w:hAnsi="Arial Narrow"/>
                <w:color w:val="333333"/>
                <w:sz w:val="18"/>
                <w:szCs w:val="18"/>
              </w:rPr>
              <w:t>(i)</w:t>
            </w:r>
            <w:r>
              <w:rPr>
                <w:rFonts w:ascii="Arial Narrow" w:hAnsi="Arial Narrow"/>
                <w:color w:val="333333"/>
                <w:sz w:val="18"/>
                <w:szCs w:val="18"/>
              </w:rPr>
              <w:t xml:space="preserve"> </w:t>
            </w:r>
            <w:r w:rsidRPr="00C37351">
              <w:rPr>
                <w:rFonts w:ascii="Arial Narrow" w:hAnsi="Arial Narrow"/>
                <w:color w:val="333333"/>
                <w:sz w:val="18"/>
                <w:szCs w:val="18"/>
              </w:rPr>
              <w:t>2 weeks of antibiotic</w:t>
            </w:r>
            <w:r>
              <w:rPr>
                <w:rFonts w:ascii="Arial Narrow" w:hAnsi="Arial Narrow"/>
                <w:color w:val="333333"/>
                <w:sz w:val="18"/>
                <w:szCs w:val="18"/>
              </w:rPr>
              <w:t>,</w:t>
            </w:r>
            <w:r w:rsidRPr="00C37351">
              <w:rPr>
                <w:rFonts w:ascii="Arial Narrow" w:hAnsi="Arial Narrow"/>
                <w:color w:val="333333"/>
                <w:sz w:val="18"/>
                <w:szCs w:val="18"/>
              </w:rPr>
              <w:t xml:space="preserve"> </w:t>
            </w:r>
            <w:r w:rsidRPr="00C86425">
              <w:rPr>
                <w:rFonts w:ascii="Arial Narrow" w:hAnsi="Arial Narrow"/>
                <w:color w:val="333333"/>
                <w:sz w:val="18"/>
                <w:szCs w:val="18"/>
              </w:rPr>
              <w:t>(ii)</w:t>
            </w:r>
            <w:r>
              <w:rPr>
                <w:rFonts w:ascii="Arial Narrow" w:hAnsi="Arial Narrow"/>
                <w:i/>
                <w:iCs/>
                <w:color w:val="333333"/>
                <w:sz w:val="18"/>
                <w:szCs w:val="18"/>
              </w:rPr>
              <w:t xml:space="preserve"> </w:t>
            </w:r>
            <w:r w:rsidRPr="00C37351">
              <w:rPr>
                <w:rFonts w:ascii="Arial Narrow" w:hAnsi="Arial Narrow"/>
                <w:color w:val="333333"/>
                <w:sz w:val="18"/>
                <w:szCs w:val="18"/>
              </w:rPr>
              <w:t>other prescription therapy</w:t>
            </w:r>
            <w:r>
              <w:rPr>
                <w:rFonts w:ascii="Arial Narrow" w:hAnsi="Arial Narrow"/>
                <w:color w:val="333333"/>
                <w:sz w:val="18"/>
                <w:szCs w:val="18"/>
              </w:rPr>
              <w:t>; OR</w:t>
            </w:r>
          </w:p>
        </w:tc>
      </w:tr>
      <w:tr w:rsidR="0034504B" w:rsidRPr="00120A12" w14:paraId="534C8B8D" w14:textId="77777777" w:rsidTr="00762948">
        <w:tc>
          <w:tcPr>
            <w:tcW w:w="553" w:type="pct"/>
            <w:vAlign w:val="center"/>
          </w:tcPr>
          <w:p w14:paraId="2873B74F" w14:textId="713CD629" w:rsidR="0034504B" w:rsidRPr="00120A12" w:rsidRDefault="0034504B" w:rsidP="00762948">
            <w:pPr>
              <w:jc w:val="center"/>
              <w:rPr>
                <w:rFonts w:ascii="Arial Narrow" w:hAnsi="Arial Narrow"/>
                <w:color w:val="333333"/>
                <w:sz w:val="18"/>
                <w:szCs w:val="18"/>
              </w:rPr>
            </w:pPr>
          </w:p>
        </w:tc>
        <w:tc>
          <w:tcPr>
            <w:tcW w:w="4447" w:type="pct"/>
            <w:vAlign w:val="center"/>
          </w:tcPr>
          <w:p w14:paraId="7A4C119C" w14:textId="77777777" w:rsidR="0034504B" w:rsidRPr="007B3C0A" w:rsidRDefault="0034504B" w:rsidP="00762948">
            <w:pPr>
              <w:rPr>
                <w:rFonts w:ascii="Arial Narrow" w:hAnsi="Arial Narrow"/>
                <w:i/>
                <w:iCs/>
                <w:color w:val="333333"/>
                <w:sz w:val="18"/>
                <w:szCs w:val="18"/>
              </w:rPr>
            </w:pPr>
            <w:r w:rsidRPr="00C37351">
              <w:rPr>
                <w:rFonts w:ascii="Arial Narrow" w:hAnsi="Arial Narrow"/>
                <w:color w:val="333333"/>
                <w:sz w:val="18"/>
                <w:szCs w:val="18"/>
              </w:rPr>
              <w:t>The condition must have required maintenance antibiotic therapy taken continuously for at least 4 weeks</w:t>
            </w:r>
            <w:r>
              <w:rPr>
                <w:rFonts w:ascii="Arial Narrow" w:hAnsi="Arial Narrow"/>
                <w:color w:val="333333"/>
                <w:sz w:val="18"/>
                <w:szCs w:val="18"/>
              </w:rPr>
              <w:t xml:space="preserve"> </w:t>
            </w:r>
            <w:r w:rsidRPr="00C86425">
              <w:rPr>
                <w:rFonts w:ascii="Arial Narrow" w:hAnsi="Arial Narrow"/>
                <w:color w:val="333333"/>
                <w:sz w:val="18"/>
                <w:szCs w:val="18"/>
              </w:rPr>
              <w:t>before commencing treatment with this drug.</w:t>
            </w:r>
          </w:p>
        </w:tc>
      </w:tr>
      <w:tr w:rsidR="0034504B" w:rsidRPr="00120A12" w14:paraId="4EE54AB0" w14:textId="77777777" w:rsidTr="00762948">
        <w:tc>
          <w:tcPr>
            <w:tcW w:w="553" w:type="pct"/>
            <w:vAlign w:val="center"/>
          </w:tcPr>
          <w:p w14:paraId="3A92800E" w14:textId="77777777" w:rsidR="0034504B" w:rsidRDefault="0034504B" w:rsidP="00762948">
            <w:pPr>
              <w:jc w:val="center"/>
              <w:rPr>
                <w:rFonts w:ascii="Arial Narrow" w:hAnsi="Arial Narrow"/>
                <w:color w:val="333333"/>
                <w:sz w:val="18"/>
                <w:szCs w:val="18"/>
              </w:rPr>
            </w:pPr>
          </w:p>
        </w:tc>
        <w:tc>
          <w:tcPr>
            <w:tcW w:w="4447" w:type="pct"/>
            <w:vAlign w:val="center"/>
          </w:tcPr>
          <w:p w14:paraId="21477F24" w14:textId="77777777" w:rsidR="0034504B" w:rsidRPr="00C37351" w:rsidRDefault="0034504B" w:rsidP="00762948">
            <w:pPr>
              <w:rPr>
                <w:rFonts w:ascii="Arial Narrow" w:hAnsi="Arial Narrow"/>
                <w:color w:val="333333"/>
                <w:sz w:val="18"/>
                <w:szCs w:val="18"/>
              </w:rPr>
            </w:pPr>
            <w:r w:rsidRPr="00120A12">
              <w:rPr>
                <w:rFonts w:ascii="Arial Narrow" w:hAnsi="Arial Narrow"/>
                <w:b/>
                <w:bCs/>
                <w:color w:val="333333"/>
                <w:sz w:val="18"/>
                <w:szCs w:val="18"/>
              </w:rPr>
              <w:t>AND</w:t>
            </w:r>
          </w:p>
        </w:tc>
      </w:tr>
      <w:tr w:rsidR="0034504B" w:rsidRPr="00120A12" w14:paraId="4F6F9E55" w14:textId="77777777" w:rsidTr="00762948">
        <w:tc>
          <w:tcPr>
            <w:tcW w:w="553" w:type="pct"/>
            <w:vAlign w:val="center"/>
          </w:tcPr>
          <w:p w14:paraId="4D6F2E22" w14:textId="45F0D5C2" w:rsidR="0034504B" w:rsidRDefault="0034504B" w:rsidP="00762948">
            <w:pPr>
              <w:jc w:val="center"/>
              <w:rPr>
                <w:rFonts w:ascii="Arial Narrow" w:hAnsi="Arial Narrow"/>
                <w:color w:val="333333"/>
                <w:sz w:val="18"/>
                <w:szCs w:val="18"/>
              </w:rPr>
            </w:pPr>
          </w:p>
        </w:tc>
        <w:tc>
          <w:tcPr>
            <w:tcW w:w="4447" w:type="pct"/>
            <w:vAlign w:val="center"/>
          </w:tcPr>
          <w:p w14:paraId="3D49B348" w14:textId="77777777" w:rsidR="0034504B" w:rsidRPr="00C37351" w:rsidRDefault="0034504B" w:rsidP="00762948">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34504B" w:rsidRPr="00120A12" w14:paraId="57BED850" w14:textId="77777777" w:rsidTr="00762948">
        <w:tc>
          <w:tcPr>
            <w:tcW w:w="553" w:type="pct"/>
            <w:vAlign w:val="center"/>
          </w:tcPr>
          <w:p w14:paraId="081A002B" w14:textId="43455ED9" w:rsidR="0034504B" w:rsidRDefault="0034504B" w:rsidP="00762948">
            <w:pPr>
              <w:jc w:val="center"/>
              <w:rPr>
                <w:rFonts w:ascii="Arial Narrow" w:hAnsi="Arial Narrow"/>
                <w:color w:val="333333"/>
                <w:sz w:val="18"/>
                <w:szCs w:val="18"/>
              </w:rPr>
            </w:pPr>
          </w:p>
        </w:tc>
        <w:tc>
          <w:tcPr>
            <w:tcW w:w="4447" w:type="pct"/>
            <w:vAlign w:val="center"/>
          </w:tcPr>
          <w:p w14:paraId="68852A90"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t>Patient must not receive more than 14 weeks of treatment under this restriction.</w:t>
            </w:r>
          </w:p>
        </w:tc>
      </w:tr>
      <w:tr w:rsidR="0034504B" w:rsidRPr="00120A12" w14:paraId="7272110B" w14:textId="77777777" w:rsidTr="00762948">
        <w:tc>
          <w:tcPr>
            <w:tcW w:w="553" w:type="pct"/>
            <w:vAlign w:val="center"/>
          </w:tcPr>
          <w:p w14:paraId="4F7D5485" w14:textId="77777777" w:rsidR="0034504B" w:rsidRPr="00120A12" w:rsidRDefault="0034504B" w:rsidP="00762948">
            <w:pPr>
              <w:jc w:val="center"/>
              <w:rPr>
                <w:rFonts w:ascii="Arial Narrow" w:hAnsi="Arial Narrow"/>
                <w:color w:val="333333"/>
                <w:sz w:val="18"/>
                <w:szCs w:val="18"/>
              </w:rPr>
            </w:pPr>
          </w:p>
        </w:tc>
        <w:tc>
          <w:tcPr>
            <w:tcW w:w="4447" w:type="pct"/>
            <w:vAlign w:val="center"/>
          </w:tcPr>
          <w:p w14:paraId="16205BE5" w14:textId="77777777" w:rsidR="0034504B" w:rsidRPr="00120A12"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AND</w:t>
            </w:r>
          </w:p>
        </w:tc>
      </w:tr>
      <w:tr w:rsidR="0034504B" w:rsidRPr="00120A12" w14:paraId="784A1EB6" w14:textId="77777777" w:rsidTr="00762948">
        <w:tc>
          <w:tcPr>
            <w:tcW w:w="553" w:type="pct"/>
            <w:vAlign w:val="center"/>
          </w:tcPr>
          <w:p w14:paraId="1D04BD52" w14:textId="57548FD6" w:rsidR="0034504B" w:rsidRPr="00120A12" w:rsidRDefault="0034504B" w:rsidP="00762948">
            <w:pPr>
              <w:jc w:val="center"/>
              <w:rPr>
                <w:rFonts w:ascii="Arial Narrow" w:hAnsi="Arial Narrow"/>
                <w:color w:val="333333"/>
                <w:sz w:val="18"/>
                <w:szCs w:val="18"/>
              </w:rPr>
            </w:pPr>
          </w:p>
        </w:tc>
        <w:tc>
          <w:tcPr>
            <w:tcW w:w="4447" w:type="pct"/>
            <w:vAlign w:val="center"/>
            <w:hideMark/>
          </w:tcPr>
          <w:p w14:paraId="59DFC309" w14:textId="77777777" w:rsidR="0034504B" w:rsidRPr="00120A12" w:rsidRDefault="0034504B" w:rsidP="00762948">
            <w:pPr>
              <w:rPr>
                <w:rFonts w:ascii="Arial Narrow" w:hAnsi="Arial Narrow"/>
                <w:color w:val="333333"/>
                <w:sz w:val="18"/>
                <w:szCs w:val="18"/>
              </w:rPr>
            </w:pPr>
            <w:r>
              <w:rPr>
                <w:rFonts w:ascii="Arial Narrow" w:hAnsi="Arial Narrow"/>
                <w:b/>
                <w:bCs/>
                <w:color w:val="333333"/>
                <w:sz w:val="18"/>
                <w:szCs w:val="18"/>
              </w:rPr>
              <w:t xml:space="preserve">Treatment </w:t>
            </w:r>
            <w:r w:rsidRPr="00120A12">
              <w:rPr>
                <w:rFonts w:ascii="Arial Narrow" w:hAnsi="Arial Narrow"/>
                <w:b/>
                <w:bCs/>
                <w:color w:val="333333"/>
                <w:sz w:val="18"/>
                <w:szCs w:val="18"/>
              </w:rPr>
              <w:t>criteria:</w:t>
            </w:r>
          </w:p>
        </w:tc>
      </w:tr>
      <w:tr w:rsidR="0034504B" w:rsidRPr="00120A12" w14:paraId="055EAA77" w14:textId="77777777" w:rsidTr="00762948">
        <w:tc>
          <w:tcPr>
            <w:tcW w:w="553" w:type="pct"/>
            <w:vAlign w:val="center"/>
          </w:tcPr>
          <w:p w14:paraId="379655C7" w14:textId="67A8E12B" w:rsidR="0034504B" w:rsidRPr="00120A12" w:rsidRDefault="0034504B" w:rsidP="00762948">
            <w:pPr>
              <w:jc w:val="center"/>
              <w:rPr>
                <w:rFonts w:ascii="Arial Narrow" w:hAnsi="Arial Narrow"/>
                <w:color w:val="333333"/>
                <w:sz w:val="18"/>
                <w:szCs w:val="18"/>
              </w:rPr>
            </w:pPr>
          </w:p>
        </w:tc>
        <w:tc>
          <w:tcPr>
            <w:tcW w:w="4447" w:type="pct"/>
            <w:vAlign w:val="center"/>
            <w:hideMark/>
          </w:tcPr>
          <w:p w14:paraId="1D6597ED" w14:textId="77777777" w:rsidR="0034504B" w:rsidRPr="004A5C56" w:rsidRDefault="0034504B" w:rsidP="00762948">
            <w:pPr>
              <w:autoSpaceDE w:val="0"/>
              <w:autoSpaceDN w:val="0"/>
              <w:adjustRightInd w:val="0"/>
              <w:rPr>
                <w:rFonts w:ascii="Arial Narrow" w:hAnsi="Arial Narrow" w:cs="Arial Narrow"/>
                <w:sz w:val="18"/>
                <w:szCs w:val="18"/>
              </w:rPr>
            </w:pPr>
            <w:r w:rsidRPr="004A5C56">
              <w:rPr>
                <w:rFonts w:ascii="Arial Narrow" w:hAnsi="Arial Narrow" w:cs="Arial Narrow"/>
                <w:sz w:val="18"/>
                <w:szCs w:val="18"/>
              </w:rPr>
              <w:t>Must be treated by a gastroenterologist, OR</w:t>
            </w:r>
          </w:p>
          <w:p w14:paraId="5D821066" w14:textId="77777777" w:rsidR="0034504B" w:rsidRPr="004A5C56" w:rsidRDefault="0034504B" w:rsidP="00762948">
            <w:pPr>
              <w:autoSpaceDE w:val="0"/>
              <w:autoSpaceDN w:val="0"/>
              <w:adjustRightInd w:val="0"/>
              <w:rPr>
                <w:rFonts w:ascii="Arial Narrow" w:hAnsi="Arial Narrow" w:cs="Arial Narrow"/>
                <w:sz w:val="18"/>
                <w:szCs w:val="18"/>
              </w:rPr>
            </w:pPr>
            <w:r w:rsidRPr="004A5C56">
              <w:rPr>
                <w:rFonts w:ascii="Arial Narrow" w:hAnsi="Arial Narrow" w:cs="Arial Narrow"/>
                <w:sz w:val="18"/>
                <w:szCs w:val="18"/>
              </w:rPr>
              <w:t>Must be treated by a consultant physician [internal medicine specialising in gastroenterology</w:t>
            </w:r>
            <w:r>
              <w:rPr>
                <w:rFonts w:ascii="Arial Narrow" w:hAnsi="Arial Narrow" w:cs="Arial Narrow"/>
                <w:sz w:val="18"/>
                <w:szCs w:val="18"/>
              </w:rPr>
              <w:t xml:space="preserve"> </w:t>
            </w:r>
            <w:r w:rsidRPr="00C86425">
              <w:rPr>
                <w:rFonts w:ascii="Arial Narrow" w:hAnsi="Arial Narrow" w:cs="Arial Narrow"/>
                <w:sz w:val="18"/>
                <w:szCs w:val="18"/>
              </w:rPr>
              <w:t>(code 81)</w:t>
            </w:r>
            <w:r w:rsidRPr="004A5C56">
              <w:rPr>
                <w:rFonts w:ascii="Arial Narrow" w:hAnsi="Arial Narrow" w:cs="Arial Narrow"/>
                <w:sz w:val="18"/>
                <w:szCs w:val="18"/>
              </w:rPr>
              <w:t>]; OR</w:t>
            </w:r>
          </w:p>
          <w:p w14:paraId="61BC06D3" w14:textId="77777777" w:rsidR="0034504B" w:rsidRPr="00120A12" w:rsidRDefault="0034504B" w:rsidP="00762948">
            <w:pPr>
              <w:autoSpaceDE w:val="0"/>
              <w:autoSpaceDN w:val="0"/>
              <w:adjustRightInd w:val="0"/>
              <w:rPr>
                <w:rFonts w:ascii="Arial Narrow" w:hAnsi="Arial Narrow" w:cs="Arial Narrow"/>
                <w:i/>
                <w:iCs/>
                <w:sz w:val="20"/>
                <w:szCs w:val="20"/>
              </w:rPr>
            </w:pPr>
            <w:r w:rsidRPr="004A5C56">
              <w:rPr>
                <w:rFonts w:ascii="Arial Narrow" w:hAnsi="Arial Narrow" w:cs="Arial Narrow"/>
                <w:sz w:val="18"/>
                <w:szCs w:val="18"/>
              </w:rPr>
              <w:t>Must be treated by a consultant physician [general medicine specialising in gastroenterology</w:t>
            </w:r>
            <w:r>
              <w:rPr>
                <w:rFonts w:ascii="Arial Narrow" w:hAnsi="Arial Narrow" w:cs="Arial Narrow"/>
                <w:sz w:val="18"/>
                <w:szCs w:val="18"/>
              </w:rPr>
              <w:t xml:space="preserve"> </w:t>
            </w:r>
            <w:r w:rsidRPr="00C86425">
              <w:rPr>
                <w:rFonts w:ascii="Arial Narrow" w:hAnsi="Arial Narrow" w:cs="Arial Narrow"/>
                <w:sz w:val="18"/>
                <w:szCs w:val="18"/>
              </w:rPr>
              <w:t>(code 82)</w:t>
            </w:r>
            <w:r w:rsidRPr="004A5C56">
              <w:rPr>
                <w:rFonts w:ascii="Arial Narrow" w:hAnsi="Arial Narrow" w:cs="Arial Narrow"/>
                <w:sz w:val="18"/>
                <w:szCs w:val="18"/>
              </w:rPr>
              <w:t>].</w:t>
            </w:r>
          </w:p>
        </w:tc>
      </w:tr>
      <w:tr w:rsidR="0034504B" w:rsidRPr="00120A12" w14:paraId="33BF86CF" w14:textId="77777777" w:rsidTr="00762948">
        <w:tc>
          <w:tcPr>
            <w:tcW w:w="553" w:type="pct"/>
            <w:vAlign w:val="center"/>
          </w:tcPr>
          <w:p w14:paraId="1BBE5A98"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70A63802"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AND</w:t>
            </w:r>
          </w:p>
        </w:tc>
      </w:tr>
      <w:tr w:rsidR="0034504B" w:rsidRPr="00120A12" w14:paraId="6A5FDCA0" w14:textId="77777777" w:rsidTr="00762948">
        <w:tc>
          <w:tcPr>
            <w:tcW w:w="553" w:type="pct"/>
            <w:vAlign w:val="center"/>
          </w:tcPr>
          <w:p w14:paraId="55A38432" w14:textId="54D32D19" w:rsidR="0034504B" w:rsidRPr="00120A12" w:rsidRDefault="0034504B" w:rsidP="00762948">
            <w:pPr>
              <w:jc w:val="center"/>
              <w:rPr>
                <w:rFonts w:ascii="Arial Narrow" w:hAnsi="Arial Narrow"/>
                <w:color w:val="333333"/>
                <w:sz w:val="18"/>
                <w:szCs w:val="18"/>
              </w:rPr>
            </w:pPr>
          </w:p>
        </w:tc>
        <w:tc>
          <w:tcPr>
            <w:tcW w:w="4447" w:type="pct"/>
            <w:vAlign w:val="center"/>
          </w:tcPr>
          <w:p w14:paraId="7D135990" w14:textId="77777777" w:rsidR="0034504B" w:rsidRPr="00B12596" w:rsidRDefault="0034504B" w:rsidP="00762948">
            <w:pPr>
              <w:rPr>
                <w:rFonts w:ascii="Arial Narrow" w:hAnsi="Arial Narrow"/>
                <w:b/>
                <w:bCs/>
                <w:strike/>
                <w:color w:val="333333"/>
                <w:sz w:val="18"/>
                <w:szCs w:val="18"/>
              </w:rPr>
            </w:pPr>
            <w:r w:rsidRPr="00120A12">
              <w:rPr>
                <w:rFonts w:ascii="Arial Narrow" w:hAnsi="Arial Narrow"/>
                <w:b/>
                <w:bCs/>
                <w:color w:val="333333"/>
                <w:sz w:val="18"/>
                <w:szCs w:val="18"/>
              </w:rPr>
              <w:t>Clinical criteria:</w:t>
            </w:r>
            <w:r>
              <w:rPr>
                <w:rFonts w:ascii="Arial Narrow" w:hAnsi="Arial Narrow"/>
                <w:b/>
                <w:bCs/>
                <w:color w:val="333333"/>
                <w:sz w:val="18"/>
                <w:szCs w:val="18"/>
              </w:rPr>
              <w:t xml:space="preserve"> </w:t>
            </w:r>
          </w:p>
        </w:tc>
      </w:tr>
      <w:tr w:rsidR="0034504B" w:rsidRPr="00120A12" w14:paraId="37487258" w14:textId="77777777" w:rsidTr="00762948">
        <w:tc>
          <w:tcPr>
            <w:tcW w:w="553" w:type="pct"/>
            <w:vAlign w:val="center"/>
          </w:tcPr>
          <w:p w14:paraId="7A9FD4F1" w14:textId="77777777" w:rsidR="0034504B" w:rsidRPr="00120A12" w:rsidRDefault="0034504B" w:rsidP="00762948">
            <w:pPr>
              <w:jc w:val="center"/>
              <w:rPr>
                <w:rFonts w:ascii="Arial Narrow" w:hAnsi="Arial Narrow"/>
                <w:color w:val="333333"/>
                <w:sz w:val="18"/>
                <w:szCs w:val="18"/>
              </w:rPr>
            </w:pPr>
          </w:p>
        </w:tc>
        <w:tc>
          <w:tcPr>
            <w:tcW w:w="4447" w:type="pct"/>
            <w:vAlign w:val="center"/>
          </w:tcPr>
          <w:p w14:paraId="60B91430" w14:textId="77777777" w:rsidR="0034504B" w:rsidRPr="004A5C56" w:rsidRDefault="0034504B" w:rsidP="00762948">
            <w:pPr>
              <w:rPr>
                <w:rFonts w:ascii="Arial Narrow" w:hAnsi="Arial Narrow"/>
                <w:color w:val="333333"/>
                <w:sz w:val="18"/>
                <w:szCs w:val="18"/>
              </w:rPr>
            </w:pPr>
            <w:r w:rsidRPr="00F93145">
              <w:rPr>
                <w:rFonts w:ascii="Arial Narrow" w:hAnsi="Arial Narrow"/>
                <w:color w:val="333333"/>
                <w:sz w:val="18"/>
                <w:szCs w:val="18"/>
              </w:rPr>
              <w:t>The</w:t>
            </w:r>
            <w:r w:rsidRPr="00C86425">
              <w:rPr>
                <w:rFonts w:ascii="Arial Narrow" w:hAnsi="Arial Narrow"/>
                <w:color w:val="333333"/>
                <w:sz w:val="18"/>
                <w:szCs w:val="18"/>
              </w:rPr>
              <w:t xml:space="preserve"> </w:t>
            </w:r>
            <w:r>
              <w:rPr>
                <w:rFonts w:ascii="Arial Narrow" w:hAnsi="Arial Narrow"/>
                <w:color w:val="333333"/>
                <w:sz w:val="18"/>
                <w:szCs w:val="18"/>
              </w:rPr>
              <w:t>t</w:t>
            </w:r>
            <w:r w:rsidRPr="004A5C56">
              <w:rPr>
                <w:rFonts w:ascii="Arial Narrow" w:hAnsi="Arial Narrow"/>
                <w:color w:val="333333"/>
                <w:sz w:val="18"/>
                <w:szCs w:val="18"/>
              </w:rPr>
              <w:t>reatment must be</w:t>
            </w:r>
            <w:r>
              <w:rPr>
                <w:rFonts w:ascii="Arial Narrow" w:hAnsi="Arial Narrow"/>
                <w:color w:val="333333"/>
                <w:sz w:val="18"/>
                <w:szCs w:val="18"/>
              </w:rPr>
              <w:t xml:space="preserve"> </w:t>
            </w:r>
            <w:r w:rsidRPr="00580249">
              <w:rPr>
                <w:rFonts w:ascii="Arial Narrow" w:hAnsi="Arial Narrow"/>
                <w:color w:val="333333"/>
                <w:sz w:val="18"/>
                <w:szCs w:val="18"/>
              </w:rPr>
              <w:t>initiated in combination</w:t>
            </w:r>
            <w:r w:rsidRPr="004A5C56">
              <w:rPr>
                <w:rFonts w:ascii="Arial Narrow" w:hAnsi="Arial Narrow"/>
                <w:color w:val="333333"/>
                <w:sz w:val="18"/>
                <w:szCs w:val="18"/>
              </w:rPr>
              <w:t xml:space="preserve"> with standard of care antibiotic</w:t>
            </w:r>
          </w:p>
        </w:tc>
      </w:tr>
      <w:tr w:rsidR="0034504B" w:rsidRPr="00120A12" w14:paraId="50B2C0FD" w14:textId="77777777" w:rsidTr="00762948">
        <w:tc>
          <w:tcPr>
            <w:tcW w:w="553" w:type="pct"/>
            <w:vAlign w:val="center"/>
          </w:tcPr>
          <w:p w14:paraId="751E8E9C" w14:textId="77777777" w:rsidR="0034504B" w:rsidRPr="00120A12" w:rsidRDefault="0034504B" w:rsidP="00762948">
            <w:pPr>
              <w:jc w:val="center"/>
              <w:rPr>
                <w:rFonts w:ascii="Arial Narrow" w:hAnsi="Arial Narrow"/>
                <w:color w:val="333333"/>
                <w:sz w:val="18"/>
                <w:szCs w:val="18"/>
              </w:rPr>
            </w:pPr>
          </w:p>
        </w:tc>
        <w:tc>
          <w:tcPr>
            <w:tcW w:w="4447" w:type="pct"/>
            <w:vAlign w:val="center"/>
          </w:tcPr>
          <w:p w14:paraId="3051E45E" w14:textId="77777777" w:rsidR="0034504B" w:rsidRPr="00120A12" w:rsidRDefault="0034504B" w:rsidP="00762948">
            <w:pPr>
              <w:rPr>
                <w:rFonts w:ascii="Arial Narrow" w:hAnsi="Arial Narrow"/>
                <w:b/>
                <w:bCs/>
                <w:color w:val="333333"/>
                <w:sz w:val="18"/>
                <w:szCs w:val="18"/>
              </w:rPr>
            </w:pPr>
            <w:r>
              <w:rPr>
                <w:rFonts w:ascii="Arial Narrow" w:hAnsi="Arial Narrow"/>
                <w:b/>
                <w:bCs/>
                <w:color w:val="333333"/>
                <w:sz w:val="18"/>
                <w:szCs w:val="18"/>
              </w:rPr>
              <w:t>AND</w:t>
            </w:r>
          </w:p>
        </w:tc>
      </w:tr>
      <w:tr w:rsidR="0034504B" w:rsidRPr="00120A12" w14:paraId="253E6417" w14:textId="77777777" w:rsidTr="00D30EB5">
        <w:tc>
          <w:tcPr>
            <w:tcW w:w="553" w:type="pct"/>
            <w:vAlign w:val="center"/>
          </w:tcPr>
          <w:p w14:paraId="43B29946"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35AEF736" w14:textId="5C8266F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r>
              <w:rPr>
                <w:rFonts w:ascii="Arial Narrow" w:hAnsi="Arial Narrow"/>
                <w:bCs/>
                <w:i/>
                <w:iCs/>
                <w:color w:val="333333"/>
                <w:sz w:val="18"/>
                <w:szCs w:val="18"/>
              </w:rPr>
              <w:t xml:space="preserve">The assessment of a patient’s response to this initial course of treatment must be made after the third dose of vedolizumab so there is </w:t>
            </w:r>
            <w:r w:rsidR="001D4123">
              <w:rPr>
                <w:rFonts w:ascii="Arial Narrow" w:hAnsi="Arial Narrow"/>
                <w:bCs/>
                <w:i/>
                <w:iCs/>
                <w:color w:val="333333"/>
                <w:sz w:val="18"/>
                <w:szCs w:val="18"/>
              </w:rPr>
              <w:t xml:space="preserve">an </w:t>
            </w:r>
            <w:r>
              <w:rPr>
                <w:rFonts w:ascii="Arial Narrow" w:hAnsi="Arial Narrow"/>
                <w:bCs/>
                <w:i/>
                <w:iCs/>
                <w:color w:val="333333"/>
                <w:sz w:val="18"/>
                <w:szCs w:val="18"/>
              </w:rPr>
              <w:t>adequate time for a response to be demonstrated. The assessment must be made prior to obtaining a PBS authority for continuing treatment from the dose at week 14.</w:t>
            </w:r>
            <w:r w:rsidRPr="003B2832">
              <w:rPr>
                <w:rFonts w:ascii="Arial Narrow" w:hAnsi="Arial Narrow"/>
                <w:i/>
                <w:iCs/>
                <w:color w:val="333333"/>
                <w:sz w:val="18"/>
                <w:szCs w:val="18"/>
              </w:rPr>
              <w:t xml:space="preserve"> Where a response assessment is not conducted within </w:t>
            </w:r>
            <w:r>
              <w:rPr>
                <w:rFonts w:ascii="Arial Narrow" w:hAnsi="Arial Narrow"/>
                <w:i/>
                <w:iCs/>
                <w:color w:val="333333"/>
                <w:sz w:val="18"/>
                <w:szCs w:val="18"/>
              </w:rPr>
              <w:t>this</w:t>
            </w:r>
            <w:r w:rsidRPr="003B2832">
              <w:rPr>
                <w:rFonts w:ascii="Arial Narrow" w:hAnsi="Arial Narrow"/>
                <w:i/>
                <w:iCs/>
                <w:color w:val="333333"/>
                <w:sz w:val="18"/>
                <w:szCs w:val="18"/>
              </w:rPr>
              <w:t xml:space="preserve"> timeframe, the patient will be deemed to have failed to respond to treatment with this drug.</w:t>
            </w:r>
          </w:p>
          <w:p w14:paraId="144E91DC" w14:textId="77777777" w:rsidR="0034504B" w:rsidRPr="00120A12" w:rsidRDefault="0034504B" w:rsidP="00762948">
            <w:pPr>
              <w:rPr>
                <w:rFonts w:ascii="Arial Narrow" w:hAnsi="Arial Narrow"/>
                <w:color w:val="333333"/>
                <w:sz w:val="18"/>
                <w:szCs w:val="18"/>
              </w:rPr>
            </w:pPr>
          </w:p>
        </w:tc>
      </w:tr>
      <w:tr w:rsidR="0034504B" w:rsidRPr="00120A12" w14:paraId="547B2F20" w14:textId="77777777" w:rsidTr="00762948">
        <w:tc>
          <w:tcPr>
            <w:tcW w:w="553" w:type="pct"/>
            <w:vAlign w:val="center"/>
          </w:tcPr>
          <w:p w14:paraId="65927E8D" w14:textId="2AEFC90F" w:rsidR="001D4123" w:rsidRDefault="001D4123" w:rsidP="00762948">
            <w:pPr>
              <w:jc w:val="center"/>
              <w:rPr>
                <w:rFonts w:ascii="Arial Narrow" w:hAnsi="Arial Narrow"/>
                <w:color w:val="333333"/>
                <w:sz w:val="18"/>
                <w:szCs w:val="18"/>
              </w:rPr>
            </w:pPr>
          </w:p>
        </w:tc>
        <w:tc>
          <w:tcPr>
            <w:tcW w:w="4447" w:type="pct"/>
            <w:vAlign w:val="center"/>
          </w:tcPr>
          <w:p w14:paraId="400DC9E7" w14:textId="77777777" w:rsidR="0034504B"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6C078539" w14:textId="77777777" w:rsidR="0034504B" w:rsidRPr="0001576E" w:rsidRDefault="0034504B" w:rsidP="00762948">
            <w:pPr>
              <w:rPr>
                <w:rFonts w:ascii="Arial Narrow" w:hAnsi="Arial Narrow"/>
                <w:bCs/>
                <w:color w:val="333333"/>
                <w:sz w:val="18"/>
                <w:szCs w:val="18"/>
              </w:rPr>
            </w:pPr>
            <w:r w:rsidRPr="0001576E">
              <w:rPr>
                <w:rFonts w:ascii="Arial Narrow" w:hAnsi="Arial Narrow"/>
                <w:bCs/>
                <w:color w:val="333333"/>
                <w:sz w:val="18"/>
                <w:szCs w:val="18"/>
              </w:rPr>
              <w:t>Application for authorisation of initial treatment must be in writing and must include:</w:t>
            </w:r>
          </w:p>
          <w:p w14:paraId="778EC188" w14:textId="77777777" w:rsidR="0034504B" w:rsidRPr="0001576E" w:rsidRDefault="0034504B" w:rsidP="00762948">
            <w:pPr>
              <w:rPr>
                <w:rFonts w:ascii="Arial Narrow" w:hAnsi="Arial Narrow"/>
                <w:bCs/>
                <w:color w:val="333333"/>
                <w:sz w:val="18"/>
                <w:szCs w:val="18"/>
              </w:rPr>
            </w:pPr>
            <w:r w:rsidRPr="0001576E">
              <w:rPr>
                <w:rFonts w:ascii="Arial Narrow" w:hAnsi="Arial Narrow"/>
                <w:bCs/>
                <w:color w:val="333333"/>
                <w:sz w:val="18"/>
                <w:szCs w:val="18"/>
              </w:rPr>
              <w:t xml:space="preserve">(a) </w:t>
            </w:r>
            <w:r>
              <w:rPr>
                <w:rFonts w:ascii="Arial Narrow" w:hAnsi="Arial Narrow"/>
                <w:bCs/>
                <w:color w:val="333333"/>
                <w:sz w:val="18"/>
                <w:szCs w:val="18"/>
              </w:rPr>
              <w:t>details of the proposed prescription</w:t>
            </w:r>
            <w:r w:rsidRPr="0001576E">
              <w:rPr>
                <w:rFonts w:ascii="Arial Narrow" w:hAnsi="Arial Narrow"/>
                <w:bCs/>
                <w:color w:val="333333"/>
                <w:sz w:val="18"/>
                <w:szCs w:val="18"/>
              </w:rPr>
              <w:t>; and</w:t>
            </w:r>
          </w:p>
          <w:p w14:paraId="3AA378EA" w14:textId="77777777" w:rsidR="0034504B" w:rsidRPr="0001576E" w:rsidRDefault="0034504B" w:rsidP="00762948">
            <w:pPr>
              <w:rPr>
                <w:rFonts w:ascii="Arial Narrow" w:hAnsi="Arial Narrow"/>
                <w:bCs/>
                <w:color w:val="333333"/>
                <w:sz w:val="18"/>
                <w:szCs w:val="18"/>
              </w:rPr>
            </w:pPr>
            <w:r w:rsidRPr="0001576E">
              <w:rPr>
                <w:rFonts w:ascii="Arial Narrow" w:hAnsi="Arial Narrow"/>
                <w:bCs/>
                <w:color w:val="333333"/>
                <w:sz w:val="18"/>
                <w:szCs w:val="18"/>
              </w:rPr>
              <w:t>(b) a completed</w:t>
            </w:r>
            <w:r>
              <w:rPr>
                <w:rFonts w:ascii="Arial Narrow" w:hAnsi="Arial Narrow"/>
                <w:bCs/>
                <w:color w:val="333333"/>
                <w:sz w:val="18"/>
                <w:szCs w:val="18"/>
              </w:rPr>
              <w:t xml:space="preserve"> </w:t>
            </w:r>
            <w:r>
              <w:rPr>
                <w:rFonts w:ascii="Arial Narrow" w:hAnsi="Arial Narrow"/>
                <w:bCs/>
                <w:i/>
                <w:iCs/>
                <w:color w:val="333333"/>
                <w:sz w:val="18"/>
                <w:szCs w:val="18"/>
              </w:rPr>
              <w:t>authority application form relevant to the indication and treatment phase (the latest version is located on the website specified in the Administrative Advice)</w:t>
            </w:r>
            <w:r w:rsidRPr="0001576E">
              <w:rPr>
                <w:rFonts w:ascii="Arial Narrow" w:hAnsi="Arial Narrow"/>
                <w:bCs/>
                <w:color w:val="333333"/>
                <w:sz w:val="18"/>
                <w:szCs w:val="18"/>
              </w:rPr>
              <w:t xml:space="preserve"> which includes the following:</w:t>
            </w:r>
          </w:p>
          <w:p w14:paraId="2C628240" w14:textId="77777777" w:rsidR="0034504B" w:rsidRPr="0001576E" w:rsidRDefault="0034504B" w:rsidP="00762948">
            <w:pPr>
              <w:rPr>
                <w:rFonts w:ascii="Arial Narrow" w:hAnsi="Arial Narrow"/>
                <w:bCs/>
                <w:color w:val="333333"/>
                <w:sz w:val="18"/>
                <w:szCs w:val="18"/>
              </w:rPr>
            </w:pPr>
            <w:r w:rsidRPr="0001576E">
              <w:rPr>
                <w:rFonts w:ascii="Arial Narrow" w:hAnsi="Arial Narrow"/>
                <w:bCs/>
                <w:color w:val="333333"/>
                <w:sz w:val="18"/>
                <w:szCs w:val="18"/>
              </w:rPr>
              <w:t xml:space="preserve">(i) </w:t>
            </w:r>
            <w:r>
              <w:rPr>
                <w:rFonts w:ascii="Arial Narrow" w:hAnsi="Arial Narrow"/>
                <w:bCs/>
                <w:i/>
                <w:iCs/>
                <w:color w:val="333333"/>
                <w:sz w:val="18"/>
                <w:szCs w:val="18"/>
              </w:rPr>
              <w:t xml:space="preserve">The patient’s baseline Modified Pouchitis Disease Activity Index (mPDAI) score and endoscopic mPDAI subscore; </w:t>
            </w:r>
            <w:r w:rsidRPr="0001576E">
              <w:rPr>
                <w:rFonts w:ascii="Arial Narrow" w:hAnsi="Arial Narrow"/>
                <w:bCs/>
                <w:color w:val="333333"/>
                <w:sz w:val="18"/>
                <w:szCs w:val="18"/>
              </w:rPr>
              <w:t>and</w:t>
            </w:r>
          </w:p>
          <w:p w14:paraId="5A2B918A" w14:textId="08CA6B72" w:rsidR="0034504B" w:rsidRPr="00CD708F" w:rsidRDefault="0034504B" w:rsidP="00762948">
            <w:pPr>
              <w:rPr>
                <w:rFonts w:ascii="Arial Narrow" w:hAnsi="Arial Narrow"/>
                <w:bCs/>
                <w:color w:val="333333"/>
                <w:sz w:val="18"/>
                <w:szCs w:val="18"/>
              </w:rPr>
            </w:pPr>
            <w:r w:rsidRPr="0001576E">
              <w:rPr>
                <w:rFonts w:ascii="Arial Narrow" w:hAnsi="Arial Narrow"/>
                <w:bCs/>
                <w:color w:val="333333"/>
                <w:sz w:val="18"/>
                <w:szCs w:val="18"/>
              </w:rPr>
              <w:t>(ii) details of prior drug therapy for th</w:t>
            </w:r>
            <w:r>
              <w:rPr>
                <w:rFonts w:ascii="Arial Narrow" w:hAnsi="Arial Narrow"/>
                <w:bCs/>
                <w:color w:val="333333"/>
                <w:sz w:val="18"/>
                <w:szCs w:val="18"/>
              </w:rPr>
              <w:t>is</w:t>
            </w:r>
            <w:r w:rsidRPr="0001576E">
              <w:rPr>
                <w:rFonts w:ascii="Arial Narrow" w:hAnsi="Arial Narrow"/>
                <w:bCs/>
                <w:color w:val="333333"/>
                <w:sz w:val="18"/>
                <w:szCs w:val="18"/>
              </w:rPr>
              <w:t xml:space="preserve"> condition [dosage, date of commencement and duration of therapy].</w:t>
            </w:r>
            <w:r>
              <w:rPr>
                <w:rFonts w:ascii="Arial Narrow" w:hAnsi="Arial Narrow"/>
                <w:bCs/>
                <w:color w:val="333333"/>
                <w:sz w:val="18"/>
                <w:szCs w:val="18"/>
              </w:rPr>
              <w:t xml:space="preserve"> </w:t>
            </w:r>
          </w:p>
        </w:tc>
      </w:tr>
      <w:tr w:rsidR="0034504B" w:rsidRPr="00120A12" w14:paraId="11F25CA7" w14:textId="77777777" w:rsidTr="00762948">
        <w:tc>
          <w:tcPr>
            <w:tcW w:w="553" w:type="pct"/>
            <w:vAlign w:val="center"/>
          </w:tcPr>
          <w:p w14:paraId="14CBD038" w14:textId="4C01148C" w:rsidR="0034504B" w:rsidRDefault="0034504B" w:rsidP="00762948">
            <w:pPr>
              <w:jc w:val="center"/>
              <w:rPr>
                <w:rFonts w:ascii="Arial Narrow" w:hAnsi="Arial Narrow"/>
                <w:color w:val="333333"/>
                <w:sz w:val="18"/>
                <w:szCs w:val="18"/>
              </w:rPr>
            </w:pPr>
          </w:p>
        </w:tc>
        <w:tc>
          <w:tcPr>
            <w:tcW w:w="4447" w:type="pct"/>
            <w:vAlign w:val="center"/>
          </w:tcPr>
          <w:p w14:paraId="69FFB5E7" w14:textId="45ED1538" w:rsidR="0034504B" w:rsidRPr="00887757" w:rsidRDefault="0034504B" w:rsidP="00762948">
            <w:pPr>
              <w:rPr>
                <w:rFonts w:ascii="Arial Narrow" w:hAnsi="Arial Narrow"/>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r w:rsidRPr="00887757">
              <w:rPr>
                <w:rFonts w:ascii="Arial Narrow" w:hAnsi="Arial Narrow"/>
                <w:bCs/>
                <w:color w:val="333333"/>
                <w:sz w:val="18"/>
                <w:szCs w:val="18"/>
              </w:rPr>
              <w:t>The endoscopic assessment contributing to the Modified Pouchitis Disease Activity Index score to confirm the patient’s condition at baseline must have been performed no more than 4 weeks prior to the application.</w:t>
            </w:r>
          </w:p>
        </w:tc>
      </w:tr>
      <w:tr w:rsidR="0034504B" w:rsidRPr="00120A12" w14:paraId="69CA948A" w14:textId="77777777" w:rsidTr="00762948">
        <w:tc>
          <w:tcPr>
            <w:tcW w:w="553" w:type="pct"/>
            <w:vAlign w:val="center"/>
          </w:tcPr>
          <w:p w14:paraId="19D91E34" w14:textId="607E1F5E" w:rsidR="0034504B" w:rsidRDefault="0034504B" w:rsidP="00762948">
            <w:pPr>
              <w:jc w:val="center"/>
              <w:rPr>
                <w:rFonts w:ascii="Arial Narrow" w:hAnsi="Arial Narrow"/>
                <w:color w:val="333333"/>
                <w:sz w:val="18"/>
                <w:szCs w:val="18"/>
              </w:rPr>
            </w:pPr>
          </w:p>
        </w:tc>
        <w:tc>
          <w:tcPr>
            <w:tcW w:w="4447" w:type="pct"/>
            <w:vAlign w:val="center"/>
          </w:tcPr>
          <w:p w14:paraId="396878D3" w14:textId="77777777" w:rsidR="0034504B" w:rsidRPr="00887757" w:rsidRDefault="0034504B" w:rsidP="00762948">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r w:rsidRPr="00887757">
              <w:rPr>
                <w:rFonts w:ascii="Arial Narrow" w:hAnsi="Arial Narrow"/>
                <w:bCs/>
                <w:color w:val="333333"/>
                <w:sz w:val="18"/>
                <w:szCs w:val="18"/>
              </w:rPr>
              <w:t>Applications for treatment of this condition must be received within 4 weeks of the endoscopy to confirm diagnosis</w:t>
            </w:r>
            <w:r>
              <w:rPr>
                <w:rFonts w:ascii="Arial Narrow" w:hAnsi="Arial Narrow"/>
                <w:bCs/>
                <w:color w:val="333333"/>
                <w:sz w:val="18"/>
                <w:szCs w:val="18"/>
              </w:rPr>
              <w:t>. The p</w:t>
            </w:r>
            <w:r w:rsidRPr="00887757">
              <w:rPr>
                <w:rFonts w:ascii="Arial Narrow" w:hAnsi="Arial Narrow"/>
                <w:bCs/>
                <w:color w:val="333333"/>
                <w:sz w:val="18"/>
                <w:szCs w:val="18"/>
              </w:rPr>
              <w:t>rescriber must exclude secondary causes of pouchitis, for example:</w:t>
            </w:r>
          </w:p>
          <w:p w14:paraId="77EFF883" w14:textId="77777777" w:rsidR="0034504B" w:rsidRPr="00C86425" w:rsidRDefault="0034504B" w:rsidP="0034504B">
            <w:pPr>
              <w:pStyle w:val="ListParagraph"/>
              <w:numPr>
                <w:ilvl w:val="0"/>
                <w:numId w:val="21"/>
              </w:numPr>
              <w:spacing w:after="0"/>
              <w:ind w:left="360"/>
              <w:contextualSpacing/>
              <w:jc w:val="left"/>
              <w:rPr>
                <w:rFonts w:ascii="Arial Narrow" w:hAnsi="Arial Narrow"/>
                <w:bCs/>
                <w:color w:val="333333"/>
                <w:sz w:val="18"/>
                <w:szCs w:val="18"/>
              </w:rPr>
            </w:pPr>
            <w:r w:rsidRPr="00C86425">
              <w:rPr>
                <w:rFonts w:ascii="Arial Narrow" w:hAnsi="Arial Narrow"/>
                <w:bCs/>
                <w:color w:val="333333"/>
                <w:sz w:val="18"/>
                <w:szCs w:val="18"/>
              </w:rPr>
              <w:t>Ischaemia</w:t>
            </w:r>
          </w:p>
          <w:p w14:paraId="4C1DACD4" w14:textId="77777777" w:rsidR="0034504B" w:rsidRPr="00C86425" w:rsidRDefault="0034504B" w:rsidP="0034504B">
            <w:pPr>
              <w:pStyle w:val="ListParagraph"/>
              <w:numPr>
                <w:ilvl w:val="0"/>
                <w:numId w:val="21"/>
              </w:numPr>
              <w:spacing w:after="0"/>
              <w:ind w:left="360"/>
              <w:contextualSpacing/>
              <w:jc w:val="left"/>
              <w:rPr>
                <w:rFonts w:ascii="Arial Narrow" w:hAnsi="Arial Narrow"/>
                <w:bCs/>
                <w:color w:val="333333"/>
                <w:sz w:val="18"/>
                <w:szCs w:val="18"/>
              </w:rPr>
            </w:pPr>
            <w:r w:rsidRPr="00C86425">
              <w:rPr>
                <w:rFonts w:ascii="Arial Narrow" w:hAnsi="Arial Narrow"/>
                <w:bCs/>
                <w:color w:val="333333"/>
                <w:sz w:val="18"/>
                <w:szCs w:val="18"/>
              </w:rPr>
              <w:t>Crohn’s disease (CD) or CD of the pouch</w:t>
            </w:r>
          </w:p>
          <w:p w14:paraId="297C28F1" w14:textId="77777777" w:rsidR="0034504B" w:rsidRPr="00C86425" w:rsidRDefault="0034504B" w:rsidP="0034504B">
            <w:pPr>
              <w:pStyle w:val="ListParagraph"/>
              <w:numPr>
                <w:ilvl w:val="0"/>
                <w:numId w:val="21"/>
              </w:numPr>
              <w:spacing w:after="0"/>
              <w:ind w:left="360"/>
              <w:contextualSpacing/>
              <w:jc w:val="left"/>
              <w:rPr>
                <w:rFonts w:ascii="Arial Narrow" w:hAnsi="Arial Narrow"/>
                <w:bCs/>
                <w:color w:val="333333"/>
                <w:sz w:val="18"/>
                <w:szCs w:val="18"/>
              </w:rPr>
            </w:pPr>
            <w:r w:rsidRPr="00C86425">
              <w:rPr>
                <w:rFonts w:ascii="Arial Narrow" w:hAnsi="Arial Narrow"/>
                <w:bCs/>
                <w:color w:val="333333"/>
                <w:sz w:val="18"/>
                <w:szCs w:val="18"/>
              </w:rPr>
              <w:t>Irritable pouch syndrome</w:t>
            </w:r>
          </w:p>
          <w:p w14:paraId="1B3B7CEB" w14:textId="77777777" w:rsidR="0034504B" w:rsidRPr="00C86425" w:rsidRDefault="0034504B" w:rsidP="0034504B">
            <w:pPr>
              <w:pStyle w:val="ListParagraph"/>
              <w:numPr>
                <w:ilvl w:val="0"/>
                <w:numId w:val="21"/>
              </w:numPr>
              <w:spacing w:after="0"/>
              <w:ind w:left="360"/>
              <w:contextualSpacing/>
              <w:jc w:val="left"/>
              <w:rPr>
                <w:rFonts w:ascii="Arial Narrow" w:hAnsi="Arial Narrow"/>
                <w:bCs/>
                <w:color w:val="333333"/>
                <w:sz w:val="18"/>
                <w:szCs w:val="18"/>
              </w:rPr>
            </w:pPr>
            <w:r w:rsidRPr="00C86425">
              <w:rPr>
                <w:rFonts w:ascii="Arial Narrow" w:hAnsi="Arial Narrow"/>
                <w:bCs/>
                <w:color w:val="333333"/>
                <w:sz w:val="18"/>
                <w:szCs w:val="18"/>
              </w:rPr>
              <w:t>Predominant cuffitis</w:t>
            </w:r>
          </w:p>
          <w:p w14:paraId="54341544" w14:textId="77777777" w:rsidR="0034504B" w:rsidRPr="00C86425" w:rsidRDefault="0034504B" w:rsidP="0034504B">
            <w:pPr>
              <w:pStyle w:val="ListParagraph"/>
              <w:numPr>
                <w:ilvl w:val="0"/>
                <w:numId w:val="21"/>
              </w:numPr>
              <w:spacing w:after="0"/>
              <w:ind w:left="360"/>
              <w:contextualSpacing/>
              <w:jc w:val="left"/>
              <w:rPr>
                <w:rFonts w:ascii="Arial Narrow" w:hAnsi="Arial Narrow"/>
                <w:bCs/>
                <w:color w:val="333333"/>
                <w:sz w:val="18"/>
                <w:szCs w:val="18"/>
              </w:rPr>
            </w:pPr>
            <w:r w:rsidRPr="00C86425">
              <w:rPr>
                <w:rFonts w:ascii="Arial Narrow" w:hAnsi="Arial Narrow"/>
                <w:bCs/>
                <w:color w:val="333333"/>
                <w:sz w:val="18"/>
                <w:szCs w:val="18"/>
              </w:rPr>
              <w:t>Pouch stricture or pouch fistula</w:t>
            </w:r>
          </w:p>
          <w:p w14:paraId="6D20BFFF" w14:textId="77777777" w:rsidR="0034504B" w:rsidRPr="00C86425" w:rsidRDefault="0034504B" w:rsidP="0034504B">
            <w:pPr>
              <w:pStyle w:val="ListParagraph"/>
              <w:numPr>
                <w:ilvl w:val="0"/>
                <w:numId w:val="21"/>
              </w:numPr>
              <w:spacing w:after="0"/>
              <w:ind w:left="360"/>
              <w:contextualSpacing/>
              <w:jc w:val="left"/>
              <w:rPr>
                <w:rFonts w:ascii="Arial Narrow" w:hAnsi="Arial Narrow"/>
                <w:bCs/>
                <w:color w:val="333333"/>
                <w:sz w:val="18"/>
                <w:szCs w:val="18"/>
              </w:rPr>
            </w:pPr>
            <w:r w:rsidRPr="00C86425">
              <w:rPr>
                <w:rFonts w:ascii="Arial Narrow" w:hAnsi="Arial Narrow"/>
                <w:bCs/>
                <w:color w:val="333333"/>
                <w:sz w:val="18"/>
                <w:szCs w:val="18"/>
              </w:rPr>
              <w:t>Active infection</w:t>
            </w:r>
          </w:p>
          <w:p w14:paraId="1C7281DD" w14:textId="77777777" w:rsidR="0034504B" w:rsidRPr="00C86425" w:rsidRDefault="0034504B" w:rsidP="0034504B">
            <w:pPr>
              <w:pStyle w:val="ListParagraph"/>
              <w:numPr>
                <w:ilvl w:val="0"/>
                <w:numId w:val="21"/>
              </w:numPr>
              <w:spacing w:after="0"/>
              <w:ind w:left="360"/>
              <w:contextualSpacing/>
              <w:jc w:val="left"/>
              <w:rPr>
                <w:rFonts w:ascii="Arial Narrow" w:hAnsi="Arial Narrow"/>
                <w:bCs/>
                <w:color w:val="333333"/>
                <w:sz w:val="18"/>
                <w:szCs w:val="18"/>
              </w:rPr>
            </w:pPr>
            <w:r w:rsidRPr="00C86425">
              <w:rPr>
                <w:rFonts w:ascii="Arial Narrow" w:hAnsi="Arial Narrow"/>
                <w:bCs/>
                <w:color w:val="333333"/>
                <w:sz w:val="18"/>
                <w:szCs w:val="18"/>
              </w:rPr>
              <w:t>NSAIDs</w:t>
            </w:r>
          </w:p>
          <w:p w14:paraId="6FECC83C" w14:textId="540F8FC5" w:rsidR="0034504B" w:rsidRPr="00CD708F" w:rsidRDefault="0034504B" w:rsidP="0034504B">
            <w:pPr>
              <w:pStyle w:val="ListParagraph"/>
              <w:numPr>
                <w:ilvl w:val="0"/>
                <w:numId w:val="21"/>
              </w:numPr>
              <w:spacing w:after="0"/>
              <w:ind w:left="360"/>
              <w:contextualSpacing/>
              <w:jc w:val="left"/>
              <w:rPr>
                <w:rFonts w:ascii="Arial Narrow" w:hAnsi="Arial Narrow"/>
                <w:color w:val="333333"/>
                <w:sz w:val="18"/>
                <w:szCs w:val="18"/>
              </w:rPr>
            </w:pPr>
            <w:r w:rsidRPr="00C86425">
              <w:rPr>
                <w:rFonts w:ascii="Arial Narrow" w:hAnsi="Arial Narrow"/>
                <w:bCs/>
                <w:color w:val="333333"/>
                <w:sz w:val="18"/>
                <w:szCs w:val="18"/>
              </w:rPr>
              <w:t>Coeliac disease</w:t>
            </w:r>
          </w:p>
        </w:tc>
      </w:tr>
      <w:tr w:rsidR="0034504B" w:rsidRPr="00120A12" w14:paraId="2983ED5D" w14:textId="77777777" w:rsidTr="00D30EB5">
        <w:tc>
          <w:tcPr>
            <w:tcW w:w="553" w:type="pct"/>
            <w:vAlign w:val="center"/>
          </w:tcPr>
          <w:p w14:paraId="1BB15DF5" w14:textId="61863130" w:rsidR="0034504B" w:rsidRPr="00C06767" w:rsidRDefault="0034504B" w:rsidP="00762948">
            <w:pPr>
              <w:jc w:val="center"/>
              <w:rPr>
                <w:rFonts w:ascii="Arial Narrow" w:hAnsi="Arial Narrow"/>
                <w:i/>
                <w:iCs/>
                <w:color w:val="333333"/>
                <w:sz w:val="18"/>
                <w:szCs w:val="18"/>
              </w:rPr>
            </w:pPr>
          </w:p>
        </w:tc>
        <w:tc>
          <w:tcPr>
            <w:tcW w:w="4447" w:type="pct"/>
            <w:vAlign w:val="center"/>
            <w:hideMark/>
          </w:tcPr>
          <w:p w14:paraId="7E6E4216" w14:textId="77777777" w:rsidR="0034504B" w:rsidRDefault="0034504B" w:rsidP="00762948">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66EA4E23"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t>Any queries concerning the arrangements to prescribe may be directed to Services Australia on 1800 700 270 (hours of operation 8 a.m. to 5 p.m. Monday to Friday).</w:t>
            </w:r>
          </w:p>
          <w:p w14:paraId="45C47034"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t>Prescribing information (including Authority Application forms and other relevant documentation as applicable) is available on the Services Australia website at www.servicesaustralia.gov.au</w:t>
            </w:r>
          </w:p>
          <w:p w14:paraId="1C114C6A"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t>Applications for authority to prescribe should be submitted online using the form upload facility in Health Professional Online Services (HPOS) at www.servicesaustralia.gov.au/hpos</w:t>
            </w:r>
          </w:p>
          <w:p w14:paraId="5EAD49F6"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t>Or mailed to:</w:t>
            </w:r>
          </w:p>
          <w:p w14:paraId="38FB38D6"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t>Services Australia</w:t>
            </w:r>
          </w:p>
          <w:p w14:paraId="18C034C0"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t>Complex Drugs</w:t>
            </w:r>
          </w:p>
          <w:p w14:paraId="20B45669" w14:textId="77777777" w:rsidR="0034504B" w:rsidRPr="00C86425" w:rsidRDefault="0034504B" w:rsidP="00762948">
            <w:pPr>
              <w:rPr>
                <w:rFonts w:ascii="Arial Narrow" w:hAnsi="Arial Narrow"/>
                <w:color w:val="333333"/>
                <w:sz w:val="18"/>
                <w:szCs w:val="18"/>
              </w:rPr>
            </w:pPr>
            <w:r w:rsidRPr="00C86425">
              <w:rPr>
                <w:rFonts w:ascii="Arial Narrow" w:hAnsi="Arial Narrow"/>
                <w:color w:val="333333"/>
                <w:sz w:val="18"/>
                <w:szCs w:val="18"/>
              </w:rPr>
              <w:t>Reply Paid 9826</w:t>
            </w:r>
          </w:p>
          <w:p w14:paraId="4163B783" w14:textId="77777777" w:rsidR="0034504B" w:rsidRPr="00120A12" w:rsidRDefault="0034504B" w:rsidP="00762948">
            <w:pPr>
              <w:rPr>
                <w:rFonts w:ascii="Arial Narrow" w:hAnsi="Arial Narrow"/>
                <w:color w:val="333333"/>
                <w:sz w:val="18"/>
                <w:szCs w:val="18"/>
              </w:rPr>
            </w:pPr>
            <w:r w:rsidRPr="00C86425">
              <w:rPr>
                <w:rFonts w:ascii="Arial Narrow" w:hAnsi="Arial Narrow"/>
                <w:color w:val="333333"/>
                <w:sz w:val="18"/>
                <w:szCs w:val="18"/>
              </w:rPr>
              <w:t>HOBART TAS 7001</w:t>
            </w:r>
          </w:p>
        </w:tc>
      </w:tr>
    </w:tbl>
    <w:p w14:paraId="4535DB48" w14:textId="77777777" w:rsidR="0034504B" w:rsidRDefault="0034504B" w:rsidP="0034504B"/>
    <w:p w14:paraId="3E2A3279" w14:textId="77777777" w:rsidR="0034504B" w:rsidRPr="00507253" w:rsidRDefault="0034504B" w:rsidP="0034504B">
      <w:pPr>
        <w:rPr>
          <w:rFonts w:ascii="Arial Narrow" w:hAnsi="Arial Narrow"/>
          <w:b/>
          <w:sz w:val="18"/>
          <w:szCs w:val="18"/>
        </w:rPr>
      </w:pPr>
      <w:r w:rsidRPr="00507253">
        <w:rPr>
          <w:rFonts w:ascii="Arial Narrow" w:hAnsi="Arial Narrow"/>
          <w:b/>
          <w:sz w:val="18"/>
          <w:szCs w:val="18"/>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34504B" w:rsidRPr="00120A12" w14:paraId="69EE414F" w14:textId="77777777" w:rsidTr="00762948">
        <w:tc>
          <w:tcPr>
            <w:tcW w:w="553" w:type="pct"/>
            <w:tcBorders>
              <w:top w:val="single" w:sz="4" w:space="0" w:color="auto"/>
              <w:left w:val="single" w:sz="4" w:space="0" w:color="auto"/>
              <w:bottom w:val="single" w:sz="4" w:space="0" w:color="auto"/>
              <w:right w:val="single" w:sz="4" w:space="0" w:color="auto"/>
            </w:tcBorders>
          </w:tcPr>
          <w:p w14:paraId="73DF1336" w14:textId="77777777" w:rsidR="0034504B" w:rsidRPr="00507253" w:rsidRDefault="0034504B" w:rsidP="00762948">
            <w:pPr>
              <w:jc w:val="center"/>
              <w:rPr>
                <w:rFonts w:ascii="Arial Narrow" w:hAnsi="Arial Narrow"/>
                <w:b/>
                <w:sz w:val="18"/>
                <w:szCs w:val="18"/>
              </w:rPr>
            </w:pPr>
            <w:r w:rsidRPr="00507253">
              <w:rPr>
                <w:rFonts w:ascii="Arial Narrow" w:hAnsi="Arial Narrow"/>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14:paraId="4FF0F4DA" w14:textId="77777777" w:rsidR="0034504B" w:rsidRPr="00120A12" w:rsidRDefault="0034504B" w:rsidP="00762948">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Section 100 – Highly Specialised Drugs Program {</w:t>
            </w:r>
            <w:r>
              <w:rPr>
                <w:rFonts w:ascii="Arial Narrow" w:hAnsi="Arial Narrow"/>
                <w:sz w:val="18"/>
                <w:szCs w:val="18"/>
              </w:rPr>
              <w:t>Public/Private Hospitals}</w:t>
            </w:r>
            <w:r w:rsidRPr="003D201F">
              <w:rPr>
                <w:rFonts w:ascii="Arial Narrow" w:hAnsi="Arial Narrow"/>
                <w:sz w:val="18"/>
                <w:szCs w:val="18"/>
              </w:rPr>
              <w:t xml:space="preserve"> </w:t>
            </w:r>
          </w:p>
        </w:tc>
      </w:tr>
      <w:tr w:rsidR="0034504B" w:rsidRPr="00120A12" w14:paraId="62E3928C" w14:textId="77777777" w:rsidTr="00762948">
        <w:trPr>
          <w:trHeight w:val="366"/>
        </w:trPr>
        <w:tc>
          <w:tcPr>
            <w:tcW w:w="553" w:type="pct"/>
            <w:tcBorders>
              <w:top w:val="single" w:sz="4" w:space="0" w:color="auto"/>
              <w:left w:val="single" w:sz="4" w:space="0" w:color="auto"/>
              <w:bottom w:val="single" w:sz="4" w:space="0" w:color="auto"/>
              <w:right w:val="single" w:sz="4" w:space="0" w:color="auto"/>
            </w:tcBorders>
          </w:tcPr>
          <w:p w14:paraId="744C6609" w14:textId="77777777" w:rsidR="0034504B" w:rsidRPr="0020649C"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31F36E84" w14:textId="77777777" w:rsidR="0034504B" w:rsidRPr="00120A12" w:rsidRDefault="0034504B" w:rsidP="00762948">
            <w:pPr>
              <w:rPr>
                <w:rFonts w:ascii="Arial Narrow" w:hAnsi="Arial Narrow"/>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ldLock="1">
                <w:ffData>
                  <w:name w:val=""/>
                  <w:enabled/>
                  <w:calcOnExit w:val="0"/>
                  <w:checkBox>
                    <w:sizeAuto/>
                    <w:default w:val="1"/>
                  </w:checkBox>
                </w:ffData>
              </w:fldChar>
            </w:r>
            <w:r>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 xml:space="preserve">Medical Practitioners  </w:t>
            </w:r>
          </w:p>
        </w:tc>
      </w:tr>
      <w:tr w:rsidR="0034504B" w:rsidRPr="00120A12" w14:paraId="4CA8DC5F" w14:textId="77777777" w:rsidTr="00762948">
        <w:tc>
          <w:tcPr>
            <w:tcW w:w="553" w:type="pct"/>
            <w:tcBorders>
              <w:top w:val="single" w:sz="4" w:space="0" w:color="auto"/>
              <w:left w:val="single" w:sz="4" w:space="0" w:color="auto"/>
              <w:bottom w:val="single" w:sz="4" w:space="0" w:color="auto"/>
              <w:right w:val="single" w:sz="4" w:space="0" w:color="auto"/>
            </w:tcBorders>
          </w:tcPr>
          <w:p w14:paraId="4F79E178" w14:textId="77777777" w:rsidR="0034504B" w:rsidRPr="0020649C"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11CBA5EB" w14:textId="77777777" w:rsidR="0034504B" w:rsidRPr="007C787E" w:rsidRDefault="0034504B" w:rsidP="00762948">
            <w:pPr>
              <w:rPr>
                <w:rFonts w:ascii="Arial Narrow" w:hAnsi="Arial Narrow"/>
                <w:b/>
                <w:sz w:val="18"/>
                <w:szCs w:val="18"/>
              </w:rPr>
            </w:pPr>
            <w:r w:rsidRPr="0020649C">
              <w:rPr>
                <w:rFonts w:ascii="Arial Narrow" w:hAnsi="Arial Narrow"/>
                <w:b/>
                <w:sz w:val="18"/>
                <w:szCs w:val="18"/>
              </w:rPr>
              <w:t>Restriction Level / Method:</w:t>
            </w:r>
            <w:r>
              <w:rPr>
                <w:rFonts w:ascii="Arial Narrow" w:hAnsi="Arial Narrow"/>
                <w:b/>
                <w:sz w:val="18"/>
                <w:szCs w:val="18"/>
              </w:rPr>
              <w:t xml:space="preserve"> </w:t>
            </w:r>
            <w:r>
              <w:rPr>
                <w:rFonts w:ascii="Arial Narrow" w:hAnsi="Arial Narrow"/>
                <w:sz w:val="18"/>
                <w:szCs w:val="18"/>
              </w:rPr>
              <w:fldChar w:fldCharType="begin" w:fldLock="1">
                <w:ffData>
                  <w:name w:val=""/>
                  <w:enabled/>
                  <w:calcOnExit w:val="0"/>
                  <w:checkBox>
                    <w:sizeAuto/>
                    <w:default w:val="1"/>
                  </w:checkBox>
                </w:ffData>
              </w:fldChar>
            </w:r>
            <w:r>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Authority Required – In Writing</w:t>
            </w:r>
            <w:r>
              <w:rPr>
                <w:rFonts w:ascii="Arial Narrow" w:hAnsi="Arial Narrow"/>
                <w:sz w:val="18"/>
                <w:szCs w:val="18"/>
              </w:rPr>
              <w:t xml:space="preserve">/HPOS </w:t>
            </w:r>
            <w:r w:rsidRPr="007C787E">
              <w:rPr>
                <w:rFonts w:ascii="Arial Narrow" w:hAnsi="Arial Narrow"/>
                <w:sz w:val="18"/>
                <w:szCs w:val="18"/>
              </w:rPr>
              <w:t>(Complex Authority Required)</w:t>
            </w:r>
          </w:p>
        </w:tc>
      </w:tr>
      <w:tr w:rsidR="0034504B" w:rsidRPr="00120A12" w14:paraId="14A9FD85" w14:textId="77777777" w:rsidTr="00762948">
        <w:tc>
          <w:tcPr>
            <w:tcW w:w="553" w:type="pct"/>
            <w:vAlign w:val="center"/>
          </w:tcPr>
          <w:p w14:paraId="051B049A" w14:textId="7419E8AF" w:rsidR="0034504B" w:rsidRPr="002327C5" w:rsidRDefault="0034504B" w:rsidP="00762948">
            <w:pPr>
              <w:jc w:val="center"/>
              <w:rPr>
                <w:rFonts w:ascii="Arial Narrow" w:hAnsi="Arial Narrow"/>
                <w:color w:val="333333"/>
                <w:sz w:val="18"/>
                <w:szCs w:val="18"/>
              </w:rPr>
            </w:pPr>
          </w:p>
        </w:tc>
        <w:tc>
          <w:tcPr>
            <w:tcW w:w="4447" w:type="pct"/>
            <w:vAlign w:val="center"/>
          </w:tcPr>
          <w:p w14:paraId="788C447C" w14:textId="77777777" w:rsidR="0034504B" w:rsidRPr="002327C5" w:rsidRDefault="0034504B" w:rsidP="00762948">
            <w:pPr>
              <w:rPr>
                <w:rFonts w:ascii="Arial Narrow" w:hAnsi="Arial Narrow"/>
                <w:color w:val="333333"/>
                <w:sz w:val="18"/>
                <w:szCs w:val="18"/>
              </w:rPr>
            </w:pPr>
            <w:r w:rsidRPr="002327C5">
              <w:rPr>
                <w:rFonts w:ascii="Arial Narrow" w:hAnsi="Arial Narrow"/>
                <w:b/>
                <w:bCs/>
                <w:color w:val="333333"/>
                <w:sz w:val="18"/>
                <w:szCs w:val="18"/>
              </w:rPr>
              <w:t>Administrative Advice:</w:t>
            </w:r>
          </w:p>
          <w:p w14:paraId="382C4042" w14:textId="77777777" w:rsidR="0034504B" w:rsidRPr="002327C5" w:rsidRDefault="0034504B" w:rsidP="00762948">
            <w:pPr>
              <w:rPr>
                <w:rFonts w:ascii="Arial Narrow" w:hAnsi="Arial Narrow"/>
                <w:color w:val="333333"/>
                <w:sz w:val="18"/>
                <w:szCs w:val="18"/>
              </w:rPr>
            </w:pPr>
            <w:r w:rsidRPr="002327C5">
              <w:rPr>
                <w:rFonts w:ascii="Arial Narrow" w:hAnsi="Arial Narrow"/>
                <w:color w:val="333333"/>
                <w:sz w:val="18"/>
                <w:szCs w:val="18"/>
              </w:rPr>
              <w:t>No increase in the maximum quantity or number of units may be authorised.</w:t>
            </w:r>
          </w:p>
        </w:tc>
      </w:tr>
      <w:tr w:rsidR="0034504B" w:rsidRPr="00120A12" w14:paraId="04583FDB" w14:textId="77777777" w:rsidTr="00762948">
        <w:tc>
          <w:tcPr>
            <w:tcW w:w="553" w:type="pct"/>
            <w:vAlign w:val="center"/>
          </w:tcPr>
          <w:p w14:paraId="586F8D1D" w14:textId="21007125" w:rsidR="0034504B" w:rsidRPr="002327C5" w:rsidRDefault="0034504B" w:rsidP="00762948">
            <w:pPr>
              <w:jc w:val="center"/>
              <w:rPr>
                <w:rFonts w:ascii="Arial Narrow" w:hAnsi="Arial Narrow"/>
                <w:color w:val="333333"/>
                <w:sz w:val="18"/>
                <w:szCs w:val="18"/>
              </w:rPr>
            </w:pPr>
          </w:p>
        </w:tc>
        <w:tc>
          <w:tcPr>
            <w:tcW w:w="4447" w:type="pct"/>
            <w:vAlign w:val="center"/>
          </w:tcPr>
          <w:p w14:paraId="4A857B69" w14:textId="77777777" w:rsidR="0034504B" w:rsidRPr="002327C5" w:rsidRDefault="0034504B" w:rsidP="00762948">
            <w:pPr>
              <w:rPr>
                <w:rFonts w:ascii="Arial Narrow" w:hAnsi="Arial Narrow"/>
                <w:color w:val="333333"/>
                <w:sz w:val="18"/>
                <w:szCs w:val="18"/>
              </w:rPr>
            </w:pPr>
            <w:r w:rsidRPr="002327C5">
              <w:rPr>
                <w:rFonts w:ascii="Arial Narrow" w:hAnsi="Arial Narrow"/>
                <w:b/>
                <w:bCs/>
                <w:color w:val="333333"/>
                <w:sz w:val="18"/>
                <w:szCs w:val="18"/>
              </w:rPr>
              <w:t>Administrative Advice:</w:t>
            </w:r>
          </w:p>
          <w:p w14:paraId="7DDC37DE" w14:textId="77777777" w:rsidR="0034504B" w:rsidRPr="002327C5" w:rsidRDefault="0034504B" w:rsidP="00762948">
            <w:pPr>
              <w:rPr>
                <w:rFonts w:ascii="Arial Narrow" w:hAnsi="Arial Narrow"/>
                <w:b/>
                <w:bCs/>
                <w:color w:val="333333"/>
                <w:sz w:val="18"/>
                <w:szCs w:val="18"/>
              </w:rPr>
            </w:pPr>
            <w:r w:rsidRPr="002327C5">
              <w:rPr>
                <w:rFonts w:ascii="Arial Narrow" w:hAnsi="Arial Narrow"/>
                <w:color w:val="333333"/>
                <w:sz w:val="18"/>
                <w:szCs w:val="18"/>
              </w:rPr>
              <w:t>No increase in the maximum number of repeats may be authorised.</w:t>
            </w:r>
          </w:p>
        </w:tc>
      </w:tr>
      <w:tr w:rsidR="0034504B" w:rsidRPr="00120A12" w14:paraId="099D75E1" w14:textId="77777777" w:rsidTr="00762948">
        <w:tc>
          <w:tcPr>
            <w:tcW w:w="553" w:type="pct"/>
            <w:vAlign w:val="center"/>
          </w:tcPr>
          <w:p w14:paraId="48965FF1" w14:textId="29015DC0" w:rsidR="0034504B" w:rsidRPr="002327C5" w:rsidRDefault="0034504B" w:rsidP="00762948">
            <w:pPr>
              <w:jc w:val="center"/>
              <w:rPr>
                <w:rFonts w:ascii="Arial Narrow" w:hAnsi="Arial Narrow"/>
                <w:color w:val="333333"/>
                <w:sz w:val="18"/>
                <w:szCs w:val="18"/>
              </w:rPr>
            </w:pPr>
          </w:p>
        </w:tc>
        <w:tc>
          <w:tcPr>
            <w:tcW w:w="4447" w:type="pct"/>
            <w:vAlign w:val="center"/>
          </w:tcPr>
          <w:p w14:paraId="4BEB80E8" w14:textId="77777777" w:rsidR="0034504B" w:rsidRPr="002327C5" w:rsidRDefault="0034504B" w:rsidP="00762948">
            <w:pPr>
              <w:rPr>
                <w:rFonts w:ascii="Arial Narrow" w:hAnsi="Arial Narrow"/>
                <w:color w:val="333333"/>
                <w:sz w:val="18"/>
                <w:szCs w:val="18"/>
              </w:rPr>
            </w:pPr>
            <w:r w:rsidRPr="002327C5">
              <w:rPr>
                <w:rFonts w:ascii="Arial Narrow" w:hAnsi="Arial Narrow"/>
                <w:b/>
                <w:bCs/>
                <w:color w:val="333333"/>
                <w:sz w:val="18"/>
                <w:szCs w:val="18"/>
              </w:rPr>
              <w:t>Administrative Advice:</w:t>
            </w:r>
          </w:p>
          <w:p w14:paraId="24BD34C0" w14:textId="77777777" w:rsidR="0034504B" w:rsidRPr="002327C5" w:rsidRDefault="0034504B" w:rsidP="00762948">
            <w:pPr>
              <w:rPr>
                <w:rFonts w:ascii="Arial Narrow" w:hAnsi="Arial Narrow"/>
                <w:b/>
                <w:bCs/>
                <w:color w:val="333333"/>
                <w:sz w:val="18"/>
                <w:szCs w:val="18"/>
              </w:rPr>
            </w:pPr>
            <w:r w:rsidRPr="002327C5">
              <w:rPr>
                <w:rFonts w:ascii="Arial Narrow" w:hAnsi="Arial Narrow"/>
                <w:color w:val="333333"/>
                <w:sz w:val="18"/>
                <w:szCs w:val="18"/>
              </w:rPr>
              <w:t>Special Pricing Arrangements apply.</w:t>
            </w:r>
          </w:p>
        </w:tc>
      </w:tr>
      <w:tr w:rsidR="0034504B" w:rsidRPr="00120A12" w14:paraId="42F67098" w14:textId="77777777" w:rsidTr="00762948">
        <w:tc>
          <w:tcPr>
            <w:tcW w:w="553" w:type="pct"/>
            <w:vAlign w:val="center"/>
          </w:tcPr>
          <w:p w14:paraId="78C00131" w14:textId="77777777" w:rsidR="0034504B" w:rsidRPr="002327C5" w:rsidRDefault="0034504B" w:rsidP="00762948">
            <w:pPr>
              <w:jc w:val="center"/>
              <w:rPr>
                <w:rFonts w:ascii="Arial Narrow" w:hAnsi="Arial Narrow"/>
                <w:color w:val="333333"/>
                <w:sz w:val="18"/>
                <w:szCs w:val="18"/>
              </w:rPr>
            </w:pPr>
          </w:p>
        </w:tc>
        <w:tc>
          <w:tcPr>
            <w:tcW w:w="4447" w:type="pct"/>
            <w:vAlign w:val="center"/>
          </w:tcPr>
          <w:p w14:paraId="78FAA770" w14:textId="77777777" w:rsidR="0034504B" w:rsidRPr="00ED24EE" w:rsidRDefault="0034504B" w:rsidP="00762948">
            <w:pPr>
              <w:rPr>
                <w:rFonts w:ascii="Arial Narrow" w:hAnsi="Arial Narrow"/>
                <w:color w:val="BFBFBF" w:themeColor="background1" w:themeShade="BF"/>
                <w:sz w:val="18"/>
                <w:szCs w:val="18"/>
              </w:rPr>
            </w:pPr>
            <w:r w:rsidRPr="00ED24EE">
              <w:rPr>
                <w:rFonts w:ascii="Arial Narrow" w:hAnsi="Arial Narrow"/>
                <w:b/>
                <w:bCs/>
                <w:color w:val="BFBFBF" w:themeColor="background1" w:themeShade="BF"/>
                <w:sz w:val="18"/>
                <w:szCs w:val="18"/>
              </w:rPr>
              <w:t>Episodicity:</w:t>
            </w:r>
            <w:r w:rsidRPr="00ED24EE">
              <w:rPr>
                <w:rFonts w:ascii="Arial Narrow" w:hAnsi="Arial Narrow"/>
                <w:color w:val="BFBFBF" w:themeColor="background1" w:themeShade="BF"/>
                <w:sz w:val="18"/>
                <w:szCs w:val="18"/>
              </w:rPr>
              <w:t xml:space="preserve"> Chronic</w:t>
            </w:r>
          </w:p>
        </w:tc>
      </w:tr>
      <w:tr w:rsidR="0034504B" w:rsidRPr="00120A12" w14:paraId="419C4006" w14:textId="77777777" w:rsidTr="00762948">
        <w:tc>
          <w:tcPr>
            <w:tcW w:w="553" w:type="pct"/>
            <w:vAlign w:val="center"/>
          </w:tcPr>
          <w:p w14:paraId="034A4945" w14:textId="77777777" w:rsidR="0034504B" w:rsidRPr="002327C5" w:rsidRDefault="0034504B" w:rsidP="00762948">
            <w:pPr>
              <w:jc w:val="center"/>
              <w:rPr>
                <w:rFonts w:ascii="Arial Narrow" w:hAnsi="Arial Narrow"/>
                <w:color w:val="333333"/>
                <w:sz w:val="18"/>
                <w:szCs w:val="18"/>
              </w:rPr>
            </w:pPr>
          </w:p>
        </w:tc>
        <w:tc>
          <w:tcPr>
            <w:tcW w:w="4447" w:type="pct"/>
            <w:vAlign w:val="center"/>
          </w:tcPr>
          <w:p w14:paraId="53E98B92" w14:textId="77777777" w:rsidR="0034504B" w:rsidRPr="00ED24EE" w:rsidRDefault="0034504B" w:rsidP="00762948">
            <w:pPr>
              <w:rPr>
                <w:rFonts w:ascii="Arial Narrow" w:hAnsi="Arial Narrow"/>
                <w:b/>
                <w:bCs/>
                <w:color w:val="BFBFBF" w:themeColor="background1" w:themeShade="BF"/>
                <w:sz w:val="18"/>
                <w:szCs w:val="18"/>
              </w:rPr>
            </w:pPr>
            <w:r w:rsidRPr="00ED24EE">
              <w:rPr>
                <w:rFonts w:ascii="Arial Narrow" w:hAnsi="Arial Narrow"/>
                <w:b/>
                <w:bCs/>
                <w:color w:val="BFBFBF" w:themeColor="background1" w:themeShade="BF"/>
                <w:sz w:val="18"/>
                <w:szCs w:val="18"/>
              </w:rPr>
              <w:t xml:space="preserve">Severity: </w:t>
            </w:r>
            <w:r w:rsidRPr="00ED24EE">
              <w:rPr>
                <w:rFonts w:ascii="Arial Narrow" w:hAnsi="Arial Narrow"/>
                <w:color w:val="BFBFBF" w:themeColor="background1" w:themeShade="BF"/>
                <w:sz w:val="18"/>
                <w:szCs w:val="18"/>
              </w:rPr>
              <w:t>Moderate to severe</w:t>
            </w:r>
          </w:p>
        </w:tc>
      </w:tr>
      <w:tr w:rsidR="0034504B" w:rsidRPr="00120A12" w14:paraId="38C7D20E" w14:textId="77777777" w:rsidTr="00762948">
        <w:tc>
          <w:tcPr>
            <w:tcW w:w="553" w:type="pct"/>
            <w:vAlign w:val="center"/>
          </w:tcPr>
          <w:p w14:paraId="22510ACF" w14:textId="77777777" w:rsidR="0034504B" w:rsidRPr="002327C5" w:rsidRDefault="0034504B" w:rsidP="00762948">
            <w:pPr>
              <w:jc w:val="center"/>
              <w:rPr>
                <w:rFonts w:ascii="Arial Narrow" w:hAnsi="Arial Narrow"/>
                <w:color w:val="333333"/>
                <w:sz w:val="18"/>
                <w:szCs w:val="18"/>
              </w:rPr>
            </w:pPr>
          </w:p>
        </w:tc>
        <w:tc>
          <w:tcPr>
            <w:tcW w:w="4447" w:type="pct"/>
            <w:vAlign w:val="center"/>
          </w:tcPr>
          <w:p w14:paraId="1A187EDE" w14:textId="77777777" w:rsidR="0034504B" w:rsidRPr="00ED24EE" w:rsidRDefault="0034504B" w:rsidP="00762948">
            <w:pPr>
              <w:rPr>
                <w:rFonts w:ascii="Arial Narrow" w:hAnsi="Arial Narrow"/>
                <w:b/>
                <w:bCs/>
                <w:color w:val="BFBFBF" w:themeColor="background1" w:themeShade="BF"/>
                <w:sz w:val="18"/>
                <w:szCs w:val="18"/>
              </w:rPr>
            </w:pPr>
            <w:r w:rsidRPr="00ED24EE">
              <w:rPr>
                <w:rFonts w:ascii="Arial Narrow" w:hAnsi="Arial Narrow"/>
                <w:b/>
                <w:bCs/>
                <w:color w:val="BFBFBF" w:themeColor="background1" w:themeShade="BF"/>
                <w:sz w:val="18"/>
                <w:szCs w:val="18"/>
              </w:rPr>
              <w:t xml:space="preserve">Condition: </w:t>
            </w:r>
            <w:r w:rsidRPr="00ED24EE">
              <w:rPr>
                <w:rFonts w:ascii="Arial Narrow" w:hAnsi="Arial Narrow"/>
                <w:bCs/>
                <w:color w:val="BFBFBF" w:themeColor="background1" w:themeShade="BF"/>
                <w:sz w:val="18"/>
                <w:szCs w:val="18"/>
              </w:rPr>
              <w:t xml:space="preserve">Pouchitis </w:t>
            </w:r>
          </w:p>
        </w:tc>
      </w:tr>
      <w:tr w:rsidR="0034504B" w:rsidRPr="00120A12" w14:paraId="2048482A" w14:textId="77777777" w:rsidTr="00D30EB5">
        <w:tc>
          <w:tcPr>
            <w:tcW w:w="553" w:type="pct"/>
            <w:vAlign w:val="center"/>
          </w:tcPr>
          <w:p w14:paraId="64D240E5" w14:textId="34766944" w:rsidR="0034504B" w:rsidRPr="002327C5" w:rsidRDefault="0034504B" w:rsidP="00762948">
            <w:pPr>
              <w:jc w:val="center"/>
              <w:rPr>
                <w:rFonts w:ascii="Arial Narrow" w:hAnsi="Arial Narrow"/>
                <w:color w:val="333333"/>
                <w:sz w:val="18"/>
                <w:szCs w:val="18"/>
              </w:rPr>
            </w:pPr>
          </w:p>
        </w:tc>
        <w:tc>
          <w:tcPr>
            <w:tcW w:w="4447" w:type="pct"/>
            <w:vAlign w:val="center"/>
            <w:hideMark/>
          </w:tcPr>
          <w:p w14:paraId="71107AEA" w14:textId="77777777" w:rsidR="0034504B" w:rsidRPr="002327C5" w:rsidRDefault="0034504B" w:rsidP="00762948">
            <w:pPr>
              <w:rPr>
                <w:rFonts w:ascii="Arial Narrow" w:hAnsi="Arial Narrow"/>
                <w:color w:val="333333"/>
                <w:sz w:val="18"/>
                <w:szCs w:val="18"/>
              </w:rPr>
            </w:pPr>
            <w:r w:rsidRPr="002327C5">
              <w:rPr>
                <w:rFonts w:ascii="Arial Narrow" w:hAnsi="Arial Narrow"/>
                <w:b/>
                <w:bCs/>
                <w:color w:val="333333"/>
                <w:sz w:val="18"/>
                <w:szCs w:val="18"/>
              </w:rPr>
              <w:t>Indication:</w:t>
            </w:r>
            <w:r w:rsidRPr="002327C5">
              <w:rPr>
                <w:rFonts w:ascii="Arial Narrow" w:hAnsi="Arial Narrow"/>
                <w:color w:val="333333"/>
                <w:sz w:val="18"/>
                <w:szCs w:val="18"/>
              </w:rPr>
              <w:t xml:space="preserve"> Moderate to severe chronic pouchitis</w:t>
            </w:r>
          </w:p>
        </w:tc>
      </w:tr>
      <w:tr w:rsidR="0034504B" w:rsidRPr="00120A12" w14:paraId="088B163E" w14:textId="77777777" w:rsidTr="00D30EB5">
        <w:tc>
          <w:tcPr>
            <w:tcW w:w="553" w:type="pct"/>
            <w:vAlign w:val="center"/>
          </w:tcPr>
          <w:p w14:paraId="10052F21" w14:textId="77777777" w:rsidR="0034504B" w:rsidRPr="002327C5" w:rsidRDefault="0034504B" w:rsidP="00762948">
            <w:pPr>
              <w:jc w:val="center"/>
              <w:rPr>
                <w:rFonts w:ascii="Arial Narrow" w:hAnsi="Arial Narrow"/>
                <w:color w:val="333333"/>
                <w:sz w:val="18"/>
                <w:szCs w:val="18"/>
              </w:rPr>
            </w:pPr>
          </w:p>
        </w:tc>
        <w:tc>
          <w:tcPr>
            <w:tcW w:w="4447" w:type="pct"/>
            <w:vAlign w:val="center"/>
            <w:hideMark/>
          </w:tcPr>
          <w:p w14:paraId="31EDBD7C" w14:textId="77777777" w:rsidR="0034504B" w:rsidRPr="002327C5" w:rsidRDefault="0034504B" w:rsidP="00762948">
            <w:pPr>
              <w:rPr>
                <w:rFonts w:ascii="Arial Narrow" w:hAnsi="Arial Narrow"/>
                <w:color w:val="333333"/>
                <w:sz w:val="18"/>
                <w:szCs w:val="18"/>
              </w:rPr>
            </w:pPr>
            <w:r w:rsidRPr="002327C5">
              <w:rPr>
                <w:rFonts w:ascii="Arial Narrow" w:hAnsi="Arial Narrow"/>
                <w:b/>
                <w:bCs/>
                <w:color w:val="333333"/>
                <w:sz w:val="18"/>
                <w:szCs w:val="18"/>
              </w:rPr>
              <w:t>Treatment Phase:</w:t>
            </w:r>
            <w:r w:rsidRPr="002327C5">
              <w:rPr>
                <w:rFonts w:ascii="Arial Narrow" w:hAnsi="Arial Narrow"/>
                <w:color w:val="333333"/>
                <w:sz w:val="18"/>
                <w:szCs w:val="18"/>
              </w:rPr>
              <w:t xml:space="preserve"> Initial 2 treatment (Recommencement of treatment after a break in biological medicine)</w:t>
            </w:r>
          </w:p>
        </w:tc>
      </w:tr>
      <w:tr w:rsidR="0034504B" w:rsidRPr="00120A12" w14:paraId="37182693" w14:textId="77777777" w:rsidTr="00D30EB5">
        <w:tc>
          <w:tcPr>
            <w:tcW w:w="553" w:type="pct"/>
            <w:vAlign w:val="center"/>
          </w:tcPr>
          <w:p w14:paraId="5AE0F3FB" w14:textId="3DB1195D" w:rsidR="0034504B" w:rsidRPr="002327C5" w:rsidRDefault="0034504B" w:rsidP="00762948">
            <w:pPr>
              <w:jc w:val="center"/>
              <w:rPr>
                <w:rFonts w:ascii="Arial Narrow" w:hAnsi="Arial Narrow"/>
                <w:color w:val="333333"/>
                <w:sz w:val="18"/>
                <w:szCs w:val="18"/>
              </w:rPr>
            </w:pPr>
          </w:p>
        </w:tc>
        <w:tc>
          <w:tcPr>
            <w:tcW w:w="4447" w:type="pct"/>
            <w:vAlign w:val="center"/>
            <w:hideMark/>
          </w:tcPr>
          <w:p w14:paraId="02FCCB84" w14:textId="77777777" w:rsidR="0034504B" w:rsidRPr="002327C5" w:rsidRDefault="0034504B" w:rsidP="00762948">
            <w:pPr>
              <w:rPr>
                <w:rFonts w:ascii="Arial Narrow" w:hAnsi="Arial Narrow"/>
                <w:color w:val="333333"/>
                <w:sz w:val="18"/>
                <w:szCs w:val="18"/>
              </w:rPr>
            </w:pPr>
            <w:r w:rsidRPr="002327C5">
              <w:rPr>
                <w:rFonts w:ascii="Arial Narrow" w:hAnsi="Arial Narrow"/>
                <w:b/>
                <w:bCs/>
                <w:color w:val="333333"/>
                <w:sz w:val="18"/>
                <w:szCs w:val="18"/>
              </w:rPr>
              <w:t>Clinical criteria:</w:t>
            </w:r>
          </w:p>
        </w:tc>
      </w:tr>
      <w:tr w:rsidR="0034504B" w:rsidRPr="00120A12" w14:paraId="4169C250" w14:textId="77777777" w:rsidTr="00D30EB5">
        <w:tc>
          <w:tcPr>
            <w:tcW w:w="553" w:type="pct"/>
            <w:vAlign w:val="center"/>
          </w:tcPr>
          <w:p w14:paraId="348CA1E8" w14:textId="4E26DF73" w:rsidR="0034504B" w:rsidRPr="002327C5" w:rsidRDefault="0034504B" w:rsidP="00762948">
            <w:pPr>
              <w:jc w:val="center"/>
              <w:rPr>
                <w:rFonts w:ascii="Arial Narrow" w:hAnsi="Arial Narrow"/>
                <w:color w:val="333333"/>
                <w:sz w:val="18"/>
                <w:szCs w:val="18"/>
              </w:rPr>
            </w:pPr>
          </w:p>
        </w:tc>
        <w:tc>
          <w:tcPr>
            <w:tcW w:w="4447" w:type="pct"/>
            <w:vAlign w:val="center"/>
            <w:hideMark/>
          </w:tcPr>
          <w:p w14:paraId="122C1D39" w14:textId="77777777" w:rsidR="0034504B" w:rsidRPr="002327C5" w:rsidRDefault="0034504B" w:rsidP="00762948">
            <w:pPr>
              <w:rPr>
                <w:rFonts w:ascii="Arial Narrow" w:hAnsi="Arial Narrow"/>
                <w:color w:val="333333"/>
                <w:sz w:val="18"/>
                <w:szCs w:val="18"/>
              </w:rPr>
            </w:pPr>
            <w:r w:rsidRPr="002327C5">
              <w:rPr>
                <w:rFonts w:ascii="Arial Narrow" w:hAnsi="Arial Narrow"/>
                <w:color w:val="333333"/>
                <w:sz w:val="18"/>
                <w:szCs w:val="18"/>
              </w:rPr>
              <w:t xml:space="preserve">Patient must have previously received PBS subsidised treatment with this drug for this condition. </w:t>
            </w:r>
          </w:p>
        </w:tc>
      </w:tr>
      <w:tr w:rsidR="0034504B" w:rsidRPr="00120A12" w14:paraId="4A377A57" w14:textId="77777777" w:rsidTr="00762948">
        <w:tc>
          <w:tcPr>
            <w:tcW w:w="553" w:type="pct"/>
            <w:vAlign w:val="center"/>
          </w:tcPr>
          <w:p w14:paraId="11505028" w14:textId="77777777" w:rsidR="0034504B" w:rsidRPr="002327C5" w:rsidRDefault="0034504B" w:rsidP="00762948">
            <w:pPr>
              <w:jc w:val="center"/>
              <w:rPr>
                <w:rFonts w:ascii="Arial Narrow" w:hAnsi="Arial Narrow"/>
                <w:color w:val="333333"/>
                <w:sz w:val="18"/>
                <w:szCs w:val="18"/>
              </w:rPr>
            </w:pPr>
          </w:p>
        </w:tc>
        <w:tc>
          <w:tcPr>
            <w:tcW w:w="4447" w:type="pct"/>
            <w:vAlign w:val="center"/>
            <w:hideMark/>
          </w:tcPr>
          <w:p w14:paraId="511FC0E2" w14:textId="77777777" w:rsidR="0034504B" w:rsidRPr="002327C5" w:rsidRDefault="0034504B" w:rsidP="00762948">
            <w:pPr>
              <w:rPr>
                <w:rFonts w:ascii="Arial Narrow" w:hAnsi="Arial Narrow"/>
                <w:color w:val="333333"/>
                <w:sz w:val="18"/>
                <w:szCs w:val="18"/>
              </w:rPr>
            </w:pPr>
            <w:r w:rsidRPr="002327C5">
              <w:rPr>
                <w:rFonts w:ascii="Arial Narrow" w:hAnsi="Arial Narrow"/>
                <w:b/>
                <w:bCs/>
                <w:color w:val="333333"/>
                <w:sz w:val="18"/>
                <w:szCs w:val="18"/>
              </w:rPr>
              <w:t>AND</w:t>
            </w:r>
          </w:p>
        </w:tc>
      </w:tr>
      <w:tr w:rsidR="0034504B" w:rsidRPr="00120A12" w14:paraId="3023E1CC" w14:textId="77777777" w:rsidTr="00762948">
        <w:tc>
          <w:tcPr>
            <w:tcW w:w="553" w:type="pct"/>
            <w:vAlign w:val="center"/>
          </w:tcPr>
          <w:p w14:paraId="4D5D2615" w14:textId="44571060" w:rsidR="0034504B" w:rsidRPr="002327C5" w:rsidRDefault="0034504B" w:rsidP="00762948">
            <w:pPr>
              <w:jc w:val="center"/>
              <w:rPr>
                <w:rFonts w:ascii="Arial Narrow" w:hAnsi="Arial Narrow"/>
                <w:color w:val="333333"/>
                <w:sz w:val="18"/>
                <w:szCs w:val="18"/>
              </w:rPr>
            </w:pPr>
          </w:p>
        </w:tc>
        <w:tc>
          <w:tcPr>
            <w:tcW w:w="4447" w:type="pct"/>
            <w:vAlign w:val="center"/>
            <w:hideMark/>
          </w:tcPr>
          <w:p w14:paraId="098AE29A" w14:textId="77777777" w:rsidR="0034504B" w:rsidRPr="002327C5" w:rsidRDefault="0034504B" w:rsidP="00762948">
            <w:pPr>
              <w:rPr>
                <w:rFonts w:ascii="Arial Narrow" w:hAnsi="Arial Narrow"/>
                <w:color w:val="333333"/>
                <w:sz w:val="18"/>
                <w:szCs w:val="18"/>
              </w:rPr>
            </w:pPr>
            <w:r w:rsidRPr="002327C5">
              <w:rPr>
                <w:rFonts w:ascii="Arial Narrow" w:hAnsi="Arial Narrow"/>
                <w:b/>
                <w:bCs/>
                <w:color w:val="333333"/>
                <w:sz w:val="18"/>
                <w:szCs w:val="18"/>
              </w:rPr>
              <w:t>Clinical criteria:</w:t>
            </w:r>
          </w:p>
        </w:tc>
      </w:tr>
      <w:tr w:rsidR="0034504B" w:rsidRPr="00120A12" w14:paraId="3B7E93E0" w14:textId="77777777" w:rsidTr="00762948">
        <w:tc>
          <w:tcPr>
            <w:tcW w:w="553" w:type="pct"/>
            <w:vAlign w:val="center"/>
          </w:tcPr>
          <w:p w14:paraId="6B9A1D42" w14:textId="5B1C054B" w:rsidR="0034504B" w:rsidRPr="002327C5" w:rsidRDefault="0034504B" w:rsidP="00762948">
            <w:pPr>
              <w:jc w:val="center"/>
              <w:rPr>
                <w:rFonts w:ascii="Arial Narrow" w:hAnsi="Arial Narrow"/>
                <w:color w:val="333333"/>
                <w:sz w:val="18"/>
                <w:szCs w:val="18"/>
              </w:rPr>
            </w:pPr>
          </w:p>
        </w:tc>
        <w:tc>
          <w:tcPr>
            <w:tcW w:w="4447" w:type="pct"/>
            <w:vAlign w:val="center"/>
          </w:tcPr>
          <w:p w14:paraId="12615821" w14:textId="77777777" w:rsidR="0034504B" w:rsidRPr="002327C5" w:rsidRDefault="0034504B" w:rsidP="00762948">
            <w:pPr>
              <w:rPr>
                <w:rFonts w:ascii="Arial Narrow" w:hAnsi="Arial Narrow"/>
                <w:color w:val="333333"/>
                <w:sz w:val="18"/>
                <w:szCs w:val="18"/>
              </w:rPr>
            </w:pPr>
            <w:r w:rsidRPr="002327C5">
              <w:rPr>
                <w:rFonts w:ascii="Arial Narrow" w:hAnsi="Arial Narrow"/>
                <w:color w:val="333333"/>
                <w:sz w:val="18"/>
                <w:szCs w:val="18"/>
              </w:rPr>
              <w:t xml:space="preserve">Patient must not have already </w:t>
            </w:r>
            <w:bookmarkStart w:id="119" w:name="_Hlk172287309"/>
            <w:r w:rsidRPr="002327C5">
              <w:rPr>
                <w:rFonts w:ascii="Arial Narrow" w:hAnsi="Arial Narrow"/>
                <w:color w:val="333333"/>
                <w:sz w:val="18"/>
                <w:szCs w:val="18"/>
              </w:rPr>
              <w:t>failed, or ceased to respond to, PBS-subsidised treatment with this drug for this condition</w:t>
            </w:r>
            <w:bookmarkEnd w:id="119"/>
            <w:r w:rsidRPr="002327C5">
              <w:rPr>
                <w:rFonts w:ascii="Arial Narrow" w:hAnsi="Arial Narrow"/>
                <w:color w:val="333333"/>
                <w:sz w:val="18"/>
                <w:szCs w:val="18"/>
              </w:rPr>
              <w:t xml:space="preserve">. </w:t>
            </w:r>
          </w:p>
        </w:tc>
      </w:tr>
      <w:tr w:rsidR="0034504B" w:rsidRPr="00120A12" w14:paraId="21982CFA" w14:textId="77777777" w:rsidTr="00762948">
        <w:tc>
          <w:tcPr>
            <w:tcW w:w="553" w:type="pct"/>
            <w:vAlign w:val="center"/>
          </w:tcPr>
          <w:p w14:paraId="01FBC076"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3213184E"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AND</w:t>
            </w:r>
          </w:p>
        </w:tc>
      </w:tr>
      <w:tr w:rsidR="0034504B" w:rsidRPr="00120A12" w14:paraId="0A99BD0B" w14:textId="77777777" w:rsidTr="00762948">
        <w:tc>
          <w:tcPr>
            <w:tcW w:w="553" w:type="pct"/>
            <w:vAlign w:val="center"/>
          </w:tcPr>
          <w:p w14:paraId="21DD857F" w14:textId="5D0406F4" w:rsidR="0034504B" w:rsidRDefault="0034504B" w:rsidP="00762948">
            <w:pPr>
              <w:jc w:val="center"/>
              <w:rPr>
                <w:rFonts w:ascii="Arial Narrow" w:hAnsi="Arial Narrow"/>
                <w:color w:val="333333"/>
                <w:sz w:val="18"/>
                <w:szCs w:val="18"/>
              </w:rPr>
            </w:pPr>
          </w:p>
        </w:tc>
        <w:tc>
          <w:tcPr>
            <w:tcW w:w="4447" w:type="pct"/>
            <w:vAlign w:val="center"/>
          </w:tcPr>
          <w:p w14:paraId="4A571A53" w14:textId="77777777" w:rsidR="0034504B" w:rsidRPr="00C37351" w:rsidRDefault="0034504B" w:rsidP="00762948">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34504B" w:rsidRPr="00120A12" w14:paraId="2E92BA67" w14:textId="77777777" w:rsidTr="00762948">
        <w:tc>
          <w:tcPr>
            <w:tcW w:w="553" w:type="pct"/>
            <w:vAlign w:val="center"/>
          </w:tcPr>
          <w:p w14:paraId="46F60F22" w14:textId="7E8BB061" w:rsidR="0034504B" w:rsidRDefault="0034504B" w:rsidP="00762948">
            <w:pPr>
              <w:jc w:val="center"/>
              <w:rPr>
                <w:rFonts w:ascii="Arial Narrow" w:hAnsi="Arial Narrow"/>
                <w:color w:val="333333"/>
                <w:sz w:val="18"/>
                <w:szCs w:val="18"/>
              </w:rPr>
            </w:pPr>
          </w:p>
        </w:tc>
        <w:tc>
          <w:tcPr>
            <w:tcW w:w="4447" w:type="pct"/>
            <w:vAlign w:val="center"/>
          </w:tcPr>
          <w:p w14:paraId="68AF77C5" w14:textId="77777777" w:rsidR="0034504B" w:rsidRPr="00642A3D" w:rsidRDefault="0034504B" w:rsidP="00762948">
            <w:pPr>
              <w:rPr>
                <w:rFonts w:ascii="Arial Narrow" w:hAnsi="Arial Narrow"/>
                <w:color w:val="333333"/>
                <w:sz w:val="18"/>
                <w:szCs w:val="18"/>
              </w:rPr>
            </w:pPr>
            <w:r w:rsidRPr="00642A3D">
              <w:rPr>
                <w:rFonts w:ascii="Arial Narrow" w:hAnsi="Arial Narrow"/>
                <w:color w:val="333333"/>
                <w:sz w:val="18"/>
                <w:szCs w:val="18"/>
              </w:rPr>
              <w:t>Patient must not receive more than 14 weeks of treatment under this restriction.</w:t>
            </w:r>
          </w:p>
        </w:tc>
      </w:tr>
      <w:tr w:rsidR="0034504B" w:rsidRPr="00120A12" w14:paraId="6BAD4636" w14:textId="77777777" w:rsidTr="00762948">
        <w:tc>
          <w:tcPr>
            <w:tcW w:w="553" w:type="pct"/>
            <w:vAlign w:val="center"/>
          </w:tcPr>
          <w:p w14:paraId="4E05C23B" w14:textId="77777777" w:rsidR="0034504B" w:rsidRPr="00120A12" w:rsidRDefault="0034504B" w:rsidP="00762948">
            <w:pPr>
              <w:jc w:val="center"/>
              <w:rPr>
                <w:rFonts w:ascii="Arial Narrow" w:hAnsi="Arial Narrow"/>
                <w:color w:val="333333"/>
                <w:sz w:val="18"/>
                <w:szCs w:val="18"/>
              </w:rPr>
            </w:pPr>
          </w:p>
        </w:tc>
        <w:tc>
          <w:tcPr>
            <w:tcW w:w="4447" w:type="pct"/>
            <w:vAlign w:val="center"/>
          </w:tcPr>
          <w:p w14:paraId="4DF92FD8" w14:textId="77777777" w:rsidR="0034504B" w:rsidRPr="00120A12"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AND</w:t>
            </w:r>
          </w:p>
        </w:tc>
      </w:tr>
      <w:tr w:rsidR="0034504B" w:rsidRPr="00120A12" w14:paraId="3942DE2C" w14:textId="77777777" w:rsidTr="00762948">
        <w:tc>
          <w:tcPr>
            <w:tcW w:w="553" w:type="pct"/>
            <w:vAlign w:val="center"/>
          </w:tcPr>
          <w:p w14:paraId="716B702A" w14:textId="4FFA6F1A" w:rsidR="0034504B" w:rsidRPr="00120A12" w:rsidRDefault="0034504B" w:rsidP="00762948">
            <w:pPr>
              <w:jc w:val="center"/>
              <w:rPr>
                <w:rFonts w:ascii="Arial Narrow" w:hAnsi="Arial Narrow"/>
                <w:color w:val="333333"/>
                <w:sz w:val="18"/>
                <w:szCs w:val="18"/>
              </w:rPr>
            </w:pPr>
          </w:p>
        </w:tc>
        <w:tc>
          <w:tcPr>
            <w:tcW w:w="4447" w:type="pct"/>
            <w:vAlign w:val="center"/>
            <w:hideMark/>
          </w:tcPr>
          <w:p w14:paraId="41BAE07C" w14:textId="77777777" w:rsidR="0034504B" w:rsidRPr="00120A12" w:rsidRDefault="0034504B" w:rsidP="00762948">
            <w:pPr>
              <w:rPr>
                <w:rFonts w:ascii="Arial Narrow" w:hAnsi="Arial Narrow"/>
                <w:color w:val="333333"/>
                <w:sz w:val="18"/>
                <w:szCs w:val="18"/>
              </w:rPr>
            </w:pPr>
            <w:r>
              <w:rPr>
                <w:rFonts w:ascii="Arial Narrow" w:hAnsi="Arial Narrow"/>
                <w:b/>
                <w:bCs/>
                <w:color w:val="333333"/>
                <w:sz w:val="18"/>
                <w:szCs w:val="18"/>
              </w:rPr>
              <w:t xml:space="preserve">Treatment </w:t>
            </w:r>
            <w:r w:rsidRPr="00120A12">
              <w:rPr>
                <w:rFonts w:ascii="Arial Narrow" w:hAnsi="Arial Narrow"/>
                <w:b/>
                <w:bCs/>
                <w:color w:val="333333"/>
                <w:sz w:val="18"/>
                <w:szCs w:val="18"/>
              </w:rPr>
              <w:t>criteria:</w:t>
            </w:r>
          </w:p>
        </w:tc>
      </w:tr>
      <w:tr w:rsidR="0034504B" w:rsidRPr="00120A12" w14:paraId="3587693B" w14:textId="77777777" w:rsidTr="00762948">
        <w:tc>
          <w:tcPr>
            <w:tcW w:w="553" w:type="pct"/>
            <w:vAlign w:val="center"/>
          </w:tcPr>
          <w:p w14:paraId="70058765" w14:textId="203810B8" w:rsidR="0034504B" w:rsidRPr="00120A12" w:rsidRDefault="0034504B" w:rsidP="00762948">
            <w:pPr>
              <w:jc w:val="center"/>
              <w:rPr>
                <w:rFonts w:ascii="Arial Narrow" w:hAnsi="Arial Narrow"/>
                <w:color w:val="333333"/>
                <w:sz w:val="18"/>
                <w:szCs w:val="18"/>
              </w:rPr>
            </w:pPr>
          </w:p>
        </w:tc>
        <w:tc>
          <w:tcPr>
            <w:tcW w:w="4447" w:type="pct"/>
            <w:vAlign w:val="center"/>
            <w:hideMark/>
          </w:tcPr>
          <w:p w14:paraId="1F282A4D" w14:textId="77777777" w:rsidR="0034504B" w:rsidRPr="004A5C56" w:rsidRDefault="0034504B" w:rsidP="00762948">
            <w:pPr>
              <w:autoSpaceDE w:val="0"/>
              <w:autoSpaceDN w:val="0"/>
              <w:adjustRightInd w:val="0"/>
              <w:rPr>
                <w:rFonts w:ascii="Arial Narrow" w:hAnsi="Arial Narrow" w:cs="Arial Narrow"/>
                <w:sz w:val="18"/>
                <w:szCs w:val="18"/>
              </w:rPr>
            </w:pPr>
            <w:r w:rsidRPr="004A5C56">
              <w:rPr>
                <w:rFonts w:ascii="Arial Narrow" w:hAnsi="Arial Narrow" w:cs="Arial Narrow"/>
                <w:sz w:val="18"/>
                <w:szCs w:val="18"/>
              </w:rPr>
              <w:t>Must be treated by a gastroenterologist, OR</w:t>
            </w:r>
          </w:p>
          <w:p w14:paraId="62EB8225" w14:textId="77777777" w:rsidR="0034504B" w:rsidRPr="004A5C56" w:rsidRDefault="0034504B" w:rsidP="00762948">
            <w:pPr>
              <w:autoSpaceDE w:val="0"/>
              <w:autoSpaceDN w:val="0"/>
              <w:adjustRightInd w:val="0"/>
              <w:rPr>
                <w:rFonts w:ascii="Arial Narrow" w:hAnsi="Arial Narrow" w:cs="Arial Narrow"/>
                <w:sz w:val="18"/>
                <w:szCs w:val="18"/>
              </w:rPr>
            </w:pPr>
            <w:r w:rsidRPr="004A5C56">
              <w:rPr>
                <w:rFonts w:ascii="Arial Narrow" w:hAnsi="Arial Narrow" w:cs="Arial Narrow"/>
                <w:sz w:val="18"/>
                <w:szCs w:val="18"/>
              </w:rPr>
              <w:t xml:space="preserve">Must be treated by a consultant physician [internal medicine specialising in </w:t>
            </w:r>
            <w:r w:rsidRPr="00105437">
              <w:rPr>
                <w:rFonts w:ascii="Arial Narrow" w:hAnsi="Arial Narrow" w:cs="Arial Narrow"/>
                <w:sz w:val="18"/>
                <w:szCs w:val="18"/>
              </w:rPr>
              <w:t xml:space="preserve">gastroenterology </w:t>
            </w:r>
            <w:r w:rsidRPr="00A768E7">
              <w:rPr>
                <w:rFonts w:ascii="Arial Narrow" w:hAnsi="Arial Narrow" w:cs="Arial Narrow"/>
                <w:sz w:val="18"/>
                <w:szCs w:val="18"/>
              </w:rPr>
              <w:t>(code 81)</w:t>
            </w:r>
            <w:r w:rsidRPr="00105437">
              <w:rPr>
                <w:rFonts w:ascii="Arial Narrow" w:hAnsi="Arial Narrow" w:cs="Arial Narrow"/>
                <w:sz w:val="18"/>
                <w:szCs w:val="18"/>
              </w:rPr>
              <w:t>];</w:t>
            </w:r>
            <w:r w:rsidRPr="004A5C56">
              <w:rPr>
                <w:rFonts w:ascii="Arial Narrow" w:hAnsi="Arial Narrow" w:cs="Arial Narrow"/>
                <w:sz w:val="18"/>
                <w:szCs w:val="18"/>
              </w:rPr>
              <w:t xml:space="preserve"> OR</w:t>
            </w:r>
          </w:p>
          <w:p w14:paraId="7FECABCA" w14:textId="77777777" w:rsidR="0034504B" w:rsidRPr="00120A12" w:rsidRDefault="0034504B" w:rsidP="00762948">
            <w:pPr>
              <w:autoSpaceDE w:val="0"/>
              <w:autoSpaceDN w:val="0"/>
              <w:adjustRightInd w:val="0"/>
              <w:rPr>
                <w:rFonts w:ascii="Arial Narrow" w:hAnsi="Arial Narrow" w:cs="Arial Narrow"/>
                <w:i/>
                <w:iCs/>
                <w:sz w:val="20"/>
                <w:szCs w:val="20"/>
              </w:rPr>
            </w:pPr>
            <w:r w:rsidRPr="004A5C56">
              <w:rPr>
                <w:rFonts w:ascii="Arial Narrow" w:hAnsi="Arial Narrow" w:cs="Arial Narrow"/>
                <w:sz w:val="18"/>
                <w:szCs w:val="18"/>
              </w:rPr>
              <w:t>Must be treated by a consultant physician [general medicine specialising in gastroenterology</w:t>
            </w:r>
            <w:r>
              <w:rPr>
                <w:rFonts w:ascii="Arial Narrow" w:hAnsi="Arial Narrow" w:cs="Arial Narrow"/>
                <w:sz w:val="18"/>
                <w:szCs w:val="18"/>
              </w:rPr>
              <w:t xml:space="preserve"> </w:t>
            </w:r>
            <w:r w:rsidRPr="00A768E7">
              <w:rPr>
                <w:rFonts w:ascii="Arial Narrow" w:hAnsi="Arial Narrow" w:cs="Arial Narrow"/>
                <w:sz w:val="18"/>
                <w:szCs w:val="18"/>
              </w:rPr>
              <w:t>(code 82)</w:t>
            </w:r>
            <w:r w:rsidRPr="00105437">
              <w:rPr>
                <w:rFonts w:ascii="Arial Narrow" w:hAnsi="Arial Narrow" w:cs="Arial Narrow"/>
                <w:sz w:val="18"/>
                <w:szCs w:val="18"/>
              </w:rPr>
              <w:t>].</w:t>
            </w:r>
          </w:p>
        </w:tc>
      </w:tr>
      <w:tr w:rsidR="00ED24EE" w:rsidRPr="00120A12" w14:paraId="50363489" w14:textId="77777777" w:rsidTr="000319AC">
        <w:tc>
          <w:tcPr>
            <w:tcW w:w="553" w:type="pct"/>
            <w:vAlign w:val="center"/>
          </w:tcPr>
          <w:p w14:paraId="11362E8D" w14:textId="77777777" w:rsidR="00ED24EE" w:rsidRDefault="00ED24EE" w:rsidP="00ED24EE">
            <w:pPr>
              <w:jc w:val="center"/>
              <w:rPr>
                <w:rFonts w:ascii="Arial Narrow" w:hAnsi="Arial Narrow"/>
                <w:color w:val="333333"/>
                <w:sz w:val="18"/>
                <w:szCs w:val="18"/>
              </w:rPr>
            </w:pPr>
          </w:p>
        </w:tc>
        <w:tc>
          <w:tcPr>
            <w:tcW w:w="4447" w:type="pct"/>
            <w:vAlign w:val="center"/>
          </w:tcPr>
          <w:p w14:paraId="66A482AE" w14:textId="0E0872D7" w:rsidR="00ED24EE" w:rsidRPr="004A5C56" w:rsidRDefault="00ED24EE" w:rsidP="00ED24EE">
            <w:pPr>
              <w:autoSpaceDE w:val="0"/>
              <w:autoSpaceDN w:val="0"/>
              <w:adjustRightInd w:val="0"/>
              <w:rPr>
                <w:rFonts w:ascii="Arial Narrow" w:hAnsi="Arial Narrow" w:cs="Arial Narrow"/>
                <w:sz w:val="18"/>
                <w:szCs w:val="18"/>
              </w:rPr>
            </w:pPr>
            <w:r w:rsidRPr="00120A12">
              <w:rPr>
                <w:rFonts w:ascii="Arial Narrow" w:hAnsi="Arial Narrow"/>
                <w:b/>
                <w:bCs/>
                <w:color w:val="333333"/>
                <w:sz w:val="18"/>
                <w:szCs w:val="18"/>
              </w:rPr>
              <w:t>AND</w:t>
            </w:r>
          </w:p>
        </w:tc>
      </w:tr>
      <w:tr w:rsidR="00ED24EE" w:rsidRPr="00120A12" w14:paraId="5CD2370A" w14:textId="77777777" w:rsidTr="00762948">
        <w:tc>
          <w:tcPr>
            <w:tcW w:w="553" w:type="pct"/>
            <w:vAlign w:val="center"/>
          </w:tcPr>
          <w:p w14:paraId="1024240F" w14:textId="21E6224F" w:rsidR="00ED24EE" w:rsidRDefault="00ED24EE" w:rsidP="00ED24EE">
            <w:pPr>
              <w:jc w:val="center"/>
              <w:rPr>
                <w:rFonts w:ascii="Arial Narrow" w:hAnsi="Arial Narrow"/>
                <w:color w:val="333333"/>
                <w:sz w:val="18"/>
                <w:szCs w:val="18"/>
              </w:rPr>
            </w:pPr>
          </w:p>
        </w:tc>
        <w:tc>
          <w:tcPr>
            <w:tcW w:w="4447" w:type="pct"/>
            <w:vAlign w:val="center"/>
          </w:tcPr>
          <w:p w14:paraId="5587FBC2" w14:textId="7635CEDF" w:rsidR="00ED24EE" w:rsidRPr="004A5C56" w:rsidRDefault="00ED24EE" w:rsidP="00ED24EE">
            <w:pPr>
              <w:autoSpaceDE w:val="0"/>
              <w:autoSpaceDN w:val="0"/>
              <w:adjustRightInd w:val="0"/>
              <w:rPr>
                <w:rFonts w:ascii="Arial Narrow" w:hAnsi="Arial Narrow" w:cs="Arial Narrow"/>
                <w:sz w:val="18"/>
                <w:szCs w:val="18"/>
              </w:rPr>
            </w:pPr>
            <w:r w:rsidRPr="00120A12">
              <w:rPr>
                <w:rFonts w:ascii="Arial Narrow" w:hAnsi="Arial Narrow"/>
                <w:b/>
                <w:bCs/>
                <w:color w:val="333333"/>
                <w:sz w:val="18"/>
                <w:szCs w:val="18"/>
              </w:rPr>
              <w:t>Clinical criteria:</w:t>
            </w:r>
            <w:r>
              <w:rPr>
                <w:rFonts w:ascii="Arial Narrow" w:hAnsi="Arial Narrow"/>
                <w:b/>
                <w:bCs/>
                <w:color w:val="333333"/>
                <w:sz w:val="18"/>
                <w:szCs w:val="18"/>
              </w:rPr>
              <w:t xml:space="preserve"> </w:t>
            </w:r>
          </w:p>
        </w:tc>
      </w:tr>
      <w:tr w:rsidR="00ED24EE" w:rsidRPr="00120A12" w14:paraId="221CEFB1" w14:textId="77777777" w:rsidTr="00762948">
        <w:tc>
          <w:tcPr>
            <w:tcW w:w="553" w:type="pct"/>
            <w:vAlign w:val="center"/>
          </w:tcPr>
          <w:p w14:paraId="5FEDADDB" w14:textId="77777777" w:rsidR="00ED24EE" w:rsidRDefault="00ED24EE" w:rsidP="00ED24EE">
            <w:pPr>
              <w:jc w:val="center"/>
              <w:rPr>
                <w:rFonts w:ascii="Arial Narrow" w:hAnsi="Arial Narrow"/>
                <w:color w:val="333333"/>
                <w:sz w:val="18"/>
                <w:szCs w:val="18"/>
              </w:rPr>
            </w:pPr>
          </w:p>
        </w:tc>
        <w:tc>
          <w:tcPr>
            <w:tcW w:w="4447" w:type="pct"/>
            <w:vAlign w:val="center"/>
          </w:tcPr>
          <w:p w14:paraId="3C339662" w14:textId="1AD524F8" w:rsidR="00ED24EE" w:rsidRPr="004A5C56" w:rsidRDefault="00ED24EE" w:rsidP="00ED24EE">
            <w:pPr>
              <w:autoSpaceDE w:val="0"/>
              <w:autoSpaceDN w:val="0"/>
              <w:adjustRightInd w:val="0"/>
              <w:rPr>
                <w:rFonts w:ascii="Arial Narrow" w:hAnsi="Arial Narrow" w:cs="Arial Narrow"/>
                <w:sz w:val="18"/>
                <w:szCs w:val="18"/>
              </w:rPr>
            </w:pPr>
            <w:r w:rsidRPr="004C4D01">
              <w:rPr>
                <w:rFonts w:ascii="Arial Narrow" w:hAnsi="Arial Narrow"/>
                <w:color w:val="333333"/>
                <w:sz w:val="18"/>
                <w:szCs w:val="18"/>
              </w:rPr>
              <w:t>The treatment must be initiated in combination with standard of care antibiotic</w:t>
            </w:r>
          </w:p>
        </w:tc>
      </w:tr>
      <w:tr w:rsidR="0034504B" w:rsidRPr="00120A12" w14:paraId="3665C3DD" w14:textId="77777777" w:rsidTr="00D30EB5">
        <w:tc>
          <w:tcPr>
            <w:tcW w:w="553" w:type="pct"/>
            <w:vAlign w:val="center"/>
          </w:tcPr>
          <w:p w14:paraId="224F8EBA"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61232E24"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r>
              <w:rPr>
                <w:rFonts w:ascii="Arial Narrow" w:hAnsi="Arial Narrow"/>
                <w:bCs/>
                <w:i/>
                <w:iCs/>
                <w:color w:val="333333"/>
                <w:sz w:val="18"/>
                <w:szCs w:val="18"/>
              </w:rPr>
              <w:t>The assessment of a patient’s response to this initial course of treatment must be made after the third dose of vedolizumab so there is adequate time for a response to be demonstrated. The assessment must be made prior to obtaining a PBS authority for continuing treatment from the dose at week 14.</w:t>
            </w:r>
          </w:p>
          <w:p w14:paraId="1DADFA3D" w14:textId="77777777" w:rsidR="0034504B" w:rsidRPr="00120A12" w:rsidRDefault="0034504B" w:rsidP="00762948">
            <w:pPr>
              <w:rPr>
                <w:rFonts w:ascii="Arial Narrow" w:hAnsi="Arial Narrow"/>
                <w:color w:val="333333"/>
                <w:sz w:val="18"/>
                <w:szCs w:val="18"/>
              </w:rPr>
            </w:pPr>
          </w:p>
        </w:tc>
      </w:tr>
      <w:tr w:rsidR="0034504B" w:rsidRPr="00120A12" w14:paraId="4A5F8AD4" w14:textId="77777777" w:rsidTr="00762948">
        <w:tc>
          <w:tcPr>
            <w:tcW w:w="553" w:type="pct"/>
            <w:vAlign w:val="center"/>
          </w:tcPr>
          <w:p w14:paraId="7917B69F" w14:textId="7F26CBC2" w:rsidR="0034504B" w:rsidRDefault="0034504B" w:rsidP="00762948">
            <w:pPr>
              <w:jc w:val="center"/>
              <w:rPr>
                <w:rFonts w:ascii="Arial Narrow" w:hAnsi="Arial Narrow"/>
                <w:color w:val="333333"/>
                <w:sz w:val="18"/>
                <w:szCs w:val="18"/>
              </w:rPr>
            </w:pPr>
          </w:p>
        </w:tc>
        <w:tc>
          <w:tcPr>
            <w:tcW w:w="4447" w:type="pct"/>
            <w:vAlign w:val="center"/>
          </w:tcPr>
          <w:p w14:paraId="1DC5DA97" w14:textId="77777777" w:rsidR="0034504B" w:rsidRPr="00554900" w:rsidRDefault="0034504B" w:rsidP="00762948">
            <w:pPr>
              <w:rPr>
                <w:rFonts w:ascii="Arial Narrow" w:hAnsi="Arial Narrow"/>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r w:rsidRPr="003B2832">
              <w:rPr>
                <w:rFonts w:ascii="Arial Narrow" w:hAnsi="Arial Narrow"/>
                <w:i/>
                <w:iCs/>
                <w:color w:val="333333"/>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4504B" w:rsidRPr="00120A12" w14:paraId="01C8D3C1" w14:textId="77777777" w:rsidTr="00762948">
        <w:tc>
          <w:tcPr>
            <w:tcW w:w="553" w:type="pct"/>
            <w:vAlign w:val="center"/>
          </w:tcPr>
          <w:p w14:paraId="4E5DB4CA" w14:textId="27EE20AF" w:rsidR="00C93979" w:rsidRDefault="00C93979" w:rsidP="00762948">
            <w:pPr>
              <w:jc w:val="center"/>
              <w:rPr>
                <w:rFonts w:ascii="Arial Narrow" w:hAnsi="Arial Narrow"/>
                <w:color w:val="333333"/>
                <w:sz w:val="18"/>
                <w:szCs w:val="18"/>
              </w:rPr>
            </w:pPr>
          </w:p>
        </w:tc>
        <w:tc>
          <w:tcPr>
            <w:tcW w:w="4447" w:type="pct"/>
            <w:vAlign w:val="center"/>
          </w:tcPr>
          <w:p w14:paraId="7BED980C" w14:textId="77777777" w:rsidR="0034504B"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64EF0F6D" w14:textId="77777777" w:rsidR="0034504B" w:rsidRPr="0001576E" w:rsidRDefault="0034504B" w:rsidP="00762948">
            <w:pPr>
              <w:rPr>
                <w:rFonts w:ascii="Arial Narrow" w:hAnsi="Arial Narrow"/>
                <w:bCs/>
                <w:color w:val="333333"/>
                <w:sz w:val="18"/>
                <w:szCs w:val="18"/>
              </w:rPr>
            </w:pPr>
            <w:r w:rsidRPr="0001576E">
              <w:rPr>
                <w:rFonts w:ascii="Arial Narrow" w:hAnsi="Arial Narrow"/>
                <w:bCs/>
                <w:color w:val="333333"/>
                <w:sz w:val="18"/>
                <w:szCs w:val="18"/>
              </w:rPr>
              <w:t>Application for authorisation of initial treatment must be in writing and must include:</w:t>
            </w:r>
          </w:p>
          <w:p w14:paraId="422FA73B" w14:textId="77777777" w:rsidR="0034504B" w:rsidRPr="0001576E" w:rsidRDefault="0034504B" w:rsidP="00762948">
            <w:pPr>
              <w:rPr>
                <w:rFonts w:ascii="Arial Narrow" w:hAnsi="Arial Narrow"/>
                <w:bCs/>
                <w:color w:val="333333"/>
                <w:sz w:val="18"/>
                <w:szCs w:val="18"/>
              </w:rPr>
            </w:pPr>
            <w:r w:rsidRPr="0001576E">
              <w:rPr>
                <w:rFonts w:ascii="Arial Narrow" w:hAnsi="Arial Narrow"/>
                <w:bCs/>
                <w:color w:val="333333"/>
                <w:sz w:val="18"/>
                <w:szCs w:val="18"/>
              </w:rPr>
              <w:t xml:space="preserve">(a) </w:t>
            </w:r>
            <w:r>
              <w:rPr>
                <w:rFonts w:ascii="Arial Narrow" w:hAnsi="Arial Narrow"/>
                <w:bCs/>
                <w:color w:val="333333"/>
                <w:sz w:val="18"/>
                <w:szCs w:val="18"/>
              </w:rPr>
              <w:t>details of the proposed prescription</w:t>
            </w:r>
            <w:r w:rsidRPr="0001576E">
              <w:rPr>
                <w:rFonts w:ascii="Arial Narrow" w:hAnsi="Arial Narrow"/>
                <w:bCs/>
                <w:color w:val="333333"/>
                <w:sz w:val="18"/>
                <w:szCs w:val="18"/>
              </w:rPr>
              <w:t>; and</w:t>
            </w:r>
          </w:p>
          <w:p w14:paraId="392F6C15" w14:textId="77777777" w:rsidR="0034504B" w:rsidRPr="0001576E" w:rsidRDefault="0034504B" w:rsidP="00762948">
            <w:pPr>
              <w:rPr>
                <w:rFonts w:ascii="Arial Narrow" w:hAnsi="Arial Narrow"/>
                <w:bCs/>
                <w:color w:val="333333"/>
                <w:sz w:val="18"/>
                <w:szCs w:val="18"/>
              </w:rPr>
            </w:pPr>
            <w:r w:rsidRPr="0001576E">
              <w:rPr>
                <w:rFonts w:ascii="Arial Narrow" w:hAnsi="Arial Narrow"/>
                <w:bCs/>
                <w:color w:val="333333"/>
                <w:sz w:val="18"/>
                <w:szCs w:val="18"/>
              </w:rPr>
              <w:t>(b) a completed</w:t>
            </w:r>
            <w:r>
              <w:rPr>
                <w:rFonts w:ascii="Arial Narrow" w:hAnsi="Arial Narrow"/>
                <w:bCs/>
                <w:color w:val="333333"/>
                <w:sz w:val="18"/>
                <w:szCs w:val="18"/>
              </w:rPr>
              <w:t xml:space="preserve"> </w:t>
            </w:r>
            <w:r w:rsidRPr="00554900">
              <w:rPr>
                <w:rFonts w:ascii="Arial Narrow" w:hAnsi="Arial Narrow"/>
                <w:bCs/>
                <w:color w:val="333333"/>
                <w:sz w:val="18"/>
                <w:szCs w:val="18"/>
              </w:rPr>
              <w:t>authority application form relevant to the indication and treatment phase (the latest version is located on the website specified in the Administrative Advice)</w:t>
            </w:r>
            <w:r w:rsidRPr="0001576E">
              <w:rPr>
                <w:rFonts w:ascii="Arial Narrow" w:hAnsi="Arial Narrow"/>
                <w:bCs/>
                <w:color w:val="333333"/>
                <w:sz w:val="18"/>
                <w:szCs w:val="18"/>
              </w:rPr>
              <w:t xml:space="preserve"> which includes the following:</w:t>
            </w:r>
          </w:p>
          <w:p w14:paraId="6B523FD0" w14:textId="77777777" w:rsidR="0034504B" w:rsidRPr="0001576E" w:rsidRDefault="0034504B" w:rsidP="00762948">
            <w:pPr>
              <w:rPr>
                <w:rFonts w:ascii="Arial Narrow" w:hAnsi="Arial Narrow"/>
                <w:bCs/>
                <w:color w:val="333333"/>
                <w:sz w:val="18"/>
                <w:szCs w:val="18"/>
              </w:rPr>
            </w:pPr>
            <w:r w:rsidRPr="0001576E">
              <w:rPr>
                <w:rFonts w:ascii="Arial Narrow" w:hAnsi="Arial Narrow"/>
                <w:bCs/>
                <w:color w:val="333333"/>
                <w:sz w:val="18"/>
                <w:szCs w:val="18"/>
              </w:rPr>
              <w:t xml:space="preserve">(i) </w:t>
            </w:r>
            <w:r>
              <w:rPr>
                <w:rFonts w:ascii="Arial Narrow" w:hAnsi="Arial Narrow"/>
                <w:bCs/>
                <w:i/>
                <w:iCs/>
                <w:color w:val="333333"/>
                <w:sz w:val="18"/>
                <w:szCs w:val="18"/>
              </w:rPr>
              <w:t xml:space="preserve">The patient’s baseline Modified Pouchitis Disease Activity Index (mPDAI) score and minimum </w:t>
            </w:r>
            <w:r w:rsidRPr="00B50CAE">
              <w:rPr>
                <w:rFonts w:ascii="Arial Narrow" w:hAnsi="Arial Narrow"/>
                <w:i/>
                <w:iCs/>
                <w:color w:val="333333"/>
                <w:sz w:val="18"/>
                <w:szCs w:val="18"/>
              </w:rPr>
              <w:t>endoscopic mPDAI sub-score</w:t>
            </w:r>
            <w:r>
              <w:rPr>
                <w:rFonts w:ascii="Arial Narrow" w:hAnsi="Arial Narrow"/>
                <w:bCs/>
                <w:i/>
                <w:iCs/>
                <w:color w:val="333333"/>
                <w:sz w:val="18"/>
                <w:szCs w:val="18"/>
              </w:rPr>
              <w:t xml:space="preserve">; </w:t>
            </w:r>
            <w:r w:rsidRPr="0001576E">
              <w:rPr>
                <w:rFonts w:ascii="Arial Narrow" w:hAnsi="Arial Narrow"/>
                <w:bCs/>
                <w:color w:val="333333"/>
                <w:sz w:val="18"/>
                <w:szCs w:val="18"/>
              </w:rPr>
              <w:t>and</w:t>
            </w:r>
          </w:p>
          <w:p w14:paraId="4D66F4C4" w14:textId="5BEA765A" w:rsidR="0034504B" w:rsidRPr="00554900" w:rsidRDefault="0034504B" w:rsidP="00762948">
            <w:pPr>
              <w:rPr>
                <w:rFonts w:ascii="Arial Narrow" w:hAnsi="Arial Narrow"/>
                <w:bCs/>
                <w:color w:val="333333"/>
                <w:sz w:val="18"/>
                <w:szCs w:val="18"/>
              </w:rPr>
            </w:pPr>
            <w:r w:rsidRPr="0001576E">
              <w:rPr>
                <w:rFonts w:ascii="Arial Narrow" w:hAnsi="Arial Narrow"/>
                <w:bCs/>
                <w:color w:val="333333"/>
                <w:sz w:val="18"/>
                <w:szCs w:val="18"/>
              </w:rPr>
              <w:t xml:space="preserve">(ii) details of prior </w:t>
            </w:r>
            <w:r>
              <w:rPr>
                <w:rFonts w:ascii="Arial Narrow" w:hAnsi="Arial Narrow"/>
                <w:bCs/>
                <w:color w:val="333333"/>
                <w:sz w:val="18"/>
                <w:szCs w:val="18"/>
              </w:rPr>
              <w:t>biological medicine</w:t>
            </w:r>
            <w:r w:rsidRPr="0001576E">
              <w:rPr>
                <w:rFonts w:ascii="Arial Narrow" w:hAnsi="Arial Narrow"/>
                <w:bCs/>
                <w:color w:val="333333"/>
                <w:sz w:val="18"/>
                <w:szCs w:val="18"/>
              </w:rPr>
              <w:t xml:space="preserve"> therapy for th</w:t>
            </w:r>
            <w:r>
              <w:rPr>
                <w:rFonts w:ascii="Arial Narrow" w:hAnsi="Arial Narrow"/>
                <w:bCs/>
                <w:color w:val="333333"/>
                <w:sz w:val="18"/>
                <w:szCs w:val="18"/>
              </w:rPr>
              <w:t>is</w:t>
            </w:r>
            <w:r w:rsidRPr="0001576E">
              <w:rPr>
                <w:rFonts w:ascii="Arial Narrow" w:hAnsi="Arial Narrow"/>
                <w:bCs/>
                <w:color w:val="333333"/>
                <w:sz w:val="18"/>
                <w:szCs w:val="18"/>
              </w:rPr>
              <w:t xml:space="preserve"> condition</w:t>
            </w:r>
            <w:r w:rsidR="00C93979">
              <w:rPr>
                <w:rFonts w:ascii="Arial Narrow" w:hAnsi="Arial Narrow"/>
                <w:bCs/>
                <w:color w:val="333333"/>
                <w:sz w:val="18"/>
                <w:szCs w:val="18"/>
              </w:rPr>
              <w:t>, [</w:t>
            </w:r>
            <w:r w:rsidR="00C93979" w:rsidRPr="0001576E">
              <w:rPr>
                <w:rFonts w:ascii="Arial Narrow" w:hAnsi="Arial Narrow"/>
                <w:bCs/>
                <w:color w:val="333333"/>
                <w:sz w:val="18"/>
                <w:szCs w:val="18"/>
              </w:rPr>
              <w:t>date of commencement and duration of therapy</w:t>
            </w:r>
            <w:r w:rsidR="00C93979">
              <w:rPr>
                <w:rFonts w:ascii="Arial Narrow" w:hAnsi="Arial Narrow"/>
                <w:bCs/>
                <w:color w:val="333333"/>
                <w:sz w:val="18"/>
                <w:szCs w:val="18"/>
              </w:rPr>
              <w:t>]</w:t>
            </w:r>
            <w:r w:rsidRPr="0001576E">
              <w:rPr>
                <w:rFonts w:ascii="Arial Narrow" w:hAnsi="Arial Narrow"/>
                <w:bCs/>
                <w:color w:val="333333"/>
                <w:sz w:val="18"/>
                <w:szCs w:val="18"/>
              </w:rPr>
              <w:t xml:space="preserve"> </w:t>
            </w:r>
          </w:p>
        </w:tc>
      </w:tr>
      <w:tr w:rsidR="0034504B" w:rsidRPr="00120A12" w14:paraId="66E462AC" w14:textId="77777777" w:rsidTr="00762948">
        <w:tc>
          <w:tcPr>
            <w:tcW w:w="553" w:type="pct"/>
            <w:vAlign w:val="center"/>
          </w:tcPr>
          <w:p w14:paraId="107050B5" w14:textId="7568A7F2" w:rsidR="0034504B" w:rsidRDefault="0034504B" w:rsidP="00762948">
            <w:pPr>
              <w:jc w:val="center"/>
              <w:rPr>
                <w:rFonts w:ascii="Arial Narrow" w:hAnsi="Arial Narrow"/>
                <w:color w:val="333333"/>
                <w:sz w:val="18"/>
                <w:szCs w:val="18"/>
              </w:rPr>
            </w:pPr>
          </w:p>
        </w:tc>
        <w:tc>
          <w:tcPr>
            <w:tcW w:w="4447" w:type="pct"/>
            <w:vAlign w:val="center"/>
          </w:tcPr>
          <w:p w14:paraId="3FD4EF12" w14:textId="77777777" w:rsidR="0034504B" w:rsidRPr="00887757" w:rsidRDefault="0034504B" w:rsidP="00762948">
            <w:pPr>
              <w:rPr>
                <w:rFonts w:ascii="Arial Narrow" w:hAnsi="Arial Narrow"/>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r w:rsidRPr="00887757">
              <w:rPr>
                <w:rFonts w:ascii="Arial Narrow" w:hAnsi="Arial Narrow"/>
                <w:bCs/>
                <w:color w:val="333333"/>
                <w:sz w:val="18"/>
                <w:szCs w:val="18"/>
              </w:rPr>
              <w:t>The endoscopic assessment contributing to the Modified Pouchitis Disease Activity Index score to confirm the patient’s condition at baseline must have been performed no more than 4 weeks prior to the application.</w:t>
            </w:r>
          </w:p>
        </w:tc>
      </w:tr>
      <w:tr w:rsidR="0034504B" w:rsidRPr="00120A12" w14:paraId="7439596D" w14:textId="77777777" w:rsidTr="00762948">
        <w:tc>
          <w:tcPr>
            <w:tcW w:w="553" w:type="pct"/>
            <w:vAlign w:val="center"/>
          </w:tcPr>
          <w:p w14:paraId="62AA5838" w14:textId="4AFFEEF7" w:rsidR="0034504B" w:rsidRDefault="0034504B" w:rsidP="00762948">
            <w:pPr>
              <w:jc w:val="center"/>
              <w:rPr>
                <w:rFonts w:ascii="Arial Narrow" w:hAnsi="Arial Narrow"/>
                <w:color w:val="333333"/>
                <w:sz w:val="18"/>
                <w:szCs w:val="18"/>
              </w:rPr>
            </w:pPr>
          </w:p>
        </w:tc>
        <w:tc>
          <w:tcPr>
            <w:tcW w:w="4447" w:type="pct"/>
            <w:vAlign w:val="center"/>
          </w:tcPr>
          <w:p w14:paraId="3C074039" w14:textId="77777777" w:rsidR="0034504B" w:rsidRPr="00887757" w:rsidRDefault="0034504B" w:rsidP="00762948">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r w:rsidRPr="00887757">
              <w:rPr>
                <w:rFonts w:ascii="Arial Narrow" w:hAnsi="Arial Narrow"/>
                <w:bCs/>
                <w:color w:val="333333"/>
                <w:sz w:val="18"/>
                <w:szCs w:val="18"/>
              </w:rPr>
              <w:t>Applications for treatment of this condition must be received within 4 weeks of the endoscopy to confirm diagnosis</w:t>
            </w:r>
            <w:r>
              <w:rPr>
                <w:rFonts w:ascii="Arial Narrow" w:hAnsi="Arial Narrow"/>
                <w:bCs/>
                <w:color w:val="333333"/>
                <w:sz w:val="18"/>
                <w:szCs w:val="18"/>
              </w:rPr>
              <w:t>. The p</w:t>
            </w:r>
            <w:r w:rsidRPr="00887757">
              <w:rPr>
                <w:rFonts w:ascii="Arial Narrow" w:hAnsi="Arial Narrow"/>
                <w:bCs/>
                <w:color w:val="333333"/>
                <w:sz w:val="18"/>
                <w:szCs w:val="18"/>
              </w:rPr>
              <w:t>rescriber must exclude secondary causes of pouchitis, for example:</w:t>
            </w:r>
          </w:p>
          <w:p w14:paraId="7D37A96A" w14:textId="77777777" w:rsidR="0034504B" w:rsidRPr="0041175D" w:rsidRDefault="0034504B" w:rsidP="0034504B">
            <w:pPr>
              <w:pStyle w:val="ListParagraph"/>
              <w:numPr>
                <w:ilvl w:val="0"/>
                <w:numId w:val="25"/>
              </w:numPr>
              <w:spacing w:after="0"/>
              <w:contextualSpacing/>
              <w:jc w:val="left"/>
              <w:rPr>
                <w:rFonts w:ascii="Arial Narrow" w:hAnsi="Arial Narrow"/>
                <w:bCs/>
                <w:color w:val="333333"/>
                <w:sz w:val="18"/>
                <w:szCs w:val="18"/>
              </w:rPr>
            </w:pPr>
            <w:r w:rsidRPr="0041175D">
              <w:rPr>
                <w:rFonts w:ascii="Arial Narrow" w:hAnsi="Arial Narrow"/>
                <w:bCs/>
                <w:color w:val="333333"/>
                <w:sz w:val="18"/>
                <w:szCs w:val="18"/>
              </w:rPr>
              <w:t>Ischaemia</w:t>
            </w:r>
          </w:p>
          <w:p w14:paraId="5B6B3820" w14:textId="77777777" w:rsidR="0034504B" w:rsidRPr="0041175D" w:rsidRDefault="0034504B" w:rsidP="0034504B">
            <w:pPr>
              <w:pStyle w:val="ListParagraph"/>
              <w:numPr>
                <w:ilvl w:val="0"/>
                <w:numId w:val="25"/>
              </w:numPr>
              <w:spacing w:after="0"/>
              <w:contextualSpacing/>
              <w:jc w:val="left"/>
              <w:rPr>
                <w:rFonts w:ascii="Arial Narrow" w:hAnsi="Arial Narrow"/>
                <w:bCs/>
                <w:color w:val="333333"/>
                <w:sz w:val="18"/>
                <w:szCs w:val="18"/>
              </w:rPr>
            </w:pPr>
            <w:r w:rsidRPr="0041175D">
              <w:rPr>
                <w:rFonts w:ascii="Arial Narrow" w:hAnsi="Arial Narrow"/>
                <w:bCs/>
                <w:color w:val="333333"/>
                <w:sz w:val="18"/>
                <w:szCs w:val="18"/>
              </w:rPr>
              <w:t>Crohn’s disease (CD) or CD of the pouch</w:t>
            </w:r>
          </w:p>
          <w:p w14:paraId="3B54FDC4" w14:textId="77777777" w:rsidR="0034504B" w:rsidRPr="0041175D" w:rsidRDefault="0034504B" w:rsidP="0034504B">
            <w:pPr>
              <w:pStyle w:val="ListParagraph"/>
              <w:numPr>
                <w:ilvl w:val="0"/>
                <w:numId w:val="25"/>
              </w:numPr>
              <w:spacing w:after="0"/>
              <w:contextualSpacing/>
              <w:jc w:val="left"/>
              <w:rPr>
                <w:rFonts w:ascii="Arial Narrow" w:hAnsi="Arial Narrow"/>
                <w:bCs/>
                <w:color w:val="333333"/>
                <w:sz w:val="18"/>
                <w:szCs w:val="18"/>
              </w:rPr>
            </w:pPr>
            <w:r w:rsidRPr="0041175D">
              <w:rPr>
                <w:rFonts w:ascii="Arial Narrow" w:hAnsi="Arial Narrow"/>
                <w:bCs/>
                <w:color w:val="333333"/>
                <w:sz w:val="18"/>
                <w:szCs w:val="18"/>
              </w:rPr>
              <w:t>Irritable pouch syndrome</w:t>
            </w:r>
          </w:p>
          <w:p w14:paraId="46980F63" w14:textId="77777777" w:rsidR="0034504B" w:rsidRPr="0041175D" w:rsidRDefault="0034504B" w:rsidP="0034504B">
            <w:pPr>
              <w:pStyle w:val="ListParagraph"/>
              <w:numPr>
                <w:ilvl w:val="0"/>
                <w:numId w:val="25"/>
              </w:numPr>
              <w:spacing w:after="0"/>
              <w:contextualSpacing/>
              <w:jc w:val="left"/>
              <w:rPr>
                <w:rFonts w:ascii="Arial Narrow" w:hAnsi="Arial Narrow"/>
                <w:bCs/>
                <w:color w:val="333333"/>
                <w:sz w:val="18"/>
                <w:szCs w:val="18"/>
              </w:rPr>
            </w:pPr>
            <w:r w:rsidRPr="0041175D">
              <w:rPr>
                <w:rFonts w:ascii="Arial Narrow" w:hAnsi="Arial Narrow"/>
                <w:bCs/>
                <w:color w:val="333333"/>
                <w:sz w:val="18"/>
                <w:szCs w:val="18"/>
              </w:rPr>
              <w:t>Predominant cuffitis</w:t>
            </w:r>
          </w:p>
          <w:p w14:paraId="529311DF" w14:textId="77777777" w:rsidR="0034504B" w:rsidRPr="0041175D" w:rsidRDefault="0034504B" w:rsidP="0034504B">
            <w:pPr>
              <w:pStyle w:val="ListParagraph"/>
              <w:numPr>
                <w:ilvl w:val="0"/>
                <w:numId w:val="25"/>
              </w:numPr>
              <w:spacing w:after="0"/>
              <w:contextualSpacing/>
              <w:jc w:val="left"/>
              <w:rPr>
                <w:rFonts w:ascii="Arial Narrow" w:hAnsi="Arial Narrow"/>
                <w:bCs/>
                <w:color w:val="333333"/>
                <w:sz w:val="18"/>
                <w:szCs w:val="18"/>
              </w:rPr>
            </w:pPr>
            <w:r w:rsidRPr="0041175D">
              <w:rPr>
                <w:rFonts w:ascii="Arial Narrow" w:hAnsi="Arial Narrow"/>
                <w:bCs/>
                <w:color w:val="333333"/>
                <w:sz w:val="18"/>
                <w:szCs w:val="18"/>
              </w:rPr>
              <w:t>Pouch stricture or pouch fistula</w:t>
            </w:r>
          </w:p>
          <w:p w14:paraId="6F2167BC" w14:textId="77777777" w:rsidR="0034504B" w:rsidRPr="0041175D" w:rsidRDefault="0034504B" w:rsidP="0034504B">
            <w:pPr>
              <w:pStyle w:val="ListParagraph"/>
              <w:numPr>
                <w:ilvl w:val="0"/>
                <w:numId w:val="25"/>
              </w:numPr>
              <w:spacing w:after="0"/>
              <w:contextualSpacing/>
              <w:jc w:val="left"/>
              <w:rPr>
                <w:rFonts w:ascii="Arial Narrow" w:hAnsi="Arial Narrow"/>
                <w:bCs/>
                <w:color w:val="333333"/>
                <w:sz w:val="18"/>
                <w:szCs w:val="18"/>
              </w:rPr>
            </w:pPr>
            <w:r w:rsidRPr="0041175D">
              <w:rPr>
                <w:rFonts w:ascii="Arial Narrow" w:hAnsi="Arial Narrow"/>
                <w:bCs/>
                <w:color w:val="333333"/>
                <w:sz w:val="18"/>
                <w:szCs w:val="18"/>
              </w:rPr>
              <w:t>Active infection</w:t>
            </w:r>
          </w:p>
          <w:p w14:paraId="6F957B53" w14:textId="77777777" w:rsidR="0034504B" w:rsidRPr="0041175D" w:rsidRDefault="0034504B" w:rsidP="0034504B">
            <w:pPr>
              <w:pStyle w:val="ListParagraph"/>
              <w:numPr>
                <w:ilvl w:val="0"/>
                <w:numId w:val="25"/>
              </w:numPr>
              <w:spacing w:after="0"/>
              <w:contextualSpacing/>
              <w:jc w:val="left"/>
              <w:rPr>
                <w:rFonts w:ascii="Arial Narrow" w:hAnsi="Arial Narrow"/>
                <w:bCs/>
                <w:color w:val="333333"/>
                <w:sz w:val="18"/>
                <w:szCs w:val="18"/>
              </w:rPr>
            </w:pPr>
            <w:r w:rsidRPr="0041175D">
              <w:rPr>
                <w:rFonts w:ascii="Arial Narrow" w:hAnsi="Arial Narrow"/>
                <w:bCs/>
                <w:color w:val="333333"/>
                <w:sz w:val="18"/>
                <w:szCs w:val="18"/>
              </w:rPr>
              <w:t>NSAIDs</w:t>
            </w:r>
          </w:p>
          <w:p w14:paraId="54A90BDF" w14:textId="77777777" w:rsidR="0034504B" w:rsidRPr="00CD708F" w:rsidRDefault="0034504B" w:rsidP="0034504B">
            <w:pPr>
              <w:pStyle w:val="ListParagraph"/>
              <w:numPr>
                <w:ilvl w:val="0"/>
                <w:numId w:val="25"/>
              </w:numPr>
              <w:spacing w:after="0"/>
              <w:contextualSpacing/>
              <w:jc w:val="left"/>
              <w:rPr>
                <w:rFonts w:ascii="Arial Narrow" w:hAnsi="Arial Narrow"/>
                <w:color w:val="333333"/>
                <w:sz w:val="18"/>
                <w:szCs w:val="18"/>
              </w:rPr>
            </w:pPr>
            <w:r w:rsidRPr="0041175D">
              <w:rPr>
                <w:rFonts w:ascii="Arial Narrow" w:hAnsi="Arial Narrow"/>
                <w:bCs/>
                <w:i/>
                <w:iCs/>
                <w:color w:val="333333"/>
                <w:sz w:val="18"/>
                <w:szCs w:val="18"/>
              </w:rPr>
              <w:t>C</w:t>
            </w:r>
            <w:r>
              <w:rPr>
                <w:rFonts w:ascii="Arial Narrow" w:hAnsi="Arial Narrow"/>
                <w:bCs/>
                <w:i/>
                <w:iCs/>
                <w:color w:val="333333"/>
                <w:sz w:val="18"/>
                <w:szCs w:val="18"/>
              </w:rPr>
              <w:t>o</w:t>
            </w:r>
            <w:r w:rsidRPr="0041175D">
              <w:rPr>
                <w:rFonts w:ascii="Arial Narrow" w:hAnsi="Arial Narrow"/>
                <w:bCs/>
                <w:i/>
                <w:iCs/>
                <w:color w:val="333333"/>
                <w:sz w:val="18"/>
                <w:szCs w:val="18"/>
              </w:rPr>
              <w:t>eliac</w:t>
            </w:r>
            <w:r w:rsidRPr="0041175D">
              <w:rPr>
                <w:rFonts w:ascii="Arial Narrow" w:hAnsi="Arial Narrow"/>
                <w:bCs/>
                <w:color w:val="333333"/>
                <w:sz w:val="18"/>
                <w:szCs w:val="18"/>
              </w:rPr>
              <w:t xml:space="preserve"> disease</w:t>
            </w:r>
          </w:p>
        </w:tc>
      </w:tr>
      <w:tr w:rsidR="0034504B" w:rsidRPr="00120A12" w14:paraId="19D6D215" w14:textId="77777777" w:rsidTr="00D30EB5">
        <w:tc>
          <w:tcPr>
            <w:tcW w:w="553" w:type="pct"/>
            <w:vAlign w:val="center"/>
          </w:tcPr>
          <w:p w14:paraId="4EBFE5B3" w14:textId="4D287D84" w:rsidR="0034504B" w:rsidRPr="00397F85" w:rsidRDefault="0034504B" w:rsidP="00762948">
            <w:pPr>
              <w:jc w:val="center"/>
              <w:rPr>
                <w:rFonts w:ascii="Arial Narrow" w:hAnsi="Arial Narrow"/>
                <w:color w:val="333333"/>
                <w:sz w:val="18"/>
                <w:szCs w:val="18"/>
              </w:rPr>
            </w:pPr>
          </w:p>
        </w:tc>
        <w:tc>
          <w:tcPr>
            <w:tcW w:w="4447" w:type="pct"/>
            <w:vAlign w:val="center"/>
            <w:hideMark/>
          </w:tcPr>
          <w:p w14:paraId="32DBD8FF" w14:textId="77777777" w:rsidR="0034504B" w:rsidRPr="00397F85" w:rsidRDefault="0034504B" w:rsidP="00762948">
            <w:pPr>
              <w:rPr>
                <w:rFonts w:ascii="Arial Narrow" w:hAnsi="Arial Narrow"/>
                <w:bCs/>
                <w:color w:val="333333"/>
                <w:sz w:val="18"/>
                <w:szCs w:val="18"/>
              </w:rPr>
            </w:pPr>
            <w:r w:rsidRPr="00397F85">
              <w:rPr>
                <w:rFonts w:ascii="Arial Narrow" w:hAnsi="Arial Narrow"/>
                <w:b/>
                <w:bCs/>
                <w:color w:val="333333"/>
                <w:sz w:val="18"/>
                <w:szCs w:val="18"/>
              </w:rPr>
              <w:t>Administrative Advice:</w:t>
            </w:r>
            <w:r w:rsidRPr="00397F85">
              <w:rPr>
                <w:rFonts w:ascii="Arial Narrow" w:hAnsi="Arial Narrow"/>
                <w:bCs/>
                <w:color w:val="333333"/>
                <w:sz w:val="18"/>
                <w:szCs w:val="18"/>
              </w:rPr>
              <w:t xml:space="preserve"> </w:t>
            </w:r>
          </w:p>
          <w:p w14:paraId="372087BA" w14:textId="77777777" w:rsidR="0034504B" w:rsidRPr="00397F85" w:rsidRDefault="0034504B" w:rsidP="00762948">
            <w:pPr>
              <w:rPr>
                <w:rFonts w:ascii="Arial Narrow" w:hAnsi="Arial Narrow"/>
                <w:color w:val="333333"/>
                <w:sz w:val="18"/>
                <w:szCs w:val="18"/>
              </w:rPr>
            </w:pPr>
            <w:r w:rsidRPr="00397F85">
              <w:rPr>
                <w:rFonts w:ascii="Arial Narrow" w:hAnsi="Arial Narrow"/>
                <w:color w:val="333333"/>
                <w:sz w:val="18"/>
                <w:szCs w:val="18"/>
              </w:rPr>
              <w:t>Any queries concerning the arrangements to prescribe may be directed to Services Australia on 1800 700 270 (hours of operation 8 a.m. to 5 p.m. Monday to Friday).</w:t>
            </w:r>
          </w:p>
          <w:p w14:paraId="7603C348" w14:textId="77777777" w:rsidR="0034504B" w:rsidRPr="00397F85" w:rsidRDefault="0034504B" w:rsidP="00762948">
            <w:pPr>
              <w:rPr>
                <w:rFonts w:ascii="Arial Narrow" w:hAnsi="Arial Narrow"/>
                <w:color w:val="333333"/>
                <w:sz w:val="18"/>
                <w:szCs w:val="18"/>
              </w:rPr>
            </w:pPr>
            <w:r w:rsidRPr="00397F85">
              <w:rPr>
                <w:rFonts w:ascii="Arial Narrow" w:hAnsi="Arial Narrow"/>
                <w:color w:val="333333"/>
                <w:sz w:val="18"/>
                <w:szCs w:val="18"/>
              </w:rPr>
              <w:t>Prescribing information (including Authority Application forms and other relevant documentation as applicable) is available on the Services Australia website at www.servicesaustralia.gov.au</w:t>
            </w:r>
          </w:p>
          <w:p w14:paraId="0967A3C3" w14:textId="77777777" w:rsidR="0034504B" w:rsidRPr="00397F85" w:rsidRDefault="0034504B" w:rsidP="00762948">
            <w:pPr>
              <w:rPr>
                <w:rFonts w:ascii="Arial Narrow" w:hAnsi="Arial Narrow"/>
                <w:color w:val="333333"/>
                <w:sz w:val="18"/>
                <w:szCs w:val="18"/>
              </w:rPr>
            </w:pPr>
            <w:r w:rsidRPr="00397F85">
              <w:rPr>
                <w:rFonts w:ascii="Arial Narrow" w:hAnsi="Arial Narrow"/>
                <w:color w:val="333333"/>
                <w:sz w:val="18"/>
                <w:szCs w:val="18"/>
              </w:rPr>
              <w:t>Applications for authority to prescribe should be submitted online using the form upload facility in Health Professional Online Services (HPOS) at www.servicesaustralia.gov.au/hpos</w:t>
            </w:r>
          </w:p>
          <w:p w14:paraId="68021407" w14:textId="77777777" w:rsidR="0034504B" w:rsidRPr="00397F85" w:rsidRDefault="0034504B" w:rsidP="00762948">
            <w:pPr>
              <w:rPr>
                <w:rFonts w:ascii="Arial Narrow" w:hAnsi="Arial Narrow"/>
                <w:color w:val="333333"/>
                <w:sz w:val="18"/>
                <w:szCs w:val="18"/>
              </w:rPr>
            </w:pPr>
            <w:r w:rsidRPr="00397F85">
              <w:rPr>
                <w:rFonts w:ascii="Arial Narrow" w:hAnsi="Arial Narrow"/>
                <w:color w:val="333333"/>
                <w:sz w:val="18"/>
                <w:szCs w:val="18"/>
              </w:rPr>
              <w:t>Or mailed to:</w:t>
            </w:r>
          </w:p>
          <w:p w14:paraId="32C7467B" w14:textId="77777777" w:rsidR="0034504B" w:rsidRPr="00397F85" w:rsidRDefault="0034504B" w:rsidP="00762948">
            <w:pPr>
              <w:rPr>
                <w:rFonts w:ascii="Arial Narrow" w:hAnsi="Arial Narrow"/>
                <w:color w:val="333333"/>
                <w:sz w:val="18"/>
                <w:szCs w:val="18"/>
              </w:rPr>
            </w:pPr>
            <w:r w:rsidRPr="00397F85">
              <w:rPr>
                <w:rFonts w:ascii="Arial Narrow" w:hAnsi="Arial Narrow"/>
                <w:color w:val="333333"/>
                <w:sz w:val="18"/>
                <w:szCs w:val="18"/>
              </w:rPr>
              <w:t>Services Australia</w:t>
            </w:r>
          </w:p>
          <w:p w14:paraId="21E7B2C7" w14:textId="77777777" w:rsidR="0034504B" w:rsidRPr="00397F85" w:rsidRDefault="0034504B" w:rsidP="00762948">
            <w:pPr>
              <w:rPr>
                <w:rFonts w:ascii="Arial Narrow" w:hAnsi="Arial Narrow"/>
                <w:color w:val="333333"/>
                <w:sz w:val="18"/>
                <w:szCs w:val="18"/>
              </w:rPr>
            </w:pPr>
            <w:r w:rsidRPr="00397F85">
              <w:rPr>
                <w:rFonts w:ascii="Arial Narrow" w:hAnsi="Arial Narrow"/>
                <w:color w:val="333333"/>
                <w:sz w:val="18"/>
                <w:szCs w:val="18"/>
              </w:rPr>
              <w:t>Complex Drugs</w:t>
            </w:r>
          </w:p>
          <w:p w14:paraId="50C24AD1" w14:textId="77777777" w:rsidR="0034504B" w:rsidRPr="00397F85" w:rsidRDefault="0034504B" w:rsidP="00762948">
            <w:pPr>
              <w:rPr>
                <w:rFonts w:ascii="Arial Narrow" w:hAnsi="Arial Narrow"/>
                <w:color w:val="333333"/>
                <w:sz w:val="18"/>
                <w:szCs w:val="18"/>
              </w:rPr>
            </w:pPr>
            <w:r w:rsidRPr="00397F85">
              <w:rPr>
                <w:rFonts w:ascii="Arial Narrow" w:hAnsi="Arial Narrow"/>
                <w:color w:val="333333"/>
                <w:sz w:val="18"/>
                <w:szCs w:val="18"/>
              </w:rPr>
              <w:t>Reply Paid 9826</w:t>
            </w:r>
          </w:p>
          <w:p w14:paraId="48BD1B8D" w14:textId="77777777" w:rsidR="0034504B" w:rsidRPr="00397F85" w:rsidRDefault="0034504B" w:rsidP="00762948">
            <w:pPr>
              <w:rPr>
                <w:rFonts w:ascii="Arial Narrow" w:hAnsi="Arial Narrow"/>
                <w:color w:val="333333"/>
                <w:sz w:val="18"/>
                <w:szCs w:val="18"/>
              </w:rPr>
            </w:pPr>
            <w:r w:rsidRPr="00397F85">
              <w:rPr>
                <w:rFonts w:ascii="Arial Narrow" w:hAnsi="Arial Narrow"/>
                <w:color w:val="333333"/>
                <w:sz w:val="18"/>
                <w:szCs w:val="18"/>
              </w:rPr>
              <w:t>HOBART TAS 7001</w:t>
            </w:r>
          </w:p>
        </w:tc>
      </w:tr>
    </w:tbl>
    <w:p w14:paraId="61462BA5" w14:textId="77777777" w:rsidR="0034504B" w:rsidRDefault="0034504B" w:rsidP="0034504B"/>
    <w:p w14:paraId="5C0545BC" w14:textId="77777777" w:rsidR="0034504B" w:rsidRPr="00507253" w:rsidRDefault="0034504B" w:rsidP="0034504B">
      <w:pPr>
        <w:rPr>
          <w:rFonts w:ascii="Arial Narrow" w:hAnsi="Arial Narrow"/>
          <w:b/>
          <w:sz w:val="18"/>
          <w:szCs w:val="18"/>
        </w:rPr>
      </w:pPr>
      <w:r w:rsidRPr="00507253">
        <w:rPr>
          <w:rFonts w:ascii="Arial Narrow" w:hAnsi="Arial Narrow"/>
          <w:b/>
          <w:sz w:val="18"/>
          <w:szCs w:val="18"/>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34504B" w:rsidRPr="00120A12" w14:paraId="2F36BCCF" w14:textId="77777777" w:rsidTr="00762948">
        <w:tc>
          <w:tcPr>
            <w:tcW w:w="553" w:type="pct"/>
            <w:tcBorders>
              <w:top w:val="single" w:sz="4" w:space="0" w:color="auto"/>
              <w:left w:val="single" w:sz="4" w:space="0" w:color="auto"/>
              <w:bottom w:val="single" w:sz="4" w:space="0" w:color="auto"/>
              <w:right w:val="single" w:sz="4" w:space="0" w:color="auto"/>
            </w:tcBorders>
          </w:tcPr>
          <w:p w14:paraId="5151339C" w14:textId="77777777" w:rsidR="0034504B" w:rsidRPr="004442BC" w:rsidRDefault="0034504B" w:rsidP="00762948">
            <w:pPr>
              <w:jc w:val="center"/>
              <w:rPr>
                <w:rFonts w:ascii="Arial Narrow" w:hAnsi="Arial Narrow"/>
                <w:b/>
                <w:sz w:val="18"/>
                <w:szCs w:val="18"/>
              </w:rPr>
            </w:pPr>
            <w:r w:rsidRPr="004442BC">
              <w:rPr>
                <w:rFonts w:ascii="Arial Narrow" w:hAnsi="Arial Narrow"/>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14:paraId="3335BA3E" w14:textId="77777777" w:rsidR="0034504B" w:rsidRPr="004442BC" w:rsidRDefault="0034504B" w:rsidP="00762948">
            <w:pPr>
              <w:rPr>
                <w:rFonts w:ascii="Arial Narrow" w:hAnsi="Arial Narrow"/>
                <w:sz w:val="18"/>
                <w:szCs w:val="18"/>
              </w:rPr>
            </w:pPr>
            <w:r w:rsidRPr="004442BC">
              <w:rPr>
                <w:rFonts w:ascii="Arial Narrow" w:hAnsi="Arial Narrow"/>
                <w:b/>
                <w:sz w:val="18"/>
                <w:szCs w:val="18"/>
              </w:rPr>
              <w:t xml:space="preserve">Category / Program: </w:t>
            </w:r>
            <w:r w:rsidRPr="004442BC">
              <w:rPr>
                <w:rFonts w:ascii="Arial Narrow" w:hAnsi="Arial Narrow"/>
                <w:sz w:val="18"/>
                <w:szCs w:val="18"/>
              </w:rPr>
              <w:t xml:space="preserve">Section 100 – Highly Specialised Drugs Program {Public/Private Hospitals}  </w:t>
            </w:r>
          </w:p>
        </w:tc>
      </w:tr>
      <w:tr w:rsidR="0034504B" w:rsidRPr="00120A12" w14:paraId="470164DB" w14:textId="77777777" w:rsidTr="00762948">
        <w:trPr>
          <w:trHeight w:val="366"/>
        </w:trPr>
        <w:tc>
          <w:tcPr>
            <w:tcW w:w="553" w:type="pct"/>
            <w:tcBorders>
              <w:top w:val="single" w:sz="4" w:space="0" w:color="auto"/>
              <w:left w:val="single" w:sz="4" w:space="0" w:color="auto"/>
              <w:bottom w:val="single" w:sz="4" w:space="0" w:color="auto"/>
              <w:right w:val="single" w:sz="4" w:space="0" w:color="auto"/>
            </w:tcBorders>
          </w:tcPr>
          <w:p w14:paraId="61F61455" w14:textId="77777777" w:rsidR="0034504B" w:rsidRPr="004442BC"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3876F77E" w14:textId="77777777" w:rsidR="0034504B" w:rsidRPr="004442BC" w:rsidRDefault="0034504B" w:rsidP="00762948">
            <w:pPr>
              <w:rPr>
                <w:rFonts w:ascii="Arial Narrow" w:hAnsi="Arial Narrow"/>
                <w:sz w:val="18"/>
                <w:szCs w:val="18"/>
              </w:rPr>
            </w:pPr>
            <w:r w:rsidRPr="004442BC">
              <w:rPr>
                <w:rFonts w:ascii="Arial Narrow" w:hAnsi="Arial Narrow"/>
                <w:b/>
                <w:sz w:val="18"/>
                <w:szCs w:val="18"/>
              </w:rPr>
              <w:t xml:space="preserve">Prescriber type:  </w:t>
            </w:r>
            <w:r w:rsidRPr="004442BC">
              <w:rPr>
                <w:rFonts w:ascii="Arial Narrow" w:hAnsi="Arial Narrow"/>
                <w:sz w:val="18"/>
                <w:szCs w:val="18"/>
              </w:rPr>
              <w:fldChar w:fldCharType="begin" w:fldLock="1">
                <w:ffData>
                  <w:name w:val=""/>
                  <w:enabled/>
                  <w:calcOnExit w:val="0"/>
                  <w:checkBox>
                    <w:sizeAuto/>
                    <w:default w:val="1"/>
                  </w:checkBox>
                </w:ffData>
              </w:fldChar>
            </w:r>
            <w:r w:rsidRPr="004442BC">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sidRPr="004442BC">
              <w:rPr>
                <w:rFonts w:ascii="Arial Narrow" w:hAnsi="Arial Narrow"/>
                <w:sz w:val="18"/>
                <w:szCs w:val="18"/>
              </w:rPr>
              <w:fldChar w:fldCharType="end"/>
            </w:r>
            <w:r w:rsidRPr="004442BC">
              <w:rPr>
                <w:rFonts w:ascii="Arial Narrow" w:hAnsi="Arial Narrow"/>
                <w:sz w:val="18"/>
                <w:szCs w:val="18"/>
              </w:rPr>
              <w:t xml:space="preserve">Medical Practitioners  </w:t>
            </w:r>
          </w:p>
        </w:tc>
      </w:tr>
      <w:tr w:rsidR="0034504B" w:rsidRPr="00120A12" w14:paraId="6F9FF49C" w14:textId="77777777" w:rsidTr="00762948">
        <w:tc>
          <w:tcPr>
            <w:tcW w:w="553" w:type="pct"/>
            <w:tcBorders>
              <w:top w:val="single" w:sz="4" w:space="0" w:color="auto"/>
              <w:left w:val="single" w:sz="4" w:space="0" w:color="auto"/>
              <w:bottom w:val="single" w:sz="4" w:space="0" w:color="auto"/>
              <w:right w:val="single" w:sz="4" w:space="0" w:color="auto"/>
            </w:tcBorders>
          </w:tcPr>
          <w:p w14:paraId="1B86F55C" w14:textId="77777777" w:rsidR="0034504B" w:rsidRPr="004442BC"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237F8F0F" w14:textId="77777777" w:rsidR="0034504B" w:rsidRPr="00397F85" w:rsidRDefault="0034504B" w:rsidP="00762948">
            <w:pPr>
              <w:rPr>
                <w:rFonts w:ascii="Arial Narrow" w:hAnsi="Arial Narrow"/>
                <w:b/>
                <w:sz w:val="18"/>
                <w:szCs w:val="18"/>
              </w:rPr>
            </w:pPr>
            <w:r w:rsidRPr="004442BC">
              <w:rPr>
                <w:rFonts w:ascii="Arial Narrow" w:hAnsi="Arial Narrow"/>
                <w:b/>
                <w:sz w:val="18"/>
                <w:szCs w:val="18"/>
              </w:rPr>
              <w:t>Restriction Level / Method:</w:t>
            </w:r>
            <w:r>
              <w:rPr>
                <w:rFonts w:ascii="Arial Narrow" w:hAnsi="Arial Narrow"/>
                <w:b/>
                <w:sz w:val="18"/>
                <w:szCs w:val="18"/>
              </w:rPr>
              <w:t xml:space="preserve"> </w:t>
            </w:r>
            <w:r w:rsidRPr="004442BC">
              <w:rPr>
                <w:rFonts w:ascii="Arial Narrow" w:hAnsi="Arial Narrow"/>
                <w:sz w:val="18"/>
                <w:szCs w:val="18"/>
              </w:rPr>
              <w:fldChar w:fldCharType="begin" w:fldLock="1">
                <w:ffData>
                  <w:name w:val=""/>
                  <w:enabled/>
                  <w:calcOnExit w:val="0"/>
                  <w:checkBox>
                    <w:sizeAuto/>
                    <w:default w:val="1"/>
                  </w:checkBox>
                </w:ffData>
              </w:fldChar>
            </w:r>
            <w:r w:rsidRPr="004442BC">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sidRPr="004442BC">
              <w:rPr>
                <w:rFonts w:ascii="Arial Narrow" w:hAnsi="Arial Narrow"/>
                <w:sz w:val="18"/>
                <w:szCs w:val="18"/>
              </w:rPr>
              <w:fldChar w:fldCharType="end"/>
            </w:r>
            <w:r w:rsidRPr="004442BC">
              <w:rPr>
                <w:rFonts w:ascii="Arial Narrow" w:hAnsi="Arial Narrow"/>
                <w:sz w:val="18"/>
                <w:szCs w:val="18"/>
              </w:rPr>
              <w:t>Authority Required – Telephone/Electronic (Complex Authority Required)</w:t>
            </w:r>
          </w:p>
        </w:tc>
      </w:tr>
      <w:tr w:rsidR="0034504B" w:rsidRPr="00120A12" w14:paraId="14B808B7" w14:textId="77777777" w:rsidTr="00762948">
        <w:tc>
          <w:tcPr>
            <w:tcW w:w="553" w:type="pct"/>
            <w:vAlign w:val="center"/>
          </w:tcPr>
          <w:p w14:paraId="6677ED6B" w14:textId="77777777" w:rsidR="0034504B" w:rsidRPr="004442BC" w:rsidRDefault="0034504B" w:rsidP="00762948">
            <w:pPr>
              <w:jc w:val="center"/>
              <w:rPr>
                <w:rFonts w:ascii="Arial Narrow" w:hAnsi="Arial Narrow"/>
                <w:color w:val="333333"/>
                <w:sz w:val="18"/>
                <w:szCs w:val="18"/>
              </w:rPr>
            </w:pPr>
          </w:p>
        </w:tc>
        <w:tc>
          <w:tcPr>
            <w:tcW w:w="4447" w:type="pct"/>
            <w:vAlign w:val="center"/>
          </w:tcPr>
          <w:p w14:paraId="21DC1FAE" w14:textId="77777777" w:rsidR="0034504B" w:rsidRPr="004442BC" w:rsidRDefault="0034504B" w:rsidP="00762948">
            <w:pPr>
              <w:rPr>
                <w:rFonts w:ascii="Arial Narrow" w:hAnsi="Arial Narrow"/>
                <w:bCs/>
                <w:color w:val="333333"/>
                <w:sz w:val="18"/>
                <w:szCs w:val="18"/>
              </w:rPr>
            </w:pPr>
            <w:r w:rsidRPr="004442BC">
              <w:rPr>
                <w:rFonts w:ascii="Arial Narrow" w:hAnsi="Arial Narrow"/>
                <w:b/>
                <w:bCs/>
                <w:color w:val="333333"/>
                <w:sz w:val="18"/>
                <w:szCs w:val="18"/>
              </w:rPr>
              <w:t>Episodicity:</w:t>
            </w:r>
            <w:r w:rsidRPr="004442BC">
              <w:rPr>
                <w:rFonts w:ascii="Arial Narrow" w:hAnsi="Arial Narrow"/>
                <w:bCs/>
                <w:color w:val="333333"/>
                <w:sz w:val="18"/>
                <w:szCs w:val="18"/>
              </w:rPr>
              <w:t xml:space="preserve"> Chronic</w:t>
            </w:r>
          </w:p>
        </w:tc>
      </w:tr>
      <w:tr w:rsidR="0034504B" w:rsidRPr="00120A12" w14:paraId="1686D968" w14:textId="77777777" w:rsidTr="00762948">
        <w:tc>
          <w:tcPr>
            <w:tcW w:w="553" w:type="pct"/>
            <w:vAlign w:val="center"/>
          </w:tcPr>
          <w:p w14:paraId="7333184A" w14:textId="77777777" w:rsidR="0034504B" w:rsidRPr="004442BC" w:rsidRDefault="0034504B" w:rsidP="00762948">
            <w:pPr>
              <w:jc w:val="center"/>
              <w:rPr>
                <w:rFonts w:ascii="Arial Narrow" w:hAnsi="Arial Narrow"/>
                <w:color w:val="333333"/>
                <w:sz w:val="18"/>
                <w:szCs w:val="18"/>
              </w:rPr>
            </w:pPr>
          </w:p>
        </w:tc>
        <w:tc>
          <w:tcPr>
            <w:tcW w:w="4447" w:type="pct"/>
            <w:vAlign w:val="center"/>
          </w:tcPr>
          <w:p w14:paraId="0A37B77C" w14:textId="77777777" w:rsidR="0034504B" w:rsidRPr="004442BC" w:rsidRDefault="0034504B" w:rsidP="00762948">
            <w:pPr>
              <w:rPr>
                <w:rFonts w:ascii="Arial Narrow" w:hAnsi="Arial Narrow"/>
                <w:b/>
                <w:bCs/>
                <w:color w:val="333333"/>
                <w:sz w:val="18"/>
                <w:szCs w:val="18"/>
              </w:rPr>
            </w:pPr>
            <w:r w:rsidRPr="004442BC">
              <w:rPr>
                <w:rFonts w:ascii="Arial Narrow" w:hAnsi="Arial Narrow"/>
                <w:b/>
                <w:bCs/>
                <w:color w:val="333333"/>
                <w:sz w:val="18"/>
                <w:szCs w:val="18"/>
              </w:rPr>
              <w:t xml:space="preserve">Severity: </w:t>
            </w:r>
            <w:r w:rsidRPr="004442BC">
              <w:rPr>
                <w:rFonts w:ascii="Arial Narrow" w:hAnsi="Arial Narrow"/>
                <w:color w:val="333333"/>
                <w:sz w:val="18"/>
                <w:szCs w:val="18"/>
              </w:rPr>
              <w:t>Moderate to severe</w:t>
            </w:r>
          </w:p>
        </w:tc>
      </w:tr>
      <w:tr w:rsidR="0034504B" w:rsidRPr="00120A12" w14:paraId="420D386D" w14:textId="77777777" w:rsidTr="00762948">
        <w:tc>
          <w:tcPr>
            <w:tcW w:w="553" w:type="pct"/>
            <w:vAlign w:val="center"/>
          </w:tcPr>
          <w:p w14:paraId="4E4F1796" w14:textId="77777777" w:rsidR="0034504B" w:rsidRPr="004442BC" w:rsidRDefault="0034504B" w:rsidP="00762948">
            <w:pPr>
              <w:jc w:val="center"/>
              <w:rPr>
                <w:rFonts w:ascii="Arial Narrow" w:hAnsi="Arial Narrow"/>
                <w:color w:val="333333"/>
                <w:sz w:val="18"/>
                <w:szCs w:val="18"/>
              </w:rPr>
            </w:pPr>
          </w:p>
        </w:tc>
        <w:tc>
          <w:tcPr>
            <w:tcW w:w="4447" w:type="pct"/>
            <w:vAlign w:val="center"/>
          </w:tcPr>
          <w:p w14:paraId="4B48C728" w14:textId="77777777" w:rsidR="0034504B" w:rsidRPr="004442BC" w:rsidRDefault="0034504B" w:rsidP="00762948">
            <w:pPr>
              <w:rPr>
                <w:rFonts w:ascii="Arial Narrow" w:hAnsi="Arial Narrow"/>
                <w:b/>
                <w:bCs/>
                <w:color w:val="333333"/>
                <w:sz w:val="18"/>
                <w:szCs w:val="18"/>
              </w:rPr>
            </w:pPr>
            <w:r w:rsidRPr="004442BC">
              <w:rPr>
                <w:rFonts w:ascii="Arial Narrow" w:hAnsi="Arial Narrow"/>
                <w:b/>
                <w:bCs/>
                <w:color w:val="333333"/>
                <w:sz w:val="18"/>
                <w:szCs w:val="18"/>
              </w:rPr>
              <w:t xml:space="preserve">Condition: </w:t>
            </w:r>
            <w:r w:rsidRPr="004442BC">
              <w:rPr>
                <w:rFonts w:ascii="Arial Narrow" w:hAnsi="Arial Narrow"/>
                <w:bCs/>
                <w:color w:val="333333"/>
                <w:sz w:val="18"/>
                <w:szCs w:val="18"/>
              </w:rPr>
              <w:t xml:space="preserve">Pouchitis </w:t>
            </w:r>
          </w:p>
        </w:tc>
      </w:tr>
      <w:tr w:rsidR="0034504B" w:rsidRPr="00120A12" w14:paraId="1E222D6F" w14:textId="77777777" w:rsidTr="00D30EB5">
        <w:tc>
          <w:tcPr>
            <w:tcW w:w="553" w:type="pct"/>
            <w:vAlign w:val="center"/>
          </w:tcPr>
          <w:p w14:paraId="103A80D9" w14:textId="256420AC" w:rsidR="0034504B" w:rsidRPr="004442BC" w:rsidRDefault="0034504B" w:rsidP="00762948">
            <w:pPr>
              <w:jc w:val="center"/>
              <w:rPr>
                <w:rFonts w:ascii="Arial Narrow" w:hAnsi="Arial Narrow"/>
                <w:color w:val="333333"/>
                <w:sz w:val="18"/>
                <w:szCs w:val="18"/>
              </w:rPr>
            </w:pPr>
          </w:p>
        </w:tc>
        <w:tc>
          <w:tcPr>
            <w:tcW w:w="4447" w:type="pct"/>
            <w:vAlign w:val="center"/>
            <w:hideMark/>
          </w:tcPr>
          <w:p w14:paraId="2F6DB0BE" w14:textId="77777777" w:rsidR="0034504B" w:rsidRPr="004442BC" w:rsidRDefault="0034504B" w:rsidP="00762948">
            <w:pPr>
              <w:rPr>
                <w:rFonts w:ascii="Arial Narrow" w:hAnsi="Arial Narrow"/>
                <w:color w:val="333333"/>
                <w:sz w:val="18"/>
                <w:szCs w:val="18"/>
              </w:rPr>
            </w:pPr>
            <w:r w:rsidRPr="004442BC">
              <w:rPr>
                <w:rFonts w:ascii="Arial Narrow" w:hAnsi="Arial Narrow"/>
                <w:b/>
                <w:bCs/>
                <w:color w:val="333333"/>
                <w:sz w:val="18"/>
                <w:szCs w:val="18"/>
              </w:rPr>
              <w:t>Indication:</w:t>
            </w:r>
            <w:r w:rsidRPr="004442BC">
              <w:rPr>
                <w:rFonts w:ascii="Arial Narrow" w:hAnsi="Arial Narrow"/>
                <w:color w:val="333333"/>
                <w:sz w:val="18"/>
                <w:szCs w:val="18"/>
              </w:rPr>
              <w:t xml:space="preserve"> Moderate to severe chronic pouchitis</w:t>
            </w:r>
          </w:p>
        </w:tc>
      </w:tr>
      <w:tr w:rsidR="0034504B" w:rsidRPr="00120A12" w14:paraId="79FA97EC" w14:textId="77777777" w:rsidTr="00762948">
        <w:tc>
          <w:tcPr>
            <w:tcW w:w="553" w:type="pct"/>
            <w:vAlign w:val="center"/>
            <w:hideMark/>
          </w:tcPr>
          <w:p w14:paraId="2035CEF2" w14:textId="77777777" w:rsidR="0034504B" w:rsidRPr="004442BC" w:rsidRDefault="0034504B" w:rsidP="00762948">
            <w:pPr>
              <w:jc w:val="center"/>
              <w:rPr>
                <w:rFonts w:ascii="Arial Narrow" w:hAnsi="Arial Narrow"/>
                <w:color w:val="333333"/>
                <w:sz w:val="18"/>
                <w:szCs w:val="18"/>
              </w:rPr>
            </w:pPr>
          </w:p>
        </w:tc>
        <w:tc>
          <w:tcPr>
            <w:tcW w:w="4447" w:type="pct"/>
            <w:vAlign w:val="center"/>
            <w:hideMark/>
          </w:tcPr>
          <w:p w14:paraId="4B50E8AA" w14:textId="77777777" w:rsidR="0034504B" w:rsidRPr="004442BC" w:rsidRDefault="0034504B" w:rsidP="00762948">
            <w:pPr>
              <w:rPr>
                <w:rFonts w:ascii="Arial Narrow" w:hAnsi="Arial Narrow"/>
                <w:color w:val="333333"/>
                <w:sz w:val="18"/>
                <w:szCs w:val="18"/>
              </w:rPr>
            </w:pPr>
            <w:r w:rsidRPr="004442BC">
              <w:rPr>
                <w:rFonts w:ascii="Arial Narrow" w:hAnsi="Arial Narrow"/>
                <w:b/>
                <w:bCs/>
                <w:color w:val="333333"/>
                <w:sz w:val="18"/>
                <w:szCs w:val="18"/>
              </w:rPr>
              <w:t>Treatment Phase:</w:t>
            </w:r>
            <w:r w:rsidRPr="004442BC">
              <w:rPr>
                <w:rFonts w:ascii="Arial Narrow" w:hAnsi="Arial Narrow"/>
                <w:color w:val="333333"/>
                <w:sz w:val="18"/>
                <w:szCs w:val="18"/>
              </w:rPr>
              <w:t xml:space="preserve"> Balance of Supply – Initial </w:t>
            </w:r>
            <w:r>
              <w:rPr>
                <w:rFonts w:ascii="Arial Narrow" w:hAnsi="Arial Narrow"/>
                <w:color w:val="333333"/>
                <w:sz w:val="18"/>
                <w:szCs w:val="18"/>
              </w:rPr>
              <w:t xml:space="preserve">1 </w:t>
            </w:r>
            <w:r w:rsidRPr="004442BC">
              <w:rPr>
                <w:rFonts w:ascii="Arial Narrow" w:hAnsi="Arial Narrow"/>
                <w:color w:val="333333"/>
                <w:sz w:val="18"/>
                <w:szCs w:val="18"/>
              </w:rPr>
              <w:t xml:space="preserve">treatment (new patient) and Initial </w:t>
            </w:r>
            <w:r>
              <w:rPr>
                <w:rFonts w:ascii="Arial Narrow" w:hAnsi="Arial Narrow"/>
                <w:color w:val="333333"/>
                <w:sz w:val="18"/>
                <w:szCs w:val="18"/>
              </w:rPr>
              <w:t xml:space="preserve">2 </w:t>
            </w:r>
            <w:r w:rsidRPr="004442BC">
              <w:rPr>
                <w:rFonts w:ascii="Arial Narrow" w:hAnsi="Arial Narrow"/>
                <w:color w:val="333333"/>
                <w:sz w:val="18"/>
                <w:szCs w:val="18"/>
              </w:rPr>
              <w:t>treatment (recommencement of treatment after a break in biological medicine)</w:t>
            </w:r>
          </w:p>
        </w:tc>
      </w:tr>
      <w:tr w:rsidR="0034504B" w:rsidRPr="00120A12" w14:paraId="4B245386" w14:textId="77777777" w:rsidTr="00762948">
        <w:tc>
          <w:tcPr>
            <w:tcW w:w="553" w:type="pct"/>
            <w:vAlign w:val="center"/>
            <w:hideMark/>
          </w:tcPr>
          <w:p w14:paraId="1DA33498" w14:textId="77777777" w:rsidR="0034504B" w:rsidRPr="004442BC" w:rsidRDefault="0034504B" w:rsidP="00762948">
            <w:pPr>
              <w:jc w:val="center"/>
              <w:rPr>
                <w:rFonts w:ascii="Arial Narrow" w:hAnsi="Arial Narrow"/>
                <w:color w:val="333333"/>
                <w:sz w:val="18"/>
                <w:szCs w:val="18"/>
              </w:rPr>
            </w:pPr>
          </w:p>
        </w:tc>
        <w:tc>
          <w:tcPr>
            <w:tcW w:w="4447" w:type="pct"/>
            <w:vAlign w:val="center"/>
            <w:hideMark/>
          </w:tcPr>
          <w:p w14:paraId="19256870" w14:textId="77777777" w:rsidR="0034504B" w:rsidRPr="004442BC" w:rsidRDefault="0034504B" w:rsidP="00762948">
            <w:pPr>
              <w:rPr>
                <w:rFonts w:ascii="Arial Narrow" w:hAnsi="Arial Narrow"/>
                <w:color w:val="333333"/>
                <w:sz w:val="18"/>
                <w:szCs w:val="18"/>
              </w:rPr>
            </w:pPr>
            <w:r w:rsidRPr="004442BC">
              <w:rPr>
                <w:rFonts w:ascii="Arial Narrow" w:hAnsi="Arial Narrow"/>
                <w:b/>
                <w:bCs/>
                <w:color w:val="333333"/>
                <w:sz w:val="18"/>
                <w:szCs w:val="18"/>
              </w:rPr>
              <w:t>Clinical criteria:</w:t>
            </w:r>
          </w:p>
        </w:tc>
      </w:tr>
      <w:tr w:rsidR="0034504B" w:rsidRPr="00120A12" w14:paraId="6DDD99FC" w14:textId="77777777" w:rsidTr="00D30EB5">
        <w:tc>
          <w:tcPr>
            <w:tcW w:w="553" w:type="pct"/>
            <w:vAlign w:val="center"/>
          </w:tcPr>
          <w:p w14:paraId="4BA5166B" w14:textId="0D4639A8" w:rsidR="0034504B" w:rsidRPr="004442BC" w:rsidRDefault="0034504B" w:rsidP="00762948">
            <w:pPr>
              <w:jc w:val="center"/>
              <w:rPr>
                <w:rFonts w:ascii="Arial Narrow" w:hAnsi="Arial Narrow"/>
                <w:color w:val="333333"/>
                <w:sz w:val="18"/>
                <w:szCs w:val="18"/>
              </w:rPr>
            </w:pPr>
          </w:p>
        </w:tc>
        <w:tc>
          <w:tcPr>
            <w:tcW w:w="4447" w:type="pct"/>
            <w:vAlign w:val="center"/>
            <w:hideMark/>
          </w:tcPr>
          <w:p w14:paraId="1759DF70" w14:textId="7A8D7E29" w:rsidR="0034504B" w:rsidRPr="004442BC" w:rsidRDefault="0034504B" w:rsidP="00762948">
            <w:pPr>
              <w:rPr>
                <w:rFonts w:ascii="Arial Narrow" w:hAnsi="Arial Narrow"/>
                <w:color w:val="333333"/>
                <w:sz w:val="18"/>
                <w:szCs w:val="18"/>
              </w:rPr>
            </w:pPr>
            <w:r w:rsidRPr="004442BC">
              <w:rPr>
                <w:rFonts w:ascii="Arial Narrow" w:hAnsi="Arial Narrow"/>
                <w:color w:val="333333"/>
                <w:sz w:val="18"/>
                <w:szCs w:val="18"/>
              </w:rPr>
              <w:t xml:space="preserve">Patient must have received insufficient therapy with this drug under the Initial 1 treatment (new patient) restriction to complete 14 weeks </w:t>
            </w:r>
            <w:r w:rsidR="00C93979">
              <w:rPr>
                <w:rFonts w:ascii="Arial Narrow" w:hAnsi="Arial Narrow"/>
                <w:color w:val="333333"/>
                <w:sz w:val="18"/>
                <w:szCs w:val="18"/>
              </w:rPr>
              <w:t xml:space="preserve">of </w:t>
            </w:r>
            <w:r w:rsidRPr="004442BC">
              <w:rPr>
                <w:rFonts w:ascii="Arial Narrow" w:hAnsi="Arial Narrow"/>
                <w:color w:val="333333"/>
                <w:sz w:val="18"/>
                <w:szCs w:val="18"/>
              </w:rPr>
              <w:t xml:space="preserve">treatment; or </w:t>
            </w:r>
          </w:p>
        </w:tc>
      </w:tr>
      <w:tr w:rsidR="00242708" w:rsidRPr="00120A12" w14:paraId="4C5820F5" w14:textId="77777777" w:rsidTr="00762948">
        <w:tc>
          <w:tcPr>
            <w:tcW w:w="553" w:type="pct"/>
            <w:vAlign w:val="center"/>
          </w:tcPr>
          <w:p w14:paraId="696951A1" w14:textId="77777777" w:rsidR="0034504B" w:rsidRPr="004442BC" w:rsidRDefault="0034504B" w:rsidP="00762948">
            <w:pPr>
              <w:jc w:val="center"/>
              <w:rPr>
                <w:rFonts w:ascii="Arial Narrow" w:hAnsi="Arial Narrow"/>
                <w:color w:val="333333"/>
                <w:sz w:val="18"/>
                <w:szCs w:val="18"/>
              </w:rPr>
            </w:pPr>
          </w:p>
        </w:tc>
        <w:tc>
          <w:tcPr>
            <w:tcW w:w="4447" w:type="pct"/>
            <w:vAlign w:val="center"/>
          </w:tcPr>
          <w:p w14:paraId="086D7BB6" w14:textId="3262E810" w:rsidR="0034504B" w:rsidRPr="004442BC" w:rsidRDefault="0034504B" w:rsidP="00762948">
            <w:pPr>
              <w:rPr>
                <w:rFonts w:ascii="Arial Narrow" w:hAnsi="Arial Narrow"/>
                <w:color w:val="333333"/>
                <w:sz w:val="18"/>
                <w:szCs w:val="18"/>
              </w:rPr>
            </w:pPr>
            <w:r w:rsidRPr="004442BC">
              <w:rPr>
                <w:rFonts w:ascii="Arial Narrow" w:hAnsi="Arial Narrow"/>
                <w:color w:val="333333"/>
                <w:sz w:val="18"/>
                <w:szCs w:val="18"/>
              </w:rPr>
              <w:t>Patient must have received insufficient therapy with this drug under the Initial 2 treatment (recommencement of treatment after a break in biological medicine)</w:t>
            </w:r>
            <w:r w:rsidR="00C93979" w:rsidRPr="004442BC">
              <w:rPr>
                <w:rFonts w:ascii="Arial Narrow" w:hAnsi="Arial Narrow"/>
                <w:color w:val="333333"/>
                <w:sz w:val="18"/>
                <w:szCs w:val="18"/>
              </w:rPr>
              <w:t xml:space="preserve"> to complete 14 weeks</w:t>
            </w:r>
            <w:r w:rsidR="00C93979">
              <w:rPr>
                <w:rFonts w:ascii="Arial Narrow" w:hAnsi="Arial Narrow"/>
                <w:color w:val="333333"/>
                <w:sz w:val="18"/>
                <w:szCs w:val="18"/>
              </w:rPr>
              <w:t xml:space="preserve"> of</w:t>
            </w:r>
            <w:r w:rsidR="00C93979" w:rsidRPr="004442BC">
              <w:rPr>
                <w:rFonts w:ascii="Arial Narrow" w:hAnsi="Arial Narrow"/>
                <w:color w:val="333333"/>
                <w:sz w:val="18"/>
                <w:szCs w:val="18"/>
              </w:rPr>
              <w:t xml:space="preserve"> treatment</w:t>
            </w:r>
            <w:r w:rsidR="00C93979">
              <w:rPr>
                <w:rFonts w:ascii="Arial Narrow" w:hAnsi="Arial Narrow"/>
                <w:color w:val="333333"/>
                <w:sz w:val="18"/>
                <w:szCs w:val="18"/>
              </w:rPr>
              <w:t>.</w:t>
            </w:r>
          </w:p>
        </w:tc>
      </w:tr>
      <w:tr w:rsidR="0034504B" w:rsidRPr="00120A12" w14:paraId="05A02A84" w14:textId="77777777" w:rsidTr="00762948">
        <w:tc>
          <w:tcPr>
            <w:tcW w:w="553" w:type="pct"/>
            <w:vAlign w:val="center"/>
          </w:tcPr>
          <w:p w14:paraId="1F803417" w14:textId="77777777" w:rsidR="0034504B" w:rsidRPr="004442BC" w:rsidRDefault="0034504B" w:rsidP="00762948">
            <w:pPr>
              <w:jc w:val="center"/>
              <w:rPr>
                <w:rFonts w:ascii="Arial Narrow" w:hAnsi="Arial Narrow"/>
                <w:color w:val="333333"/>
                <w:sz w:val="18"/>
                <w:szCs w:val="18"/>
              </w:rPr>
            </w:pPr>
          </w:p>
        </w:tc>
        <w:tc>
          <w:tcPr>
            <w:tcW w:w="4447" w:type="pct"/>
            <w:vAlign w:val="center"/>
          </w:tcPr>
          <w:p w14:paraId="145B1779" w14:textId="77777777" w:rsidR="0034504B" w:rsidRPr="004442BC" w:rsidRDefault="0034504B" w:rsidP="00762948">
            <w:pPr>
              <w:rPr>
                <w:rFonts w:ascii="Arial Narrow" w:hAnsi="Arial Narrow"/>
                <w:color w:val="333333"/>
                <w:sz w:val="18"/>
                <w:szCs w:val="18"/>
              </w:rPr>
            </w:pPr>
            <w:r w:rsidRPr="004442BC">
              <w:rPr>
                <w:rFonts w:ascii="Arial Narrow" w:hAnsi="Arial Narrow"/>
                <w:b/>
                <w:bCs/>
                <w:color w:val="333333"/>
                <w:sz w:val="18"/>
                <w:szCs w:val="18"/>
              </w:rPr>
              <w:t>AND</w:t>
            </w:r>
          </w:p>
        </w:tc>
      </w:tr>
      <w:tr w:rsidR="0034504B" w:rsidRPr="00120A12" w14:paraId="331525E7" w14:textId="77777777" w:rsidTr="00762948">
        <w:tc>
          <w:tcPr>
            <w:tcW w:w="553" w:type="pct"/>
            <w:vAlign w:val="center"/>
          </w:tcPr>
          <w:p w14:paraId="6C8BCE36" w14:textId="77777777" w:rsidR="0034504B" w:rsidRPr="004442BC" w:rsidRDefault="0034504B" w:rsidP="00762948">
            <w:pPr>
              <w:jc w:val="center"/>
              <w:rPr>
                <w:rFonts w:ascii="Arial Narrow" w:hAnsi="Arial Narrow"/>
                <w:color w:val="333333"/>
                <w:sz w:val="18"/>
                <w:szCs w:val="18"/>
              </w:rPr>
            </w:pPr>
          </w:p>
        </w:tc>
        <w:tc>
          <w:tcPr>
            <w:tcW w:w="4447" w:type="pct"/>
            <w:vAlign w:val="center"/>
          </w:tcPr>
          <w:p w14:paraId="4A72D9AA" w14:textId="77777777" w:rsidR="0034504B" w:rsidRPr="004442BC" w:rsidRDefault="0034504B" w:rsidP="00762948">
            <w:pPr>
              <w:rPr>
                <w:rFonts w:ascii="Arial Narrow" w:hAnsi="Arial Narrow"/>
                <w:color w:val="333333"/>
                <w:sz w:val="18"/>
                <w:szCs w:val="18"/>
              </w:rPr>
            </w:pPr>
            <w:r w:rsidRPr="004442BC">
              <w:rPr>
                <w:rFonts w:ascii="Arial Narrow" w:hAnsi="Arial Narrow"/>
                <w:b/>
                <w:bCs/>
                <w:color w:val="333333"/>
                <w:sz w:val="18"/>
                <w:szCs w:val="18"/>
              </w:rPr>
              <w:t>Clinical criteria:</w:t>
            </w:r>
          </w:p>
        </w:tc>
      </w:tr>
      <w:tr w:rsidR="0034504B" w:rsidRPr="00120A12" w14:paraId="08AE474B" w14:textId="77777777" w:rsidTr="00762948">
        <w:tc>
          <w:tcPr>
            <w:tcW w:w="553" w:type="pct"/>
            <w:vAlign w:val="center"/>
          </w:tcPr>
          <w:p w14:paraId="4D5BCBE9" w14:textId="5A1EAD55" w:rsidR="0034504B" w:rsidRPr="004442BC" w:rsidRDefault="0034504B" w:rsidP="00762948">
            <w:pPr>
              <w:jc w:val="center"/>
              <w:rPr>
                <w:rFonts w:ascii="Arial Narrow" w:hAnsi="Arial Narrow"/>
                <w:color w:val="333333"/>
                <w:sz w:val="18"/>
                <w:szCs w:val="18"/>
              </w:rPr>
            </w:pPr>
          </w:p>
        </w:tc>
        <w:tc>
          <w:tcPr>
            <w:tcW w:w="4447" w:type="pct"/>
            <w:vAlign w:val="center"/>
          </w:tcPr>
          <w:p w14:paraId="55AA7DF0" w14:textId="3E204D87" w:rsidR="0034504B" w:rsidRPr="004442BC" w:rsidRDefault="0034504B" w:rsidP="00762948">
            <w:pPr>
              <w:rPr>
                <w:rFonts w:ascii="Arial Narrow" w:hAnsi="Arial Narrow"/>
                <w:color w:val="333333"/>
                <w:sz w:val="18"/>
                <w:szCs w:val="18"/>
              </w:rPr>
            </w:pPr>
            <w:r w:rsidRPr="004442BC">
              <w:rPr>
                <w:rFonts w:ascii="Arial Narrow" w:hAnsi="Arial Narrow"/>
                <w:color w:val="333333"/>
                <w:sz w:val="18"/>
                <w:szCs w:val="18"/>
              </w:rPr>
              <w:t>The treatment must provide no more than the balance of up to 14 weeks treatment available under the above treatment phases</w:t>
            </w:r>
          </w:p>
        </w:tc>
      </w:tr>
      <w:tr w:rsidR="0034504B" w:rsidRPr="00120A12" w14:paraId="0E7249A1" w14:textId="77777777" w:rsidTr="00762948">
        <w:tc>
          <w:tcPr>
            <w:tcW w:w="553" w:type="pct"/>
            <w:vAlign w:val="center"/>
          </w:tcPr>
          <w:p w14:paraId="20F1B954" w14:textId="77777777" w:rsidR="0034504B" w:rsidRPr="004442BC" w:rsidRDefault="0034504B" w:rsidP="00762948">
            <w:pPr>
              <w:jc w:val="center"/>
              <w:rPr>
                <w:rFonts w:ascii="Arial Narrow" w:hAnsi="Arial Narrow"/>
                <w:color w:val="333333"/>
                <w:sz w:val="18"/>
                <w:szCs w:val="18"/>
              </w:rPr>
            </w:pPr>
          </w:p>
        </w:tc>
        <w:tc>
          <w:tcPr>
            <w:tcW w:w="4447" w:type="pct"/>
            <w:vAlign w:val="center"/>
            <w:hideMark/>
          </w:tcPr>
          <w:p w14:paraId="745F7E04" w14:textId="77777777" w:rsidR="0034504B" w:rsidRPr="004442BC" w:rsidRDefault="0034504B" w:rsidP="00762948">
            <w:pPr>
              <w:rPr>
                <w:rFonts w:ascii="Arial Narrow" w:hAnsi="Arial Narrow"/>
                <w:color w:val="333333"/>
                <w:sz w:val="18"/>
                <w:szCs w:val="18"/>
              </w:rPr>
            </w:pPr>
            <w:r w:rsidRPr="004442BC">
              <w:rPr>
                <w:rFonts w:ascii="Arial Narrow" w:hAnsi="Arial Narrow"/>
                <w:b/>
                <w:bCs/>
                <w:color w:val="333333"/>
                <w:sz w:val="18"/>
                <w:szCs w:val="18"/>
              </w:rPr>
              <w:t>AND</w:t>
            </w:r>
          </w:p>
        </w:tc>
      </w:tr>
      <w:tr w:rsidR="0034504B" w:rsidRPr="00120A12" w14:paraId="553EA828" w14:textId="77777777" w:rsidTr="00762948">
        <w:tc>
          <w:tcPr>
            <w:tcW w:w="553" w:type="pct"/>
            <w:vAlign w:val="center"/>
          </w:tcPr>
          <w:p w14:paraId="517F67CD" w14:textId="65EC84C5" w:rsidR="0034504B" w:rsidRPr="004442BC" w:rsidRDefault="0034504B" w:rsidP="00762948">
            <w:pPr>
              <w:jc w:val="center"/>
              <w:rPr>
                <w:rFonts w:ascii="Arial Narrow" w:hAnsi="Arial Narrow"/>
                <w:color w:val="333333"/>
                <w:sz w:val="18"/>
                <w:szCs w:val="18"/>
              </w:rPr>
            </w:pPr>
          </w:p>
        </w:tc>
        <w:tc>
          <w:tcPr>
            <w:tcW w:w="4447" w:type="pct"/>
            <w:vAlign w:val="center"/>
            <w:hideMark/>
          </w:tcPr>
          <w:p w14:paraId="1FBDF3CC" w14:textId="77777777" w:rsidR="0034504B" w:rsidRPr="004442BC" w:rsidRDefault="0034504B" w:rsidP="00762948">
            <w:pPr>
              <w:rPr>
                <w:rFonts w:ascii="Arial Narrow" w:hAnsi="Arial Narrow"/>
                <w:color w:val="333333"/>
                <w:sz w:val="18"/>
                <w:szCs w:val="18"/>
              </w:rPr>
            </w:pPr>
            <w:r w:rsidRPr="004442BC">
              <w:rPr>
                <w:rFonts w:ascii="Arial Narrow" w:hAnsi="Arial Narrow"/>
                <w:b/>
                <w:bCs/>
                <w:color w:val="333333"/>
                <w:sz w:val="18"/>
                <w:szCs w:val="18"/>
              </w:rPr>
              <w:t>Treatment criteria:</w:t>
            </w:r>
          </w:p>
        </w:tc>
      </w:tr>
      <w:tr w:rsidR="0034504B" w:rsidRPr="00120A12" w14:paraId="5CFC937C" w14:textId="77777777" w:rsidTr="00762948">
        <w:tc>
          <w:tcPr>
            <w:tcW w:w="553" w:type="pct"/>
            <w:vAlign w:val="center"/>
          </w:tcPr>
          <w:p w14:paraId="03907527" w14:textId="5E7F332B" w:rsidR="0034504B" w:rsidRPr="004442BC" w:rsidRDefault="0034504B" w:rsidP="00762948">
            <w:pPr>
              <w:jc w:val="center"/>
              <w:rPr>
                <w:rFonts w:ascii="Arial Narrow" w:hAnsi="Arial Narrow"/>
                <w:color w:val="333333"/>
                <w:sz w:val="18"/>
                <w:szCs w:val="18"/>
              </w:rPr>
            </w:pPr>
          </w:p>
        </w:tc>
        <w:tc>
          <w:tcPr>
            <w:tcW w:w="4447" w:type="pct"/>
            <w:vAlign w:val="center"/>
            <w:hideMark/>
          </w:tcPr>
          <w:p w14:paraId="57EB06F3" w14:textId="77777777" w:rsidR="0034504B" w:rsidRPr="004442BC" w:rsidRDefault="0034504B" w:rsidP="00762948">
            <w:pPr>
              <w:autoSpaceDE w:val="0"/>
              <w:autoSpaceDN w:val="0"/>
              <w:adjustRightInd w:val="0"/>
              <w:rPr>
                <w:rFonts w:ascii="Arial Narrow" w:hAnsi="Arial Narrow" w:cs="Arial Narrow"/>
                <w:sz w:val="18"/>
                <w:szCs w:val="18"/>
              </w:rPr>
            </w:pPr>
            <w:r w:rsidRPr="004442BC">
              <w:rPr>
                <w:rFonts w:ascii="Arial Narrow" w:hAnsi="Arial Narrow" w:cs="Arial Narrow"/>
                <w:sz w:val="18"/>
                <w:szCs w:val="18"/>
              </w:rPr>
              <w:t>Must be treated by a gastroenterologist, OR</w:t>
            </w:r>
          </w:p>
          <w:p w14:paraId="6E767171" w14:textId="77777777" w:rsidR="0034504B" w:rsidRPr="004442BC" w:rsidRDefault="0034504B" w:rsidP="00762948">
            <w:pPr>
              <w:autoSpaceDE w:val="0"/>
              <w:autoSpaceDN w:val="0"/>
              <w:adjustRightInd w:val="0"/>
              <w:rPr>
                <w:rFonts w:ascii="Arial Narrow" w:hAnsi="Arial Narrow" w:cs="Arial Narrow"/>
                <w:sz w:val="18"/>
                <w:szCs w:val="18"/>
              </w:rPr>
            </w:pPr>
            <w:r w:rsidRPr="004442BC">
              <w:rPr>
                <w:rFonts w:ascii="Arial Narrow" w:hAnsi="Arial Narrow" w:cs="Arial Narrow"/>
                <w:sz w:val="18"/>
                <w:szCs w:val="18"/>
              </w:rPr>
              <w:t>Must be treated by a consultant physician [internal medicine specialising in gastroenterology (code 81)]; OR</w:t>
            </w:r>
          </w:p>
          <w:p w14:paraId="50EADBBC" w14:textId="77777777" w:rsidR="0034504B" w:rsidRPr="004442BC" w:rsidRDefault="0034504B" w:rsidP="00762948">
            <w:pPr>
              <w:autoSpaceDE w:val="0"/>
              <w:autoSpaceDN w:val="0"/>
              <w:adjustRightInd w:val="0"/>
              <w:rPr>
                <w:rFonts w:ascii="Arial Narrow" w:hAnsi="Arial Narrow" w:cs="Arial Narrow"/>
                <w:sz w:val="20"/>
                <w:szCs w:val="20"/>
              </w:rPr>
            </w:pPr>
            <w:r w:rsidRPr="004442BC">
              <w:rPr>
                <w:rFonts w:ascii="Arial Narrow" w:hAnsi="Arial Narrow" w:cs="Arial Narrow"/>
                <w:sz w:val="18"/>
                <w:szCs w:val="18"/>
              </w:rPr>
              <w:t>Must be treated by a consultant physician [general medicine specialising in gastroenterology (code 82)].</w:t>
            </w:r>
          </w:p>
        </w:tc>
      </w:tr>
      <w:tr w:rsidR="0034504B" w:rsidRPr="00120A12" w14:paraId="78B7FA76" w14:textId="77777777" w:rsidTr="00762948">
        <w:tc>
          <w:tcPr>
            <w:tcW w:w="553" w:type="pct"/>
            <w:vAlign w:val="center"/>
          </w:tcPr>
          <w:p w14:paraId="4C5062C2" w14:textId="7A99F30E" w:rsidR="0034504B" w:rsidRPr="004442BC" w:rsidRDefault="0034504B" w:rsidP="00762948">
            <w:pPr>
              <w:jc w:val="center"/>
              <w:rPr>
                <w:rFonts w:ascii="Arial Narrow" w:hAnsi="Arial Narrow"/>
                <w:color w:val="333333"/>
                <w:sz w:val="18"/>
                <w:szCs w:val="18"/>
              </w:rPr>
            </w:pPr>
          </w:p>
        </w:tc>
        <w:tc>
          <w:tcPr>
            <w:tcW w:w="4447" w:type="pct"/>
            <w:vAlign w:val="center"/>
          </w:tcPr>
          <w:p w14:paraId="42E998D3" w14:textId="77777777" w:rsidR="0034504B" w:rsidRPr="004442BC" w:rsidRDefault="0034504B" w:rsidP="00762948">
            <w:pPr>
              <w:rPr>
                <w:rFonts w:ascii="Arial Narrow" w:hAnsi="Arial Narrow"/>
                <w:b/>
                <w:bCs/>
                <w:color w:val="333333"/>
                <w:sz w:val="18"/>
                <w:szCs w:val="18"/>
              </w:rPr>
            </w:pPr>
            <w:r w:rsidRPr="004442BC">
              <w:rPr>
                <w:rFonts w:ascii="Arial Narrow" w:hAnsi="Arial Narrow"/>
                <w:b/>
                <w:bCs/>
                <w:color w:val="333333"/>
                <w:sz w:val="18"/>
                <w:szCs w:val="18"/>
              </w:rPr>
              <w:t xml:space="preserve">Administrative Advice:  </w:t>
            </w:r>
          </w:p>
          <w:p w14:paraId="1698A328" w14:textId="77777777" w:rsidR="0034504B" w:rsidRPr="004442BC" w:rsidRDefault="0034504B" w:rsidP="00762948">
            <w:pPr>
              <w:rPr>
                <w:rFonts w:ascii="Arial Narrow" w:hAnsi="Arial Narrow"/>
                <w:color w:val="333333"/>
                <w:sz w:val="18"/>
                <w:szCs w:val="18"/>
              </w:rPr>
            </w:pPr>
            <w:r w:rsidRPr="004442BC">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Monday to Friday).</w:t>
            </w:r>
          </w:p>
        </w:tc>
      </w:tr>
    </w:tbl>
    <w:p w14:paraId="45108544" w14:textId="77777777" w:rsidR="0034504B" w:rsidRDefault="0034504B" w:rsidP="0034504B"/>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34504B" w:rsidRPr="009A610D" w14:paraId="02D9BAE9" w14:textId="77777777" w:rsidTr="00762948">
        <w:trPr>
          <w:cantSplit/>
          <w:trHeight w:val="471"/>
        </w:trPr>
        <w:tc>
          <w:tcPr>
            <w:tcW w:w="2689" w:type="dxa"/>
          </w:tcPr>
          <w:p w14:paraId="25D55A0C" w14:textId="77777777" w:rsidR="0034504B" w:rsidRPr="009A610D" w:rsidRDefault="0034504B" w:rsidP="00762948">
            <w:pPr>
              <w:keepNext/>
              <w:ind w:left="-108"/>
              <w:rPr>
                <w:rFonts w:ascii="Arial Narrow" w:hAnsi="Arial Narrow"/>
                <w:b/>
                <w:sz w:val="18"/>
                <w:szCs w:val="18"/>
              </w:rPr>
            </w:pPr>
            <w:r w:rsidRPr="009A610D">
              <w:rPr>
                <w:rFonts w:ascii="Arial Narrow" w:hAnsi="Arial Narrow"/>
                <w:b/>
                <w:sz w:val="18"/>
                <w:szCs w:val="18"/>
              </w:rPr>
              <w:t>Name, Restriction,</w:t>
            </w:r>
          </w:p>
          <w:p w14:paraId="04EC37C2" w14:textId="77777777" w:rsidR="0034504B" w:rsidRPr="009A610D" w:rsidRDefault="0034504B" w:rsidP="00762948">
            <w:pPr>
              <w:keepNext/>
              <w:ind w:left="-108"/>
              <w:rPr>
                <w:rFonts w:ascii="Arial Narrow" w:hAnsi="Arial Narrow"/>
                <w:b/>
                <w:sz w:val="18"/>
                <w:szCs w:val="18"/>
              </w:rPr>
            </w:pPr>
            <w:r w:rsidRPr="009A610D">
              <w:rPr>
                <w:rFonts w:ascii="Arial Narrow" w:hAnsi="Arial Narrow"/>
                <w:b/>
                <w:sz w:val="18"/>
                <w:szCs w:val="18"/>
              </w:rPr>
              <w:t>Manner of administration and form</w:t>
            </w:r>
          </w:p>
        </w:tc>
        <w:tc>
          <w:tcPr>
            <w:tcW w:w="1275" w:type="dxa"/>
          </w:tcPr>
          <w:p w14:paraId="7523C632" w14:textId="77777777" w:rsidR="0034504B" w:rsidRPr="009A610D" w:rsidRDefault="0034504B" w:rsidP="00762948">
            <w:pPr>
              <w:keepNext/>
              <w:ind w:left="-108"/>
              <w:jc w:val="center"/>
              <w:rPr>
                <w:rFonts w:ascii="Arial Narrow" w:hAnsi="Arial Narrow"/>
                <w:b/>
                <w:sz w:val="18"/>
                <w:szCs w:val="18"/>
              </w:rPr>
            </w:pPr>
            <w:r>
              <w:rPr>
                <w:rFonts w:ascii="Arial Narrow" w:hAnsi="Arial Narrow"/>
                <w:b/>
                <w:sz w:val="18"/>
                <w:szCs w:val="18"/>
              </w:rPr>
              <w:t>PBS item code</w:t>
            </w:r>
          </w:p>
        </w:tc>
        <w:tc>
          <w:tcPr>
            <w:tcW w:w="851" w:type="dxa"/>
          </w:tcPr>
          <w:p w14:paraId="78775942" w14:textId="77777777" w:rsidR="0034504B" w:rsidRPr="009A610D" w:rsidRDefault="0034504B" w:rsidP="00762948">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850" w:type="dxa"/>
          </w:tcPr>
          <w:p w14:paraId="15A824CD" w14:textId="77777777" w:rsidR="0034504B" w:rsidRPr="009A610D" w:rsidRDefault="0034504B" w:rsidP="00762948">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Pr>
          <w:p w14:paraId="6E988EA2" w14:textId="77777777" w:rsidR="0034504B" w:rsidRPr="009A610D" w:rsidRDefault="0034504B" w:rsidP="00762948">
            <w:pPr>
              <w:keepNext/>
              <w:ind w:left="-108"/>
              <w:jc w:val="center"/>
              <w:rPr>
                <w:rFonts w:ascii="Arial Narrow" w:hAnsi="Arial Narrow"/>
                <w:b/>
                <w:sz w:val="18"/>
                <w:szCs w:val="18"/>
              </w:rPr>
            </w:pPr>
            <w:r w:rsidRPr="009A610D">
              <w:rPr>
                <w:rFonts w:ascii="Arial Narrow" w:hAnsi="Arial Narrow"/>
                <w:b/>
                <w:sz w:val="18"/>
                <w:szCs w:val="18"/>
              </w:rPr>
              <w:t>№.of</w:t>
            </w:r>
          </w:p>
          <w:p w14:paraId="6DA4C599" w14:textId="77777777" w:rsidR="0034504B" w:rsidRPr="009A610D" w:rsidRDefault="0034504B" w:rsidP="00762948">
            <w:pPr>
              <w:keepNext/>
              <w:ind w:left="-108"/>
              <w:jc w:val="center"/>
              <w:rPr>
                <w:rFonts w:ascii="Arial Narrow" w:hAnsi="Arial Narrow"/>
                <w:b/>
                <w:sz w:val="18"/>
                <w:szCs w:val="18"/>
              </w:rPr>
            </w:pPr>
            <w:r w:rsidRPr="009A610D">
              <w:rPr>
                <w:rFonts w:ascii="Arial Narrow" w:hAnsi="Arial Narrow"/>
                <w:b/>
                <w:sz w:val="18"/>
                <w:szCs w:val="18"/>
              </w:rPr>
              <w:t>Rpts</w:t>
            </w:r>
          </w:p>
        </w:tc>
        <w:tc>
          <w:tcPr>
            <w:tcW w:w="2551" w:type="dxa"/>
            <w:gridSpan w:val="2"/>
          </w:tcPr>
          <w:p w14:paraId="653D7C62" w14:textId="77777777" w:rsidR="0034504B" w:rsidRPr="009A610D" w:rsidRDefault="0034504B" w:rsidP="00762948">
            <w:pPr>
              <w:keepNext/>
              <w:rPr>
                <w:rFonts w:ascii="Arial Narrow" w:hAnsi="Arial Narrow"/>
                <w:b/>
                <w:sz w:val="18"/>
                <w:szCs w:val="18"/>
                <w:lang w:val="fr-FR"/>
              </w:rPr>
            </w:pPr>
            <w:r w:rsidRPr="009A610D">
              <w:rPr>
                <w:rFonts w:ascii="Arial Narrow" w:hAnsi="Arial Narrow"/>
                <w:b/>
                <w:sz w:val="18"/>
                <w:szCs w:val="18"/>
              </w:rPr>
              <w:t>Proprietary Name and Manufacturer</w:t>
            </w:r>
          </w:p>
        </w:tc>
      </w:tr>
      <w:tr w:rsidR="00C93979" w:rsidRPr="009A610D" w14:paraId="320B23B8" w14:textId="77777777" w:rsidTr="002925FF">
        <w:trPr>
          <w:cantSplit/>
          <w:trHeight w:val="471"/>
        </w:trPr>
        <w:tc>
          <w:tcPr>
            <w:tcW w:w="8925" w:type="dxa"/>
            <w:gridSpan w:val="7"/>
          </w:tcPr>
          <w:p w14:paraId="71C859FB" w14:textId="77777777" w:rsidR="00C93979" w:rsidRPr="00120A12" w:rsidRDefault="00C93979" w:rsidP="00C93979">
            <w:pPr>
              <w:keepNext/>
              <w:ind w:left="-108"/>
              <w:rPr>
                <w:rFonts w:ascii="Arial Narrow" w:hAnsi="Arial Narrow"/>
                <w:sz w:val="18"/>
                <w:szCs w:val="18"/>
              </w:rPr>
            </w:pPr>
            <w:r>
              <w:rPr>
                <w:rFonts w:ascii="Arial Narrow" w:hAnsi="Arial Narrow"/>
                <w:sz w:val="18"/>
                <w:szCs w:val="18"/>
              </w:rPr>
              <w:t>VEDOLIZUMAB</w:t>
            </w:r>
          </w:p>
          <w:p w14:paraId="3645E266" w14:textId="77777777" w:rsidR="00C93979" w:rsidRPr="009A610D" w:rsidRDefault="00C93979" w:rsidP="00762948">
            <w:pPr>
              <w:keepNext/>
              <w:rPr>
                <w:rFonts w:ascii="Arial Narrow" w:hAnsi="Arial Narrow"/>
                <w:b/>
                <w:sz w:val="18"/>
                <w:szCs w:val="18"/>
              </w:rPr>
            </w:pPr>
          </w:p>
        </w:tc>
      </w:tr>
      <w:tr w:rsidR="0034504B" w:rsidRPr="009A610D" w14:paraId="7252A320" w14:textId="77777777" w:rsidTr="00762948">
        <w:trPr>
          <w:cantSplit/>
          <w:trHeight w:val="761"/>
        </w:trPr>
        <w:tc>
          <w:tcPr>
            <w:tcW w:w="2689" w:type="dxa"/>
          </w:tcPr>
          <w:p w14:paraId="4BD520EE" w14:textId="77777777" w:rsidR="0034504B" w:rsidRDefault="0034504B" w:rsidP="00762948">
            <w:pPr>
              <w:keepNext/>
              <w:ind w:left="-108"/>
              <w:rPr>
                <w:rFonts w:ascii="Arial Narrow" w:hAnsi="Arial Narrow"/>
                <w:sz w:val="18"/>
                <w:szCs w:val="18"/>
              </w:rPr>
            </w:pPr>
          </w:p>
          <w:p w14:paraId="4A5D2B31" w14:textId="4ED494C2" w:rsidR="0034504B" w:rsidRPr="003803A0" w:rsidRDefault="00C93979" w:rsidP="00762948">
            <w:pPr>
              <w:keepNext/>
              <w:ind w:left="-108"/>
              <w:rPr>
                <w:rFonts w:ascii="Arial Narrow" w:hAnsi="Arial Narrow"/>
                <w:sz w:val="18"/>
                <w:szCs w:val="18"/>
              </w:rPr>
            </w:pPr>
            <w:r>
              <w:rPr>
                <w:rFonts w:ascii="Arial Narrow" w:hAnsi="Arial Narrow"/>
                <w:sz w:val="18"/>
                <w:szCs w:val="18"/>
              </w:rPr>
              <w:t xml:space="preserve">vedolizumab </w:t>
            </w:r>
            <w:r w:rsidR="0034504B" w:rsidRPr="004119CC">
              <w:rPr>
                <w:rFonts w:ascii="Arial Narrow" w:hAnsi="Arial Narrow"/>
                <w:sz w:val="18"/>
                <w:szCs w:val="18"/>
              </w:rPr>
              <w:t>300 mg injection, 1 vial</w:t>
            </w:r>
          </w:p>
        </w:tc>
        <w:tc>
          <w:tcPr>
            <w:tcW w:w="1275" w:type="dxa"/>
          </w:tcPr>
          <w:p w14:paraId="734EE3BE" w14:textId="77777777" w:rsidR="0034504B" w:rsidRDefault="0034504B" w:rsidP="00762948">
            <w:pPr>
              <w:keepNext/>
              <w:ind w:left="-108"/>
              <w:jc w:val="center"/>
              <w:rPr>
                <w:rFonts w:ascii="Arial Narrow" w:hAnsi="Arial Narrow"/>
                <w:sz w:val="18"/>
                <w:szCs w:val="18"/>
              </w:rPr>
            </w:pPr>
          </w:p>
          <w:p w14:paraId="3483F446" w14:textId="77777777" w:rsidR="0034504B" w:rsidRDefault="0034504B" w:rsidP="00762948">
            <w:pPr>
              <w:keepNext/>
              <w:ind w:left="-108"/>
              <w:jc w:val="center"/>
              <w:rPr>
                <w:rFonts w:ascii="Arial Narrow" w:hAnsi="Arial Narrow"/>
                <w:sz w:val="18"/>
                <w:szCs w:val="18"/>
              </w:rPr>
            </w:pPr>
          </w:p>
          <w:p w14:paraId="21DE1B24" w14:textId="2DD4D9E0" w:rsidR="00C93979" w:rsidRPr="00BD19A7" w:rsidRDefault="00C93979" w:rsidP="00C93979">
            <w:pPr>
              <w:keepNext/>
              <w:keepLines/>
              <w:jc w:val="center"/>
              <w:rPr>
                <w:rFonts w:ascii="Arial Narrow" w:hAnsi="Arial Narrow"/>
                <w:sz w:val="20"/>
                <w:szCs w:val="20"/>
              </w:rPr>
            </w:pPr>
            <w:r w:rsidRPr="00BD19A7">
              <w:rPr>
                <w:rFonts w:ascii="Arial Narrow" w:hAnsi="Arial Narrow"/>
                <w:sz w:val="20"/>
                <w:szCs w:val="20"/>
              </w:rPr>
              <w:t xml:space="preserve"> NEW (</w:t>
            </w:r>
            <w:r w:rsidR="00A976DE">
              <w:rPr>
                <w:rFonts w:ascii="Arial Narrow" w:hAnsi="Arial Narrow"/>
                <w:sz w:val="20"/>
                <w:szCs w:val="20"/>
              </w:rPr>
              <w:t xml:space="preserve">HSD </w:t>
            </w:r>
            <w:r w:rsidRPr="00BD19A7">
              <w:rPr>
                <w:rFonts w:ascii="Arial Narrow" w:hAnsi="Arial Narrow"/>
                <w:sz w:val="20"/>
                <w:szCs w:val="20"/>
              </w:rPr>
              <w:t>Public)</w:t>
            </w:r>
          </w:p>
          <w:p w14:paraId="60C3F125" w14:textId="14D53018" w:rsidR="00C93979" w:rsidRPr="00BD19A7" w:rsidRDefault="00C93979" w:rsidP="00C93979">
            <w:pPr>
              <w:keepNext/>
              <w:keepLines/>
              <w:jc w:val="center"/>
              <w:rPr>
                <w:rFonts w:ascii="Arial Narrow" w:hAnsi="Arial Narrow"/>
                <w:sz w:val="20"/>
                <w:szCs w:val="20"/>
              </w:rPr>
            </w:pPr>
            <w:r w:rsidRPr="00BD19A7">
              <w:rPr>
                <w:rFonts w:ascii="Arial Narrow" w:hAnsi="Arial Narrow"/>
                <w:sz w:val="20"/>
                <w:szCs w:val="20"/>
              </w:rPr>
              <w:t>NEW (</w:t>
            </w:r>
            <w:r w:rsidR="00A976DE">
              <w:rPr>
                <w:rFonts w:ascii="Arial Narrow" w:hAnsi="Arial Narrow"/>
                <w:sz w:val="20"/>
                <w:szCs w:val="20"/>
              </w:rPr>
              <w:t xml:space="preserve">HSD </w:t>
            </w:r>
            <w:r w:rsidRPr="00BD19A7">
              <w:rPr>
                <w:rFonts w:ascii="Arial Narrow" w:hAnsi="Arial Narrow"/>
                <w:sz w:val="20"/>
                <w:szCs w:val="20"/>
              </w:rPr>
              <w:t>Private)</w:t>
            </w:r>
          </w:p>
          <w:p w14:paraId="453EEBD5" w14:textId="5806F3B4" w:rsidR="0034504B" w:rsidRPr="009A610D" w:rsidRDefault="00C93979" w:rsidP="00C93979">
            <w:pPr>
              <w:keepNext/>
              <w:ind w:left="-108"/>
              <w:jc w:val="center"/>
              <w:rPr>
                <w:rFonts w:ascii="Arial Narrow" w:hAnsi="Arial Narrow"/>
                <w:sz w:val="18"/>
                <w:szCs w:val="18"/>
              </w:rPr>
            </w:pPr>
            <w:r w:rsidRPr="00BD19A7">
              <w:rPr>
                <w:rFonts w:ascii="Arial Narrow" w:hAnsi="Arial Narrow"/>
                <w:sz w:val="20"/>
                <w:szCs w:val="20"/>
                <w:vertAlign w:val="subscript"/>
              </w:rPr>
              <w:t>MP</w:t>
            </w:r>
          </w:p>
        </w:tc>
        <w:tc>
          <w:tcPr>
            <w:tcW w:w="851" w:type="dxa"/>
          </w:tcPr>
          <w:p w14:paraId="19EA3262" w14:textId="77777777" w:rsidR="0034504B" w:rsidRDefault="0034504B" w:rsidP="00762948">
            <w:pPr>
              <w:keepNext/>
              <w:jc w:val="center"/>
              <w:rPr>
                <w:rFonts w:ascii="Arial Narrow" w:hAnsi="Arial Narrow"/>
                <w:sz w:val="18"/>
                <w:szCs w:val="18"/>
              </w:rPr>
            </w:pPr>
          </w:p>
          <w:p w14:paraId="489B9193" w14:textId="77777777" w:rsidR="0034504B" w:rsidRDefault="0034504B" w:rsidP="00762948">
            <w:pPr>
              <w:keepNext/>
              <w:ind w:left="-108"/>
              <w:jc w:val="center"/>
              <w:rPr>
                <w:rFonts w:ascii="Arial Narrow" w:hAnsi="Arial Narrow"/>
                <w:sz w:val="18"/>
                <w:szCs w:val="18"/>
              </w:rPr>
            </w:pPr>
          </w:p>
          <w:p w14:paraId="132C822E" w14:textId="77777777" w:rsidR="0034504B" w:rsidRPr="009A610D" w:rsidRDefault="0034504B" w:rsidP="00762948">
            <w:pPr>
              <w:keepNext/>
              <w:jc w:val="center"/>
              <w:rPr>
                <w:rFonts w:ascii="Arial Narrow" w:hAnsi="Arial Narrow"/>
                <w:sz w:val="18"/>
                <w:szCs w:val="18"/>
              </w:rPr>
            </w:pPr>
            <w:r w:rsidRPr="009A610D">
              <w:rPr>
                <w:rFonts w:ascii="Arial Narrow" w:hAnsi="Arial Narrow"/>
                <w:sz w:val="18"/>
                <w:szCs w:val="18"/>
              </w:rPr>
              <w:t>1</w:t>
            </w:r>
          </w:p>
        </w:tc>
        <w:tc>
          <w:tcPr>
            <w:tcW w:w="850" w:type="dxa"/>
          </w:tcPr>
          <w:p w14:paraId="2D8AE705" w14:textId="77777777" w:rsidR="0034504B" w:rsidRDefault="0034504B" w:rsidP="00762948">
            <w:pPr>
              <w:keepNext/>
              <w:ind w:left="-108"/>
              <w:jc w:val="center"/>
              <w:rPr>
                <w:rFonts w:ascii="Arial Narrow" w:hAnsi="Arial Narrow"/>
                <w:sz w:val="18"/>
                <w:szCs w:val="18"/>
              </w:rPr>
            </w:pPr>
          </w:p>
          <w:p w14:paraId="44CD6928" w14:textId="77777777" w:rsidR="0034504B" w:rsidRDefault="0034504B" w:rsidP="00762948">
            <w:pPr>
              <w:keepNext/>
              <w:rPr>
                <w:rFonts w:ascii="Arial Narrow" w:hAnsi="Arial Narrow"/>
                <w:sz w:val="18"/>
                <w:szCs w:val="18"/>
              </w:rPr>
            </w:pPr>
          </w:p>
          <w:p w14:paraId="1748022B" w14:textId="77777777" w:rsidR="0034504B" w:rsidRPr="009A610D" w:rsidRDefault="0034504B" w:rsidP="00762948">
            <w:pPr>
              <w:keepNext/>
              <w:ind w:left="-108"/>
              <w:jc w:val="center"/>
              <w:rPr>
                <w:rFonts w:ascii="Arial Narrow" w:hAnsi="Arial Narrow"/>
                <w:sz w:val="18"/>
                <w:szCs w:val="18"/>
              </w:rPr>
            </w:pPr>
            <w:r>
              <w:rPr>
                <w:rFonts w:ascii="Arial Narrow" w:hAnsi="Arial Narrow"/>
                <w:sz w:val="18"/>
                <w:szCs w:val="18"/>
              </w:rPr>
              <w:t>1</w:t>
            </w:r>
          </w:p>
        </w:tc>
        <w:tc>
          <w:tcPr>
            <w:tcW w:w="709" w:type="dxa"/>
          </w:tcPr>
          <w:p w14:paraId="4087EEE8" w14:textId="77777777" w:rsidR="0034504B" w:rsidRPr="009A610D" w:rsidRDefault="0034504B" w:rsidP="00762948">
            <w:pPr>
              <w:keepNext/>
              <w:ind w:left="-108"/>
              <w:jc w:val="center"/>
              <w:rPr>
                <w:rFonts w:ascii="Arial Narrow" w:hAnsi="Arial Narrow"/>
                <w:sz w:val="18"/>
                <w:szCs w:val="18"/>
              </w:rPr>
            </w:pPr>
          </w:p>
          <w:p w14:paraId="39E51878" w14:textId="77777777" w:rsidR="0034504B" w:rsidRDefault="0034504B" w:rsidP="00762948">
            <w:pPr>
              <w:keepNext/>
              <w:ind w:left="-108"/>
              <w:jc w:val="center"/>
              <w:rPr>
                <w:rFonts w:ascii="Arial Narrow" w:hAnsi="Arial Narrow"/>
                <w:sz w:val="18"/>
                <w:szCs w:val="18"/>
              </w:rPr>
            </w:pPr>
          </w:p>
          <w:p w14:paraId="24E8736F" w14:textId="77777777" w:rsidR="0034504B" w:rsidRPr="009A610D" w:rsidRDefault="0034504B" w:rsidP="00762948">
            <w:pPr>
              <w:keepNext/>
              <w:ind w:left="-108"/>
              <w:jc w:val="center"/>
              <w:rPr>
                <w:rFonts w:ascii="Arial Narrow" w:hAnsi="Arial Narrow"/>
                <w:sz w:val="18"/>
                <w:szCs w:val="18"/>
              </w:rPr>
            </w:pPr>
            <w:r>
              <w:rPr>
                <w:rFonts w:ascii="Arial Narrow" w:hAnsi="Arial Narrow"/>
                <w:sz w:val="18"/>
                <w:szCs w:val="18"/>
              </w:rPr>
              <w:t>2</w:t>
            </w:r>
          </w:p>
          <w:p w14:paraId="04A139E0" w14:textId="77777777" w:rsidR="0034504B" w:rsidRPr="009A610D" w:rsidRDefault="0034504B" w:rsidP="00762948">
            <w:pPr>
              <w:keepNext/>
              <w:rPr>
                <w:rFonts w:ascii="Arial Narrow" w:hAnsi="Arial Narrow"/>
                <w:sz w:val="18"/>
                <w:szCs w:val="18"/>
              </w:rPr>
            </w:pPr>
          </w:p>
        </w:tc>
        <w:tc>
          <w:tcPr>
            <w:tcW w:w="1134" w:type="dxa"/>
          </w:tcPr>
          <w:p w14:paraId="383603F8" w14:textId="77777777" w:rsidR="0034504B" w:rsidRDefault="0034504B" w:rsidP="00762948">
            <w:pPr>
              <w:keepNext/>
              <w:rPr>
                <w:rFonts w:ascii="Arial Narrow" w:hAnsi="Arial Narrow"/>
                <w:sz w:val="18"/>
                <w:szCs w:val="18"/>
              </w:rPr>
            </w:pPr>
          </w:p>
          <w:p w14:paraId="0B430069" w14:textId="77777777" w:rsidR="0034504B" w:rsidRDefault="0034504B" w:rsidP="00762948">
            <w:pPr>
              <w:keepNext/>
              <w:rPr>
                <w:rFonts w:ascii="Arial Narrow" w:hAnsi="Arial Narrow"/>
                <w:sz w:val="18"/>
                <w:szCs w:val="18"/>
              </w:rPr>
            </w:pPr>
          </w:p>
          <w:p w14:paraId="24738248" w14:textId="77777777" w:rsidR="0034504B" w:rsidRPr="009A610D" w:rsidRDefault="0034504B" w:rsidP="00762948">
            <w:pPr>
              <w:keepNext/>
              <w:rPr>
                <w:rFonts w:ascii="Arial Narrow" w:hAnsi="Arial Narrow"/>
                <w:sz w:val="18"/>
                <w:szCs w:val="18"/>
              </w:rPr>
            </w:pPr>
            <w:r>
              <w:rPr>
                <w:rFonts w:ascii="Arial Narrow" w:hAnsi="Arial Narrow"/>
                <w:sz w:val="18"/>
                <w:szCs w:val="18"/>
              </w:rPr>
              <w:t>Entyvio</w:t>
            </w:r>
            <w:r w:rsidRPr="009A610D">
              <w:rPr>
                <w:rFonts w:ascii="Arial Narrow" w:hAnsi="Arial Narrow"/>
                <w:sz w:val="18"/>
                <w:szCs w:val="18"/>
                <w:vertAlign w:val="superscript"/>
              </w:rPr>
              <w:t>®</w:t>
            </w:r>
          </w:p>
        </w:tc>
        <w:tc>
          <w:tcPr>
            <w:tcW w:w="1417" w:type="dxa"/>
          </w:tcPr>
          <w:p w14:paraId="7E59B83A" w14:textId="77777777" w:rsidR="0034504B" w:rsidRDefault="0034504B" w:rsidP="00762948">
            <w:pPr>
              <w:keepNext/>
              <w:rPr>
                <w:rFonts w:ascii="Arial Narrow" w:hAnsi="Arial Narrow"/>
                <w:sz w:val="18"/>
                <w:szCs w:val="18"/>
              </w:rPr>
            </w:pPr>
          </w:p>
          <w:p w14:paraId="52FD927D" w14:textId="77777777" w:rsidR="0034504B" w:rsidRDefault="0034504B" w:rsidP="00762948">
            <w:pPr>
              <w:keepNext/>
              <w:rPr>
                <w:rFonts w:ascii="Arial Narrow" w:hAnsi="Arial Narrow"/>
                <w:sz w:val="18"/>
                <w:szCs w:val="18"/>
              </w:rPr>
            </w:pPr>
          </w:p>
          <w:p w14:paraId="64E9A458" w14:textId="77777777" w:rsidR="0034504B" w:rsidRPr="009A610D" w:rsidRDefault="0034504B" w:rsidP="00762948">
            <w:pPr>
              <w:keepNext/>
              <w:rPr>
                <w:rFonts w:ascii="Arial Narrow" w:hAnsi="Arial Narrow"/>
                <w:sz w:val="18"/>
                <w:szCs w:val="18"/>
              </w:rPr>
            </w:pPr>
            <w:r>
              <w:rPr>
                <w:rFonts w:ascii="Arial Narrow" w:hAnsi="Arial Narrow"/>
                <w:sz w:val="18"/>
                <w:szCs w:val="18"/>
              </w:rPr>
              <w:t>Takeda Pharmaceuticals Pty Ltd</w:t>
            </w:r>
          </w:p>
        </w:tc>
      </w:tr>
    </w:tbl>
    <w:p w14:paraId="6748F6B0" w14:textId="77777777" w:rsidR="0034504B" w:rsidRDefault="0034504B" w:rsidP="0034504B"/>
    <w:p w14:paraId="752CA5B6" w14:textId="77777777" w:rsidR="0034504B" w:rsidRPr="00507253" w:rsidRDefault="0034504B" w:rsidP="0034504B">
      <w:pPr>
        <w:rPr>
          <w:rFonts w:ascii="Arial Narrow" w:hAnsi="Arial Narrow"/>
          <w:b/>
          <w:sz w:val="18"/>
          <w:szCs w:val="18"/>
        </w:rPr>
      </w:pPr>
      <w:r w:rsidRPr="00507253">
        <w:rPr>
          <w:rFonts w:ascii="Arial Narrow" w:hAnsi="Arial Narrow"/>
          <w:b/>
          <w:sz w:val="18"/>
          <w:szCs w:val="18"/>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34504B" w:rsidRPr="00120A12" w14:paraId="1009C3CD" w14:textId="77777777" w:rsidTr="00762948">
        <w:tc>
          <w:tcPr>
            <w:tcW w:w="553" w:type="pct"/>
            <w:tcBorders>
              <w:top w:val="single" w:sz="4" w:space="0" w:color="auto"/>
              <w:left w:val="single" w:sz="4" w:space="0" w:color="auto"/>
              <w:bottom w:val="single" w:sz="4" w:space="0" w:color="auto"/>
              <w:right w:val="single" w:sz="4" w:space="0" w:color="auto"/>
            </w:tcBorders>
          </w:tcPr>
          <w:p w14:paraId="4CDE26E9" w14:textId="77777777" w:rsidR="0034504B" w:rsidRPr="00507253" w:rsidRDefault="0034504B" w:rsidP="00762948">
            <w:pPr>
              <w:jc w:val="center"/>
              <w:rPr>
                <w:rFonts w:ascii="Arial Narrow" w:hAnsi="Arial Narrow"/>
                <w:b/>
                <w:sz w:val="18"/>
                <w:szCs w:val="18"/>
              </w:rPr>
            </w:pPr>
            <w:r w:rsidRPr="00507253">
              <w:rPr>
                <w:rFonts w:ascii="Arial Narrow" w:hAnsi="Arial Narrow"/>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14:paraId="018792CA" w14:textId="77777777" w:rsidR="0034504B" w:rsidRDefault="0034504B" w:rsidP="00762948">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p>
          <w:p w14:paraId="4916F034" w14:textId="77777777" w:rsidR="0034504B" w:rsidRPr="00120A12" w:rsidRDefault="0034504B" w:rsidP="00762948">
            <w:pPr>
              <w:rPr>
                <w:rFonts w:ascii="Arial Narrow" w:hAnsi="Arial Narrow"/>
                <w:sz w:val="18"/>
                <w:szCs w:val="18"/>
              </w:rPr>
            </w:pPr>
            <w:r w:rsidRPr="003D201F">
              <w:rPr>
                <w:rFonts w:ascii="Arial Narrow" w:hAnsi="Arial Narrow"/>
                <w:sz w:val="18"/>
                <w:szCs w:val="18"/>
              </w:rPr>
              <w:t>Section 100 – Highly Specialised Drugs Program {</w:t>
            </w:r>
            <w:r>
              <w:rPr>
                <w:rFonts w:ascii="Arial Narrow" w:hAnsi="Arial Narrow"/>
                <w:sz w:val="18"/>
                <w:szCs w:val="18"/>
              </w:rPr>
              <w:t>Public/Private Hospitals}</w:t>
            </w:r>
            <w:r w:rsidRPr="003D201F">
              <w:rPr>
                <w:rFonts w:ascii="Arial Narrow" w:hAnsi="Arial Narrow"/>
                <w:sz w:val="18"/>
                <w:szCs w:val="18"/>
              </w:rPr>
              <w:t xml:space="preserve">  </w:t>
            </w:r>
          </w:p>
        </w:tc>
      </w:tr>
      <w:tr w:rsidR="0034504B" w:rsidRPr="00120A12" w14:paraId="6D67F6B2" w14:textId="77777777" w:rsidTr="00762948">
        <w:trPr>
          <w:trHeight w:val="366"/>
        </w:trPr>
        <w:tc>
          <w:tcPr>
            <w:tcW w:w="553" w:type="pct"/>
            <w:tcBorders>
              <w:top w:val="single" w:sz="4" w:space="0" w:color="auto"/>
              <w:left w:val="single" w:sz="4" w:space="0" w:color="auto"/>
              <w:bottom w:val="single" w:sz="4" w:space="0" w:color="auto"/>
              <w:right w:val="single" w:sz="4" w:space="0" w:color="auto"/>
            </w:tcBorders>
          </w:tcPr>
          <w:p w14:paraId="61A9444C" w14:textId="77777777" w:rsidR="0034504B" w:rsidRPr="0020649C"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35ADF39F" w14:textId="77777777" w:rsidR="0034504B" w:rsidRPr="00120A12" w:rsidRDefault="0034504B" w:rsidP="00762948">
            <w:pPr>
              <w:rPr>
                <w:rFonts w:ascii="Arial Narrow" w:hAnsi="Arial Narrow"/>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ldLock="1">
                <w:ffData>
                  <w:name w:val=""/>
                  <w:enabled/>
                  <w:calcOnExit w:val="0"/>
                  <w:checkBox>
                    <w:sizeAuto/>
                    <w:default w:val="1"/>
                  </w:checkBox>
                </w:ffData>
              </w:fldChar>
            </w:r>
            <w:r>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 xml:space="preserve">Medical Practitioners  </w:t>
            </w:r>
          </w:p>
        </w:tc>
      </w:tr>
      <w:tr w:rsidR="0034504B" w:rsidRPr="00120A12" w14:paraId="5F99D806" w14:textId="77777777" w:rsidTr="00762948">
        <w:tc>
          <w:tcPr>
            <w:tcW w:w="553" w:type="pct"/>
            <w:tcBorders>
              <w:top w:val="single" w:sz="4" w:space="0" w:color="auto"/>
              <w:left w:val="single" w:sz="4" w:space="0" w:color="auto"/>
              <w:bottom w:val="single" w:sz="4" w:space="0" w:color="auto"/>
              <w:right w:val="single" w:sz="4" w:space="0" w:color="auto"/>
            </w:tcBorders>
          </w:tcPr>
          <w:p w14:paraId="487005FF" w14:textId="77777777" w:rsidR="0034504B" w:rsidRPr="0020649C"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0CA2E0E1" w14:textId="0AF19682" w:rsidR="0034504B" w:rsidRPr="00BB36BA" w:rsidRDefault="0034504B" w:rsidP="00762948">
            <w:pPr>
              <w:rPr>
                <w:rFonts w:ascii="Arial Narrow" w:hAnsi="Arial Narrow"/>
                <w:b/>
                <w:sz w:val="18"/>
                <w:szCs w:val="18"/>
              </w:rPr>
            </w:pPr>
            <w:r w:rsidRPr="0020649C">
              <w:rPr>
                <w:rFonts w:ascii="Arial Narrow" w:hAnsi="Arial Narrow"/>
                <w:b/>
                <w:sz w:val="18"/>
                <w:szCs w:val="18"/>
              </w:rPr>
              <w:t>Restriction Level / Method:</w:t>
            </w:r>
            <w:r>
              <w:rPr>
                <w:rFonts w:ascii="Arial Narrow" w:hAnsi="Arial Narrow"/>
                <w:b/>
                <w:sz w:val="18"/>
                <w:szCs w:val="18"/>
              </w:rPr>
              <w:t xml:space="preserve"> </w:t>
            </w:r>
            <w:r>
              <w:rPr>
                <w:rFonts w:ascii="Arial Narrow" w:hAnsi="Arial Narrow"/>
                <w:sz w:val="18"/>
                <w:szCs w:val="18"/>
              </w:rPr>
              <w:fldChar w:fldCharType="begin" w:fldLock="1">
                <w:ffData>
                  <w:name w:val=""/>
                  <w:enabled/>
                  <w:calcOnExit w:val="0"/>
                  <w:checkBox>
                    <w:sizeAuto/>
                    <w:default w:val="1"/>
                  </w:checkBox>
                </w:ffData>
              </w:fldChar>
            </w:r>
            <w:r>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Authority Required – Telephone/Electronic</w:t>
            </w:r>
            <w:r>
              <w:rPr>
                <w:rFonts w:ascii="Arial Narrow" w:hAnsi="Arial Narrow"/>
                <w:sz w:val="18"/>
                <w:szCs w:val="18"/>
              </w:rPr>
              <w:t xml:space="preserve"> </w:t>
            </w:r>
          </w:p>
        </w:tc>
      </w:tr>
      <w:tr w:rsidR="00C93979" w:rsidRPr="00120A12" w14:paraId="1860A520" w14:textId="77777777" w:rsidTr="00762948">
        <w:tc>
          <w:tcPr>
            <w:tcW w:w="553" w:type="pct"/>
            <w:tcBorders>
              <w:top w:val="single" w:sz="4" w:space="0" w:color="auto"/>
              <w:left w:val="single" w:sz="4" w:space="0" w:color="auto"/>
              <w:bottom w:val="single" w:sz="4" w:space="0" w:color="auto"/>
              <w:right w:val="single" w:sz="4" w:space="0" w:color="auto"/>
            </w:tcBorders>
          </w:tcPr>
          <w:p w14:paraId="7D4D4568" w14:textId="77777777" w:rsidR="00C93979" w:rsidRPr="0020649C" w:rsidRDefault="00C93979" w:rsidP="00C93979">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6543ED12" w14:textId="77777777" w:rsidR="00C93979" w:rsidRPr="00ED24EE" w:rsidRDefault="00C93979" w:rsidP="00C93979">
            <w:pPr>
              <w:keepNext/>
              <w:keepLines/>
              <w:rPr>
                <w:rFonts w:ascii="Arial Narrow" w:hAnsi="Arial Narrow"/>
                <w:b/>
                <w:iCs/>
                <w:sz w:val="18"/>
                <w:szCs w:val="18"/>
              </w:rPr>
            </w:pPr>
            <w:r w:rsidRPr="00ED24EE">
              <w:rPr>
                <w:rFonts w:ascii="Arial Narrow" w:hAnsi="Arial Narrow"/>
                <w:b/>
                <w:iCs/>
                <w:sz w:val="18"/>
                <w:szCs w:val="18"/>
              </w:rPr>
              <w:t xml:space="preserve">Authority type: </w:t>
            </w:r>
            <w:r w:rsidRPr="005F6014">
              <w:rPr>
                <w:rFonts w:ascii="Arial Narrow" w:hAnsi="Arial Narrow"/>
                <w:bCs/>
                <w:iCs/>
                <w:sz w:val="18"/>
                <w:szCs w:val="18"/>
              </w:rPr>
              <w:t>required for s100 HSD</w:t>
            </w:r>
          </w:p>
          <w:p w14:paraId="186C936E" w14:textId="79EAC55F" w:rsidR="00C93979" w:rsidRPr="0020649C" w:rsidRDefault="00C93979" w:rsidP="00C93979">
            <w:pPr>
              <w:rPr>
                <w:rFonts w:ascii="Arial Narrow" w:hAnsi="Arial Narrow"/>
                <w:b/>
                <w:sz w:val="18"/>
                <w:szCs w:val="18"/>
              </w:rPr>
            </w:pPr>
            <w:r w:rsidRPr="00ED24EE">
              <w:rPr>
                <w:rFonts w:ascii="Arial Narrow" w:eastAsia="Calibri" w:hAnsi="Arial Narrow"/>
                <w:iCs/>
                <w:sz w:val="18"/>
                <w:szCs w:val="18"/>
              </w:rPr>
              <w:fldChar w:fldCharType="begin" w:fldLock="1">
                <w:ffData>
                  <w:name w:val=""/>
                  <w:enabled/>
                  <w:calcOnExit w:val="0"/>
                  <w:checkBox>
                    <w:sizeAuto/>
                    <w:default w:val="1"/>
                  </w:checkBox>
                </w:ffData>
              </w:fldChar>
            </w:r>
            <w:r w:rsidRPr="00ED24EE">
              <w:rPr>
                <w:rFonts w:ascii="Arial Narrow" w:eastAsia="Calibri" w:hAnsi="Arial Narrow"/>
                <w:iCs/>
                <w:sz w:val="18"/>
                <w:szCs w:val="18"/>
              </w:rPr>
              <w:instrText xml:space="preserve"> FORMCHECKBOX </w:instrText>
            </w:r>
            <w:r w:rsidR="00827768">
              <w:rPr>
                <w:rFonts w:ascii="Arial Narrow" w:eastAsia="Calibri" w:hAnsi="Arial Narrow"/>
                <w:iCs/>
                <w:sz w:val="18"/>
                <w:szCs w:val="18"/>
              </w:rPr>
            </w:r>
            <w:r w:rsidR="00827768">
              <w:rPr>
                <w:rFonts w:ascii="Arial Narrow" w:eastAsia="Calibri" w:hAnsi="Arial Narrow"/>
                <w:iCs/>
                <w:sz w:val="18"/>
                <w:szCs w:val="18"/>
              </w:rPr>
              <w:fldChar w:fldCharType="separate"/>
            </w:r>
            <w:r w:rsidRPr="00ED24EE">
              <w:rPr>
                <w:rFonts w:ascii="Arial Narrow" w:eastAsia="Calibri" w:hAnsi="Arial Narrow"/>
                <w:iCs/>
                <w:sz w:val="18"/>
                <w:szCs w:val="18"/>
              </w:rPr>
              <w:fldChar w:fldCharType="end"/>
            </w:r>
            <w:r w:rsidRPr="00ED24EE">
              <w:rPr>
                <w:rFonts w:ascii="Arial Narrow" w:eastAsia="Calibri" w:hAnsi="Arial Narrow"/>
                <w:iCs/>
                <w:sz w:val="18"/>
                <w:szCs w:val="18"/>
              </w:rPr>
              <w:t xml:space="preserve"> C</w:t>
            </w:r>
            <w:r w:rsidRPr="00ED24EE">
              <w:rPr>
                <w:rFonts w:ascii="Arial Narrow" w:hAnsi="Arial Narrow"/>
                <w:bCs/>
                <w:iCs/>
                <w:sz w:val="18"/>
                <w:szCs w:val="18"/>
              </w:rPr>
              <w:t>omplex Authority Required (CAR)</w:t>
            </w:r>
          </w:p>
        </w:tc>
      </w:tr>
      <w:tr w:rsidR="0034504B" w:rsidRPr="00120A12" w14:paraId="257633B3" w14:textId="77777777" w:rsidTr="00762948">
        <w:tc>
          <w:tcPr>
            <w:tcW w:w="553" w:type="pct"/>
            <w:tcBorders>
              <w:top w:val="single" w:sz="4" w:space="0" w:color="auto"/>
              <w:left w:val="single" w:sz="4" w:space="0" w:color="auto"/>
              <w:bottom w:val="single" w:sz="4" w:space="0" w:color="auto"/>
              <w:right w:val="single" w:sz="4" w:space="0" w:color="auto"/>
            </w:tcBorders>
            <w:vAlign w:val="center"/>
          </w:tcPr>
          <w:p w14:paraId="2C01588A" w14:textId="7F0E5C9D" w:rsidR="0034504B" w:rsidRPr="00BB36BA" w:rsidRDefault="0034504B" w:rsidP="00762948">
            <w:pPr>
              <w:jc w:val="cente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14:paraId="4AAE715C" w14:textId="77777777" w:rsidR="0034504B" w:rsidRPr="00BB36BA" w:rsidRDefault="0034504B" w:rsidP="00762948">
            <w:pPr>
              <w:rPr>
                <w:rFonts w:ascii="Arial Narrow" w:hAnsi="Arial Narrow"/>
                <w:color w:val="333333"/>
                <w:sz w:val="18"/>
                <w:szCs w:val="18"/>
              </w:rPr>
            </w:pPr>
            <w:r w:rsidRPr="00BB36BA">
              <w:rPr>
                <w:rFonts w:ascii="Arial Narrow" w:hAnsi="Arial Narrow"/>
                <w:b/>
                <w:bCs/>
                <w:color w:val="333333"/>
                <w:sz w:val="18"/>
                <w:szCs w:val="18"/>
              </w:rPr>
              <w:t>Administrative Advice:</w:t>
            </w:r>
          </w:p>
          <w:p w14:paraId="213FBE5A" w14:textId="77777777" w:rsidR="0034504B" w:rsidRPr="00BB36BA" w:rsidRDefault="0034504B" w:rsidP="00762948">
            <w:pPr>
              <w:rPr>
                <w:rFonts w:ascii="Arial Narrow" w:hAnsi="Arial Narrow"/>
                <w:b/>
                <w:sz w:val="18"/>
                <w:szCs w:val="18"/>
              </w:rPr>
            </w:pPr>
            <w:r w:rsidRPr="00BB36BA">
              <w:rPr>
                <w:rFonts w:ascii="Arial Narrow" w:hAnsi="Arial Narrow"/>
                <w:color w:val="333333"/>
                <w:sz w:val="18"/>
                <w:szCs w:val="18"/>
              </w:rPr>
              <w:t>No increase in the maximum quantity or number of units may be authorised.</w:t>
            </w:r>
          </w:p>
        </w:tc>
      </w:tr>
      <w:tr w:rsidR="0034504B" w:rsidRPr="00120A12" w14:paraId="66667971" w14:textId="77777777" w:rsidTr="00762948">
        <w:tc>
          <w:tcPr>
            <w:tcW w:w="553" w:type="pct"/>
            <w:tcBorders>
              <w:top w:val="single" w:sz="4" w:space="0" w:color="auto"/>
              <w:left w:val="single" w:sz="4" w:space="0" w:color="auto"/>
              <w:bottom w:val="single" w:sz="4" w:space="0" w:color="auto"/>
              <w:right w:val="single" w:sz="4" w:space="0" w:color="auto"/>
            </w:tcBorders>
            <w:vAlign w:val="center"/>
          </w:tcPr>
          <w:p w14:paraId="42AA2BED" w14:textId="6503EF0A" w:rsidR="0034504B" w:rsidRPr="00BB36BA" w:rsidRDefault="0034504B" w:rsidP="00762948">
            <w:pPr>
              <w:jc w:val="cente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14:paraId="1563EB08" w14:textId="77777777" w:rsidR="0034504B" w:rsidRPr="00BB36BA" w:rsidRDefault="0034504B" w:rsidP="00762948">
            <w:pPr>
              <w:rPr>
                <w:rFonts w:ascii="Arial Narrow" w:hAnsi="Arial Narrow"/>
                <w:color w:val="333333"/>
                <w:sz w:val="18"/>
                <w:szCs w:val="18"/>
              </w:rPr>
            </w:pPr>
            <w:r w:rsidRPr="00BB36BA">
              <w:rPr>
                <w:rFonts w:ascii="Arial Narrow" w:hAnsi="Arial Narrow"/>
                <w:b/>
                <w:bCs/>
                <w:color w:val="333333"/>
                <w:sz w:val="18"/>
                <w:szCs w:val="18"/>
              </w:rPr>
              <w:t>Administrative Advice:</w:t>
            </w:r>
          </w:p>
          <w:p w14:paraId="353C53C5" w14:textId="77777777" w:rsidR="0034504B" w:rsidRPr="00BB36BA" w:rsidRDefault="0034504B" w:rsidP="00762948">
            <w:pPr>
              <w:rPr>
                <w:rFonts w:ascii="Arial Narrow" w:hAnsi="Arial Narrow"/>
                <w:b/>
                <w:sz w:val="18"/>
                <w:szCs w:val="18"/>
              </w:rPr>
            </w:pPr>
            <w:r w:rsidRPr="00BB36BA">
              <w:rPr>
                <w:rFonts w:ascii="Arial Narrow" w:hAnsi="Arial Narrow"/>
                <w:color w:val="333333"/>
                <w:sz w:val="18"/>
                <w:szCs w:val="18"/>
              </w:rPr>
              <w:t>No increase in the maximum number of repeats may be authorised.</w:t>
            </w:r>
          </w:p>
        </w:tc>
      </w:tr>
      <w:tr w:rsidR="0034504B" w:rsidRPr="00120A12" w14:paraId="406A56C5" w14:textId="77777777" w:rsidTr="00762948">
        <w:tc>
          <w:tcPr>
            <w:tcW w:w="553" w:type="pct"/>
            <w:tcBorders>
              <w:top w:val="single" w:sz="4" w:space="0" w:color="auto"/>
              <w:left w:val="single" w:sz="4" w:space="0" w:color="auto"/>
              <w:bottom w:val="single" w:sz="4" w:space="0" w:color="auto"/>
              <w:right w:val="single" w:sz="4" w:space="0" w:color="auto"/>
            </w:tcBorders>
            <w:vAlign w:val="center"/>
          </w:tcPr>
          <w:p w14:paraId="044DCBD5" w14:textId="62F64426" w:rsidR="0034504B" w:rsidRPr="00BB36BA" w:rsidRDefault="0034504B" w:rsidP="00762948">
            <w:pPr>
              <w:jc w:val="cente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14:paraId="37914D72" w14:textId="77777777" w:rsidR="0034504B" w:rsidRPr="00BB36BA" w:rsidRDefault="0034504B" w:rsidP="00762948">
            <w:pPr>
              <w:rPr>
                <w:rFonts w:ascii="Arial Narrow" w:hAnsi="Arial Narrow"/>
                <w:color w:val="333333"/>
                <w:sz w:val="18"/>
                <w:szCs w:val="18"/>
              </w:rPr>
            </w:pPr>
            <w:r w:rsidRPr="00BB36BA">
              <w:rPr>
                <w:rFonts w:ascii="Arial Narrow" w:hAnsi="Arial Narrow"/>
                <w:b/>
                <w:bCs/>
                <w:color w:val="333333"/>
                <w:sz w:val="18"/>
                <w:szCs w:val="18"/>
              </w:rPr>
              <w:t>Administrative Advice:</w:t>
            </w:r>
          </w:p>
          <w:p w14:paraId="5C54E88D" w14:textId="77777777" w:rsidR="0034504B" w:rsidRPr="00BB36BA" w:rsidRDefault="0034504B" w:rsidP="00762948">
            <w:pPr>
              <w:rPr>
                <w:rFonts w:ascii="Arial Narrow" w:hAnsi="Arial Narrow"/>
                <w:b/>
                <w:sz w:val="18"/>
                <w:szCs w:val="18"/>
              </w:rPr>
            </w:pPr>
            <w:r w:rsidRPr="00BB36BA">
              <w:rPr>
                <w:rFonts w:ascii="Arial Narrow" w:hAnsi="Arial Narrow"/>
                <w:color w:val="333333"/>
                <w:sz w:val="18"/>
                <w:szCs w:val="18"/>
              </w:rPr>
              <w:t>Special Pricing Arrangements apply.</w:t>
            </w:r>
          </w:p>
        </w:tc>
      </w:tr>
      <w:tr w:rsidR="0034504B" w:rsidRPr="00120A12" w14:paraId="063B703E" w14:textId="77777777" w:rsidTr="00762948">
        <w:tc>
          <w:tcPr>
            <w:tcW w:w="553" w:type="pct"/>
            <w:vAlign w:val="center"/>
          </w:tcPr>
          <w:p w14:paraId="4A8F8C79" w14:textId="77777777" w:rsidR="0034504B" w:rsidRDefault="0034504B" w:rsidP="00762948">
            <w:pPr>
              <w:jc w:val="center"/>
              <w:rPr>
                <w:rFonts w:ascii="Arial Narrow" w:hAnsi="Arial Narrow"/>
                <w:color w:val="333333"/>
                <w:sz w:val="18"/>
                <w:szCs w:val="18"/>
              </w:rPr>
            </w:pPr>
          </w:p>
        </w:tc>
        <w:tc>
          <w:tcPr>
            <w:tcW w:w="4447" w:type="pct"/>
            <w:vAlign w:val="center"/>
          </w:tcPr>
          <w:p w14:paraId="000CCDAF" w14:textId="77777777" w:rsidR="0034504B" w:rsidRPr="00C93979" w:rsidRDefault="0034504B" w:rsidP="00762948">
            <w:pPr>
              <w:rPr>
                <w:rFonts w:ascii="Arial Narrow" w:hAnsi="Arial Narrow"/>
                <w:i/>
                <w:iCs/>
                <w:color w:val="BFBFBF" w:themeColor="background1" w:themeShade="BF"/>
                <w:sz w:val="18"/>
                <w:szCs w:val="18"/>
              </w:rPr>
            </w:pPr>
            <w:r w:rsidRPr="00C93979">
              <w:rPr>
                <w:rFonts w:ascii="Arial Narrow" w:hAnsi="Arial Narrow"/>
                <w:b/>
                <w:bCs/>
                <w:color w:val="BFBFBF" w:themeColor="background1" w:themeShade="BF"/>
                <w:sz w:val="18"/>
                <w:szCs w:val="18"/>
              </w:rPr>
              <w:t>Episodicity:</w:t>
            </w:r>
            <w:r w:rsidRPr="00C93979">
              <w:rPr>
                <w:rFonts w:ascii="Arial Narrow" w:hAnsi="Arial Narrow"/>
                <w:i/>
                <w:iCs/>
                <w:color w:val="BFBFBF" w:themeColor="background1" w:themeShade="BF"/>
                <w:sz w:val="18"/>
                <w:szCs w:val="18"/>
              </w:rPr>
              <w:t xml:space="preserve"> </w:t>
            </w:r>
            <w:r w:rsidRPr="00C93979">
              <w:rPr>
                <w:rFonts w:ascii="Arial Narrow" w:hAnsi="Arial Narrow"/>
                <w:color w:val="BFBFBF" w:themeColor="background1" w:themeShade="BF"/>
                <w:sz w:val="18"/>
                <w:szCs w:val="18"/>
              </w:rPr>
              <w:t>Chronic</w:t>
            </w:r>
          </w:p>
        </w:tc>
      </w:tr>
      <w:tr w:rsidR="0034504B" w:rsidRPr="00120A12" w14:paraId="585DDDD7" w14:textId="77777777" w:rsidTr="00762948">
        <w:tc>
          <w:tcPr>
            <w:tcW w:w="553" w:type="pct"/>
            <w:vAlign w:val="center"/>
          </w:tcPr>
          <w:p w14:paraId="314DC0CF" w14:textId="77777777" w:rsidR="0034504B" w:rsidRDefault="0034504B" w:rsidP="00762948">
            <w:pPr>
              <w:jc w:val="center"/>
              <w:rPr>
                <w:rFonts w:ascii="Arial Narrow" w:hAnsi="Arial Narrow"/>
                <w:color w:val="333333"/>
                <w:sz w:val="18"/>
                <w:szCs w:val="18"/>
              </w:rPr>
            </w:pPr>
          </w:p>
        </w:tc>
        <w:tc>
          <w:tcPr>
            <w:tcW w:w="4447" w:type="pct"/>
            <w:vAlign w:val="center"/>
          </w:tcPr>
          <w:p w14:paraId="0EEA94DF" w14:textId="77777777" w:rsidR="0034504B" w:rsidRPr="00C93979" w:rsidRDefault="0034504B" w:rsidP="00762948">
            <w:pPr>
              <w:rPr>
                <w:rFonts w:ascii="Arial Narrow" w:hAnsi="Arial Narrow"/>
                <w:b/>
                <w:bCs/>
                <w:color w:val="BFBFBF" w:themeColor="background1" w:themeShade="BF"/>
                <w:sz w:val="18"/>
                <w:szCs w:val="18"/>
              </w:rPr>
            </w:pPr>
            <w:r w:rsidRPr="00C93979">
              <w:rPr>
                <w:rFonts w:ascii="Arial Narrow" w:hAnsi="Arial Narrow"/>
                <w:b/>
                <w:bCs/>
                <w:color w:val="BFBFBF" w:themeColor="background1" w:themeShade="BF"/>
                <w:sz w:val="18"/>
                <w:szCs w:val="18"/>
              </w:rPr>
              <w:t xml:space="preserve">Severity: </w:t>
            </w:r>
            <w:r w:rsidRPr="00C93979">
              <w:rPr>
                <w:rFonts w:ascii="Arial Narrow" w:hAnsi="Arial Narrow"/>
                <w:color w:val="BFBFBF" w:themeColor="background1" w:themeShade="BF"/>
                <w:sz w:val="18"/>
                <w:szCs w:val="18"/>
              </w:rPr>
              <w:t>Moderate to severe</w:t>
            </w:r>
          </w:p>
        </w:tc>
      </w:tr>
      <w:tr w:rsidR="0034504B" w:rsidRPr="00120A12" w14:paraId="257FE379" w14:textId="77777777" w:rsidTr="00762948">
        <w:tc>
          <w:tcPr>
            <w:tcW w:w="553" w:type="pct"/>
            <w:vAlign w:val="center"/>
          </w:tcPr>
          <w:p w14:paraId="24146F1A" w14:textId="77777777" w:rsidR="0034504B" w:rsidRDefault="0034504B" w:rsidP="00762948">
            <w:pPr>
              <w:jc w:val="center"/>
              <w:rPr>
                <w:rFonts w:ascii="Arial Narrow" w:hAnsi="Arial Narrow"/>
                <w:color w:val="333333"/>
                <w:sz w:val="18"/>
                <w:szCs w:val="18"/>
              </w:rPr>
            </w:pPr>
          </w:p>
        </w:tc>
        <w:tc>
          <w:tcPr>
            <w:tcW w:w="4447" w:type="pct"/>
            <w:vAlign w:val="center"/>
          </w:tcPr>
          <w:p w14:paraId="3EF704CC" w14:textId="77777777" w:rsidR="0034504B" w:rsidRPr="00C93979" w:rsidRDefault="0034504B" w:rsidP="00762948">
            <w:pPr>
              <w:rPr>
                <w:rFonts w:ascii="Arial Narrow" w:hAnsi="Arial Narrow"/>
                <w:b/>
                <w:bCs/>
                <w:color w:val="BFBFBF" w:themeColor="background1" w:themeShade="BF"/>
                <w:sz w:val="18"/>
                <w:szCs w:val="18"/>
              </w:rPr>
            </w:pPr>
            <w:r w:rsidRPr="00C93979">
              <w:rPr>
                <w:rFonts w:ascii="Arial Narrow" w:hAnsi="Arial Narrow"/>
                <w:b/>
                <w:bCs/>
                <w:color w:val="BFBFBF" w:themeColor="background1" w:themeShade="BF"/>
                <w:sz w:val="18"/>
                <w:szCs w:val="18"/>
              </w:rPr>
              <w:t xml:space="preserve">Condition: </w:t>
            </w:r>
            <w:r w:rsidRPr="00C93979">
              <w:rPr>
                <w:rFonts w:ascii="Arial Narrow" w:hAnsi="Arial Narrow"/>
                <w:bCs/>
                <w:color w:val="BFBFBF" w:themeColor="background1" w:themeShade="BF"/>
                <w:sz w:val="18"/>
                <w:szCs w:val="18"/>
              </w:rPr>
              <w:t>Pouchitis</w:t>
            </w:r>
          </w:p>
        </w:tc>
      </w:tr>
      <w:tr w:rsidR="0034504B" w:rsidRPr="00120A12" w14:paraId="0CEE2CE1" w14:textId="77777777" w:rsidTr="006E2A88">
        <w:tc>
          <w:tcPr>
            <w:tcW w:w="553" w:type="pct"/>
            <w:vAlign w:val="center"/>
          </w:tcPr>
          <w:p w14:paraId="364658DF" w14:textId="1CA146C4" w:rsidR="0034504B" w:rsidRPr="00120A12" w:rsidRDefault="0034504B" w:rsidP="00762948">
            <w:pPr>
              <w:jc w:val="center"/>
              <w:rPr>
                <w:rFonts w:ascii="Arial Narrow" w:hAnsi="Arial Narrow"/>
                <w:color w:val="333333"/>
                <w:sz w:val="18"/>
                <w:szCs w:val="18"/>
              </w:rPr>
            </w:pPr>
          </w:p>
        </w:tc>
        <w:tc>
          <w:tcPr>
            <w:tcW w:w="4447" w:type="pct"/>
            <w:vAlign w:val="center"/>
            <w:hideMark/>
          </w:tcPr>
          <w:p w14:paraId="43CC3A87"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Moderate to severe chronic pouchitis</w:t>
            </w:r>
          </w:p>
        </w:tc>
      </w:tr>
      <w:tr w:rsidR="0034504B" w:rsidRPr="00120A12" w14:paraId="51539E3C" w14:textId="77777777" w:rsidTr="006E2A88">
        <w:tc>
          <w:tcPr>
            <w:tcW w:w="553" w:type="pct"/>
            <w:vAlign w:val="center"/>
          </w:tcPr>
          <w:p w14:paraId="283C736E"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32250593"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Continuing treatment</w:t>
            </w:r>
          </w:p>
        </w:tc>
      </w:tr>
      <w:tr w:rsidR="0034504B" w:rsidRPr="00120A12" w14:paraId="309280AC" w14:textId="77777777" w:rsidTr="006E2A88">
        <w:tc>
          <w:tcPr>
            <w:tcW w:w="553" w:type="pct"/>
            <w:vAlign w:val="center"/>
          </w:tcPr>
          <w:p w14:paraId="0FEA48BB"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29F4D4C0"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34504B" w:rsidRPr="00120A12" w14:paraId="41636723" w14:textId="77777777" w:rsidTr="006E2A88">
        <w:tc>
          <w:tcPr>
            <w:tcW w:w="553" w:type="pct"/>
            <w:vAlign w:val="center"/>
          </w:tcPr>
          <w:p w14:paraId="7F5F25CA"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0039B863" w14:textId="77777777" w:rsidR="0034504B" w:rsidRPr="00120A12" w:rsidRDefault="0034504B" w:rsidP="00762948">
            <w:pPr>
              <w:rPr>
                <w:rFonts w:ascii="Arial Narrow" w:hAnsi="Arial Narrow"/>
                <w:color w:val="333333"/>
                <w:sz w:val="18"/>
                <w:szCs w:val="18"/>
              </w:rPr>
            </w:pPr>
            <w:r w:rsidRPr="00410C2A">
              <w:rPr>
                <w:rFonts w:ascii="Arial Narrow" w:hAnsi="Arial Narrow"/>
                <w:color w:val="333333"/>
                <w:sz w:val="18"/>
                <w:szCs w:val="18"/>
              </w:rPr>
              <w:t>Patient must have previously received</w:t>
            </w:r>
            <w:r>
              <w:rPr>
                <w:rFonts w:ascii="Arial Narrow" w:hAnsi="Arial Narrow"/>
                <w:color w:val="333333"/>
                <w:sz w:val="18"/>
                <w:szCs w:val="18"/>
              </w:rPr>
              <w:t xml:space="preserve"> </w:t>
            </w:r>
            <w:r w:rsidRPr="006826F7">
              <w:rPr>
                <w:rFonts w:ascii="Arial Narrow" w:hAnsi="Arial Narrow"/>
                <w:color w:val="333333"/>
                <w:sz w:val="18"/>
                <w:szCs w:val="18"/>
              </w:rPr>
              <w:t>this drug as their most recent course of</w:t>
            </w:r>
            <w:r w:rsidRPr="00410C2A">
              <w:rPr>
                <w:rFonts w:ascii="Arial Narrow" w:hAnsi="Arial Narrow"/>
                <w:color w:val="333333"/>
                <w:sz w:val="18"/>
                <w:szCs w:val="18"/>
              </w:rPr>
              <w:t xml:space="preserve"> PBS-subsidised </w:t>
            </w:r>
            <w:r>
              <w:rPr>
                <w:rFonts w:ascii="Arial Narrow" w:hAnsi="Arial Narrow"/>
                <w:color w:val="333333"/>
                <w:sz w:val="18"/>
                <w:szCs w:val="18"/>
              </w:rPr>
              <w:t xml:space="preserve">biological medicine </w:t>
            </w:r>
            <w:r w:rsidRPr="00410C2A">
              <w:rPr>
                <w:rFonts w:ascii="Arial Narrow" w:hAnsi="Arial Narrow"/>
                <w:color w:val="333333"/>
                <w:sz w:val="18"/>
                <w:szCs w:val="18"/>
              </w:rPr>
              <w:t>for this condition,</w:t>
            </w:r>
          </w:p>
        </w:tc>
      </w:tr>
      <w:tr w:rsidR="0034504B" w:rsidRPr="00120A12" w14:paraId="5A312163" w14:textId="77777777" w:rsidTr="006E2A88">
        <w:tc>
          <w:tcPr>
            <w:tcW w:w="553" w:type="pct"/>
            <w:vAlign w:val="center"/>
          </w:tcPr>
          <w:p w14:paraId="1D7873E6"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3102F9AD"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AND</w:t>
            </w:r>
          </w:p>
        </w:tc>
      </w:tr>
      <w:tr w:rsidR="0034504B" w:rsidRPr="00120A12" w14:paraId="7C32EEDD" w14:textId="77777777" w:rsidTr="00762948">
        <w:tc>
          <w:tcPr>
            <w:tcW w:w="553" w:type="pct"/>
            <w:vAlign w:val="center"/>
          </w:tcPr>
          <w:p w14:paraId="29DAAE01" w14:textId="72248253" w:rsidR="0034504B" w:rsidRPr="00120A12" w:rsidRDefault="0034504B" w:rsidP="00762948">
            <w:pPr>
              <w:jc w:val="center"/>
              <w:rPr>
                <w:rFonts w:ascii="Arial Narrow" w:hAnsi="Arial Narrow"/>
                <w:color w:val="333333"/>
                <w:sz w:val="18"/>
                <w:szCs w:val="18"/>
              </w:rPr>
            </w:pPr>
          </w:p>
        </w:tc>
        <w:tc>
          <w:tcPr>
            <w:tcW w:w="4447" w:type="pct"/>
            <w:vAlign w:val="center"/>
            <w:hideMark/>
          </w:tcPr>
          <w:p w14:paraId="45522A70"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34504B" w:rsidRPr="00120A12" w14:paraId="7C1D6637" w14:textId="77777777" w:rsidTr="00762948">
        <w:tc>
          <w:tcPr>
            <w:tcW w:w="553" w:type="pct"/>
            <w:vAlign w:val="center"/>
          </w:tcPr>
          <w:p w14:paraId="49028EDE" w14:textId="7DA8A209" w:rsidR="0034504B" w:rsidRPr="00120A12" w:rsidRDefault="0034504B" w:rsidP="00762948">
            <w:pPr>
              <w:jc w:val="center"/>
              <w:rPr>
                <w:rFonts w:ascii="Arial Narrow" w:hAnsi="Arial Narrow"/>
                <w:color w:val="333333"/>
                <w:sz w:val="18"/>
                <w:szCs w:val="18"/>
              </w:rPr>
            </w:pPr>
          </w:p>
        </w:tc>
        <w:tc>
          <w:tcPr>
            <w:tcW w:w="4447" w:type="pct"/>
            <w:vAlign w:val="center"/>
            <w:hideMark/>
          </w:tcPr>
          <w:p w14:paraId="022FBAC9" w14:textId="46E51F72" w:rsidR="0034504B" w:rsidRPr="00DD02B0" w:rsidRDefault="0034504B" w:rsidP="00762948">
            <w:pPr>
              <w:rPr>
                <w:rFonts w:ascii="Arial Narrow" w:hAnsi="Arial Narrow"/>
                <w:strike/>
                <w:color w:val="333333"/>
                <w:sz w:val="18"/>
                <w:szCs w:val="18"/>
              </w:rPr>
            </w:pPr>
            <w:r w:rsidRPr="00410C2A">
              <w:rPr>
                <w:rFonts w:ascii="Arial Narrow" w:hAnsi="Arial Narrow"/>
                <w:color w:val="333333"/>
                <w:sz w:val="18"/>
                <w:szCs w:val="18"/>
              </w:rPr>
              <w:t xml:space="preserve">Patient must have demonstrated or sustained </w:t>
            </w:r>
            <w:r>
              <w:rPr>
                <w:rFonts w:ascii="Arial Narrow" w:hAnsi="Arial Narrow"/>
                <w:color w:val="333333"/>
                <w:sz w:val="18"/>
                <w:szCs w:val="18"/>
              </w:rPr>
              <w:t xml:space="preserve">a partial or complete </w:t>
            </w:r>
            <w:r w:rsidRPr="00410C2A">
              <w:rPr>
                <w:rFonts w:ascii="Arial Narrow" w:hAnsi="Arial Narrow"/>
                <w:color w:val="333333"/>
                <w:sz w:val="18"/>
                <w:szCs w:val="18"/>
              </w:rPr>
              <w:t>response</w:t>
            </w:r>
            <w:r>
              <w:rPr>
                <w:rFonts w:ascii="Arial Narrow" w:hAnsi="Arial Narrow"/>
                <w:color w:val="333333"/>
                <w:sz w:val="18"/>
                <w:szCs w:val="18"/>
              </w:rPr>
              <w:t>, as determined by the treating clinician,</w:t>
            </w:r>
            <w:r w:rsidRPr="00410C2A">
              <w:rPr>
                <w:rFonts w:ascii="Arial Narrow" w:hAnsi="Arial Narrow"/>
                <w:color w:val="333333"/>
                <w:sz w:val="18"/>
                <w:szCs w:val="18"/>
              </w:rPr>
              <w:t xml:space="preserve"> to the most recent PBS-subsidised </w:t>
            </w:r>
            <w:r>
              <w:rPr>
                <w:rFonts w:ascii="Arial Narrow" w:hAnsi="Arial Narrow"/>
                <w:color w:val="333333"/>
                <w:sz w:val="18"/>
                <w:szCs w:val="18"/>
              </w:rPr>
              <w:t xml:space="preserve">course of </w:t>
            </w:r>
            <w:r w:rsidRPr="00410C2A">
              <w:rPr>
                <w:rFonts w:ascii="Arial Narrow" w:hAnsi="Arial Narrow"/>
                <w:color w:val="333333"/>
                <w:sz w:val="18"/>
                <w:szCs w:val="18"/>
              </w:rPr>
              <w:t>treatment with this drug for this condition.</w:t>
            </w:r>
          </w:p>
        </w:tc>
      </w:tr>
      <w:tr w:rsidR="0034504B" w:rsidRPr="00120A12" w14:paraId="513E170A" w14:textId="77777777" w:rsidTr="00762948">
        <w:tc>
          <w:tcPr>
            <w:tcW w:w="553" w:type="pct"/>
            <w:vAlign w:val="center"/>
          </w:tcPr>
          <w:p w14:paraId="0EE74AD7" w14:textId="77777777" w:rsidR="0034504B" w:rsidRPr="00120A12" w:rsidRDefault="0034504B" w:rsidP="00762948">
            <w:pPr>
              <w:jc w:val="center"/>
              <w:rPr>
                <w:rFonts w:ascii="Arial Narrow" w:hAnsi="Arial Narrow"/>
                <w:color w:val="333333"/>
                <w:sz w:val="18"/>
                <w:szCs w:val="18"/>
              </w:rPr>
            </w:pPr>
          </w:p>
        </w:tc>
        <w:tc>
          <w:tcPr>
            <w:tcW w:w="4447" w:type="pct"/>
            <w:vAlign w:val="center"/>
            <w:hideMark/>
          </w:tcPr>
          <w:p w14:paraId="5A2ED213" w14:textId="77777777" w:rsidR="0034504B" w:rsidRPr="00120A12" w:rsidRDefault="0034504B" w:rsidP="00762948">
            <w:pPr>
              <w:rPr>
                <w:rFonts w:ascii="Arial Narrow" w:hAnsi="Arial Narrow"/>
                <w:color w:val="333333"/>
                <w:sz w:val="18"/>
                <w:szCs w:val="18"/>
              </w:rPr>
            </w:pPr>
            <w:r w:rsidRPr="00120A12">
              <w:rPr>
                <w:rFonts w:ascii="Arial Narrow" w:hAnsi="Arial Narrow"/>
                <w:b/>
                <w:bCs/>
                <w:color w:val="333333"/>
                <w:sz w:val="18"/>
                <w:szCs w:val="18"/>
              </w:rPr>
              <w:t>AND</w:t>
            </w:r>
          </w:p>
        </w:tc>
      </w:tr>
      <w:tr w:rsidR="0034504B" w:rsidRPr="00120A12" w14:paraId="1813927C" w14:textId="77777777" w:rsidTr="00762948">
        <w:tc>
          <w:tcPr>
            <w:tcW w:w="553" w:type="pct"/>
            <w:vAlign w:val="center"/>
          </w:tcPr>
          <w:p w14:paraId="5606C94D" w14:textId="495D2516" w:rsidR="0034504B" w:rsidRPr="00120A12" w:rsidRDefault="0034504B" w:rsidP="00762948">
            <w:pPr>
              <w:jc w:val="center"/>
              <w:rPr>
                <w:rFonts w:ascii="Arial Narrow" w:hAnsi="Arial Narrow"/>
                <w:color w:val="333333"/>
                <w:sz w:val="18"/>
                <w:szCs w:val="18"/>
              </w:rPr>
            </w:pPr>
          </w:p>
        </w:tc>
        <w:tc>
          <w:tcPr>
            <w:tcW w:w="4447" w:type="pct"/>
            <w:vAlign w:val="center"/>
            <w:hideMark/>
          </w:tcPr>
          <w:p w14:paraId="5D6573AD" w14:textId="77777777" w:rsidR="0034504B" w:rsidRPr="00120A12" w:rsidRDefault="0034504B" w:rsidP="00762948">
            <w:pPr>
              <w:rPr>
                <w:rFonts w:ascii="Arial Narrow" w:hAnsi="Arial Narrow"/>
                <w:color w:val="333333"/>
                <w:sz w:val="18"/>
                <w:szCs w:val="18"/>
              </w:rPr>
            </w:pPr>
            <w:r>
              <w:rPr>
                <w:rFonts w:ascii="Arial Narrow" w:hAnsi="Arial Narrow"/>
                <w:b/>
                <w:bCs/>
                <w:color w:val="333333"/>
                <w:sz w:val="18"/>
                <w:szCs w:val="18"/>
              </w:rPr>
              <w:t xml:space="preserve">Treatment </w:t>
            </w:r>
            <w:r w:rsidRPr="00120A12">
              <w:rPr>
                <w:rFonts w:ascii="Arial Narrow" w:hAnsi="Arial Narrow"/>
                <w:b/>
                <w:bCs/>
                <w:color w:val="333333"/>
                <w:sz w:val="18"/>
                <w:szCs w:val="18"/>
              </w:rPr>
              <w:t>criteria:</w:t>
            </w:r>
          </w:p>
        </w:tc>
      </w:tr>
      <w:tr w:rsidR="0034504B" w:rsidRPr="00120A12" w14:paraId="1675C1D1" w14:textId="77777777" w:rsidTr="00762948">
        <w:tc>
          <w:tcPr>
            <w:tcW w:w="553" w:type="pct"/>
            <w:vAlign w:val="center"/>
          </w:tcPr>
          <w:p w14:paraId="70648D03" w14:textId="22FB07ED" w:rsidR="0034504B" w:rsidRPr="00120A12" w:rsidRDefault="0034504B" w:rsidP="00762948">
            <w:pPr>
              <w:jc w:val="center"/>
              <w:rPr>
                <w:rFonts w:ascii="Arial Narrow" w:hAnsi="Arial Narrow"/>
                <w:color w:val="333333"/>
                <w:sz w:val="18"/>
                <w:szCs w:val="18"/>
              </w:rPr>
            </w:pPr>
          </w:p>
        </w:tc>
        <w:tc>
          <w:tcPr>
            <w:tcW w:w="4447" w:type="pct"/>
            <w:vAlign w:val="center"/>
            <w:hideMark/>
          </w:tcPr>
          <w:p w14:paraId="5C82A300" w14:textId="77777777" w:rsidR="0034504B" w:rsidRPr="004A5C56" w:rsidRDefault="0034504B" w:rsidP="00762948">
            <w:pPr>
              <w:autoSpaceDE w:val="0"/>
              <w:autoSpaceDN w:val="0"/>
              <w:adjustRightInd w:val="0"/>
              <w:rPr>
                <w:rFonts w:ascii="Arial Narrow" w:hAnsi="Arial Narrow" w:cs="Arial Narrow"/>
                <w:sz w:val="18"/>
                <w:szCs w:val="18"/>
              </w:rPr>
            </w:pPr>
            <w:r w:rsidRPr="004A5C56">
              <w:rPr>
                <w:rFonts w:ascii="Arial Narrow" w:hAnsi="Arial Narrow" w:cs="Arial Narrow"/>
                <w:sz w:val="18"/>
                <w:szCs w:val="18"/>
              </w:rPr>
              <w:t>Must be treated by a gastroenterologist, OR</w:t>
            </w:r>
          </w:p>
          <w:p w14:paraId="1AB41B08" w14:textId="77777777" w:rsidR="0034504B" w:rsidRPr="004A5C56" w:rsidRDefault="0034504B" w:rsidP="00762948">
            <w:pPr>
              <w:autoSpaceDE w:val="0"/>
              <w:autoSpaceDN w:val="0"/>
              <w:adjustRightInd w:val="0"/>
              <w:rPr>
                <w:rFonts w:ascii="Arial Narrow" w:hAnsi="Arial Narrow" w:cs="Arial Narrow"/>
                <w:sz w:val="18"/>
                <w:szCs w:val="18"/>
              </w:rPr>
            </w:pPr>
            <w:r w:rsidRPr="004A5C56">
              <w:rPr>
                <w:rFonts w:ascii="Arial Narrow" w:hAnsi="Arial Narrow" w:cs="Arial Narrow"/>
                <w:sz w:val="18"/>
                <w:szCs w:val="18"/>
              </w:rPr>
              <w:lastRenderedPageBreak/>
              <w:t>Must be treated by a consultant physician [internal medicine specialising in gastroenterology</w:t>
            </w:r>
            <w:r>
              <w:rPr>
                <w:rFonts w:ascii="Arial Narrow" w:hAnsi="Arial Narrow" w:cs="Arial Narrow"/>
                <w:sz w:val="18"/>
                <w:szCs w:val="18"/>
              </w:rPr>
              <w:t xml:space="preserve"> </w:t>
            </w:r>
            <w:r w:rsidRPr="00554900">
              <w:rPr>
                <w:rFonts w:ascii="Arial Narrow" w:hAnsi="Arial Narrow" w:cs="Arial Narrow"/>
                <w:sz w:val="18"/>
                <w:szCs w:val="18"/>
              </w:rPr>
              <w:t>(code 81)];</w:t>
            </w:r>
            <w:r w:rsidRPr="004A5C56">
              <w:rPr>
                <w:rFonts w:ascii="Arial Narrow" w:hAnsi="Arial Narrow" w:cs="Arial Narrow"/>
                <w:sz w:val="18"/>
                <w:szCs w:val="18"/>
              </w:rPr>
              <w:t xml:space="preserve"> OR</w:t>
            </w:r>
          </w:p>
          <w:p w14:paraId="0A7DC831" w14:textId="77777777" w:rsidR="0034504B" w:rsidRPr="00120A12" w:rsidRDefault="0034504B" w:rsidP="00762948">
            <w:pPr>
              <w:autoSpaceDE w:val="0"/>
              <w:autoSpaceDN w:val="0"/>
              <w:adjustRightInd w:val="0"/>
              <w:rPr>
                <w:rFonts w:ascii="Arial Narrow" w:hAnsi="Arial Narrow" w:cs="Arial Narrow"/>
                <w:i/>
                <w:iCs/>
                <w:sz w:val="20"/>
                <w:szCs w:val="20"/>
              </w:rPr>
            </w:pPr>
            <w:r w:rsidRPr="004A5C56">
              <w:rPr>
                <w:rFonts w:ascii="Arial Narrow" w:hAnsi="Arial Narrow" w:cs="Arial Narrow"/>
                <w:sz w:val="18"/>
                <w:szCs w:val="18"/>
              </w:rPr>
              <w:t>Must be treated by a consultant physician [general medicine specialising in gastroenterology</w:t>
            </w:r>
            <w:r>
              <w:rPr>
                <w:rFonts w:ascii="Arial Narrow" w:hAnsi="Arial Narrow" w:cs="Arial Narrow"/>
                <w:sz w:val="18"/>
                <w:szCs w:val="18"/>
              </w:rPr>
              <w:t xml:space="preserve"> </w:t>
            </w:r>
            <w:r w:rsidRPr="00554900">
              <w:rPr>
                <w:rFonts w:ascii="Arial Narrow" w:hAnsi="Arial Narrow" w:cs="Arial Narrow"/>
                <w:sz w:val="18"/>
                <w:szCs w:val="18"/>
              </w:rPr>
              <w:t>(code 82)].</w:t>
            </w:r>
          </w:p>
        </w:tc>
      </w:tr>
      <w:tr w:rsidR="0034504B" w:rsidRPr="00120A12" w14:paraId="51E2FB53" w14:textId="77777777" w:rsidTr="006E2A88">
        <w:tc>
          <w:tcPr>
            <w:tcW w:w="553" w:type="pct"/>
            <w:vAlign w:val="center"/>
          </w:tcPr>
          <w:p w14:paraId="3E992360" w14:textId="136BCCD7" w:rsidR="0034504B" w:rsidRPr="00120A12" w:rsidRDefault="0034504B" w:rsidP="00762948">
            <w:pPr>
              <w:jc w:val="center"/>
              <w:rPr>
                <w:rFonts w:ascii="Arial Narrow" w:hAnsi="Arial Narrow"/>
                <w:color w:val="333333"/>
                <w:sz w:val="18"/>
                <w:szCs w:val="18"/>
              </w:rPr>
            </w:pPr>
          </w:p>
        </w:tc>
        <w:tc>
          <w:tcPr>
            <w:tcW w:w="4447" w:type="pct"/>
            <w:vAlign w:val="center"/>
            <w:hideMark/>
          </w:tcPr>
          <w:p w14:paraId="13EEF969" w14:textId="37BA73E2" w:rsidR="0034504B" w:rsidRPr="00120A12" w:rsidRDefault="0034504B" w:rsidP="00762948">
            <w:pPr>
              <w:rPr>
                <w:rFonts w:ascii="Arial Narrow" w:hAnsi="Arial Narrow"/>
                <w:color w:val="333333"/>
                <w:sz w:val="18"/>
                <w:szCs w:val="18"/>
              </w:rPr>
            </w:pPr>
            <w:r w:rsidRPr="00554900">
              <w:rPr>
                <w:rFonts w:ascii="Arial Narrow" w:hAnsi="Arial Narrow"/>
                <w:b/>
                <w:color w:val="333333"/>
                <w:sz w:val="18"/>
                <w:szCs w:val="18"/>
              </w:rPr>
              <w:t>Prescriber Instructions:</w:t>
            </w:r>
            <w:r>
              <w:rPr>
                <w:rFonts w:ascii="Arial Narrow" w:hAnsi="Arial Narrow"/>
                <w:b/>
                <w:i/>
                <w:iCs/>
                <w:color w:val="333333"/>
                <w:sz w:val="18"/>
                <w:szCs w:val="18"/>
              </w:rPr>
              <w:t xml:space="preserve"> </w:t>
            </w:r>
            <w:r w:rsidRPr="00142FFE">
              <w:rPr>
                <w:rFonts w:ascii="Arial Narrow" w:hAnsi="Arial Narrow"/>
                <w:bCs/>
                <w:color w:val="333333"/>
                <w:sz w:val="18"/>
                <w:szCs w:val="18"/>
              </w:rPr>
              <w:t xml:space="preserve"> </w:t>
            </w:r>
            <w:r w:rsidRPr="005B58A6">
              <w:rPr>
                <w:rFonts w:ascii="Arial Narrow" w:hAnsi="Arial Narrow"/>
                <w:bCs/>
                <w:color w:val="333333"/>
                <w:sz w:val="18"/>
                <w:szCs w:val="18"/>
              </w:rPr>
              <w:t xml:space="preserve">Patients who have failed to </w:t>
            </w:r>
            <w:r>
              <w:rPr>
                <w:rFonts w:ascii="Arial Narrow" w:hAnsi="Arial Narrow"/>
                <w:bCs/>
                <w:color w:val="333333"/>
                <w:sz w:val="18"/>
                <w:szCs w:val="18"/>
              </w:rPr>
              <w:t>demonstrate a partial or complete</w:t>
            </w:r>
            <w:r w:rsidRPr="005B58A6">
              <w:rPr>
                <w:rFonts w:ascii="Arial Narrow" w:hAnsi="Arial Narrow"/>
                <w:bCs/>
                <w:color w:val="333333"/>
                <w:sz w:val="18"/>
                <w:szCs w:val="18"/>
              </w:rPr>
              <w:t xml:space="preserve"> response with continuing treatment with this drug, will not be eligible to receive further PBS-subsidised treatment with this drug for this </w:t>
            </w:r>
            <w:r w:rsidRPr="00554900">
              <w:rPr>
                <w:rFonts w:ascii="Arial Narrow" w:hAnsi="Arial Narrow"/>
                <w:bCs/>
                <w:color w:val="333333"/>
                <w:sz w:val="18"/>
                <w:szCs w:val="18"/>
              </w:rPr>
              <w:t>condition.</w:t>
            </w:r>
          </w:p>
        </w:tc>
      </w:tr>
      <w:tr w:rsidR="0034504B" w:rsidRPr="00120A12" w14:paraId="7C97D824" w14:textId="77777777" w:rsidTr="00762948">
        <w:tc>
          <w:tcPr>
            <w:tcW w:w="553" w:type="pct"/>
            <w:vAlign w:val="center"/>
          </w:tcPr>
          <w:p w14:paraId="0BD07240" w14:textId="299E215C" w:rsidR="0034504B" w:rsidRDefault="0034504B" w:rsidP="00762948">
            <w:pPr>
              <w:jc w:val="center"/>
              <w:rPr>
                <w:rFonts w:ascii="Arial Narrow" w:hAnsi="Arial Narrow"/>
                <w:color w:val="333333"/>
                <w:sz w:val="18"/>
                <w:szCs w:val="18"/>
              </w:rPr>
            </w:pPr>
          </w:p>
        </w:tc>
        <w:tc>
          <w:tcPr>
            <w:tcW w:w="4447" w:type="pct"/>
            <w:vAlign w:val="center"/>
          </w:tcPr>
          <w:p w14:paraId="56BBC595" w14:textId="77777777" w:rsidR="0034504B" w:rsidRPr="00120A12" w:rsidRDefault="0034504B" w:rsidP="00762948">
            <w:pPr>
              <w:rPr>
                <w:rFonts w:ascii="Arial Narrow" w:hAnsi="Arial Narrow"/>
                <w:b/>
                <w:bCs/>
                <w:color w:val="333333"/>
                <w:sz w:val="18"/>
                <w:szCs w:val="18"/>
              </w:rPr>
            </w:pPr>
            <w:r w:rsidRPr="00554900">
              <w:rPr>
                <w:rFonts w:ascii="Arial Narrow" w:hAnsi="Arial Narrow"/>
                <w:b/>
                <w:color w:val="333333"/>
                <w:sz w:val="18"/>
                <w:szCs w:val="18"/>
              </w:rPr>
              <w:t>Prescriber Instructions:</w:t>
            </w:r>
            <w:r>
              <w:rPr>
                <w:rFonts w:ascii="Arial Narrow" w:hAnsi="Arial Narrow"/>
                <w:b/>
                <w:i/>
                <w:iCs/>
                <w:color w:val="333333"/>
                <w:sz w:val="18"/>
                <w:szCs w:val="18"/>
              </w:rPr>
              <w:t xml:space="preserve"> </w:t>
            </w:r>
            <w:r w:rsidRPr="00142FFE">
              <w:rPr>
                <w:rFonts w:ascii="Arial Narrow" w:hAnsi="Arial Narrow"/>
                <w:bCs/>
                <w:color w:val="333333"/>
                <w:sz w:val="18"/>
                <w:szCs w:val="18"/>
              </w:rPr>
              <w:t xml:space="preserve"> </w:t>
            </w:r>
            <w:r w:rsidRPr="00042C8C">
              <w:rPr>
                <w:rFonts w:ascii="Arial Narrow" w:hAnsi="Arial Narrow"/>
                <w:bCs/>
                <w:color w:val="333333"/>
                <w:sz w:val="18"/>
                <w:szCs w:val="18"/>
              </w:rPr>
              <w:t>Patients are eligible to receive continuing treatment with this drug in courses up to 24 weeks providing they continue to sustain a response.</w:t>
            </w:r>
          </w:p>
        </w:tc>
      </w:tr>
      <w:tr w:rsidR="0034504B" w:rsidRPr="00120A12" w14:paraId="2CECBA51" w14:textId="77777777" w:rsidTr="00762948">
        <w:tc>
          <w:tcPr>
            <w:tcW w:w="553" w:type="pct"/>
            <w:vAlign w:val="center"/>
          </w:tcPr>
          <w:p w14:paraId="684BD64F" w14:textId="32728450" w:rsidR="0034504B" w:rsidRDefault="0034504B" w:rsidP="00762948">
            <w:pPr>
              <w:jc w:val="center"/>
              <w:rPr>
                <w:rFonts w:ascii="Arial Narrow" w:hAnsi="Arial Narrow"/>
                <w:color w:val="333333"/>
                <w:sz w:val="18"/>
                <w:szCs w:val="18"/>
              </w:rPr>
            </w:pPr>
          </w:p>
        </w:tc>
        <w:tc>
          <w:tcPr>
            <w:tcW w:w="4447" w:type="pct"/>
            <w:vAlign w:val="center"/>
          </w:tcPr>
          <w:p w14:paraId="40699101" w14:textId="0E4C9EA2" w:rsidR="0034504B" w:rsidRPr="00120A12" w:rsidRDefault="0034504B" w:rsidP="00762948">
            <w:pPr>
              <w:rPr>
                <w:rFonts w:ascii="Arial Narrow" w:hAnsi="Arial Narrow"/>
                <w:b/>
                <w:bCs/>
                <w:color w:val="333333"/>
                <w:sz w:val="18"/>
                <w:szCs w:val="18"/>
              </w:rPr>
            </w:pPr>
            <w:r w:rsidRPr="00554900">
              <w:rPr>
                <w:rFonts w:ascii="Arial Narrow" w:hAnsi="Arial Narrow"/>
                <w:b/>
                <w:color w:val="333333"/>
                <w:sz w:val="18"/>
                <w:szCs w:val="18"/>
              </w:rPr>
              <w:t>Prescriber Instructions:</w:t>
            </w:r>
            <w:r>
              <w:rPr>
                <w:rFonts w:ascii="Arial Narrow" w:hAnsi="Arial Narrow"/>
                <w:b/>
                <w:i/>
                <w:iCs/>
                <w:color w:val="333333"/>
                <w:sz w:val="18"/>
                <w:szCs w:val="18"/>
              </w:rPr>
              <w:t xml:space="preserve"> </w:t>
            </w:r>
            <w:r w:rsidRPr="00142FFE">
              <w:rPr>
                <w:rFonts w:ascii="Arial Narrow" w:hAnsi="Arial Narrow"/>
                <w:bCs/>
                <w:color w:val="333333"/>
                <w:sz w:val="18"/>
                <w:szCs w:val="18"/>
              </w:rPr>
              <w:t xml:space="preserve"> </w:t>
            </w:r>
            <w:r w:rsidRPr="00042C8C">
              <w:rPr>
                <w:rFonts w:ascii="Arial Narrow" w:hAnsi="Arial Narrow"/>
                <w:bCs/>
                <w:color w:val="333333"/>
                <w:sz w:val="18"/>
                <w:szCs w:val="18"/>
              </w:rPr>
              <w:t xml:space="preserve">An application for the continuing treatment must be </w:t>
            </w:r>
            <w:r>
              <w:rPr>
                <w:rFonts w:ascii="Arial Narrow" w:hAnsi="Arial Narrow"/>
                <w:bCs/>
                <w:color w:val="333333"/>
                <w:sz w:val="18"/>
                <w:szCs w:val="18"/>
              </w:rPr>
              <w:t xml:space="preserve">made </w:t>
            </w:r>
            <w:r w:rsidRPr="00042C8C">
              <w:rPr>
                <w:rFonts w:ascii="Arial Narrow" w:hAnsi="Arial Narrow"/>
                <w:bCs/>
                <w:color w:val="333333"/>
                <w:sz w:val="18"/>
                <w:szCs w:val="18"/>
              </w:rPr>
              <w:t>following</w:t>
            </w:r>
            <w:r>
              <w:rPr>
                <w:rFonts w:ascii="Arial Narrow" w:hAnsi="Arial Narrow"/>
                <w:bCs/>
                <w:color w:val="333333"/>
                <w:sz w:val="18"/>
                <w:szCs w:val="18"/>
              </w:rPr>
              <w:t xml:space="preserve"> </w:t>
            </w:r>
            <w:r w:rsidRPr="00554900">
              <w:rPr>
                <w:rFonts w:ascii="Arial Narrow" w:hAnsi="Arial Narrow"/>
                <w:bCs/>
                <w:color w:val="333333"/>
                <w:sz w:val="18"/>
                <w:szCs w:val="18"/>
              </w:rPr>
              <w:t>the third dose</w:t>
            </w:r>
            <w:r w:rsidRPr="00042C8C">
              <w:rPr>
                <w:rFonts w:ascii="Arial Narrow" w:hAnsi="Arial Narrow"/>
                <w:bCs/>
                <w:color w:val="333333"/>
                <w:sz w:val="18"/>
                <w:szCs w:val="18"/>
              </w:rPr>
              <w:t xml:space="preserve"> with this drug and </w:t>
            </w:r>
            <w:r>
              <w:rPr>
                <w:rFonts w:ascii="Arial Narrow" w:hAnsi="Arial Narrow"/>
                <w:bCs/>
                <w:color w:val="333333"/>
                <w:sz w:val="18"/>
                <w:szCs w:val="18"/>
              </w:rPr>
              <w:t>requested</w:t>
            </w:r>
            <w:r w:rsidRPr="00042C8C">
              <w:rPr>
                <w:rFonts w:ascii="Arial Narrow" w:hAnsi="Arial Narrow"/>
                <w:bCs/>
                <w:color w:val="333333"/>
                <w:sz w:val="18"/>
                <w:szCs w:val="18"/>
              </w:rPr>
              <w:t xml:space="preserve"> no later than 4 weeks from the date of completion of treatment. This will enable ongoing treatment for those who meet the continuing restriction for PBS-subsidised treatment.</w:t>
            </w:r>
            <w:r>
              <w:rPr>
                <w:rFonts w:ascii="Arial Narrow" w:hAnsi="Arial Narrow"/>
                <w:bCs/>
                <w:color w:val="333333"/>
                <w:sz w:val="18"/>
                <w:szCs w:val="18"/>
              </w:rPr>
              <w:t xml:space="preserve"> Where an application is not made within these timeframes, the patient will be deemed to have failed to respond to treatment with this drug. </w:t>
            </w:r>
          </w:p>
        </w:tc>
      </w:tr>
      <w:tr w:rsidR="00276600" w:rsidRPr="00120A12" w14:paraId="3AE405C3" w14:textId="77777777" w:rsidTr="00762948">
        <w:tc>
          <w:tcPr>
            <w:tcW w:w="553" w:type="pct"/>
            <w:vAlign w:val="center"/>
          </w:tcPr>
          <w:p w14:paraId="2FB0DBCD" w14:textId="6E4ACC3F" w:rsidR="0034504B" w:rsidRDefault="0034504B" w:rsidP="00762948">
            <w:pPr>
              <w:jc w:val="center"/>
              <w:rPr>
                <w:rFonts w:ascii="Arial Narrow" w:hAnsi="Arial Narrow"/>
                <w:color w:val="333333"/>
                <w:sz w:val="18"/>
                <w:szCs w:val="18"/>
              </w:rPr>
            </w:pPr>
          </w:p>
        </w:tc>
        <w:tc>
          <w:tcPr>
            <w:tcW w:w="4447" w:type="pct"/>
            <w:vAlign w:val="center"/>
          </w:tcPr>
          <w:p w14:paraId="2EED1AA5" w14:textId="2B9C7F56" w:rsidR="0034504B" w:rsidRPr="00120A12" w:rsidRDefault="0034504B" w:rsidP="00762948">
            <w:pPr>
              <w:rPr>
                <w:rFonts w:ascii="Arial Narrow" w:hAnsi="Arial Narrow"/>
                <w:b/>
                <w:bCs/>
                <w:color w:val="333333"/>
                <w:sz w:val="18"/>
                <w:szCs w:val="18"/>
              </w:rPr>
            </w:pPr>
            <w:r w:rsidRPr="00554900">
              <w:rPr>
                <w:rFonts w:ascii="Arial Narrow" w:hAnsi="Arial Narrow"/>
                <w:b/>
                <w:color w:val="333333"/>
                <w:sz w:val="18"/>
                <w:szCs w:val="18"/>
              </w:rPr>
              <w:t>Prescriber Instructions:</w:t>
            </w:r>
            <w:r>
              <w:rPr>
                <w:rFonts w:ascii="Arial Narrow" w:hAnsi="Arial Narrow"/>
                <w:b/>
                <w:i/>
                <w:iCs/>
                <w:color w:val="333333"/>
                <w:sz w:val="18"/>
                <w:szCs w:val="18"/>
              </w:rPr>
              <w:t xml:space="preserve"> </w:t>
            </w:r>
            <w:r w:rsidRPr="00142FFE">
              <w:rPr>
                <w:rFonts w:ascii="Arial Narrow" w:hAnsi="Arial Narrow"/>
                <w:bCs/>
                <w:color w:val="333333"/>
                <w:sz w:val="18"/>
                <w:szCs w:val="18"/>
              </w:rPr>
              <w:t xml:space="preserve"> </w:t>
            </w:r>
            <w:r w:rsidRPr="00042C8C">
              <w:rPr>
                <w:rFonts w:ascii="Arial Narrow" w:hAnsi="Arial Narrow"/>
                <w:bCs/>
                <w:color w:val="333333"/>
                <w:sz w:val="18"/>
                <w:szCs w:val="18"/>
              </w:rPr>
              <w:t xml:space="preserve">If a patient fails to demonstrate a response to treatment with this drug they will not be eligible to receive further PBS-subsidised treatment with this drug for this condition. </w:t>
            </w:r>
          </w:p>
        </w:tc>
      </w:tr>
      <w:tr w:rsidR="0034504B" w:rsidRPr="00120A12" w14:paraId="30657B50" w14:textId="77777777" w:rsidTr="00762948">
        <w:tc>
          <w:tcPr>
            <w:tcW w:w="553" w:type="pct"/>
            <w:vAlign w:val="center"/>
          </w:tcPr>
          <w:p w14:paraId="123D801F" w14:textId="4CA6D947" w:rsidR="0034504B" w:rsidRDefault="0034504B" w:rsidP="00762948">
            <w:pPr>
              <w:jc w:val="center"/>
              <w:rPr>
                <w:rFonts w:ascii="Arial Narrow" w:hAnsi="Arial Narrow"/>
                <w:color w:val="333333"/>
                <w:sz w:val="18"/>
                <w:szCs w:val="18"/>
              </w:rPr>
            </w:pPr>
          </w:p>
        </w:tc>
        <w:tc>
          <w:tcPr>
            <w:tcW w:w="4447" w:type="pct"/>
            <w:vAlign w:val="center"/>
          </w:tcPr>
          <w:p w14:paraId="5C68D12B" w14:textId="77777777" w:rsidR="0034504B" w:rsidRDefault="0034504B" w:rsidP="00762948">
            <w:pPr>
              <w:rPr>
                <w:rFonts w:ascii="Arial Narrow" w:hAnsi="Arial Narrow"/>
                <w:b/>
                <w:bCs/>
                <w:color w:val="333333"/>
                <w:sz w:val="18"/>
                <w:szCs w:val="18"/>
              </w:rPr>
            </w:pPr>
            <w:r w:rsidRPr="00120A12">
              <w:rPr>
                <w:rFonts w:ascii="Arial Narrow" w:hAnsi="Arial Narrow"/>
                <w:b/>
                <w:bCs/>
                <w:color w:val="333333"/>
                <w:sz w:val="18"/>
                <w:szCs w:val="18"/>
              </w:rPr>
              <w:t>Administrative Advice:</w:t>
            </w:r>
            <w:r>
              <w:rPr>
                <w:rFonts w:ascii="Arial Narrow" w:hAnsi="Arial Narrow"/>
                <w:b/>
                <w:bCs/>
                <w:color w:val="333333"/>
                <w:sz w:val="18"/>
                <w:szCs w:val="18"/>
              </w:rPr>
              <w:t xml:space="preserve">  </w:t>
            </w:r>
          </w:p>
          <w:p w14:paraId="3C2D4965" w14:textId="77777777" w:rsidR="0034504B" w:rsidRPr="00554900" w:rsidRDefault="0034504B" w:rsidP="00762948">
            <w:pPr>
              <w:rPr>
                <w:rFonts w:ascii="Arial Narrow" w:hAnsi="Arial Narrow"/>
                <w:color w:val="333333"/>
                <w:sz w:val="18"/>
                <w:szCs w:val="18"/>
              </w:rPr>
            </w:pPr>
            <w:r w:rsidRPr="00554900">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Monday to Friday).</w:t>
            </w:r>
          </w:p>
        </w:tc>
      </w:tr>
    </w:tbl>
    <w:p w14:paraId="40387AD0" w14:textId="77777777" w:rsidR="0034504B" w:rsidRDefault="0034504B" w:rsidP="0034504B"/>
    <w:p w14:paraId="02D9993C" w14:textId="77777777" w:rsidR="0034504B" w:rsidRPr="00507253" w:rsidRDefault="0034504B" w:rsidP="0034504B">
      <w:pPr>
        <w:rPr>
          <w:rFonts w:ascii="Arial Narrow" w:hAnsi="Arial Narrow"/>
          <w:b/>
          <w:sz w:val="18"/>
          <w:szCs w:val="18"/>
        </w:rPr>
      </w:pPr>
      <w:r w:rsidRPr="00507253">
        <w:rPr>
          <w:rFonts w:ascii="Arial Narrow" w:hAnsi="Arial Narrow"/>
          <w:b/>
          <w:sz w:val="18"/>
          <w:szCs w:val="18"/>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34504B" w:rsidRPr="00120A12" w14:paraId="606228DF" w14:textId="77777777" w:rsidTr="00762948">
        <w:tc>
          <w:tcPr>
            <w:tcW w:w="553" w:type="pct"/>
            <w:tcBorders>
              <w:top w:val="single" w:sz="4" w:space="0" w:color="auto"/>
              <w:left w:val="single" w:sz="4" w:space="0" w:color="auto"/>
              <w:bottom w:val="single" w:sz="4" w:space="0" w:color="auto"/>
              <w:right w:val="single" w:sz="4" w:space="0" w:color="auto"/>
            </w:tcBorders>
          </w:tcPr>
          <w:p w14:paraId="70D831BD" w14:textId="77777777" w:rsidR="0034504B" w:rsidRPr="00254963" w:rsidRDefault="0034504B" w:rsidP="00762948">
            <w:pPr>
              <w:jc w:val="center"/>
              <w:rPr>
                <w:rFonts w:ascii="Arial Narrow" w:hAnsi="Arial Narrow"/>
                <w:b/>
                <w:sz w:val="18"/>
                <w:szCs w:val="18"/>
              </w:rPr>
            </w:pPr>
            <w:r w:rsidRPr="00254963">
              <w:rPr>
                <w:rFonts w:ascii="Arial Narrow" w:hAnsi="Arial Narrow"/>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14:paraId="30F9208A" w14:textId="77777777" w:rsidR="0034504B" w:rsidRPr="00254963" w:rsidRDefault="0034504B" w:rsidP="00762948">
            <w:pPr>
              <w:rPr>
                <w:rFonts w:ascii="Arial Narrow" w:hAnsi="Arial Narrow"/>
                <w:sz w:val="18"/>
                <w:szCs w:val="18"/>
              </w:rPr>
            </w:pPr>
            <w:r w:rsidRPr="00254963">
              <w:rPr>
                <w:rFonts w:ascii="Arial Narrow" w:hAnsi="Arial Narrow"/>
                <w:b/>
                <w:sz w:val="18"/>
                <w:szCs w:val="18"/>
              </w:rPr>
              <w:t xml:space="preserve">Category / Program: </w:t>
            </w:r>
            <w:r w:rsidRPr="00254963">
              <w:rPr>
                <w:rFonts w:ascii="Arial Narrow" w:hAnsi="Arial Narrow"/>
                <w:sz w:val="18"/>
                <w:szCs w:val="18"/>
              </w:rPr>
              <w:t xml:space="preserve">Section 100 – Highly Specialised Drugs Program {Public/Private Hospitals} </w:t>
            </w:r>
          </w:p>
        </w:tc>
      </w:tr>
      <w:tr w:rsidR="0034504B" w:rsidRPr="00120A12" w14:paraId="2D214DE6" w14:textId="77777777" w:rsidTr="00762948">
        <w:trPr>
          <w:trHeight w:val="366"/>
        </w:trPr>
        <w:tc>
          <w:tcPr>
            <w:tcW w:w="553" w:type="pct"/>
            <w:tcBorders>
              <w:top w:val="single" w:sz="4" w:space="0" w:color="auto"/>
              <w:left w:val="single" w:sz="4" w:space="0" w:color="auto"/>
              <w:bottom w:val="single" w:sz="4" w:space="0" w:color="auto"/>
              <w:right w:val="single" w:sz="4" w:space="0" w:color="auto"/>
            </w:tcBorders>
          </w:tcPr>
          <w:p w14:paraId="30C6CB94" w14:textId="77777777" w:rsidR="0034504B" w:rsidRPr="00254963"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557CBB11" w14:textId="77777777" w:rsidR="0034504B" w:rsidRPr="00254963" w:rsidRDefault="0034504B" w:rsidP="00762948">
            <w:pPr>
              <w:rPr>
                <w:rFonts w:ascii="Arial Narrow" w:hAnsi="Arial Narrow"/>
                <w:sz w:val="18"/>
                <w:szCs w:val="18"/>
              </w:rPr>
            </w:pPr>
            <w:r w:rsidRPr="00254963">
              <w:rPr>
                <w:rFonts w:ascii="Arial Narrow" w:hAnsi="Arial Narrow"/>
                <w:b/>
                <w:sz w:val="18"/>
                <w:szCs w:val="18"/>
              </w:rPr>
              <w:t xml:space="preserve">Prescriber type:  </w:t>
            </w:r>
            <w:r w:rsidRPr="00254963">
              <w:rPr>
                <w:rFonts w:ascii="Arial Narrow" w:hAnsi="Arial Narrow"/>
                <w:sz w:val="18"/>
                <w:szCs w:val="18"/>
              </w:rPr>
              <w:fldChar w:fldCharType="begin" w:fldLock="1">
                <w:ffData>
                  <w:name w:val=""/>
                  <w:enabled/>
                  <w:calcOnExit w:val="0"/>
                  <w:checkBox>
                    <w:sizeAuto/>
                    <w:default w:val="1"/>
                  </w:checkBox>
                </w:ffData>
              </w:fldChar>
            </w:r>
            <w:r w:rsidRPr="00254963">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sidRPr="00254963">
              <w:rPr>
                <w:rFonts w:ascii="Arial Narrow" w:hAnsi="Arial Narrow"/>
                <w:sz w:val="18"/>
                <w:szCs w:val="18"/>
              </w:rPr>
              <w:fldChar w:fldCharType="end"/>
            </w:r>
            <w:r w:rsidRPr="00254963">
              <w:rPr>
                <w:rFonts w:ascii="Arial Narrow" w:hAnsi="Arial Narrow"/>
                <w:sz w:val="18"/>
                <w:szCs w:val="18"/>
              </w:rPr>
              <w:t xml:space="preserve">Medical Practitioners  </w:t>
            </w:r>
          </w:p>
        </w:tc>
      </w:tr>
      <w:tr w:rsidR="0034504B" w:rsidRPr="00120A12" w14:paraId="4B394191" w14:textId="77777777" w:rsidTr="00762948">
        <w:tc>
          <w:tcPr>
            <w:tcW w:w="553" w:type="pct"/>
            <w:tcBorders>
              <w:top w:val="single" w:sz="4" w:space="0" w:color="auto"/>
              <w:left w:val="single" w:sz="4" w:space="0" w:color="auto"/>
              <w:bottom w:val="single" w:sz="4" w:space="0" w:color="auto"/>
              <w:right w:val="single" w:sz="4" w:space="0" w:color="auto"/>
            </w:tcBorders>
          </w:tcPr>
          <w:p w14:paraId="71B63869" w14:textId="77777777" w:rsidR="0034504B" w:rsidRPr="00254963" w:rsidRDefault="0034504B" w:rsidP="00762948">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769EF566" w14:textId="730D67E1" w:rsidR="0034504B" w:rsidRPr="00254963" w:rsidRDefault="0034504B" w:rsidP="00762948">
            <w:pPr>
              <w:rPr>
                <w:rFonts w:ascii="Arial Narrow" w:hAnsi="Arial Narrow"/>
                <w:b/>
                <w:sz w:val="18"/>
                <w:szCs w:val="18"/>
              </w:rPr>
            </w:pPr>
            <w:r w:rsidRPr="00254963">
              <w:rPr>
                <w:rFonts w:ascii="Arial Narrow" w:hAnsi="Arial Narrow"/>
                <w:b/>
                <w:sz w:val="18"/>
                <w:szCs w:val="18"/>
              </w:rPr>
              <w:t xml:space="preserve">Restriction Level / Method: </w:t>
            </w:r>
            <w:r w:rsidRPr="00254963">
              <w:rPr>
                <w:rFonts w:ascii="Arial Narrow" w:hAnsi="Arial Narrow"/>
                <w:sz w:val="18"/>
                <w:szCs w:val="18"/>
              </w:rPr>
              <w:fldChar w:fldCharType="begin" w:fldLock="1">
                <w:ffData>
                  <w:name w:val=""/>
                  <w:enabled/>
                  <w:calcOnExit w:val="0"/>
                  <w:checkBox>
                    <w:sizeAuto/>
                    <w:default w:val="1"/>
                  </w:checkBox>
                </w:ffData>
              </w:fldChar>
            </w:r>
            <w:r w:rsidRPr="00254963">
              <w:rPr>
                <w:rFonts w:ascii="Arial Narrow" w:hAnsi="Arial Narrow"/>
                <w:sz w:val="18"/>
                <w:szCs w:val="18"/>
              </w:rPr>
              <w:instrText xml:space="preserve"> FORMCHECKBOX </w:instrText>
            </w:r>
            <w:r w:rsidR="00827768">
              <w:rPr>
                <w:rFonts w:ascii="Arial Narrow" w:hAnsi="Arial Narrow"/>
                <w:sz w:val="18"/>
                <w:szCs w:val="18"/>
              </w:rPr>
            </w:r>
            <w:r w:rsidR="00827768">
              <w:rPr>
                <w:rFonts w:ascii="Arial Narrow" w:hAnsi="Arial Narrow"/>
                <w:sz w:val="18"/>
                <w:szCs w:val="18"/>
              </w:rPr>
              <w:fldChar w:fldCharType="separate"/>
            </w:r>
            <w:r w:rsidRPr="00254963">
              <w:rPr>
                <w:rFonts w:ascii="Arial Narrow" w:hAnsi="Arial Narrow"/>
                <w:sz w:val="18"/>
                <w:szCs w:val="18"/>
              </w:rPr>
              <w:fldChar w:fldCharType="end"/>
            </w:r>
            <w:r w:rsidRPr="00254963">
              <w:rPr>
                <w:rFonts w:ascii="Arial Narrow" w:hAnsi="Arial Narrow"/>
                <w:sz w:val="18"/>
                <w:szCs w:val="18"/>
              </w:rPr>
              <w:t xml:space="preserve">Authority Required – In Writing </w:t>
            </w:r>
          </w:p>
        </w:tc>
      </w:tr>
      <w:tr w:rsidR="00A976DE" w:rsidRPr="00120A12" w14:paraId="34639E18" w14:textId="77777777" w:rsidTr="00762948">
        <w:tc>
          <w:tcPr>
            <w:tcW w:w="553" w:type="pct"/>
            <w:tcBorders>
              <w:top w:val="single" w:sz="4" w:space="0" w:color="auto"/>
              <w:left w:val="single" w:sz="4" w:space="0" w:color="auto"/>
              <w:bottom w:val="single" w:sz="4" w:space="0" w:color="auto"/>
              <w:right w:val="single" w:sz="4" w:space="0" w:color="auto"/>
            </w:tcBorders>
          </w:tcPr>
          <w:p w14:paraId="6B2122DB" w14:textId="77777777" w:rsidR="00A976DE" w:rsidRPr="00254963" w:rsidRDefault="00A976DE" w:rsidP="00A976DE">
            <w:pP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14:paraId="69C957F3" w14:textId="77777777" w:rsidR="00A976DE" w:rsidRPr="00DC1AEB" w:rsidRDefault="00A976DE" w:rsidP="00A976DE">
            <w:pPr>
              <w:keepNext/>
              <w:keepLines/>
              <w:rPr>
                <w:rFonts w:ascii="Arial Narrow" w:hAnsi="Arial Narrow"/>
                <w:b/>
                <w:iCs/>
                <w:sz w:val="18"/>
                <w:szCs w:val="18"/>
              </w:rPr>
            </w:pPr>
            <w:r w:rsidRPr="00DC1AEB">
              <w:rPr>
                <w:rFonts w:ascii="Arial Narrow" w:hAnsi="Arial Narrow"/>
                <w:b/>
                <w:iCs/>
                <w:sz w:val="18"/>
                <w:szCs w:val="18"/>
              </w:rPr>
              <w:t xml:space="preserve">Authority type: </w:t>
            </w:r>
            <w:r w:rsidRPr="00DC1AEB">
              <w:rPr>
                <w:rFonts w:ascii="Arial Narrow" w:hAnsi="Arial Narrow"/>
                <w:bCs/>
                <w:iCs/>
                <w:sz w:val="18"/>
                <w:szCs w:val="18"/>
              </w:rPr>
              <w:t>required for s100 HSD</w:t>
            </w:r>
          </w:p>
          <w:p w14:paraId="71430D56" w14:textId="6C3FFF55" w:rsidR="00A976DE" w:rsidRPr="00DC1AEB" w:rsidRDefault="00A976DE" w:rsidP="00A976DE">
            <w:pPr>
              <w:rPr>
                <w:rFonts w:ascii="Arial Narrow" w:hAnsi="Arial Narrow"/>
                <w:b/>
                <w:sz w:val="18"/>
                <w:szCs w:val="18"/>
              </w:rPr>
            </w:pPr>
            <w:r w:rsidRPr="00DC1AEB">
              <w:rPr>
                <w:rFonts w:ascii="Arial Narrow" w:eastAsia="Calibri" w:hAnsi="Arial Narrow"/>
                <w:iCs/>
                <w:sz w:val="18"/>
                <w:szCs w:val="18"/>
              </w:rPr>
              <w:fldChar w:fldCharType="begin" w:fldLock="1">
                <w:ffData>
                  <w:name w:val=""/>
                  <w:enabled/>
                  <w:calcOnExit w:val="0"/>
                  <w:checkBox>
                    <w:sizeAuto/>
                    <w:default w:val="1"/>
                  </w:checkBox>
                </w:ffData>
              </w:fldChar>
            </w:r>
            <w:r w:rsidRPr="00DC1AEB">
              <w:rPr>
                <w:rFonts w:ascii="Arial Narrow" w:eastAsia="Calibri" w:hAnsi="Arial Narrow"/>
                <w:iCs/>
                <w:sz w:val="18"/>
                <w:szCs w:val="18"/>
              </w:rPr>
              <w:instrText xml:space="preserve"> FORMCHECKBOX </w:instrText>
            </w:r>
            <w:r w:rsidR="00827768">
              <w:rPr>
                <w:rFonts w:ascii="Arial Narrow" w:eastAsia="Calibri" w:hAnsi="Arial Narrow"/>
                <w:iCs/>
                <w:sz w:val="18"/>
                <w:szCs w:val="18"/>
              </w:rPr>
            </w:r>
            <w:r w:rsidR="00827768">
              <w:rPr>
                <w:rFonts w:ascii="Arial Narrow" w:eastAsia="Calibri" w:hAnsi="Arial Narrow"/>
                <w:iCs/>
                <w:sz w:val="18"/>
                <w:szCs w:val="18"/>
              </w:rPr>
              <w:fldChar w:fldCharType="separate"/>
            </w:r>
            <w:r w:rsidRPr="00DC1AEB">
              <w:rPr>
                <w:rFonts w:ascii="Arial Narrow" w:eastAsia="Calibri" w:hAnsi="Arial Narrow"/>
                <w:iCs/>
                <w:sz w:val="18"/>
                <w:szCs w:val="18"/>
              </w:rPr>
              <w:fldChar w:fldCharType="end"/>
            </w:r>
            <w:r w:rsidRPr="00DC1AEB">
              <w:rPr>
                <w:rFonts w:ascii="Arial Narrow" w:eastAsia="Calibri" w:hAnsi="Arial Narrow"/>
                <w:iCs/>
                <w:sz w:val="18"/>
                <w:szCs w:val="18"/>
              </w:rPr>
              <w:t xml:space="preserve"> C</w:t>
            </w:r>
            <w:r w:rsidRPr="00DC1AEB">
              <w:rPr>
                <w:rFonts w:ascii="Arial Narrow" w:hAnsi="Arial Narrow"/>
                <w:bCs/>
                <w:iCs/>
                <w:sz w:val="18"/>
                <w:szCs w:val="18"/>
              </w:rPr>
              <w:t>omplex Authority Required (CAR)</w:t>
            </w:r>
          </w:p>
        </w:tc>
      </w:tr>
      <w:tr w:rsidR="0034504B" w:rsidRPr="00120A12" w14:paraId="32AAF5CC" w14:textId="77777777" w:rsidTr="00762948">
        <w:tc>
          <w:tcPr>
            <w:tcW w:w="553" w:type="pct"/>
            <w:vAlign w:val="center"/>
          </w:tcPr>
          <w:p w14:paraId="6E9526B9" w14:textId="37EA4DC3" w:rsidR="0034504B" w:rsidRPr="00254963" w:rsidRDefault="0034504B" w:rsidP="00762948">
            <w:pPr>
              <w:jc w:val="center"/>
              <w:rPr>
                <w:rFonts w:ascii="Arial Narrow" w:hAnsi="Arial Narrow"/>
                <w:color w:val="333333"/>
                <w:sz w:val="18"/>
                <w:szCs w:val="18"/>
              </w:rPr>
            </w:pPr>
          </w:p>
        </w:tc>
        <w:tc>
          <w:tcPr>
            <w:tcW w:w="4447" w:type="pct"/>
            <w:vAlign w:val="center"/>
          </w:tcPr>
          <w:p w14:paraId="6AFB793F" w14:textId="77777777" w:rsidR="0034504B" w:rsidRPr="00254963" w:rsidRDefault="0034504B" w:rsidP="00762948">
            <w:pPr>
              <w:rPr>
                <w:rFonts w:ascii="Arial Narrow" w:hAnsi="Arial Narrow"/>
                <w:color w:val="333333"/>
                <w:sz w:val="18"/>
                <w:szCs w:val="18"/>
              </w:rPr>
            </w:pPr>
            <w:r w:rsidRPr="00254963">
              <w:rPr>
                <w:rFonts w:ascii="Arial Narrow" w:hAnsi="Arial Narrow"/>
                <w:b/>
                <w:bCs/>
                <w:color w:val="333333"/>
                <w:sz w:val="18"/>
                <w:szCs w:val="18"/>
              </w:rPr>
              <w:t>Administrative Advice:</w:t>
            </w:r>
          </w:p>
          <w:p w14:paraId="4C675169" w14:textId="77777777"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t>No increase in the maximum quantity or number of units may be authorised.</w:t>
            </w:r>
          </w:p>
        </w:tc>
      </w:tr>
      <w:tr w:rsidR="0034504B" w:rsidRPr="00120A12" w14:paraId="3B11117D" w14:textId="77777777" w:rsidTr="00762948">
        <w:tc>
          <w:tcPr>
            <w:tcW w:w="553" w:type="pct"/>
            <w:vAlign w:val="center"/>
          </w:tcPr>
          <w:p w14:paraId="63A465FA" w14:textId="32B60AEE" w:rsidR="0034504B" w:rsidRPr="00254963" w:rsidRDefault="0034504B" w:rsidP="00762948">
            <w:pPr>
              <w:jc w:val="center"/>
              <w:rPr>
                <w:rFonts w:ascii="Arial Narrow" w:hAnsi="Arial Narrow"/>
                <w:color w:val="333333"/>
                <w:sz w:val="18"/>
                <w:szCs w:val="18"/>
              </w:rPr>
            </w:pPr>
          </w:p>
        </w:tc>
        <w:tc>
          <w:tcPr>
            <w:tcW w:w="4447" w:type="pct"/>
            <w:vAlign w:val="center"/>
          </w:tcPr>
          <w:p w14:paraId="34E923FA" w14:textId="77777777" w:rsidR="0034504B" w:rsidRPr="00254963" w:rsidRDefault="0034504B" w:rsidP="00762948">
            <w:pPr>
              <w:rPr>
                <w:rFonts w:ascii="Arial Narrow" w:hAnsi="Arial Narrow"/>
                <w:color w:val="333333"/>
                <w:sz w:val="18"/>
                <w:szCs w:val="18"/>
              </w:rPr>
            </w:pPr>
            <w:r w:rsidRPr="00254963">
              <w:rPr>
                <w:rFonts w:ascii="Arial Narrow" w:hAnsi="Arial Narrow"/>
                <w:b/>
                <w:bCs/>
                <w:color w:val="333333"/>
                <w:sz w:val="18"/>
                <w:szCs w:val="18"/>
              </w:rPr>
              <w:t>Administrative Advice:</w:t>
            </w:r>
          </w:p>
          <w:p w14:paraId="6F1606D5" w14:textId="77777777" w:rsidR="0034504B" w:rsidRPr="00254963" w:rsidRDefault="0034504B" w:rsidP="00762948">
            <w:pPr>
              <w:rPr>
                <w:rFonts w:ascii="Arial Narrow" w:hAnsi="Arial Narrow"/>
                <w:b/>
                <w:bCs/>
                <w:color w:val="333333"/>
                <w:sz w:val="18"/>
                <w:szCs w:val="18"/>
              </w:rPr>
            </w:pPr>
            <w:r w:rsidRPr="00254963">
              <w:rPr>
                <w:rFonts w:ascii="Arial Narrow" w:hAnsi="Arial Narrow"/>
                <w:color w:val="333333"/>
                <w:sz w:val="18"/>
                <w:szCs w:val="18"/>
              </w:rPr>
              <w:t>No increase in the maximum number of repeats may be authorised.</w:t>
            </w:r>
          </w:p>
        </w:tc>
      </w:tr>
      <w:tr w:rsidR="0034504B" w:rsidRPr="00120A12" w14:paraId="672698B1" w14:textId="77777777" w:rsidTr="00762948">
        <w:tc>
          <w:tcPr>
            <w:tcW w:w="553" w:type="pct"/>
            <w:vAlign w:val="center"/>
          </w:tcPr>
          <w:p w14:paraId="18D8C8D8" w14:textId="0CCE252E" w:rsidR="0034504B" w:rsidRPr="00254963" w:rsidRDefault="0034504B" w:rsidP="00762948">
            <w:pPr>
              <w:jc w:val="center"/>
              <w:rPr>
                <w:rFonts w:ascii="Arial Narrow" w:hAnsi="Arial Narrow"/>
                <w:color w:val="333333"/>
                <w:sz w:val="18"/>
                <w:szCs w:val="18"/>
              </w:rPr>
            </w:pPr>
          </w:p>
        </w:tc>
        <w:tc>
          <w:tcPr>
            <w:tcW w:w="4447" w:type="pct"/>
            <w:vAlign w:val="center"/>
          </w:tcPr>
          <w:p w14:paraId="4F9DD78A" w14:textId="77777777" w:rsidR="0034504B" w:rsidRPr="00254963" w:rsidRDefault="0034504B" w:rsidP="00762948">
            <w:pPr>
              <w:rPr>
                <w:rFonts w:ascii="Arial Narrow" w:hAnsi="Arial Narrow"/>
                <w:color w:val="333333"/>
                <w:sz w:val="18"/>
                <w:szCs w:val="18"/>
              </w:rPr>
            </w:pPr>
            <w:r w:rsidRPr="00254963">
              <w:rPr>
                <w:rFonts w:ascii="Arial Narrow" w:hAnsi="Arial Narrow"/>
                <w:b/>
                <w:bCs/>
                <w:color w:val="333333"/>
                <w:sz w:val="18"/>
                <w:szCs w:val="18"/>
              </w:rPr>
              <w:t>Administrative Advice:</w:t>
            </w:r>
          </w:p>
          <w:p w14:paraId="7562B780" w14:textId="77777777" w:rsidR="0034504B" w:rsidRPr="00254963" w:rsidRDefault="0034504B" w:rsidP="00762948">
            <w:pPr>
              <w:rPr>
                <w:rFonts w:ascii="Arial Narrow" w:hAnsi="Arial Narrow"/>
                <w:b/>
                <w:bCs/>
                <w:color w:val="333333"/>
                <w:sz w:val="18"/>
                <w:szCs w:val="18"/>
              </w:rPr>
            </w:pPr>
            <w:r w:rsidRPr="00254963">
              <w:rPr>
                <w:rFonts w:ascii="Arial Narrow" w:hAnsi="Arial Narrow"/>
                <w:color w:val="333333"/>
                <w:sz w:val="18"/>
                <w:szCs w:val="18"/>
              </w:rPr>
              <w:t>Special Pricing Arrangements apply.</w:t>
            </w:r>
          </w:p>
        </w:tc>
      </w:tr>
      <w:tr w:rsidR="0034504B" w:rsidRPr="00120A12" w14:paraId="71340E16" w14:textId="77777777" w:rsidTr="00762948">
        <w:tc>
          <w:tcPr>
            <w:tcW w:w="553" w:type="pct"/>
            <w:vAlign w:val="center"/>
          </w:tcPr>
          <w:p w14:paraId="4EBCAD6B"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3755CA06" w14:textId="77777777" w:rsidR="0034504B" w:rsidRPr="00C93979" w:rsidRDefault="0034504B" w:rsidP="00762948">
            <w:pPr>
              <w:rPr>
                <w:rFonts w:ascii="Arial Narrow" w:hAnsi="Arial Narrow"/>
                <w:color w:val="BFBFBF" w:themeColor="background1" w:themeShade="BF"/>
                <w:sz w:val="18"/>
                <w:szCs w:val="18"/>
              </w:rPr>
            </w:pPr>
            <w:r w:rsidRPr="00C93979">
              <w:rPr>
                <w:rFonts w:ascii="Arial Narrow" w:hAnsi="Arial Narrow"/>
                <w:b/>
                <w:bCs/>
                <w:color w:val="BFBFBF" w:themeColor="background1" w:themeShade="BF"/>
                <w:sz w:val="18"/>
                <w:szCs w:val="18"/>
              </w:rPr>
              <w:t>Episodicity:</w:t>
            </w:r>
            <w:r w:rsidRPr="00C93979">
              <w:rPr>
                <w:rFonts w:ascii="Arial Narrow" w:hAnsi="Arial Narrow"/>
                <w:color w:val="BFBFBF" w:themeColor="background1" w:themeShade="BF"/>
                <w:sz w:val="18"/>
                <w:szCs w:val="18"/>
              </w:rPr>
              <w:t xml:space="preserve"> Chronic</w:t>
            </w:r>
          </w:p>
        </w:tc>
      </w:tr>
      <w:tr w:rsidR="0034504B" w:rsidRPr="00120A12" w14:paraId="1F9977D7" w14:textId="77777777" w:rsidTr="00762948">
        <w:tc>
          <w:tcPr>
            <w:tcW w:w="553" w:type="pct"/>
            <w:vAlign w:val="center"/>
          </w:tcPr>
          <w:p w14:paraId="750D4DE3"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1A71ECE3" w14:textId="77777777" w:rsidR="0034504B" w:rsidRPr="00C93979" w:rsidRDefault="0034504B" w:rsidP="00762948">
            <w:pPr>
              <w:rPr>
                <w:rFonts w:ascii="Arial Narrow" w:hAnsi="Arial Narrow"/>
                <w:b/>
                <w:bCs/>
                <w:color w:val="BFBFBF" w:themeColor="background1" w:themeShade="BF"/>
                <w:sz w:val="18"/>
                <w:szCs w:val="18"/>
              </w:rPr>
            </w:pPr>
            <w:r w:rsidRPr="00C93979">
              <w:rPr>
                <w:rFonts w:ascii="Arial Narrow" w:hAnsi="Arial Narrow"/>
                <w:b/>
                <w:bCs/>
                <w:color w:val="BFBFBF" w:themeColor="background1" w:themeShade="BF"/>
                <w:sz w:val="18"/>
                <w:szCs w:val="18"/>
              </w:rPr>
              <w:t xml:space="preserve">Severity: </w:t>
            </w:r>
            <w:r w:rsidRPr="00C93979">
              <w:rPr>
                <w:rFonts w:ascii="Arial Narrow" w:hAnsi="Arial Narrow"/>
                <w:color w:val="BFBFBF" w:themeColor="background1" w:themeShade="BF"/>
                <w:sz w:val="18"/>
                <w:szCs w:val="18"/>
              </w:rPr>
              <w:t>Moderate to severe</w:t>
            </w:r>
          </w:p>
        </w:tc>
      </w:tr>
      <w:tr w:rsidR="0034504B" w:rsidRPr="00120A12" w14:paraId="5DE411D9" w14:textId="77777777" w:rsidTr="00762948">
        <w:tc>
          <w:tcPr>
            <w:tcW w:w="553" w:type="pct"/>
            <w:vAlign w:val="center"/>
          </w:tcPr>
          <w:p w14:paraId="5D972F7F"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0C06046A" w14:textId="77777777" w:rsidR="0034504B" w:rsidRPr="00C93979" w:rsidRDefault="0034504B" w:rsidP="00762948">
            <w:pPr>
              <w:rPr>
                <w:rFonts w:ascii="Arial Narrow" w:hAnsi="Arial Narrow"/>
                <w:b/>
                <w:bCs/>
                <w:color w:val="BFBFBF" w:themeColor="background1" w:themeShade="BF"/>
                <w:sz w:val="18"/>
                <w:szCs w:val="18"/>
              </w:rPr>
            </w:pPr>
            <w:r w:rsidRPr="00C93979">
              <w:rPr>
                <w:rFonts w:ascii="Arial Narrow" w:hAnsi="Arial Narrow"/>
                <w:b/>
                <w:bCs/>
                <w:color w:val="BFBFBF" w:themeColor="background1" w:themeShade="BF"/>
                <w:sz w:val="18"/>
                <w:szCs w:val="18"/>
              </w:rPr>
              <w:t xml:space="preserve">Condition: </w:t>
            </w:r>
            <w:r w:rsidRPr="00C93979">
              <w:rPr>
                <w:rFonts w:ascii="Arial Narrow" w:hAnsi="Arial Narrow"/>
                <w:bCs/>
                <w:color w:val="BFBFBF" w:themeColor="background1" w:themeShade="BF"/>
                <w:sz w:val="18"/>
                <w:szCs w:val="18"/>
              </w:rPr>
              <w:t xml:space="preserve">Pouchitis </w:t>
            </w:r>
          </w:p>
        </w:tc>
      </w:tr>
      <w:tr w:rsidR="0034504B" w:rsidRPr="00120A12" w14:paraId="386F32D0" w14:textId="77777777" w:rsidTr="006E2A88">
        <w:tc>
          <w:tcPr>
            <w:tcW w:w="553" w:type="pct"/>
            <w:vAlign w:val="center"/>
          </w:tcPr>
          <w:p w14:paraId="118DACA5" w14:textId="5B750B95" w:rsidR="0034504B" w:rsidRPr="00254963" w:rsidRDefault="0034504B" w:rsidP="00762948">
            <w:pPr>
              <w:jc w:val="center"/>
              <w:rPr>
                <w:rFonts w:ascii="Arial Narrow" w:hAnsi="Arial Narrow"/>
                <w:color w:val="333333"/>
                <w:sz w:val="18"/>
                <w:szCs w:val="18"/>
              </w:rPr>
            </w:pPr>
          </w:p>
        </w:tc>
        <w:tc>
          <w:tcPr>
            <w:tcW w:w="4447" w:type="pct"/>
            <w:vAlign w:val="center"/>
            <w:hideMark/>
          </w:tcPr>
          <w:p w14:paraId="0324DE42" w14:textId="77777777" w:rsidR="0034504B" w:rsidRPr="00254963" w:rsidRDefault="0034504B" w:rsidP="00762948">
            <w:pPr>
              <w:rPr>
                <w:rFonts w:ascii="Arial Narrow" w:hAnsi="Arial Narrow"/>
                <w:color w:val="333333"/>
                <w:sz w:val="18"/>
                <w:szCs w:val="18"/>
              </w:rPr>
            </w:pPr>
            <w:r w:rsidRPr="00254963">
              <w:rPr>
                <w:rFonts w:ascii="Arial Narrow" w:hAnsi="Arial Narrow"/>
                <w:b/>
                <w:bCs/>
                <w:color w:val="333333"/>
                <w:sz w:val="18"/>
                <w:szCs w:val="18"/>
              </w:rPr>
              <w:t>Indication:</w:t>
            </w:r>
            <w:r w:rsidRPr="00254963">
              <w:rPr>
                <w:rFonts w:ascii="Arial Narrow" w:hAnsi="Arial Narrow"/>
                <w:color w:val="333333"/>
                <w:sz w:val="18"/>
                <w:szCs w:val="18"/>
              </w:rPr>
              <w:t xml:space="preserve"> Moderate to severe chronic pouchitis</w:t>
            </w:r>
          </w:p>
        </w:tc>
      </w:tr>
      <w:tr w:rsidR="0034504B" w:rsidRPr="00120A12" w14:paraId="1E160A5F" w14:textId="77777777" w:rsidTr="006E2A88">
        <w:tc>
          <w:tcPr>
            <w:tcW w:w="553" w:type="pct"/>
            <w:vAlign w:val="center"/>
          </w:tcPr>
          <w:p w14:paraId="1CFD2F2E" w14:textId="77777777" w:rsidR="0034504B" w:rsidRPr="00254963" w:rsidRDefault="0034504B" w:rsidP="00762948">
            <w:pPr>
              <w:jc w:val="center"/>
              <w:rPr>
                <w:rFonts w:ascii="Arial Narrow" w:hAnsi="Arial Narrow"/>
                <w:color w:val="333333"/>
                <w:sz w:val="18"/>
                <w:szCs w:val="18"/>
              </w:rPr>
            </w:pPr>
          </w:p>
        </w:tc>
        <w:tc>
          <w:tcPr>
            <w:tcW w:w="4447" w:type="pct"/>
            <w:vAlign w:val="center"/>
            <w:hideMark/>
          </w:tcPr>
          <w:p w14:paraId="3807CB7B" w14:textId="77777777" w:rsidR="0034504B" w:rsidRPr="00254963" w:rsidRDefault="0034504B" w:rsidP="00762948">
            <w:pPr>
              <w:rPr>
                <w:rFonts w:ascii="Arial Narrow" w:hAnsi="Arial Narrow"/>
                <w:color w:val="333333"/>
                <w:sz w:val="18"/>
                <w:szCs w:val="18"/>
              </w:rPr>
            </w:pPr>
            <w:r w:rsidRPr="00254963">
              <w:rPr>
                <w:rFonts w:ascii="Arial Narrow" w:hAnsi="Arial Narrow"/>
                <w:b/>
                <w:bCs/>
                <w:color w:val="333333"/>
                <w:sz w:val="18"/>
                <w:szCs w:val="18"/>
              </w:rPr>
              <w:t>Treatment Phase:</w:t>
            </w:r>
            <w:r w:rsidRPr="00254963">
              <w:rPr>
                <w:rFonts w:ascii="Arial Narrow" w:hAnsi="Arial Narrow"/>
                <w:color w:val="333333"/>
                <w:sz w:val="18"/>
                <w:szCs w:val="18"/>
              </w:rPr>
              <w:t xml:space="preserve"> Transitioning from non-PBS to PBS-subsidised supply – Grandfather arrangements</w:t>
            </w:r>
          </w:p>
        </w:tc>
      </w:tr>
      <w:tr w:rsidR="0034504B" w:rsidRPr="00120A12" w14:paraId="1B41F8ED" w14:textId="77777777" w:rsidTr="00762948">
        <w:tc>
          <w:tcPr>
            <w:tcW w:w="553" w:type="pct"/>
            <w:vAlign w:val="center"/>
          </w:tcPr>
          <w:p w14:paraId="4E98AC70"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521C1AEE" w14:textId="77777777" w:rsidR="0034504B" w:rsidRPr="00254963" w:rsidRDefault="0034504B" w:rsidP="00762948">
            <w:pPr>
              <w:rPr>
                <w:rFonts w:ascii="Arial Narrow" w:hAnsi="Arial Narrow"/>
                <w:b/>
                <w:bCs/>
                <w:color w:val="333333"/>
                <w:sz w:val="18"/>
                <w:szCs w:val="18"/>
              </w:rPr>
            </w:pPr>
            <w:r w:rsidRPr="00254963">
              <w:rPr>
                <w:rFonts w:ascii="Arial Narrow" w:hAnsi="Arial Narrow"/>
                <w:b/>
                <w:bCs/>
                <w:color w:val="333333"/>
                <w:sz w:val="18"/>
                <w:szCs w:val="18"/>
              </w:rPr>
              <w:t>Clinical criteria:</w:t>
            </w:r>
          </w:p>
        </w:tc>
      </w:tr>
      <w:tr w:rsidR="0034504B" w:rsidRPr="00120A12" w14:paraId="77C92A33" w14:textId="77777777" w:rsidTr="00762948">
        <w:tc>
          <w:tcPr>
            <w:tcW w:w="553" w:type="pct"/>
            <w:vAlign w:val="center"/>
          </w:tcPr>
          <w:p w14:paraId="4CF7551E" w14:textId="344A43F9" w:rsidR="0034504B" w:rsidRPr="00254963" w:rsidRDefault="0034504B" w:rsidP="00762948">
            <w:pPr>
              <w:jc w:val="center"/>
              <w:rPr>
                <w:rFonts w:ascii="Arial Narrow" w:hAnsi="Arial Narrow"/>
                <w:color w:val="333333"/>
                <w:sz w:val="18"/>
                <w:szCs w:val="18"/>
              </w:rPr>
            </w:pPr>
          </w:p>
        </w:tc>
        <w:tc>
          <w:tcPr>
            <w:tcW w:w="4447" w:type="pct"/>
            <w:vAlign w:val="center"/>
          </w:tcPr>
          <w:p w14:paraId="47894281" w14:textId="109852EE"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t>Patient must have received treatment with this drug for this PBS indication prior to [</w:t>
            </w:r>
            <w:r w:rsidR="00C93979">
              <w:rPr>
                <w:rFonts w:ascii="Arial Narrow" w:hAnsi="Arial Narrow"/>
                <w:color w:val="333333"/>
                <w:sz w:val="18"/>
                <w:szCs w:val="18"/>
              </w:rPr>
              <w:t xml:space="preserve">PBS </w:t>
            </w:r>
            <w:r w:rsidRPr="00254963">
              <w:rPr>
                <w:rFonts w:ascii="Arial Narrow" w:hAnsi="Arial Narrow"/>
                <w:color w:val="333333"/>
                <w:sz w:val="18"/>
                <w:szCs w:val="18"/>
              </w:rPr>
              <w:t>listing date]</w:t>
            </w:r>
          </w:p>
        </w:tc>
      </w:tr>
      <w:tr w:rsidR="0034504B" w:rsidRPr="00120A12" w14:paraId="133FAAFE" w14:textId="77777777" w:rsidTr="00762948">
        <w:tc>
          <w:tcPr>
            <w:tcW w:w="553" w:type="pct"/>
            <w:vAlign w:val="center"/>
          </w:tcPr>
          <w:p w14:paraId="7B64D079"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659EAC2A" w14:textId="77777777" w:rsidR="0034504B" w:rsidRPr="00C049D5" w:rsidRDefault="0034504B" w:rsidP="00762948">
            <w:pPr>
              <w:rPr>
                <w:rFonts w:ascii="Arial Narrow" w:hAnsi="Arial Narrow"/>
                <w:color w:val="333333"/>
                <w:sz w:val="18"/>
                <w:szCs w:val="18"/>
              </w:rPr>
            </w:pPr>
            <w:r w:rsidRPr="00C049D5">
              <w:rPr>
                <w:rFonts w:ascii="Arial Narrow" w:hAnsi="Arial Narrow"/>
                <w:b/>
                <w:bCs/>
                <w:color w:val="333333"/>
                <w:sz w:val="18"/>
                <w:szCs w:val="18"/>
              </w:rPr>
              <w:t>AND</w:t>
            </w:r>
          </w:p>
        </w:tc>
      </w:tr>
      <w:tr w:rsidR="0034504B" w:rsidRPr="00120A12" w14:paraId="133B43DB" w14:textId="77777777" w:rsidTr="00762948">
        <w:tc>
          <w:tcPr>
            <w:tcW w:w="553" w:type="pct"/>
            <w:vAlign w:val="center"/>
          </w:tcPr>
          <w:p w14:paraId="0C8F7CB0" w14:textId="201E7011" w:rsidR="0034504B" w:rsidRPr="00254963" w:rsidRDefault="0034504B" w:rsidP="00762948">
            <w:pPr>
              <w:jc w:val="center"/>
              <w:rPr>
                <w:rFonts w:ascii="Arial Narrow" w:hAnsi="Arial Narrow"/>
                <w:color w:val="333333"/>
                <w:sz w:val="18"/>
                <w:szCs w:val="18"/>
              </w:rPr>
            </w:pPr>
          </w:p>
        </w:tc>
        <w:tc>
          <w:tcPr>
            <w:tcW w:w="4447" w:type="pct"/>
            <w:vAlign w:val="center"/>
          </w:tcPr>
          <w:p w14:paraId="77AF1811" w14:textId="77777777" w:rsidR="0034504B" w:rsidRPr="00C049D5" w:rsidRDefault="0034504B" w:rsidP="00762948">
            <w:pPr>
              <w:rPr>
                <w:rFonts w:ascii="Arial Narrow" w:hAnsi="Arial Narrow"/>
                <w:color w:val="333333"/>
                <w:sz w:val="18"/>
                <w:szCs w:val="18"/>
              </w:rPr>
            </w:pPr>
            <w:r w:rsidRPr="00C049D5">
              <w:rPr>
                <w:rFonts w:ascii="Arial Narrow" w:hAnsi="Arial Narrow"/>
                <w:b/>
                <w:bCs/>
                <w:color w:val="333333"/>
                <w:sz w:val="18"/>
                <w:szCs w:val="18"/>
              </w:rPr>
              <w:t>Clinical criteria:</w:t>
            </w:r>
          </w:p>
        </w:tc>
      </w:tr>
      <w:tr w:rsidR="0034504B" w:rsidRPr="00120A12" w14:paraId="549E2813" w14:textId="77777777" w:rsidTr="00762948">
        <w:tc>
          <w:tcPr>
            <w:tcW w:w="553" w:type="pct"/>
            <w:vAlign w:val="center"/>
          </w:tcPr>
          <w:p w14:paraId="63A6EFD0" w14:textId="4ABDF007" w:rsidR="0034504B" w:rsidRPr="00254963" w:rsidRDefault="0034504B" w:rsidP="00762948">
            <w:pPr>
              <w:jc w:val="center"/>
              <w:rPr>
                <w:rFonts w:ascii="Arial Narrow" w:hAnsi="Arial Narrow"/>
                <w:color w:val="333333"/>
                <w:sz w:val="18"/>
                <w:szCs w:val="18"/>
              </w:rPr>
            </w:pPr>
          </w:p>
        </w:tc>
        <w:tc>
          <w:tcPr>
            <w:tcW w:w="4447" w:type="pct"/>
            <w:vAlign w:val="center"/>
          </w:tcPr>
          <w:p w14:paraId="164AF4CD" w14:textId="77777777" w:rsidR="0034504B" w:rsidRPr="00C049D5" w:rsidRDefault="0034504B" w:rsidP="00762948">
            <w:pPr>
              <w:rPr>
                <w:rFonts w:ascii="Arial Narrow" w:hAnsi="Arial Narrow"/>
                <w:color w:val="333333"/>
                <w:sz w:val="18"/>
                <w:szCs w:val="18"/>
              </w:rPr>
            </w:pPr>
            <w:r w:rsidRPr="00C049D5">
              <w:rPr>
                <w:rFonts w:ascii="Arial Narrow" w:hAnsi="Arial Narrow"/>
                <w:color w:val="333333"/>
                <w:sz w:val="18"/>
                <w:szCs w:val="18"/>
              </w:rPr>
              <w:t>Patient must be receiving treatment with this drug for this condition at the time of application</w:t>
            </w:r>
          </w:p>
        </w:tc>
      </w:tr>
      <w:tr w:rsidR="0034504B" w:rsidRPr="00120A12" w14:paraId="28FF44A4" w14:textId="77777777" w:rsidTr="00762948">
        <w:tc>
          <w:tcPr>
            <w:tcW w:w="553" w:type="pct"/>
            <w:vAlign w:val="center"/>
          </w:tcPr>
          <w:p w14:paraId="5274454E"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5193AA76" w14:textId="77777777" w:rsidR="0034504B" w:rsidRPr="00C049D5" w:rsidRDefault="0034504B" w:rsidP="00762948">
            <w:pPr>
              <w:rPr>
                <w:rFonts w:ascii="Arial Narrow" w:hAnsi="Arial Narrow"/>
                <w:b/>
                <w:bCs/>
                <w:color w:val="333333"/>
                <w:sz w:val="18"/>
                <w:szCs w:val="18"/>
              </w:rPr>
            </w:pPr>
            <w:r w:rsidRPr="00C049D5">
              <w:rPr>
                <w:rFonts w:ascii="Arial Narrow" w:hAnsi="Arial Narrow"/>
                <w:b/>
                <w:bCs/>
                <w:color w:val="333333"/>
                <w:sz w:val="18"/>
                <w:szCs w:val="18"/>
              </w:rPr>
              <w:t>AND</w:t>
            </w:r>
          </w:p>
        </w:tc>
      </w:tr>
      <w:tr w:rsidR="0034504B" w:rsidRPr="00120A12" w14:paraId="1990B8B7" w14:textId="77777777" w:rsidTr="006E2A88">
        <w:tc>
          <w:tcPr>
            <w:tcW w:w="553" w:type="pct"/>
            <w:vAlign w:val="center"/>
          </w:tcPr>
          <w:p w14:paraId="63F8FDE6" w14:textId="73AE0AB1" w:rsidR="0034504B" w:rsidRPr="00254963" w:rsidRDefault="0034504B" w:rsidP="00762948">
            <w:pPr>
              <w:jc w:val="center"/>
              <w:rPr>
                <w:rFonts w:ascii="Arial Narrow" w:hAnsi="Arial Narrow"/>
                <w:color w:val="333333"/>
                <w:sz w:val="18"/>
                <w:szCs w:val="18"/>
              </w:rPr>
            </w:pPr>
          </w:p>
        </w:tc>
        <w:tc>
          <w:tcPr>
            <w:tcW w:w="4447" w:type="pct"/>
            <w:vAlign w:val="center"/>
            <w:hideMark/>
          </w:tcPr>
          <w:p w14:paraId="623154D7" w14:textId="77777777" w:rsidR="0034504B" w:rsidRPr="00C049D5" w:rsidRDefault="0034504B" w:rsidP="00762948">
            <w:pPr>
              <w:rPr>
                <w:rFonts w:ascii="Arial Narrow" w:hAnsi="Arial Narrow"/>
                <w:color w:val="333333"/>
                <w:sz w:val="18"/>
                <w:szCs w:val="18"/>
              </w:rPr>
            </w:pPr>
            <w:r w:rsidRPr="00C049D5">
              <w:rPr>
                <w:rFonts w:ascii="Arial Narrow" w:hAnsi="Arial Narrow"/>
                <w:b/>
                <w:bCs/>
                <w:color w:val="333333"/>
                <w:sz w:val="18"/>
                <w:szCs w:val="18"/>
              </w:rPr>
              <w:t>Clinical criteria:</w:t>
            </w:r>
          </w:p>
        </w:tc>
      </w:tr>
      <w:tr w:rsidR="0034504B" w:rsidRPr="00120A12" w14:paraId="33EC9769" w14:textId="77777777" w:rsidTr="006E2A88">
        <w:tc>
          <w:tcPr>
            <w:tcW w:w="553" w:type="pct"/>
            <w:vAlign w:val="center"/>
          </w:tcPr>
          <w:p w14:paraId="600AFA94" w14:textId="76DD1372" w:rsidR="0034504B" w:rsidRPr="00254963" w:rsidRDefault="0034504B" w:rsidP="00762948">
            <w:pPr>
              <w:jc w:val="center"/>
              <w:rPr>
                <w:rFonts w:ascii="Arial Narrow" w:hAnsi="Arial Narrow"/>
                <w:color w:val="333333"/>
                <w:sz w:val="18"/>
                <w:szCs w:val="18"/>
              </w:rPr>
            </w:pPr>
          </w:p>
        </w:tc>
        <w:tc>
          <w:tcPr>
            <w:tcW w:w="4447" w:type="pct"/>
            <w:vAlign w:val="center"/>
            <w:hideMark/>
          </w:tcPr>
          <w:p w14:paraId="203BDF27" w14:textId="77777777" w:rsidR="0034504B" w:rsidRPr="00C049D5" w:rsidRDefault="0034504B" w:rsidP="00762948">
            <w:pPr>
              <w:rPr>
                <w:rFonts w:ascii="Arial Narrow" w:hAnsi="Arial Narrow"/>
                <w:color w:val="333333"/>
                <w:sz w:val="18"/>
                <w:szCs w:val="18"/>
              </w:rPr>
            </w:pPr>
            <w:r w:rsidRPr="00C049D5">
              <w:rPr>
                <w:rFonts w:ascii="Arial Narrow" w:hAnsi="Arial Narrow"/>
                <w:color w:val="333333"/>
                <w:sz w:val="18"/>
                <w:szCs w:val="18"/>
              </w:rPr>
              <w:t>Patient must have undergone ileal pouch anal anastomosis (IPAA) due to ulcerative colitis at least one year prior to initiating non-PBS subsidised treatment with this drug for this condition</w:t>
            </w:r>
          </w:p>
        </w:tc>
      </w:tr>
      <w:tr w:rsidR="0034504B" w:rsidRPr="00120A12" w14:paraId="791C948B" w14:textId="77777777" w:rsidTr="00762948">
        <w:tc>
          <w:tcPr>
            <w:tcW w:w="553" w:type="pct"/>
            <w:vAlign w:val="center"/>
          </w:tcPr>
          <w:p w14:paraId="1679727C"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4C29C2A2" w14:textId="77777777" w:rsidR="0034504B" w:rsidRPr="00C049D5" w:rsidRDefault="0034504B" w:rsidP="00762948">
            <w:pPr>
              <w:rPr>
                <w:rFonts w:ascii="Arial Narrow" w:hAnsi="Arial Narrow"/>
                <w:b/>
                <w:bCs/>
                <w:color w:val="333333"/>
                <w:sz w:val="18"/>
                <w:szCs w:val="18"/>
              </w:rPr>
            </w:pPr>
            <w:r w:rsidRPr="00C049D5">
              <w:rPr>
                <w:rFonts w:ascii="Arial Narrow" w:hAnsi="Arial Narrow"/>
                <w:b/>
                <w:bCs/>
                <w:color w:val="333333"/>
                <w:sz w:val="18"/>
                <w:szCs w:val="18"/>
              </w:rPr>
              <w:t>AND</w:t>
            </w:r>
          </w:p>
        </w:tc>
      </w:tr>
      <w:tr w:rsidR="0034504B" w:rsidRPr="00120A12" w14:paraId="4A07D86E" w14:textId="77777777" w:rsidTr="00762948">
        <w:tc>
          <w:tcPr>
            <w:tcW w:w="553" w:type="pct"/>
            <w:vAlign w:val="center"/>
          </w:tcPr>
          <w:p w14:paraId="587B9494" w14:textId="1A3FF307" w:rsidR="0034504B" w:rsidRPr="00254963" w:rsidRDefault="0034504B" w:rsidP="00762948">
            <w:pPr>
              <w:jc w:val="center"/>
              <w:rPr>
                <w:rFonts w:ascii="Arial Narrow" w:hAnsi="Arial Narrow"/>
                <w:color w:val="333333"/>
                <w:sz w:val="18"/>
                <w:szCs w:val="18"/>
              </w:rPr>
            </w:pPr>
          </w:p>
        </w:tc>
        <w:tc>
          <w:tcPr>
            <w:tcW w:w="4447" w:type="pct"/>
            <w:vAlign w:val="center"/>
          </w:tcPr>
          <w:p w14:paraId="17FFC3D1" w14:textId="77777777" w:rsidR="0034504B" w:rsidRPr="00C049D5" w:rsidRDefault="0034504B" w:rsidP="00762948">
            <w:pPr>
              <w:rPr>
                <w:rFonts w:ascii="Arial Narrow" w:hAnsi="Arial Narrow"/>
                <w:b/>
                <w:bCs/>
                <w:color w:val="333333"/>
                <w:sz w:val="18"/>
                <w:szCs w:val="18"/>
              </w:rPr>
            </w:pPr>
            <w:r w:rsidRPr="00C049D5">
              <w:rPr>
                <w:rFonts w:ascii="Arial Narrow" w:hAnsi="Arial Narrow"/>
                <w:b/>
                <w:bCs/>
                <w:color w:val="333333"/>
                <w:sz w:val="18"/>
                <w:szCs w:val="18"/>
              </w:rPr>
              <w:t>Clinical criteria:</w:t>
            </w:r>
          </w:p>
        </w:tc>
      </w:tr>
      <w:tr w:rsidR="0034504B" w:rsidRPr="00120A12" w14:paraId="3A9D66DE" w14:textId="77777777" w:rsidTr="00762948">
        <w:tc>
          <w:tcPr>
            <w:tcW w:w="553" w:type="pct"/>
            <w:vAlign w:val="center"/>
          </w:tcPr>
          <w:p w14:paraId="2A06D3F2" w14:textId="225B1BB3" w:rsidR="0034504B" w:rsidRPr="00254963" w:rsidRDefault="0034504B" w:rsidP="00762948">
            <w:pPr>
              <w:jc w:val="center"/>
              <w:rPr>
                <w:rFonts w:ascii="Arial Narrow" w:hAnsi="Arial Narrow"/>
                <w:color w:val="333333"/>
                <w:sz w:val="18"/>
                <w:szCs w:val="18"/>
              </w:rPr>
            </w:pPr>
          </w:p>
        </w:tc>
        <w:tc>
          <w:tcPr>
            <w:tcW w:w="4447" w:type="pct"/>
            <w:vAlign w:val="center"/>
            <w:hideMark/>
          </w:tcPr>
          <w:p w14:paraId="62FDB88A" w14:textId="77777777" w:rsidR="0034504B" w:rsidRPr="00C049D5" w:rsidRDefault="0034504B" w:rsidP="00762948">
            <w:pPr>
              <w:rPr>
                <w:rFonts w:ascii="Arial Narrow" w:hAnsi="Arial Narrow"/>
                <w:color w:val="333333"/>
                <w:sz w:val="18"/>
                <w:szCs w:val="18"/>
              </w:rPr>
            </w:pPr>
            <w:r w:rsidRPr="00C049D5">
              <w:rPr>
                <w:rFonts w:ascii="Arial Narrow" w:hAnsi="Arial Narrow"/>
                <w:color w:val="333333"/>
                <w:sz w:val="18"/>
                <w:szCs w:val="18"/>
              </w:rPr>
              <w:t>The condition must be confirmed based on the patient’s symptoms, treatment history and baseline endoscopic examination of the pouch (pouchoscopy)</w:t>
            </w:r>
          </w:p>
        </w:tc>
      </w:tr>
      <w:tr w:rsidR="0034504B" w:rsidRPr="00120A12" w14:paraId="63E2761E" w14:textId="77777777" w:rsidTr="00762948">
        <w:tc>
          <w:tcPr>
            <w:tcW w:w="553" w:type="pct"/>
            <w:vAlign w:val="center"/>
          </w:tcPr>
          <w:p w14:paraId="4380193B" w14:textId="77777777" w:rsidR="0034504B" w:rsidRPr="00254963" w:rsidRDefault="0034504B" w:rsidP="00762948">
            <w:pPr>
              <w:jc w:val="center"/>
              <w:rPr>
                <w:rFonts w:ascii="Arial Narrow" w:hAnsi="Arial Narrow"/>
                <w:color w:val="333333"/>
                <w:sz w:val="18"/>
                <w:szCs w:val="18"/>
              </w:rPr>
            </w:pPr>
          </w:p>
        </w:tc>
        <w:tc>
          <w:tcPr>
            <w:tcW w:w="4447" w:type="pct"/>
            <w:vAlign w:val="center"/>
            <w:hideMark/>
          </w:tcPr>
          <w:p w14:paraId="2454CA52" w14:textId="77777777" w:rsidR="0034504B" w:rsidRPr="00C049D5" w:rsidRDefault="0034504B" w:rsidP="00762948">
            <w:pPr>
              <w:rPr>
                <w:rFonts w:ascii="Arial Narrow" w:hAnsi="Arial Narrow"/>
                <w:color w:val="333333"/>
                <w:sz w:val="18"/>
                <w:szCs w:val="18"/>
              </w:rPr>
            </w:pPr>
            <w:r w:rsidRPr="00C049D5">
              <w:rPr>
                <w:rFonts w:ascii="Arial Narrow" w:hAnsi="Arial Narrow"/>
                <w:b/>
                <w:bCs/>
                <w:color w:val="333333"/>
                <w:sz w:val="18"/>
                <w:szCs w:val="18"/>
              </w:rPr>
              <w:t>AND</w:t>
            </w:r>
          </w:p>
        </w:tc>
      </w:tr>
      <w:tr w:rsidR="0034504B" w:rsidRPr="00120A12" w14:paraId="46FDC5C6" w14:textId="77777777" w:rsidTr="00762948">
        <w:tc>
          <w:tcPr>
            <w:tcW w:w="553" w:type="pct"/>
            <w:vAlign w:val="center"/>
          </w:tcPr>
          <w:p w14:paraId="01DA3DEF" w14:textId="1C4278CC" w:rsidR="0034504B" w:rsidRPr="00254963" w:rsidRDefault="0034504B" w:rsidP="00762948">
            <w:pPr>
              <w:jc w:val="center"/>
              <w:rPr>
                <w:rFonts w:ascii="Arial Narrow" w:hAnsi="Arial Narrow"/>
                <w:color w:val="333333"/>
                <w:sz w:val="18"/>
                <w:szCs w:val="18"/>
              </w:rPr>
            </w:pPr>
          </w:p>
        </w:tc>
        <w:tc>
          <w:tcPr>
            <w:tcW w:w="4447" w:type="pct"/>
            <w:vAlign w:val="center"/>
          </w:tcPr>
          <w:p w14:paraId="2C86B5EB" w14:textId="77777777" w:rsidR="0034504B" w:rsidRPr="00C049D5" w:rsidRDefault="0034504B" w:rsidP="00762948">
            <w:pPr>
              <w:rPr>
                <w:rFonts w:ascii="Arial Narrow" w:hAnsi="Arial Narrow"/>
                <w:b/>
                <w:bCs/>
                <w:color w:val="333333"/>
                <w:sz w:val="18"/>
                <w:szCs w:val="18"/>
              </w:rPr>
            </w:pPr>
            <w:r w:rsidRPr="00C049D5">
              <w:rPr>
                <w:rFonts w:ascii="Arial Narrow" w:hAnsi="Arial Narrow"/>
                <w:b/>
                <w:bCs/>
                <w:color w:val="333333"/>
                <w:sz w:val="18"/>
                <w:szCs w:val="18"/>
              </w:rPr>
              <w:t>Clinical criteria:</w:t>
            </w:r>
          </w:p>
        </w:tc>
      </w:tr>
      <w:tr w:rsidR="0034504B" w:rsidRPr="00120A12" w14:paraId="6AD3816D" w14:textId="77777777" w:rsidTr="00762948">
        <w:tc>
          <w:tcPr>
            <w:tcW w:w="553" w:type="pct"/>
            <w:vAlign w:val="center"/>
          </w:tcPr>
          <w:p w14:paraId="10991FC3" w14:textId="3D20EAA0" w:rsidR="0034504B" w:rsidRPr="00254963" w:rsidRDefault="0034504B" w:rsidP="00762948">
            <w:pPr>
              <w:jc w:val="center"/>
              <w:rPr>
                <w:rFonts w:ascii="Arial Narrow" w:hAnsi="Arial Narrow"/>
                <w:color w:val="333333"/>
                <w:sz w:val="18"/>
                <w:szCs w:val="18"/>
              </w:rPr>
            </w:pPr>
          </w:p>
        </w:tc>
        <w:tc>
          <w:tcPr>
            <w:tcW w:w="4447" w:type="pct"/>
            <w:vAlign w:val="center"/>
          </w:tcPr>
          <w:p w14:paraId="5D6445B8" w14:textId="77777777" w:rsidR="0034504B" w:rsidRPr="00C049D5" w:rsidRDefault="0034504B" w:rsidP="00762948">
            <w:pPr>
              <w:rPr>
                <w:rFonts w:ascii="Arial Narrow" w:hAnsi="Arial Narrow"/>
                <w:color w:val="333333"/>
                <w:sz w:val="18"/>
                <w:szCs w:val="18"/>
              </w:rPr>
            </w:pPr>
            <w:r w:rsidRPr="00C049D5">
              <w:rPr>
                <w:rFonts w:ascii="Arial Narrow" w:hAnsi="Arial Narrow"/>
                <w:color w:val="333333"/>
                <w:sz w:val="18"/>
                <w:szCs w:val="18"/>
              </w:rPr>
              <w:t>Patient must have had a Modified Pouchitis Disease Activity Index (mPDAI) score of at least 5 at the time of initiating treatment with this drug for this condition</w:t>
            </w:r>
          </w:p>
        </w:tc>
      </w:tr>
      <w:tr w:rsidR="0034504B" w:rsidRPr="00120A12" w14:paraId="16A41229" w14:textId="77777777" w:rsidTr="00762948">
        <w:tc>
          <w:tcPr>
            <w:tcW w:w="553" w:type="pct"/>
            <w:vAlign w:val="center"/>
          </w:tcPr>
          <w:p w14:paraId="4F192DC7"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13FE1CD0" w14:textId="77777777" w:rsidR="0034504B" w:rsidRPr="00C049D5" w:rsidRDefault="0034504B" w:rsidP="00762948">
            <w:pPr>
              <w:rPr>
                <w:rFonts w:ascii="Arial Narrow" w:hAnsi="Arial Narrow"/>
                <w:b/>
                <w:bCs/>
                <w:color w:val="333333"/>
                <w:sz w:val="18"/>
                <w:szCs w:val="18"/>
              </w:rPr>
            </w:pPr>
            <w:r w:rsidRPr="00C049D5">
              <w:rPr>
                <w:rFonts w:ascii="Arial Narrow" w:hAnsi="Arial Narrow"/>
                <w:b/>
                <w:bCs/>
                <w:color w:val="333333"/>
                <w:sz w:val="18"/>
                <w:szCs w:val="18"/>
              </w:rPr>
              <w:t>AND</w:t>
            </w:r>
          </w:p>
        </w:tc>
      </w:tr>
      <w:tr w:rsidR="0034504B" w:rsidRPr="00120A12" w14:paraId="3A91060F" w14:textId="77777777" w:rsidTr="00762948">
        <w:tc>
          <w:tcPr>
            <w:tcW w:w="553" w:type="pct"/>
            <w:vAlign w:val="center"/>
          </w:tcPr>
          <w:p w14:paraId="2F596405" w14:textId="32D5BEAA" w:rsidR="0034504B" w:rsidRPr="00254963" w:rsidRDefault="0034504B" w:rsidP="00762948">
            <w:pPr>
              <w:jc w:val="center"/>
              <w:rPr>
                <w:rFonts w:ascii="Arial Narrow" w:hAnsi="Arial Narrow"/>
                <w:color w:val="333333"/>
                <w:sz w:val="18"/>
                <w:szCs w:val="18"/>
              </w:rPr>
            </w:pPr>
          </w:p>
        </w:tc>
        <w:tc>
          <w:tcPr>
            <w:tcW w:w="4447" w:type="pct"/>
            <w:vAlign w:val="center"/>
          </w:tcPr>
          <w:p w14:paraId="135EE557" w14:textId="77777777" w:rsidR="0034504B" w:rsidRPr="00C049D5" w:rsidRDefault="0034504B" w:rsidP="00762948">
            <w:pPr>
              <w:rPr>
                <w:rFonts w:ascii="Arial Narrow" w:hAnsi="Arial Narrow"/>
                <w:b/>
                <w:bCs/>
                <w:color w:val="333333"/>
                <w:sz w:val="18"/>
                <w:szCs w:val="18"/>
              </w:rPr>
            </w:pPr>
            <w:r w:rsidRPr="00C049D5">
              <w:rPr>
                <w:rFonts w:ascii="Arial Narrow" w:hAnsi="Arial Narrow"/>
                <w:b/>
                <w:bCs/>
                <w:color w:val="333333"/>
                <w:sz w:val="18"/>
                <w:szCs w:val="18"/>
              </w:rPr>
              <w:t>Clinical criteria:</w:t>
            </w:r>
          </w:p>
        </w:tc>
      </w:tr>
      <w:tr w:rsidR="0034504B" w:rsidRPr="00120A12" w14:paraId="0BB58AE6" w14:textId="77777777" w:rsidTr="00762948">
        <w:tc>
          <w:tcPr>
            <w:tcW w:w="553" w:type="pct"/>
            <w:vAlign w:val="center"/>
          </w:tcPr>
          <w:p w14:paraId="68A243EA" w14:textId="4D003E9F" w:rsidR="0034504B" w:rsidRPr="00254963" w:rsidRDefault="0034504B" w:rsidP="00762948">
            <w:pPr>
              <w:jc w:val="center"/>
              <w:rPr>
                <w:rFonts w:ascii="Arial Narrow" w:hAnsi="Arial Narrow"/>
                <w:color w:val="333333"/>
                <w:sz w:val="18"/>
                <w:szCs w:val="18"/>
              </w:rPr>
            </w:pPr>
          </w:p>
        </w:tc>
        <w:tc>
          <w:tcPr>
            <w:tcW w:w="4447" w:type="pct"/>
            <w:vAlign w:val="center"/>
          </w:tcPr>
          <w:p w14:paraId="34145960" w14:textId="77777777" w:rsidR="0034504B" w:rsidRPr="00C049D5" w:rsidRDefault="0034504B" w:rsidP="00762948">
            <w:pPr>
              <w:rPr>
                <w:rFonts w:ascii="Arial Narrow" w:hAnsi="Arial Narrow"/>
                <w:sz w:val="20"/>
                <w:lang w:val="en-US" w:eastAsia="en-GB"/>
              </w:rPr>
            </w:pPr>
            <w:r w:rsidRPr="00C049D5">
              <w:rPr>
                <w:rFonts w:ascii="Arial Narrow" w:hAnsi="Arial Narrow"/>
                <w:color w:val="333333"/>
                <w:sz w:val="18"/>
                <w:szCs w:val="18"/>
              </w:rPr>
              <w:t>Patient must have a minimum endoscopic mPDAI sub-score of at least 2 at the time of initiating treatment with this drug for this condition</w:t>
            </w:r>
          </w:p>
        </w:tc>
      </w:tr>
      <w:tr w:rsidR="0034504B" w:rsidRPr="00120A12" w14:paraId="6C4489B8" w14:textId="77777777" w:rsidTr="00762948">
        <w:tc>
          <w:tcPr>
            <w:tcW w:w="553" w:type="pct"/>
            <w:vAlign w:val="center"/>
          </w:tcPr>
          <w:p w14:paraId="4E9E56EC"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2B796C82" w14:textId="77777777" w:rsidR="0034504B" w:rsidRPr="00C049D5" w:rsidRDefault="0034504B" w:rsidP="00762948">
            <w:pPr>
              <w:rPr>
                <w:rFonts w:ascii="Arial Narrow" w:hAnsi="Arial Narrow"/>
                <w:b/>
                <w:bCs/>
                <w:color w:val="333333"/>
                <w:sz w:val="18"/>
                <w:szCs w:val="18"/>
              </w:rPr>
            </w:pPr>
            <w:r w:rsidRPr="00C049D5">
              <w:rPr>
                <w:rFonts w:ascii="Arial Narrow" w:hAnsi="Arial Narrow"/>
                <w:b/>
                <w:bCs/>
                <w:color w:val="333333"/>
                <w:sz w:val="18"/>
                <w:szCs w:val="18"/>
              </w:rPr>
              <w:t>AND</w:t>
            </w:r>
          </w:p>
        </w:tc>
      </w:tr>
      <w:tr w:rsidR="0034504B" w:rsidRPr="00120A12" w14:paraId="1EA5A510" w14:textId="77777777" w:rsidTr="00762948">
        <w:tc>
          <w:tcPr>
            <w:tcW w:w="553" w:type="pct"/>
            <w:vAlign w:val="center"/>
          </w:tcPr>
          <w:p w14:paraId="1C645786" w14:textId="1D6F42D0" w:rsidR="0034504B" w:rsidRPr="00254963" w:rsidRDefault="0034504B" w:rsidP="00762948">
            <w:pPr>
              <w:jc w:val="center"/>
              <w:rPr>
                <w:rFonts w:ascii="Arial Narrow" w:hAnsi="Arial Narrow"/>
                <w:color w:val="333333"/>
                <w:sz w:val="18"/>
                <w:szCs w:val="18"/>
              </w:rPr>
            </w:pPr>
          </w:p>
        </w:tc>
        <w:tc>
          <w:tcPr>
            <w:tcW w:w="4447" w:type="pct"/>
            <w:vAlign w:val="center"/>
          </w:tcPr>
          <w:p w14:paraId="507E76F0" w14:textId="77777777" w:rsidR="0034504B" w:rsidRPr="00C049D5" w:rsidRDefault="0034504B" w:rsidP="00762948">
            <w:pPr>
              <w:rPr>
                <w:rFonts w:ascii="Arial Narrow" w:hAnsi="Arial Narrow"/>
                <w:b/>
                <w:bCs/>
                <w:color w:val="333333"/>
                <w:sz w:val="18"/>
                <w:szCs w:val="18"/>
              </w:rPr>
            </w:pPr>
            <w:r w:rsidRPr="00C049D5">
              <w:rPr>
                <w:rFonts w:ascii="Arial Narrow" w:hAnsi="Arial Narrow"/>
                <w:b/>
                <w:bCs/>
                <w:color w:val="333333"/>
                <w:sz w:val="18"/>
                <w:szCs w:val="18"/>
              </w:rPr>
              <w:t>Clinical criteria:</w:t>
            </w:r>
          </w:p>
        </w:tc>
      </w:tr>
      <w:tr w:rsidR="0034504B" w:rsidRPr="00120A12" w14:paraId="404673C5" w14:textId="77777777" w:rsidTr="00762948">
        <w:tc>
          <w:tcPr>
            <w:tcW w:w="553" w:type="pct"/>
            <w:vAlign w:val="center"/>
          </w:tcPr>
          <w:p w14:paraId="53BA226A" w14:textId="5062F25D" w:rsidR="0034504B" w:rsidRPr="00254963" w:rsidRDefault="0034504B" w:rsidP="00762948">
            <w:pPr>
              <w:jc w:val="center"/>
              <w:rPr>
                <w:rFonts w:ascii="Arial Narrow" w:hAnsi="Arial Narrow"/>
                <w:color w:val="333333"/>
                <w:sz w:val="18"/>
                <w:szCs w:val="18"/>
              </w:rPr>
            </w:pPr>
          </w:p>
        </w:tc>
        <w:tc>
          <w:tcPr>
            <w:tcW w:w="4447" w:type="pct"/>
            <w:vAlign w:val="center"/>
          </w:tcPr>
          <w:p w14:paraId="26C720EA" w14:textId="77777777" w:rsidR="0034504B" w:rsidRPr="00C049D5" w:rsidRDefault="0034504B" w:rsidP="00762948">
            <w:pPr>
              <w:rPr>
                <w:rFonts w:ascii="Arial Narrow" w:hAnsi="Arial Narrow"/>
                <w:color w:val="333333"/>
                <w:sz w:val="18"/>
                <w:szCs w:val="18"/>
              </w:rPr>
            </w:pPr>
            <w:r w:rsidRPr="00C049D5">
              <w:rPr>
                <w:rFonts w:ascii="Arial Narrow" w:hAnsi="Arial Narrow"/>
                <w:color w:val="333333"/>
                <w:sz w:val="18"/>
                <w:szCs w:val="18"/>
              </w:rPr>
              <w:t>Patient must have had at least 3 recurrent episodes of pouchitis within the year prior to initiating treatment with this drug for this condition, each of which was treated with at least 2 weeks of antibiotic or other prescription therapy; OR</w:t>
            </w:r>
          </w:p>
        </w:tc>
      </w:tr>
      <w:tr w:rsidR="0034504B" w:rsidRPr="00120A12" w14:paraId="5911FB63" w14:textId="77777777" w:rsidTr="00762948">
        <w:tc>
          <w:tcPr>
            <w:tcW w:w="553" w:type="pct"/>
            <w:vAlign w:val="center"/>
          </w:tcPr>
          <w:p w14:paraId="69D42056" w14:textId="7EF8BA97" w:rsidR="0034504B" w:rsidRPr="00254963" w:rsidRDefault="0034504B" w:rsidP="00762948">
            <w:pPr>
              <w:jc w:val="center"/>
              <w:rPr>
                <w:rFonts w:ascii="Arial Narrow" w:hAnsi="Arial Narrow"/>
                <w:color w:val="333333"/>
                <w:sz w:val="18"/>
                <w:szCs w:val="18"/>
              </w:rPr>
            </w:pPr>
          </w:p>
        </w:tc>
        <w:tc>
          <w:tcPr>
            <w:tcW w:w="4447" w:type="pct"/>
            <w:vAlign w:val="center"/>
          </w:tcPr>
          <w:p w14:paraId="09E95FEF" w14:textId="77777777" w:rsidR="0034504B" w:rsidRPr="00C049D5" w:rsidRDefault="0034504B" w:rsidP="00762948">
            <w:pPr>
              <w:rPr>
                <w:rFonts w:ascii="Arial Narrow" w:hAnsi="Arial Narrow"/>
                <w:color w:val="333333"/>
                <w:sz w:val="18"/>
                <w:szCs w:val="18"/>
              </w:rPr>
            </w:pPr>
            <w:r w:rsidRPr="00C049D5">
              <w:rPr>
                <w:rFonts w:ascii="Arial Narrow" w:hAnsi="Arial Narrow"/>
                <w:color w:val="333333"/>
                <w:sz w:val="18"/>
                <w:szCs w:val="18"/>
              </w:rPr>
              <w:t>The condition must have required maintenance antibiotic therapy taken continuously for at least 4 weeks before commencing treatment with this drug.</w:t>
            </w:r>
          </w:p>
        </w:tc>
      </w:tr>
      <w:tr w:rsidR="0034504B" w:rsidRPr="00120A12" w14:paraId="3D4CB7DD" w14:textId="77777777" w:rsidTr="00762948">
        <w:tc>
          <w:tcPr>
            <w:tcW w:w="553" w:type="pct"/>
            <w:vAlign w:val="center"/>
          </w:tcPr>
          <w:p w14:paraId="21E5DB36"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0A175CB8" w14:textId="77777777" w:rsidR="0034504B" w:rsidRPr="00C049D5" w:rsidRDefault="0034504B" w:rsidP="00762948">
            <w:pPr>
              <w:rPr>
                <w:rFonts w:ascii="Arial Narrow" w:hAnsi="Arial Narrow"/>
                <w:color w:val="333333"/>
                <w:sz w:val="18"/>
                <w:szCs w:val="18"/>
              </w:rPr>
            </w:pPr>
            <w:r w:rsidRPr="00C049D5">
              <w:rPr>
                <w:rFonts w:ascii="Arial Narrow" w:hAnsi="Arial Narrow"/>
                <w:b/>
                <w:bCs/>
                <w:color w:val="333333"/>
                <w:sz w:val="18"/>
                <w:szCs w:val="18"/>
              </w:rPr>
              <w:t>AND</w:t>
            </w:r>
          </w:p>
        </w:tc>
      </w:tr>
      <w:tr w:rsidR="0034504B" w:rsidRPr="00120A12" w14:paraId="39A1F635" w14:textId="77777777" w:rsidTr="00762948">
        <w:tc>
          <w:tcPr>
            <w:tcW w:w="553" w:type="pct"/>
            <w:vAlign w:val="center"/>
          </w:tcPr>
          <w:p w14:paraId="43367BE4" w14:textId="271B26C5" w:rsidR="0034504B" w:rsidRPr="00254963" w:rsidRDefault="0034504B" w:rsidP="00762948">
            <w:pPr>
              <w:jc w:val="center"/>
              <w:rPr>
                <w:rFonts w:ascii="Arial Narrow" w:hAnsi="Arial Narrow"/>
                <w:color w:val="333333"/>
                <w:sz w:val="18"/>
                <w:szCs w:val="18"/>
              </w:rPr>
            </w:pPr>
          </w:p>
        </w:tc>
        <w:tc>
          <w:tcPr>
            <w:tcW w:w="4447" w:type="pct"/>
            <w:vAlign w:val="center"/>
          </w:tcPr>
          <w:p w14:paraId="1C3BB52B" w14:textId="77777777" w:rsidR="0034504B" w:rsidRPr="00C049D5" w:rsidRDefault="0034504B" w:rsidP="00762948">
            <w:pPr>
              <w:rPr>
                <w:rFonts w:ascii="Arial Narrow" w:hAnsi="Arial Narrow"/>
                <w:color w:val="333333"/>
                <w:sz w:val="18"/>
                <w:szCs w:val="18"/>
              </w:rPr>
            </w:pPr>
            <w:r w:rsidRPr="00C049D5">
              <w:rPr>
                <w:rFonts w:ascii="Arial Narrow" w:hAnsi="Arial Narrow"/>
                <w:b/>
                <w:bCs/>
                <w:color w:val="333333"/>
                <w:sz w:val="18"/>
                <w:szCs w:val="18"/>
              </w:rPr>
              <w:t>Clinical criteria:</w:t>
            </w:r>
          </w:p>
        </w:tc>
      </w:tr>
      <w:tr w:rsidR="0034504B" w:rsidRPr="00120A12" w14:paraId="09CC9DB0" w14:textId="77777777" w:rsidTr="00762948">
        <w:tc>
          <w:tcPr>
            <w:tcW w:w="553" w:type="pct"/>
            <w:vAlign w:val="center"/>
          </w:tcPr>
          <w:p w14:paraId="156F22F4" w14:textId="57AB2D68" w:rsidR="0034504B" w:rsidRPr="00254963" w:rsidRDefault="0034504B" w:rsidP="00762948">
            <w:pPr>
              <w:jc w:val="center"/>
              <w:rPr>
                <w:rFonts w:ascii="Arial Narrow" w:hAnsi="Arial Narrow"/>
                <w:color w:val="333333"/>
                <w:sz w:val="18"/>
                <w:szCs w:val="18"/>
              </w:rPr>
            </w:pPr>
          </w:p>
        </w:tc>
        <w:tc>
          <w:tcPr>
            <w:tcW w:w="4447" w:type="pct"/>
            <w:vAlign w:val="center"/>
          </w:tcPr>
          <w:p w14:paraId="639C99FE" w14:textId="77777777" w:rsidR="0034504B" w:rsidRPr="00FE051B" w:rsidRDefault="0034504B" w:rsidP="00762948">
            <w:pPr>
              <w:rPr>
                <w:rFonts w:ascii="Arial Narrow" w:hAnsi="Arial Narrow"/>
                <w:color w:val="333333"/>
                <w:sz w:val="18"/>
                <w:szCs w:val="18"/>
              </w:rPr>
            </w:pPr>
            <w:r w:rsidRPr="00FE051B">
              <w:rPr>
                <w:rFonts w:ascii="Arial Narrow" w:hAnsi="Arial Narrow"/>
                <w:color w:val="333333"/>
                <w:sz w:val="18"/>
                <w:szCs w:val="18"/>
              </w:rPr>
              <w:t>Patient must not receive more than 24 weeks of treatment under this restriction.</w:t>
            </w:r>
          </w:p>
        </w:tc>
      </w:tr>
      <w:tr w:rsidR="0034504B" w:rsidRPr="00120A12" w14:paraId="2D0131E6" w14:textId="77777777" w:rsidTr="00762948">
        <w:tc>
          <w:tcPr>
            <w:tcW w:w="553" w:type="pct"/>
            <w:vAlign w:val="center"/>
          </w:tcPr>
          <w:p w14:paraId="09CA1872"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29188709" w14:textId="77777777" w:rsidR="0034504B" w:rsidRPr="00FE051B" w:rsidRDefault="0034504B" w:rsidP="00762948">
            <w:pPr>
              <w:rPr>
                <w:rFonts w:ascii="Arial Narrow" w:hAnsi="Arial Narrow"/>
                <w:color w:val="333333"/>
                <w:sz w:val="18"/>
                <w:szCs w:val="18"/>
              </w:rPr>
            </w:pPr>
            <w:r w:rsidRPr="00FE051B">
              <w:rPr>
                <w:rFonts w:ascii="Arial Narrow" w:hAnsi="Arial Narrow"/>
                <w:b/>
                <w:bCs/>
                <w:color w:val="333333"/>
                <w:sz w:val="18"/>
                <w:szCs w:val="18"/>
              </w:rPr>
              <w:t>AND</w:t>
            </w:r>
          </w:p>
        </w:tc>
      </w:tr>
      <w:tr w:rsidR="0034504B" w:rsidRPr="00120A12" w14:paraId="17364119" w14:textId="77777777" w:rsidTr="00762948">
        <w:tc>
          <w:tcPr>
            <w:tcW w:w="553" w:type="pct"/>
            <w:vAlign w:val="center"/>
          </w:tcPr>
          <w:p w14:paraId="21E3FEED" w14:textId="5CF9C074" w:rsidR="0034504B" w:rsidRPr="00254963" w:rsidRDefault="0034504B" w:rsidP="00762948">
            <w:pPr>
              <w:jc w:val="center"/>
              <w:rPr>
                <w:rFonts w:ascii="Arial Narrow" w:hAnsi="Arial Narrow"/>
                <w:color w:val="333333"/>
                <w:sz w:val="18"/>
                <w:szCs w:val="18"/>
              </w:rPr>
            </w:pPr>
          </w:p>
        </w:tc>
        <w:tc>
          <w:tcPr>
            <w:tcW w:w="4447" w:type="pct"/>
            <w:vAlign w:val="center"/>
          </w:tcPr>
          <w:p w14:paraId="42B790AE" w14:textId="77777777" w:rsidR="0034504B" w:rsidRPr="00FE051B" w:rsidRDefault="0034504B" w:rsidP="00762948">
            <w:pPr>
              <w:rPr>
                <w:rFonts w:ascii="Arial Narrow" w:hAnsi="Arial Narrow"/>
                <w:color w:val="333333"/>
                <w:sz w:val="18"/>
                <w:szCs w:val="18"/>
              </w:rPr>
            </w:pPr>
            <w:r w:rsidRPr="00FE051B">
              <w:rPr>
                <w:rFonts w:ascii="Arial Narrow" w:hAnsi="Arial Narrow"/>
                <w:b/>
                <w:bCs/>
                <w:color w:val="333333"/>
                <w:sz w:val="18"/>
                <w:szCs w:val="18"/>
              </w:rPr>
              <w:t xml:space="preserve">Clinical criteria: </w:t>
            </w:r>
          </w:p>
        </w:tc>
      </w:tr>
      <w:tr w:rsidR="0034504B" w:rsidRPr="00120A12" w14:paraId="49BE7FCE" w14:textId="77777777" w:rsidTr="00762948">
        <w:tc>
          <w:tcPr>
            <w:tcW w:w="553" w:type="pct"/>
            <w:vAlign w:val="center"/>
          </w:tcPr>
          <w:p w14:paraId="176C266A"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2B0A6B2E" w14:textId="77777777" w:rsidR="0034504B" w:rsidRPr="00FE051B" w:rsidRDefault="0034504B" w:rsidP="00762948">
            <w:pPr>
              <w:rPr>
                <w:rFonts w:ascii="Arial Narrow" w:hAnsi="Arial Narrow"/>
                <w:color w:val="333333"/>
                <w:sz w:val="18"/>
                <w:szCs w:val="18"/>
              </w:rPr>
            </w:pPr>
            <w:r w:rsidRPr="00FE051B">
              <w:rPr>
                <w:rFonts w:ascii="Arial Narrow" w:hAnsi="Arial Narrow"/>
                <w:color w:val="333333"/>
                <w:sz w:val="18"/>
                <w:szCs w:val="18"/>
              </w:rPr>
              <w:t>The treatment must have been initiated in combination with standard of care antibiotic</w:t>
            </w:r>
          </w:p>
        </w:tc>
      </w:tr>
      <w:tr w:rsidR="0034504B" w:rsidRPr="00120A12" w14:paraId="0BDB16DC" w14:textId="77777777" w:rsidTr="00762948">
        <w:tc>
          <w:tcPr>
            <w:tcW w:w="553" w:type="pct"/>
            <w:vAlign w:val="center"/>
          </w:tcPr>
          <w:p w14:paraId="2C39CF3D"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40D022FD" w14:textId="77777777" w:rsidR="0034504B" w:rsidRPr="00FE051B" w:rsidRDefault="0034504B" w:rsidP="00762948">
            <w:pPr>
              <w:rPr>
                <w:rFonts w:ascii="Arial Narrow" w:hAnsi="Arial Narrow"/>
                <w:color w:val="333333"/>
                <w:sz w:val="18"/>
                <w:szCs w:val="18"/>
              </w:rPr>
            </w:pPr>
            <w:r w:rsidRPr="00FE051B">
              <w:rPr>
                <w:rFonts w:ascii="Arial Narrow" w:hAnsi="Arial Narrow"/>
                <w:b/>
                <w:bCs/>
                <w:color w:val="333333"/>
                <w:sz w:val="18"/>
                <w:szCs w:val="18"/>
              </w:rPr>
              <w:t>AND</w:t>
            </w:r>
          </w:p>
        </w:tc>
      </w:tr>
      <w:tr w:rsidR="0034504B" w:rsidRPr="00120A12" w14:paraId="1685FDC6" w14:textId="77777777" w:rsidTr="00762948">
        <w:tc>
          <w:tcPr>
            <w:tcW w:w="553" w:type="pct"/>
            <w:vAlign w:val="center"/>
          </w:tcPr>
          <w:p w14:paraId="6F08AC51" w14:textId="7458FB87" w:rsidR="0034504B" w:rsidRPr="00254963" w:rsidRDefault="0034504B" w:rsidP="00762948">
            <w:pPr>
              <w:jc w:val="center"/>
              <w:rPr>
                <w:rFonts w:ascii="Arial Narrow" w:hAnsi="Arial Narrow"/>
                <w:color w:val="333333"/>
                <w:sz w:val="18"/>
                <w:szCs w:val="18"/>
              </w:rPr>
            </w:pPr>
          </w:p>
        </w:tc>
        <w:tc>
          <w:tcPr>
            <w:tcW w:w="4447" w:type="pct"/>
            <w:vAlign w:val="center"/>
          </w:tcPr>
          <w:p w14:paraId="3AC79AAF" w14:textId="77777777" w:rsidR="0034504B" w:rsidRPr="00FE051B" w:rsidRDefault="0034504B" w:rsidP="00762948">
            <w:pPr>
              <w:rPr>
                <w:rFonts w:ascii="Arial Narrow" w:hAnsi="Arial Narrow"/>
                <w:color w:val="333333"/>
                <w:sz w:val="18"/>
                <w:szCs w:val="18"/>
              </w:rPr>
            </w:pPr>
            <w:r w:rsidRPr="00FE051B">
              <w:rPr>
                <w:rFonts w:ascii="Arial Narrow" w:hAnsi="Arial Narrow"/>
                <w:b/>
                <w:bCs/>
                <w:color w:val="333333"/>
                <w:sz w:val="18"/>
                <w:szCs w:val="18"/>
              </w:rPr>
              <w:t xml:space="preserve">Clinical criteria: </w:t>
            </w:r>
          </w:p>
        </w:tc>
      </w:tr>
      <w:tr w:rsidR="0034504B" w:rsidRPr="00120A12" w14:paraId="18FC31FE" w14:textId="77777777" w:rsidTr="00762948">
        <w:tc>
          <w:tcPr>
            <w:tcW w:w="553" w:type="pct"/>
            <w:vAlign w:val="center"/>
          </w:tcPr>
          <w:p w14:paraId="2D65525F"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2315DE41" w14:textId="77889414" w:rsidR="0034504B" w:rsidRPr="00FE051B" w:rsidRDefault="0034504B" w:rsidP="00762948">
            <w:pPr>
              <w:rPr>
                <w:rFonts w:ascii="Arial Narrow" w:hAnsi="Arial Narrow"/>
                <w:color w:val="333333"/>
                <w:sz w:val="18"/>
                <w:szCs w:val="18"/>
              </w:rPr>
            </w:pPr>
            <w:r w:rsidRPr="00FE051B">
              <w:rPr>
                <w:rFonts w:ascii="Arial Narrow" w:hAnsi="Arial Narrow"/>
                <w:color w:val="333333"/>
                <w:sz w:val="18"/>
                <w:szCs w:val="18"/>
              </w:rPr>
              <w:t xml:space="preserve">Patient must have demonstrated a partial or complete response to treatment with this drug </w:t>
            </w:r>
            <w:r w:rsidR="00A976DE" w:rsidRPr="00A976DE">
              <w:rPr>
                <w:rFonts w:ascii="Arial Narrow" w:hAnsi="Arial Narrow"/>
                <w:color w:val="333333"/>
                <w:sz w:val="18"/>
                <w:szCs w:val="18"/>
              </w:rPr>
              <w:t>as determined by the treating clinician,</w:t>
            </w:r>
            <w:r w:rsidR="00A976DE" w:rsidRPr="00FE051B">
              <w:rPr>
                <w:rFonts w:ascii="Arial Narrow" w:hAnsi="Arial Narrow"/>
                <w:color w:val="333333"/>
                <w:sz w:val="18"/>
                <w:szCs w:val="18"/>
              </w:rPr>
              <w:t xml:space="preserve"> </w:t>
            </w:r>
            <w:r w:rsidRPr="00FE051B">
              <w:rPr>
                <w:rFonts w:ascii="Arial Narrow" w:hAnsi="Arial Narrow"/>
                <w:color w:val="333333"/>
                <w:sz w:val="18"/>
                <w:szCs w:val="18"/>
              </w:rPr>
              <w:t xml:space="preserve">for this condition if the patient has received non-PBS-subsidised treatment for </w:t>
            </w:r>
            <w:r w:rsidR="005F6014">
              <w:rPr>
                <w:rFonts w:ascii="Arial Narrow" w:hAnsi="Arial Narrow"/>
                <w:color w:val="333333"/>
                <w:sz w:val="18"/>
                <w:szCs w:val="18"/>
              </w:rPr>
              <w:t>the first three doses of induction</w:t>
            </w:r>
            <w:r w:rsidRPr="00FE051B">
              <w:rPr>
                <w:rFonts w:ascii="Arial Narrow" w:hAnsi="Arial Narrow"/>
                <w:color w:val="333333"/>
                <w:sz w:val="18"/>
                <w:szCs w:val="18"/>
              </w:rPr>
              <w:t>.</w:t>
            </w:r>
          </w:p>
        </w:tc>
      </w:tr>
      <w:tr w:rsidR="0034504B" w:rsidRPr="00120A12" w14:paraId="011D1FD9" w14:textId="77777777" w:rsidTr="00762948">
        <w:tc>
          <w:tcPr>
            <w:tcW w:w="553" w:type="pct"/>
            <w:vAlign w:val="center"/>
          </w:tcPr>
          <w:p w14:paraId="1E16909A" w14:textId="77777777" w:rsidR="0034504B" w:rsidRPr="00254963" w:rsidRDefault="0034504B" w:rsidP="00762948">
            <w:pPr>
              <w:jc w:val="center"/>
              <w:rPr>
                <w:rFonts w:ascii="Arial Narrow" w:hAnsi="Arial Narrow"/>
                <w:color w:val="333333"/>
                <w:sz w:val="18"/>
                <w:szCs w:val="18"/>
              </w:rPr>
            </w:pPr>
          </w:p>
        </w:tc>
        <w:tc>
          <w:tcPr>
            <w:tcW w:w="4447" w:type="pct"/>
            <w:vAlign w:val="center"/>
          </w:tcPr>
          <w:p w14:paraId="62B627AE" w14:textId="77777777" w:rsidR="0034504B" w:rsidRPr="00FE051B" w:rsidRDefault="0034504B" w:rsidP="00762948">
            <w:pPr>
              <w:rPr>
                <w:rFonts w:ascii="Arial Narrow" w:hAnsi="Arial Narrow"/>
                <w:b/>
                <w:bCs/>
                <w:color w:val="333333"/>
                <w:sz w:val="18"/>
                <w:szCs w:val="18"/>
              </w:rPr>
            </w:pPr>
            <w:r w:rsidRPr="00FE051B">
              <w:rPr>
                <w:rFonts w:ascii="Arial Narrow" w:hAnsi="Arial Narrow"/>
                <w:b/>
                <w:bCs/>
                <w:color w:val="333333"/>
                <w:sz w:val="18"/>
                <w:szCs w:val="18"/>
              </w:rPr>
              <w:t>AND</w:t>
            </w:r>
          </w:p>
        </w:tc>
      </w:tr>
      <w:tr w:rsidR="0034504B" w:rsidRPr="00120A12" w14:paraId="5C407C68" w14:textId="77777777" w:rsidTr="00762948">
        <w:tc>
          <w:tcPr>
            <w:tcW w:w="553" w:type="pct"/>
            <w:vAlign w:val="center"/>
          </w:tcPr>
          <w:p w14:paraId="555B6EF2" w14:textId="14B65EA2" w:rsidR="0034504B" w:rsidRPr="00254963" w:rsidRDefault="0034504B" w:rsidP="00762948">
            <w:pPr>
              <w:jc w:val="center"/>
              <w:rPr>
                <w:rFonts w:ascii="Arial Narrow" w:hAnsi="Arial Narrow"/>
                <w:color w:val="333333"/>
                <w:sz w:val="18"/>
                <w:szCs w:val="18"/>
              </w:rPr>
            </w:pPr>
          </w:p>
        </w:tc>
        <w:tc>
          <w:tcPr>
            <w:tcW w:w="4447" w:type="pct"/>
            <w:vAlign w:val="center"/>
            <w:hideMark/>
          </w:tcPr>
          <w:p w14:paraId="2FBC0CB6" w14:textId="77777777" w:rsidR="0034504B" w:rsidRPr="00FE051B" w:rsidRDefault="0034504B" w:rsidP="00762948">
            <w:pPr>
              <w:rPr>
                <w:rFonts w:ascii="Arial Narrow" w:hAnsi="Arial Narrow"/>
                <w:color w:val="333333"/>
                <w:sz w:val="18"/>
                <w:szCs w:val="18"/>
              </w:rPr>
            </w:pPr>
            <w:r w:rsidRPr="00FE051B">
              <w:rPr>
                <w:rFonts w:ascii="Arial Narrow" w:hAnsi="Arial Narrow"/>
                <w:b/>
                <w:bCs/>
                <w:color w:val="333333"/>
                <w:sz w:val="18"/>
                <w:szCs w:val="18"/>
              </w:rPr>
              <w:t>Treatment criteria:</w:t>
            </w:r>
          </w:p>
        </w:tc>
      </w:tr>
      <w:tr w:rsidR="0034504B" w:rsidRPr="00120A12" w14:paraId="4B59010B" w14:textId="77777777" w:rsidTr="00762948">
        <w:tc>
          <w:tcPr>
            <w:tcW w:w="553" w:type="pct"/>
            <w:vAlign w:val="center"/>
          </w:tcPr>
          <w:p w14:paraId="3EFFF09A" w14:textId="4776F767" w:rsidR="0034504B" w:rsidRPr="00254963" w:rsidRDefault="0034504B" w:rsidP="00762948">
            <w:pPr>
              <w:jc w:val="center"/>
              <w:rPr>
                <w:rFonts w:ascii="Arial Narrow" w:hAnsi="Arial Narrow"/>
                <w:color w:val="333333"/>
                <w:sz w:val="18"/>
                <w:szCs w:val="18"/>
              </w:rPr>
            </w:pPr>
          </w:p>
        </w:tc>
        <w:tc>
          <w:tcPr>
            <w:tcW w:w="4447" w:type="pct"/>
            <w:vAlign w:val="center"/>
            <w:hideMark/>
          </w:tcPr>
          <w:p w14:paraId="7BBE20EE" w14:textId="77777777" w:rsidR="0034504B" w:rsidRPr="00FE051B" w:rsidRDefault="0034504B" w:rsidP="00762948">
            <w:pPr>
              <w:autoSpaceDE w:val="0"/>
              <w:autoSpaceDN w:val="0"/>
              <w:adjustRightInd w:val="0"/>
              <w:rPr>
                <w:rFonts w:ascii="Arial Narrow" w:hAnsi="Arial Narrow" w:cs="Arial Narrow"/>
                <w:sz w:val="18"/>
                <w:szCs w:val="18"/>
              </w:rPr>
            </w:pPr>
            <w:r w:rsidRPr="00FE051B">
              <w:rPr>
                <w:rFonts w:ascii="Arial Narrow" w:hAnsi="Arial Narrow" w:cs="Arial Narrow"/>
                <w:sz w:val="18"/>
                <w:szCs w:val="18"/>
              </w:rPr>
              <w:t>Must be treated by a gastroenterologist, OR</w:t>
            </w:r>
          </w:p>
          <w:p w14:paraId="48023442" w14:textId="77777777" w:rsidR="0034504B" w:rsidRPr="00FE051B" w:rsidRDefault="0034504B" w:rsidP="00762948">
            <w:pPr>
              <w:autoSpaceDE w:val="0"/>
              <w:autoSpaceDN w:val="0"/>
              <w:adjustRightInd w:val="0"/>
              <w:rPr>
                <w:rFonts w:ascii="Arial Narrow" w:hAnsi="Arial Narrow" w:cs="Arial Narrow"/>
                <w:sz w:val="18"/>
                <w:szCs w:val="18"/>
              </w:rPr>
            </w:pPr>
            <w:r w:rsidRPr="00FE051B">
              <w:rPr>
                <w:rFonts w:ascii="Arial Narrow" w:hAnsi="Arial Narrow" w:cs="Arial Narrow"/>
                <w:sz w:val="18"/>
                <w:szCs w:val="18"/>
              </w:rPr>
              <w:t>Must be treated by a consultant physician [internal medicine specialising in gastroenterology (code 81)]; OR</w:t>
            </w:r>
          </w:p>
          <w:p w14:paraId="179BB41A" w14:textId="77777777" w:rsidR="0034504B" w:rsidRPr="00FE051B" w:rsidRDefault="0034504B" w:rsidP="00762948">
            <w:pPr>
              <w:autoSpaceDE w:val="0"/>
              <w:autoSpaceDN w:val="0"/>
              <w:adjustRightInd w:val="0"/>
              <w:rPr>
                <w:rFonts w:ascii="Arial Narrow" w:hAnsi="Arial Narrow" w:cs="Arial Narrow"/>
                <w:sz w:val="20"/>
                <w:szCs w:val="20"/>
              </w:rPr>
            </w:pPr>
            <w:r w:rsidRPr="00FE051B">
              <w:rPr>
                <w:rFonts w:ascii="Arial Narrow" w:hAnsi="Arial Narrow" w:cs="Arial Narrow"/>
                <w:sz w:val="18"/>
                <w:szCs w:val="18"/>
              </w:rPr>
              <w:t>Must be treated by a consultant physician [general medicine specialising in gastroenterology (code 82)].</w:t>
            </w:r>
          </w:p>
        </w:tc>
      </w:tr>
      <w:tr w:rsidR="0034504B" w:rsidRPr="00120A12" w14:paraId="62329227" w14:textId="77777777" w:rsidTr="006E2A88">
        <w:tc>
          <w:tcPr>
            <w:tcW w:w="553" w:type="pct"/>
            <w:vAlign w:val="center"/>
          </w:tcPr>
          <w:p w14:paraId="46005DE9" w14:textId="77777777" w:rsidR="0034504B" w:rsidRPr="00254963" w:rsidRDefault="0034504B" w:rsidP="00762948">
            <w:pPr>
              <w:jc w:val="center"/>
              <w:rPr>
                <w:rFonts w:ascii="Arial Narrow" w:hAnsi="Arial Narrow"/>
                <w:color w:val="333333"/>
                <w:sz w:val="18"/>
                <w:szCs w:val="18"/>
              </w:rPr>
            </w:pPr>
          </w:p>
        </w:tc>
        <w:tc>
          <w:tcPr>
            <w:tcW w:w="4447" w:type="pct"/>
            <w:vAlign w:val="center"/>
            <w:hideMark/>
          </w:tcPr>
          <w:p w14:paraId="171F8A1D" w14:textId="77777777" w:rsidR="0034504B" w:rsidRPr="00FE051B" w:rsidRDefault="0034504B" w:rsidP="00762948">
            <w:pPr>
              <w:rPr>
                <w:rFonts w:ascii="Arial Narrow" w:hAnsi="Arial Narrow"/>
                <w:color w:val="333333"/>
                <w:sz w:val="18"/>
                <w:szCs w:val="18"/>
              </w:rPr>
            </w:pPr>
            <w:r w:rsidRPr="00FE051B">
              <w:rPr>
                <w:rFonts w:ascii="Arial Narrow" w:hAnsi="Arial Narrow"/>
                <w:b/>
                <w:bCs/>
                <w:color w:val="333333"/>
                <w:sz w:val="18"/>
                <w:szCs w:val="18"/>
              </w:rPr>
              <w:t xml:space="preserve">Prescribing Instructions: </w:t>
            </w:r>
            <w:r w:rsidRPr="00FE051B">
              <w:rPr>
                <w:rFonts w:ascii="Arial Narrow" w:hAnsi="Arial Narrow"/>
                <w:bCs/>
                <w:color w:val="333333"/>
                <w:sz w:val="18"/>
                <w:szCs w:val="18"/>
              </w:rPr>
              <w:t>The assessment of a patient’s response to this course of treatment must be made after the third dose of vedolizumab so there is adequate time for a response to be demonstrated. The assessment must be made prior to obtaining a PBS authority for continuing treatment from the dose at week 14.</w:t>
            </w:r>
          </w:p>
          <w:p w14:paraId="3002458A" w14:textId="77777777" w:rsidR="0034504B" w:rsidRPr="00FE051B" w:rsidRDefault="0034504B" w:rsidP="00762948">
            <w:pPr>
              <w:rPr>
                <w:rFonts w:ascii="Arial Narrow" w:hAnsi="Arial Narrow"/>
                <w:color w:val="333333"/>
                <w:sz w:val="18"/>
                <w:szCs w:val="18"/>
              </w:rPr>
            </w:pPr>
          </w:p>
        </w:tc>
      </w:tr>
      <w:tr w:rsidR="0034504B" w:rsidRPr="00120A12" w14:paraId="5DC73E03" w14:textId="77777777" w:rsidTr="00762948">
        <w:tc>
          <w:tcPr>
            <w:tcW w:w="553" w:type="pct"/>
            <w:vAlign w:val="center"/>
          </w:tcPr>
          <w:p w14:paraId="491DC5E6" w14:textId="602A1E4B" w:rsidR="0034504B" w:rsidRPr="00254963" w:rsidRDefault="0034504B" w:rsidP="00762948">
            <w:pPr>
              <w:jc w:val="center"/>
              <w:rPr>
                <w:rFonts w:ascii="Arial Narrow" w:hAnsi="Arial Narrow"/>
                <w:color w:val="333333"/>
                <w:sz w:val="18"/>
                <w:szCs w:val="18"/>
              </w:rPr>
            </w:pPr>
          </w:p>
        </w:tc>
        <w:tc>
          <w:tcPr>
            <w:tcW w:w="4447" w:type="pct"/>
            <w:vAlign w:val="center"/>
          </w:tcPr>
          <w:p w14:paraId="163DD955" w14:textId="791FCE48" w:rsidR="0034504B" w:rsidRPr="00FE051B" w:rsidRDefault="0034504B" w:rsidP="00762948">
            <w:pPr>
              <w:rPr>
                <w:rFonts w:ascii="Arial Narrow" w:hAnsi="Arial Narrow"/>
                <w:color w:val="333333"/>
                <w:sz w:val="18"/>
                <w:szCs w:val="18"/>
              </w:rPr>
            </w:pPr>
            <w:r w:rsidRPr="00FE051B">
              <w:rPr>
                <w:rFonts w:ascii="Arial Narrow" w:hAnsi="Arial Narrow"/>
                <w:b/>
                <w:bCs/>
                <w:color w:val="333333"/>
                <w:sz w:val="18"/>
                <w:szCs w:val="18"/>
              </w:rPr>
              <w:t xml:space="preserve">Prescribing Instructions: </w:t>
            </w:r>
            <w:r w:rsidRPr="00FE051B">
              <w:rPr>
                <w:rFonts w:ascii="Arial Narrow" w:hAnsi="Arial Narrow"/>
                <w:color w:val="333333"/>
                <w:sz w:val="18"/>
                <w:szCs w:val="18"/>
              </w:rPr>
              <w:t>Where a response assessment is not conducted within the required timeframe, the patient will be deemed to have failed to respond to treatment with this drug.</w:t>
            </w:r>
          </w:p>
        </w:tc>
      </w:tr>
      <w:tr w:rsidR="0034504B" w:rsidRPr="00120A12" w14:paraId="519DF385" w14:textId="77777777" w:rsidTr="00762948">
        <w:tc>
          <w:tcPr>
            <w:tcW w:w="553" w:type="pct"/>
            <w:vAlign w:val="center"/>
          </w:tcPr>
          <w:p w14:paraId="3FA2D268" w14:textId="03C7EBC5" w:rsidR="00B344CB" w:rsidRPr="00254963" w:rsidRDefault="00B344CB" w:rsidP="00762948">
            <w:pPr>
              <w:jc w:val="center"/>
              <w:rPr>
                <w:rFonts w:ascii="Arial Narrow" w:hAnsi="Arial Narrow"/>
                <w:color w:val="333333"/>
                <w:sz w:val="18"/>
                <w:szCs w:val="18"/>
              </w:rPr>
            </w:pPr>
          </w:p>
        </w:tc>
        <w:tc>
          <w:tcPr>
            <w:tcW w:w="4447" w:type="pct"/>
            <w:vAlign w:val="center"/>
          </w:tcPr>
          <w:p w14:paraId="646EA709" w14:textId="77777777" w:rsidR="0034504B" w:rsidRPr="00FE051B" w:rsidRDefault="0034504B" w:rsidP="00762948">
            <w:pPr>
              <w:rPr>
                <w:rFonts w:ascii="Arial Narrow" w:hAnsi="Arial Narrow"/>
                <w:b/>
                <w:bCs/>
                <w:color w:val="333333"/>
                <w:sz w:val="18"/>
                <w:szCs w:val="18"/>
              </w:rPr>
            </w:pPr>
            <w:r w:rsidRPr="00FE051B">
              <w:rPr>
                <w:rFonts w:ascii="Arial Narrow" w:hAnsi="Arial Narrow"/>
                <w:b/>
                <w:bCs/>
                <w:color w:val="333333"/>
                <w:sz w:val="18"/>
                <w:szCs w:val="18"/>
              </w:rPr>
              <w:t xml:space="preserve">Prescribing Instructions: </w:t>
            </w:r>
          </w:p>
          <w:p w14:paraId="040AFA83" w14:textId="4E521B3B" w:rsidR="0034504B" w:rsidRPr="00FE051B" w:rsidRDefault="0034504B" w:rsidP="00762948">
            <w:pPr>
              <w:rPr>
                <w:rFonts w:ascii="Arial Narrow" w:hAnsi="Arial Narrow"/>
                <w:bCs/>
                <w:color w:val="333333"/>
                <w:sz w:val="18"/>
                <w:szCs w:val="18"/>
              </w:rPr>
            </w:pPr>
            <w:r w:rsidRPr="00FE051B">
              <w:rPr>
                <w:rFonts w:ascii="Arial Narrow" w:hAnsi="Arial Narrow"/>
                <w:bCs/>
                <w:color w:val="333333"/>
                <w:sz w:val="18"/>
                <w:szCs w:val="18"/>
              </w:rPr>
              <w:t>The application for authorisation of treatment must be in writing and must include:</w:t>
            </w:r>
          </w:p>
          <w:p w14:paraId="343918D5" w14:textId="77777777" w:rsidR="0034504B" w:rsidRPr="00FE051B" w:rsidRDefault="0034504B" w:rsidP="00762948">
            <w:pPr>
              <w:rPr>
                <w:rFonts w:ascii="Arial Narrow" w:hAnsi="Arial Narrow"/>
                <w:bCs/>
                <w:color w:val="333333"/>
                <w:sz w:val="18"/>
                <w:szCs w:val="18"/>
              </w:rPr>
            </w:pPr>
            <w:r w:rsidRPr="00FE051B">
              <w:rPr>
                <w:rFonts w:ascii="Arial Narrow" w:hAnsi="Arial Narrow"/>
                <w:bCs/>
                <w:color w:val="333333"/>
                <w:sz w:val="18"/>
                <w:szCs w:val="18"/>
              </w:rPr>
              <w:t>(a) details of the proposed restriction; and</w:t>
            </w:r>
          </w:p>
          <w:p w14:paraId="0D7A616C" w14:textId="77777777" w:rsidR="0034504B" w:rsidRPr="00FE051B" w:rsidRDefault="0034504B" w:rsidP="00762948">
            <w:pPr>
              <w:rPr>
                <w:rFonts w:ascii="Arial Narrow" w:hAnsi="Arial Narrow"/>
                <w:bCs/>
                <w:color w:val="333333"/>
                <w:sz w:val="18"/>
                <w:szCs w:val="18"/>
              </w:rPr>
            </w:pPr>
            <w:r w:rsidRPr="00FE051B">
              <w:rPr>
                <w:rFonts w:ascii="Arial Narrow" w:hAnsi="Arial Narrow"/>
                <w:bCs/>
                <w:color w:val="333333"/>
                <w:sz w:val="18"/>
                <w:szCs w:val="18"/>
              </w:rPr>
              <w:t>(b) a completed authority application form relevant to the indication and treatment phase (the latest version is located on the website specified in the Administrative Advice) which includes the following:</w:t>
            </w:r>
          </w:p>
          <w:p w14:paraId="2AF82EFF" w14:textId="77777777" w:rsidR="0034504B" w:rsidRPr="00FE051B" w:rsidRDefault="0034504B" w:rsidP="00762948">
            <w:pPr>
              <w:rPr>
                <w:rFonts w:ascii="Arial Narrow" w:hAnsi="Arial Narrow"/>
                <w:bCs/>
                <w:color w:val="333333"/>
                <w:sz w:val="18"/>
                <w:szCs w:val="18"/>
              </w:rPr>
            </w:pPr>
            <w:r w:rsidRPr="00FE051B">
              <w:rPr>
                <w:rFonts w:ascii="Arial Narrow" w:hAnsi="Arial Narrow"/>
                <w:bCs/>
                <w:color w:val="333333"/>
                <w:sz w:val="18"/>
                <w:szCs w:val="18"/>
              </w:rPr>
              <w:t xml:space="preserve">(i) The patient’s baseline Modified Pouchitis Disease Activity Index (mPDAI) score and minimum </w:t>
            </w:r>
            <w:r w:rsidRPr="00FE051B">
              <w:rPr>
                <w:rFonts w:ascii="Arial Narrow" w:hAnsi="Arial Narrow"/>
                <w:color w:val="333333"/>
                <w:sz w:val="18"/>
                <w:szCs w:val="18"/>
              </w:rPr>
              <w:t>endoscopic mPDAI sub-score</w:t>
            </w:r>
            <w:r w:rsidRPr="00FE051B">
              <w:rPr>
                <w:rFonts w:ascii="Arial Narrow" w:hAnsi="Arial Narrow"/>
                <w:bCs/>
                <w:color w:val="333333"/>
                <w:sz w:val="18"/>
                <w:szCs w:val="18"/>
              </w:rPr>
              <w:t>; and</w:t>
            </w:r>
          </w:p>
          <w:p w14:paraId="0E2FC069" w14:textId="77777777" w:rsidR="0034504B" w:rsidRPr="00FE051B" w:rsidRDefault="0034504B" w:rsidP="00762948">
            <w:pPr>
              <w:rPr>
                <w:rFonts w:ascii="Arial Narrow" w:hAnsi="Arial Narrow"/>
                <w:bCs/>
                <w:color w:val="333333"/>
                <w:sz w:val="18"/>
                <w:szCs w:val="18"/>
              </w:rPr>
            </w:pPr>
            <w:r w:rsidRPr="00FE051B">
              <w:rPr>
                <w:rFonts w:ascii="Arial Narrow" w:hAnsi="Arial Narrow"/>
                <w:bCs/>
                <w:color w:val="333333"/>
                <w:sz w:val="18"/>
                <w:szCs w:val="18"/>
              </w:rPr>
              <w:t xml:space="preserve">(ii) details of prior drug therapy for the condition [dosage, date of commencement and duration of therapy]; and  </w:t>
            </w:r>
          </w:p>
          <w:p w14:paraId="58F53277" w14:textId="77777777" w:rsidR="0034504B" w:rsidRPr="00FE051B" w:rsidRDefault="0034504B" w:rsidP="00762948">
            <w:pPr>
              <w:rPr>
                <w:rFonts w:ascii="Arial Narrow" w:hAnsi="Arial Narrow"/>
                <w:bCs/>
                <w:color w:val="333333"/>
                <w:sz w:val="18"/>
                <w:szCs w:val="18"/>
              </w:rPr>
            </w:pPr>
            <w:r w:rsidRPr="00FE051B">
              <w:rPr>
                <w:rFonts w:ascii="Arial Narrow" w:hAnsi="Arial Narrow"/>
                <w:bCs/>
                <w:color w:val="333333"/>
                <w:sz w:val="18"/>
                <w:szCs w:val="18"/>
              </w:rPr>
              <w:t>(iii) the date of commencement of this drug for this condition.</w:t>
            </w:r>
          </w:p>
        </w:tc>
      </w:tr>
      <w:tr w:rsidR="0034504B" w:rsidRPr="00120A12" w14:paraId="0DE92088" w14:textId="77777777" w:rsidTr="00762948">
        <w:tc>
          <w:tcPr>
            <w:tcW w:w="553" w:type="pct"/>
            <w:vAlign w:val="center"/>
          </w:tcPr>
          <w:p w14:paraId="33940B8F" w14:textId="27AC8A68" w:rsidR="0034504B" w:rsidRPr="00254963" w:rsidRDefault="0034504B" w:rsidP="00762948">
            <w:pPr>
              <w:jc w:val="center"/>
              <w:rPr>
                <w:rFonts w:ascii="Arial Narrow" w:hAnsi="Arial Narrow"/>
                <w:color w:val="333333"/>
                <w:sz w:val="18"/>
                <w:szCs w:val="18"/>
              </w:rPr>
            </w:pPr>
          </w:p>
        </w:tc>
        <w:tc>
          <w:tcPr>
            <w:tcW w:w="4447" w:type="pct"/>
            <w:vAlign w:val="center"/>
          </w:tcPr>
          <w:p w14:paraId="518C4969" w14:textId="77777777" w:rsidR="0034504B" w:rsidRPr="00254963" w:rsidRDefault="0034504B" w:rsidP="00762948">
            <w:pPr>
              <w:rPr>
                <w:rFonts w:ascii="Arial Narrow" w:hAnsi="Arial Narrow"/>
                <w:color w:val="333333"/>
                <w:sz w:val="18"/>
                <w:szCs w:val="18"/>
              </w:rPr>
            </w:pPr>
            <w:r w:rsidRPr="00254963">
              <w:rPr>
                <w:rFonts w:ascii="Arial Narrow" w:hAnsi="Arial Narrow"/>
                <w:b/>
                <w:bCs/>
                <w:color w:val="333333"/>
                <w:sz w:val="18"/>
                <w:szCs w:val="18"/>
              </w:rPr>
              <w:t xml:space="preserve">Prescribing Instructions: </w:t>
            </w:r>
            <w:r w:rsidRPr="00254963">
              <w:rPr>
                <w:rFonts w:ascii="Arial Narrow" w:hAnsi="Arial Narrow"/>
                <w:bCs/>
                <w:color w:val="333333"/>
                <w:sz w:val="18"/>
                <w:szCs w:val="18"/>
              </w:rPr>
              <w:t>The endoscopic assessment contributing to the Modified Pouchitis Disease Activity Index score to confirm the patient’s condition at baseline must have been performed no more than 4 weeks prior to initiation with non-PBS subsidised treatment with this drug.</w:t>
            </w:r>
          </w:p>
        </w:tc>
      </w:tr>
      <w:tr w:rsidR="0034504B" w:rsidRPr="00120A12" w14:paraId="2F071924" w14:textId="77777777" w:rsidTr="00762948">
        <w:tc>
          <w:tcPr>
            <w:tcW w:w="553" w:type="pct"/>
            <w:vAlign w:val="center"/>
          </w:tcPr>
          <w:p w14:paraId="4391BDA6" w14:textId="21468735" w:rsidR="0034504B" w:rsidRPr="00254963" w:rsidRDefault="0034504B" w:rsidP="00762948">
            <w:pPr>
              <w:jc w:val="center"/>
              <w:rPr>
                <w:rFonts w:ascii="Arial Narrow" w:hAnsi="Arial Narrow"/>
                <w:color w:val="333333"/>
                <w:sz w:val="18"/>
                <w:szCs w:val="18"/>
              </w:rPr>
            </w:pPr>
          </w:p>
        </w:tc>
        <w:tc>
          <w:tcPr>
            <w:tcW w:w="4447" w:type="pct"/>
            <w:vAlign w:val="center"/>
          </w:tcPr>
          <w:p w14:paraId="492564A4" w14:textId="77777777" w:rsidR="0034504B" w:rsidRPr="00254963" w:rsidRDefault="0034504B" w:rsidP="00762948">
            <w:pPr>
              <w:rPr>
                <w:rFonts w:ascii="Arial Narrow" w:hAnsi="Arial Narrow"/>
                <w:bCs/>
                <w:color w:val="333333"/>
                <w:sz w:val="18"/>
                <w:szCs w:val="18"/>
              </w:rPr>
            </w:pPr>
            <w:r w:rsidRPr="00254963">
              <w:rPr>
                <w:rFonts w:ascii="Arial Narrow" w:hAnsi="Arial Narrow"/>
                <w:b/>
                <w:bCs/>
                <w:color w:val="333333"/>
                <w:sz w:val="18"/>
                <w:szCs w:val="18"/>
              </w:rPr>
              <w:t xml:space="preserve">Prescribing Instructions: </w:t>
            </w:r>
            <w:r w:rsidRPr="00254963">
              <w:rPr>
                <w:rFonts w:ascii="Arial Narrow" w:hAnsi="Arial Narrow"/>
                <w:bCs/>
                <w:color w:val="333333"/>
                <w:sz w:val="18"/>
                <w:szCs w:val="18"/>
              </w:rPr>
              <w:t>The prescriber must have excluded secondary causes of pouchitis, for example:</w:t>
            </w:r>
          </w:p>
          <w:p w14:paraId="3A92D187" w14:textId="77777777" w:rsidR="0034504B" w:rsidRPr="00254963" w:rsidRDefault="0034504B" w:rsidP="0034504B">
            <w:pPr>
              <w:pStyle w:val="ListParagraph"/>
              <w:numPr>
                <w:ilvl w:val="0"/>
                <w:numId w:val="20"/>
              </w:numPr>
              <w:spacing w:after="0"/>
              <w:contextualSpacing/>
              <w:jc w:val="left"/>
              <w:rPr>
                <w:rFonts w:ascii="Arial Narrow" w:hAnsi="Arial Narrow"/>
                <w:bCs/>
                <w:color w:val="333333"/>
                <w:sz w:val="18"/>
                <w:szCs w:val="18"/>
              </w:rPr>
            </w:pPr>
            <w:r w:rsidRPr="00254963">
              <w:rPr>
                <w:rFonts w:ascii="Arial Narrow" w:hAnsi="Arial Narrow"/>
                <w:bCs/>
                <w:color w:val="333333"/>
                <w:sz w:val="18"/>
                <w:szCs w:val="18"/>
              </w:rPr>
              <w:t>Ischaemia</w:t>
            </w:r>
          </w:p>
          <w:p w14:paraId="2D7CFBBD" w14:textId="77777777" w:rsidR="0034504B" w:rsidRPr="00254963" w:rsidRDefault="0034504B" w:rsidP="0034504B">
            <w:pPr>
              <w:pStyle w:val="ListParagraph"/>
              <w:numPr>
                <w:ilvl w:val="0"/>
                <w:numId w:val="20"/>
              </w:numPr>
              <w:spacing w:after="0"/>
              <w:contextualSpacing/>
              <w:jc w:val="left"/>
              <w:rPr>
                <w:rFonts w:ascii="Arial Narrow" w:hAnsi="Arial Narrow"/>
                <w:bCs/>
                <w:color w:val="333333"/>
                <w:sz w:val="18"/>
                <w:szCs w:val="18"/>
              </w:rPr>
            </w:pPr>
            <w:r w:rsidRPr="00254963">
              <w:rPr>
                <w:rFonts w:ascii="Arial Narrow" w:hAnsi="Arial Narrow"/>
                <w:bCs/>
                <w:color w:val="333333"/>
                <w:sz w:val="18"/>
                <w:szCs w:val="18"/>
              </w:rPr>
              <w:t>Crohn’s disease (CD) or CD of the pouch</w:t>
            </w:r>
          </w:p>
          <w:p w14:paraId="2ED25761" w14:textId="77777777" w:rsidR="0034504B" w:rsidRPr="00254963" w:rsidRDefault="0034504B" w:rsidP="0034504B">
            <w:pPr>
              <w:pStyle w:val="ListParagraph"/>
              <w:numPr>
                <w:ilvl w:val="0"/>
                <w:numId w:val="20"/>
              </w:numPr>
              <w:spacing w:after="0"/>
              <w:contextualSpacing/>
              <w:jc w:val="left"/>
              <w:rPr>
                <w:rFonts w:ascii="Arial Narrow" w:hAnsi="Arial Narrow"/>
                <w:bCs/>
                <w:color w:val="333333"/>
                <w:sz w:val="18"/>
                <w:szCs w:val="18"/>
              </w:rPr>
            </w:pPr>
            <w:r w:rsidRPr="00254963">
              <w:rPr>
                <w:rFonts w:ascii="Arial Narrow" w:hAnsi="Arial Narrow"/>
                <w:bCs/>
                <w:color w:val="333333"/>
                <w:sz w:val="18"/>
                <w:szCs w:val="18"/>
              </w:rPr>
              <w:t>Irritable pouch syndrome</w:t>
            </w:r>
          </w:p>
          <w:p w14:paraId="566EF649" w14:textId="77777777" w:rsidR="0034504B" w:rsidRPr="00254963" w:rsidRDefault="0034504B" w:rsidP="0034504B">
            <w:pPr>
              <w:pStyle w:val="ListParagraph"/>
              <w:numPr>
                <w:ilvl w:val="0"/>
                <w:numId w:val="20"/>
              </w:numPr>
              <w:spacing w:after="0"/>
              <w:contextualSpacing/>
              <w:jc w:val="left"/>
              <w:rPr>
                <w:rFonts w:ascii="Arial Narrow" w:hAnsi="Arial Narrow"/>
                <w:bCs/>
                <w:color w:val="333333"/>
                <w:sz w:val="18"/>
                <w:szCs w:val="18"/>
              </w:rPr>
            </w:pPr>
            <w:r w:rsidRPr="00254963">
              <w:rPr>
                <w:rFonts w:ascii="Arial Narrow" w:hAnsi="Arial Narrow"/>
                <w:bCs/>
                <w:color w:val="333333"/>
                <w:sz w:val="18"/>
                <w:szCs w:val="18"/>
              </w:rPr>
              <w:t>Predominant cuffitis</w:t>
            </w:r>
          </w:p>
          <w:p w14:paraId="79EB2462" w14:textId="77777777" w:rsidR="0034504B" w:rsidRPr="00254963" w:rsidRDefault="0034504B" w:rsidP="0034504B">
            <w:pPr>
              <w:pStyle w:val="ListParagraph"/>
              <w:numPr>
                <w:ilvl w:val="0"/>
                <w:numId w:val="20"/>
              </w:numPr>
              <w:spacing w:after="0"/>
              <w:contextualSpacing/>
              <w:jc w:val="left"/>
              <w:rPr>
                <w:rFonts w:ascii="Arial Narrow" w:hAnsi="Arial Narrow"/>
                <w:bCs/>
                <w:color w:val="333333"/>
                <w:sz w:val="18"/>
                <w:szCs w:val="18"/>
              </w:rPr>
            </w:pPr>
            <w:r w:rsidRPr="00254963">
              <w:rPr>
                <w:rFonts w:ascii="Arial Narrow" w:hAnsi="Arial Narrow"/>
                <w:bCs/>
                <w:color w:val="333333"/>
                <w:sz w:val="18"/>
                <w:szCs w:val="18"/>
              </w:rPr>
              <w:t>Pouch stricture or pouch fistula</w:t>
            </w:r>
          </w:p>
          <w:p w14:paraId="4CDFC9F3" w14:textId="77777777" w:rsidR="0034504B" w:rsidRPr="00254963" w:rsidRDefault="0034504B" w:rsidP="0034504B">
            <w:pPr>
              <w:pStyle w:val="ListParagraph"/>
              <w:numPr>
                <w:ilvl w:val="0"/>
                <w:numId w:val="20"/>
              </w:numPr>
              <w:spacing w:after="0"/>
              <w:contextualSpacing/>
              <w:jc w:val="left"/>
              <w:rPr>
                <w:rFonts w:ascii="Arial Narrow" w:hAnsi="Arial Narrow"/>
                <w:bCs/>
                <w:color w:val="333333"/>
                <w:sz w:val="18"/>
                <w:szCs w:val="18"/>
              </w:rPr>
            </w:pPr>
            <w:r w:rsidRPr="00254963">
              <w:rPr>
                <w:rFonts w:ascii="Arial Narrow" w:hAnsi="Arial Narrow"/>
                <w:bCs/>
                <w:color w:val="333333"/>
                <w:sz w:val="18"/>
                <w:szCs w:val="18"/>
              </w:rPr>
              <w:t>Active infection</w:t>
            </w:r>
          </w:p>
          <w:p w14:paraId="40533CFA" w14:textId="77777777" w:rsidR="0034504B" w:rsidRPr="00254963" w:rsidRDefault="0034504B" w:rsidP="0034504B">
            <w:pPr>
              <w:pStyle w:val="ListParagraph"/>
              <w:numPr>
                <w:ilvl w:val="0"/>
                <w:numId w:val="20"/>
              </w:numPr>
              <w:spacing w:after="0"/>
              <w:contextualSpacing/>
              <w:jc w:val="left"/>
              <w:rPr>
                <w:rFonts w:ascii="Arial Narrow" w:hAnsi="Arial Narrow"/>
                <w:bCs/>
                <w:color w:val="333333"/>
                <w:sz w:val="18"/>
                <w:szCs w:val="18"/>
              </w:rPr>
            </w:pPr>
            <w:r w:rsidRPr="00254963">
              <w:rPr>
                <w:rFonts w:ascii="Arial Narrow" w:hAnsi="Arial Narrow"/>
                <w:bCs/>
                <w:color w:val="333333"/>
                <w:sz w:val="18"/>
                <w:szCs w:val="18"/>
              </w:rPr>
              <w:t>NSAIDs</w:t>
            </w:r>
          </w:p>
          <w:p w14:paraId="54572A85" w14:textId="4C80FA4C" w:rsidR="0034504B" w:rsidRPr="00254963" w:rsidRDefault="0034504B" w:rsidP="0034504B">
            <w:pPr>
              <w:pStyle w:val="ListParagraph"/>
              <w:numPr>
                <w:ilvl w:val="0"/>
                <w:numId w:val="20"/>
              </w:numPr>
              <w:spacing w:after="0"/>
              <w:contextualSpacing/>
              <w:jc w:val="left"/>
              <w:rPr>
                <w:rFonts w:ascii="Arial Narrow" w:hAnsi="Arial Narrow"/>
                <w:color w:val="333333"/>
                <w:sz w:val="18"/>
                <w:szCs w:val="18"/>
              </w:rPr>
            </w:pPr>
            <w:r w:rsidRPr="00254963">
              <w:rPr>
                <w:rFonts w:ascii="Arial Narrow" w:hAnsi="Arial Narrow"/>
                <w:bCs/>
                <w:color w:val="333333"/>
                <w:sz w:val="18"/>
                <w:szCs w:val="18"/>
              </w:rPr>
              <w:t>Coeliac disease</w:t>
            </w:r>
          </w:p>
        </w:tc>
      </w:tr>
      <w:tr w:rsidR="0034504B" w:rsidRPr="00120A12" w14:paraId="20D1F328" w14:textId="77777777" w:rsidTr="00762948">
        <w:tc>
          <w:tcPr>
            <w:tcW w:w="553" w:type="pct"/>
            <w:vAlign w:val="center"/>
          </w:tcPr>
          <w:p w14:paraId="3E5C5857" w14:textId="29BDC469" w:rsidR="0034504B" w:rsidRPr="00254963" w:rsidRDefault="0034504B" w:rsidP="00762948">
            <w:pPr>
              <w:jc w:val="center"/>
              <w:rPr>
                <w:rFonts w:ascii="Arial Narrow" w:hAnsi="Arial Narrow"/>
                <w:color w:val="333333"/>
                <w:sz w:val="18"/>
                <w:szCs w:val="18"/>
              </w:rPr>
            </w:pPr>
          </w:p>
        </w:tc>
        <w:tc>
          <w:tcPr>
            <w:tcW w:w="4447" w:type="pct"/>
            <w:vAlign w:val="center"/>
          </w:tcPr>
          <w:p w14:paraId="77B5C869" w14:textId="77777777" w:rsidR="0034504B" w:rsidRPr="00254963" w:rsidRDefault="0034504B" w:rsidP="00762948">
            <w:pPr>
              <w:rPr>
                <w:rFonts w:ascii="Arial Narrow" w:hAnsi="Arial Narrow"/>
                <w:b/>
                <w:bCs/>
                <w:color w:val="333333"/>
                <w:sz w:val="18"/>
                <w:szCs w:val="18"/>
              </w:rPr>
            </w:pPr>
            <w:r w:rsidRPr="00254963">
              <w:rPr>
                <w:rFonts w:ascii="Arial Narrow" w:hAnsi="Arial Narrow"/>
                <w:b/>
                <w:bCs/>
                <w:color w:val="333333"/>
                <w:sz w:val="18"/>
                <w:szCs w:val="18"/>
              </w:rPr>
              <w:t xml:space="preserve">Prescribing Instructions: </w:t>
            </w:r>
          </w:p>
          <w:p w14:paraId="13D656F0" w14:textId="77777777" w:rsidR="0034504B" w:rsidRPr="00254963" w:rsidRDefault="0034504B" w:rsidP="00762948">
            <w:pPr>
              <w:rPr>
                <w:rFonts w:ascii="Arial Narrow" w:hAnsi="Arial Narrow"/>
                <w:b/>
                <w:bCs/>
                <w:color w:val="333333"/>
                <w:sz w:val="18"/>
                <w:szCs w:val="18"/>
              </w:rPr>
            </w:pPr>
            <w:r w:rsidRPr="00254963">
              <w:rPr>
                <w:rFonts w:ascii="Arial Narrow" w:hAnsi="Arial Narrow"/>
                <w:color w:val="333333"/>
                <w:sz w:val="18"/>
                <w:szCs w:val="18"/>
              </w:rPr>
              <w:t xml:space="preserve">Patients may qualify for PBS-subsidised treatment under this restriction once only. For continuing PBS-subsidised treatment, a ‘Grandfathered’ patient must qualify under the ‘Continuing treatment’ criteria. </w:t>
            </w:r>
          </w:p>
        </w:tc>
      </w:tr>
      <w:tr w:rsidR="0034504B" w:rsidRPr="00120A12" w14:paraId="5A856F25" w14:textId="77777777" w:rsidTr="00762948">
        <w:tc>
          <w:tcPr>
            <w:tcW w:w="553" w:type="pct"/>
            <w:vAlign w:val="center"/>
          </w:tcPr>
          <w:p w14:paraId="316A0153" w14:textId="7024C6E9" w:rsidR="0034504B" w:rsidRPr="00254963" w:rsidRDefault="0034504B" w:rsidP="00762948">
            <w:pPr>
              <w:jc w:val="center"/>
              <w:rPr>
                <w:rFonts w:ascii="Arial Narrow" w:hAnsi="Arial Narrow"/>
                <w:color w:val="333333"/>
                <w:sz w:val="18"/>
                <w:szCs w:val="18"/>
              </w:rPr>
            </w:pPr>
          </w:p>
        </w:tc>
        <w:tc>
          <w:tcPr>
            <w:tcW w:w="4447" w:type="pct"/>
            <w:vAlign w:val="center"/>
          </w:tcPr>
          <w:p w14:paraId="4AC1A50B" w14:textId="77777777" w:rsidR="0034504B" w:rsidRPr="00254963" w:rsidRDefault="0034504B" w:rsidP="00762948">
            <w:pPr>
              <w:rPr>
                <w:rFonts w:ascii="Arial Narrow" w:hAnsi="Arial Narrow"/>
                <w:bCs/>
                <w:color w:val="333333"/>
                <w:sz w:val="18"/>
                <w:szCs w:val="18"/>
              </w:rPr>
            </w:pPr>
            <w:r w:rsidRPr="00254963">
              <w:rPr>
                <w:rFonts w:ascii="Arial Narrow" w:hAnsi="Arial Narrow"/>
                <w:b/>
                <w:bCs/>
                <w:color w:val="333333"/>
                <w:sz w:val="18"/>
                <w:szCs w:val="18"/>
              </w:rPr>
              <w:t>Administrative Advice:</w:t>
            </w:r>
            <w:r w:rsidRPr="00254963">
              <w:rPr>
                <w:rFonts w:ascii="Arial Narrow" w:hAnsi="Arial Narrow"/>
                <w:bCs/>
                <w:color w:val="333333"/>
                <w:sz w:val="18"/>
                <w:szCs w:val="18"/>
              </w:rPr>
              <w:t xml:space="preserve"> </w:t>
            </w:r>
          </w:p>
          <w:p w14:paraId="01E57350" w14:textId="77777777" w:rsidR="0034504B" w:rsidRPr="00254963" w:rsidRDefault="0034504B" w:rsidP="00762948">
            <w:pPr>
              <w:rPr>
                <w:rFonts w:ascii="Arial Narrow" w:hAnsi="Arial Narrow"/>
                <w:b/>
                <w:bCs/>
                <w:color w:val="333333"/>
                <w:sz w:val="18"/>
                <w:szCs w:val="18"/>
              </w:rPr>
            </w:pPr>
            <w:r w:rsidRPr="00254963">
              <w:rPr>
                <w:rFonts w:ascii="Arial Narrow" w:hAnsi="Arial Narrow"/>
                <w:color w:val="333333"/>
                <w:sz w:val="18"/>
                <w:szCs w:val="18"/>
              </w:rPr>
              <w:t xml:space="preserve">This grandfather restriction will cease to operate from 12 months after the date specified in the clinical criteria. </w:t>
            </w:r>
          </w:p>
        </w:tc>
      </w:tr>
      <w:tr w:rsidR="0034504B" w:rsidRPr="00120A12" w14:paraId="50B23F95" w14:textId="77777777" w:rsidTr="006E2A88">
        <w:tc>
          <w:tcPr>
            <w:tcW w:w="553" w:type="pct"/>
            <w:vAlign w:val="center"/>
          </w:tcPr>
          <w:p w14:paraId="15080D7A" w14:textId="01933A4C" w:rsidR="0034504B" w:rsidRPr="00254963" w:rsidRDefault="0034504B" w:rsidP="00762948">
            <w:pPr>
              <w:jc w:val="center"/>
              <w:rPr>
                <w:rFonts w:ascii="Arial Narrow" w:hAnsi="Arial Narrow"/>
                <w:color w:val="333333"/>
                <w:sz w:val="18"/>
                <w:szCs w:val="18"/>
              </w:rPr>
            </w:pPr>
          </w:p>
        </w:tc>
        <w:tc>
          <w:tcPr>
            <w:tcW w:w="4447" w:type="pct"/>
            <w:vAlign w:val="center"/>
            <w:hideMark/>
          </w:tcPr>
          <w:p w14:paraId="70F9C2E1" w14:textId="77777777" w:rsidR="0034504B" w:rsidRPr="00254963" w:rsidRDefault="0034504B" w:rsidP="00762948">
            <w:pPr>
              <w:rPr>
                <w:rFonts w:ascii="Arial Narrow" w:hAnsi="Arial Narrow"/>
                <w:bCs/>
                <w:color w:val="333333"/>
                <w:sz w:val="18"/>
                <w:szCs w:val="18"/>
              </w:rPr>
            </w:pPr>
            <w:r w:rsidRPr="00254963">
              <w:rPr>
                <w:rFonts w:ascii="Arial Narrow" w:hAnsi="Arial Narrow"/>
                <w:b/>
                <w:bCs/>
                <w:color w:val="333333"/>
                <w:sz w:val="18"/>
                <w:szCs w:val="18"/>
              </w:rPr>
              <w:t>Administrative Advice:</w:t>
            </w:r>
            <w:r w:rsidRPr="00254963">
              <w:rPr>
                <w:rFonts w:ascii="Arial Narrow" w:hAnsi="Arial Narrow"/>
                <w:bCs/>
                <w:color w:val="333333"/>
                <w:sz w:val="18"/>
                <w:szCs w:val="18"/>
              </w:rPr>
              <w:t xml:space="preserve"> </w:t>
            </w:r>
          </w:p>
          <w:p w14:paraId="38B62F78" w14:textId="77777777"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t>Any queries concerning the arrangements to prescribe may be directed to Services Australia on 1800 700 270 (hours of operation 8 a.m. to 5 p.m. Monday to Friday).</w:t>
            </w:r>
          </w:p>
          <w:p w14:paraId="4047E0A4" w14:textId="77777777"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lastRenderedPageBreak/>
              <w:t>Prescribing information (including Authority Application forms and other relevant documentation as applicable) is available on the Services Australia website at www.servicesaustralia.gov.au</w:t>
            </w:r>
          </w:p>
          <w:p w14:paraId="2081C973" w14:textId="77777777"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t>Applications for authority to prescribe should be submitted online using the form upload facility in Health Professional Online Services (HPOS) at www.servicesaustralia.gov.au/hpos</w:t>
            </w:r>
          </w:p>
          <w:p w14:paraId="2E19FA66" w14:textId="77777777"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t>Or mailed to:</w:t>
            </w:r>
          </w:p>
          <w:p w14:paraId="35A7E8AE" w14:textId="77777777"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t>Services Australia</w:t>
            </w:r>
          </w:p>
          <w:p w14:paraId="05963BF2" w14:textId="77777777"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t>Complex Drugs</w:t>
            </w:r>
          </w:p>
          <w:p w14:paraId="6F86797E" w14:textId="77777777"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t>Reply Paid 9826</w:t>
            </w:r>
          </w:p>
          <w:p w14:paraId="14EFDB06" w14:textId="77777777" w:rsidR="0034504B" w:rsidRPr="00254963" w:rsidRDefault="0034504B" w:rsidP="00762948">
            <w:pPr>
              <w:rPr>
                <w:rFonts w:ascii="Arial Narrow" w:hAnsi="Arial Narrow"/>
                <w:color w:val="333333"/>
                <w:sz w:val="18"/>
                <w:szCs w:val="18"/>
              </w:rPr>
            </w:pPr>
            <w:r w:rsidRPr="00254963">
              <w:rPr>
                <w:rFonts w:ascii="Arial Narrow" w:hAnsi="Arial Narrow"/>
                <w:color w:val="333333"/>
                <w:sz w:val="18"/>
                <w:szCs w:val="18"/>
              </w:rPr>
              <w:t>HOBART TAS 7001</w:t>
            </w:r>
          </w:p>
        </w:tc>
      </w:tr>
    </w:tbl>
    <w:p w14:paraId="7D662B15" w14:textId="63915D44" w:rsidR="00F55938" w:rsidRPr="00DF4516" w:rsidRDefault="00F55938" w:rsidP="00DF4516">
      <w:pPr>
        <w:spacing w:before="120"/>
        <w:rPr>
          <w:rFonts w:asciiTheme="minorHAnsi" w:hAnsiTheme="minorHAnsi"/>
          <w:b/>
          <w:i/>
          <w:iCs/>
          <w:snapToGrid w:val="0"/>
          <w:lang w:val="en-GB"/>
        </w:rPr>
      </w:pPr>
      <w:r w:rsidRPr="00907671">
        <w:rPr>
          <w:rFonts w:asciiTheme="minorHAnsi" w:hAnsiTheme="minorHAnsi"/>
          <w:b/>
          <w:i/>
          <w:iCs/>
          <w:snapToGrid w:val="0"/>
          <w:lang w:val="en-GB"/>
        </w:rPr>
        <w:lastRenderedPageBreak/>
        <w:t>These restrictions may be subject to further review. Should there be any changes made to the restriction the sponsor will be informed.</w:t>
      </w:r>
      <w:bookmarkEnd w:id="115"/>
      <w:r>
        <w:t xml:space="preserve"> </w:t>
      </w:r>
      <w:bookmarkEnd w:id="1"/>
      <w:bookmarkEnd w:id="2"/>
      <w:bookmarkEnd w:id="3"/>
      <w:bookmarkEnd w:id="4"/>
      <w:bookmarkEnd w:id="5"/>
      <w:bookmarkEnd w:id="113"/>
    </w:p>
    <w:p w14:paraId="3CEF9E81" w14:textId="77777777" w:rsidR="006E2A88" w:rsidRPr="006E2A88" w:rsidRDefault="006E2A88" w:rsidP="006E2A88">
      <w:pPr>
        <w:keepNext/>
        <w:numPr>
          <w:ilvl w:val="0"/>
          <w:numId w:val="1"/>
        </w:numPr>
        <w:spacing w:before="240" w:after="120"/>
        <w:jc w:val="left"/>
        <w:outlineLvl w:val="0"/>
        <w:rPr>
          <w:rFonts w:asciiTheme="minorHAnsi" w:hAnsiTheme="minorHAnsi"/>
          <w:b/>
          <w:snapToGrid w:val="0"/>
          <w:sz w:val="32"/>
          <w:szCs w:val="32"/>
        </w:rPr>
      </w:pPr>
      <w:r w:rsidRPr="006E2A88">
        <w:rPr>
          <w:rFonts w:asciiTheme="minorHAnsi" w:hAnsiTheme="minorHAnsi"/>
          <w:b/>
          <w:snapToGrid w:val="0"/>
          <w:sz w:val="32"/>
          <w:szCs w:val="32"/>
        </w:rPr>
        <w:t>Context for Decision</w:t>
      </w:r>
    </w:p>
    <w:p w14:paraId="4FA07D40" w14:textId="77777777" w:rsidR="006E2A88" w:rsidRPr="006E2A88" w:rsidRDefault="006E2A88" w:rsidP="006E2A88">
      <w:pPr>
        <w:spacing w:after="120"/>
        <w:ind w:left="720"/>
        <w:rPr>
          <w:rFonts w:asciiTheme="minorHAnsi" w:hAnsiTheme="minorHAnsi"/>
          <w:bCs/>
          <w:lang w:val="en-GB"/>
        </w:rPr>
      </w:pPr>
      <w:r w:rsidRPr="006E2A88">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AF1D78A" w14:textId="77777777" w:rsidR="006E2A88" w:rsidRPr="006E2A88" w:rsidRDefault="006E2A88" w:rsidP="006E2A88">
      <w:pPr>
        <w:keepNext/>
        <w:numPr>
          <w:ilvl w:val="0"/>
          <w:numId w:val="1"/>
        </w:numPr>
        <w:spacing w:before="240" w:after="120"/>
        <w:jc w:val="left"/>
        <w:outlineLvl w:val="0"/>
        <w:rPr>
          <w:rFonts w:asciiTheme="minorHAnsi" w:hAnsiTheme="minorHAnsi"/>
          <w:b/>
          <w:snapToGrid w:val="0"/>
          <w:sz w:val="32"/>
          <w:szCs w:val="32"/>
        </w:rPr>
      </w:pPr>
      <w:r w:rsidRPr="006E2A88">
        <w:rPr>
          <w:rFonts w:asciiTheme="minorHAnsi" w:hAnsiTheme="minorHAnsi"/>
          <w:b/>
          <w:snapToGrid w:val="0"/>
          <w:sz w:val="32"/>
          <w:szCs w:val="32"/>
        </w:rPr>
        <w:t>Sponsor’s Comment</w:t>
      </w:r>
    </w:p>
    <w:p w14:paraId="76204BA9" w14:textId="3124FE04" w:rsidR="006E2A88" w:rsidRPr="004156A8" w:rsidRDefault="006E2A88" w:rsidP="004156A8">
      <w:pPr>
        <w:spacing w:after="120" w:line="276" w:lineRule="auto"/>
        <w:ind w:left="720"/>
        <w:rPr>
          <w:rFonts w:asciiTheme="minorHAnsi" w:eastAsiaTheme="minorHAnsi" w:hAnsiTheme="minorHAnsi"/>
          <w:bCs/>
          <w:szCs w:val="22"/>
          <w:lang w:eastAsia="en-US"/>
        </w:rPr>
      </w:pPr>
      <w:r w:rsidRPr="006E2A88">
        <w:rPr>
          <w:rFonts w:asciiTheme="minorHAnsi" w:eastAsiaTheme="minorHAnsi" w:hAnsiTheme="minorHAnsi"/>
          <w:bCs/>
          <w:szCs w:val="22"/>
          <w:lang w:eastAsia="en-US"/>
        </w:rPr>
        <w:t>The sponsor had no comment.</w:t>
      </w:r>
    </w:p>
    <w:sectPr w:rsidR="006E2A88" w:rsidRPr="004156A8" w:rsidSect="00A31A6B">
      <w:headerReference w:type="default" r:id="rId11"/>
      <w:footerReference w:type="default" r:id="rId1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E8F14" w14:textId="77777777" w:rsidR="006706FA" w:rsidRDefault="006706FA" w:rsidP="00124A51">
      <w:r>
        <w:separator/>
      </w:r>
    </w:p>
    <w:p w14:paraId="1F63C344" w14:textId="77777777" w:rsidR="006706FA" w:rsidRDefault="006706FA"/>
  </w:endnote>
  <w:endnote w:type="continuationSeparator" w:id="0">
    <w:p w14:paraId="238FEDFA" w14:textId="77777777" w:rsidR="006706FA" w:rsidRDefault="006706FA" w:rsidP="00124A51">
      <w:r>
        <w:continuationSeparator/>
      </w:r>
    </w:p>
    <w:p w14:paraId="63A95833" w14:textId="77777777" w:rsidR="006706FA" w:rsidRDefault="006706FA"/>
  </w:endnote>
  <w:endnote w:type="continuationNotice" w:id="1">
    <w:p w14:paraId="6CDAE70A" w14:textId="77777777" w:rsidR="006706FA" w:rsidRDefault="00670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3511" w14:textId="77777777" w:rsidR="00D843F2" w:rsidRDefault="00D843F2" w:rsidP="00753B29">
    <w:pPr>
      <w:pStyle w:val="Footer"/>
      <w:jc w:val="center"/>
    </w:pPr>
  </w:p>
  <w:bookmarkStart w:id="122" w:name="_Hlk76375156"/>
  <w:p w14:paraId="37484CD3" w14:textId="3148EA26" w:rsidR="00D843F2" w:rsidRPr="00F55938" w:rsidRDefault="00F55938" w:rsidP="00F55938">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1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F5293" w14:textId="77777777" w:rsidR="006706FA" w:rsidRDefault="006706FA" w:rsidP="00124A51">
      <w:r>
        <w:separator/>
      </w:r>
    </w:p>
    <w:p w14:paraId="6B9FB59E" w14:textId="77777777" w:rsidR="006706FA" w:rsidRDefault="006706FA"/>
  </w:footnote>
  <w:footnote w:type="continuationSeparator" w:id="0">
    <w:p w14:paraId="59F7A0A0" w14:textId="77777777" w:rsidR="006706FA" w:rsidRDefault="006706FA" w:rsidP="00124A51">
      <w:r>
        <w:continuationSeparator/>
      </w:r>
    </w:p>
    <w:p w14:paraId="0BD9F2B2" w14:textId="77777777" w:rsidR="006706FA" w:rsidRDefault="006706FA"/>
  </w:footnote>
  <w:footnote w:type="continuationNotice" w:id="1">
    <w:p w14:paraId="12AE6CAB" w14:textId="77777777" w:rsidR="006706FA" w:rsidRDefault="006706FA"/>
  </w:footnote>
  <w:footnote w:id="2">
    <w:p w14:paraId="49BB7DE8" w14:textId="05D282A4" w:rsidR="00513151" w:rsidRDefault="00513151">
      <w:pPr>
        <w:pStyle w:val="FootnoteText"/>
      </w:pPr>
      <w:r>
        <w:rPr>
          <w:rStyle w:val="FootnoteReference"/>
        </w:rPr>
        <w:footnoteRef/>
      </w:r>
      <w:r>
        <w:t xml:space="preserve"> Kohyama et al, (2009), ‘Pouchitis disease activity index (PDAI) does not predict patients with symptoms of pouchitis who will respond to antibiotics’, Surgery Today, 39(11), pp962-968.</w:t>
      </w:r>
    </w:p>
  </w:footnote>
  <w:footnote w:id="3">
    <w:p w14:paraId="7217DF2E" w14:textId="019A0424" w:rsidR="00513151" w:rsidRDefault="00513151">
      <w:pPr>
        <w:pStyle w:val="FootnoteText"/>
      </w:pPr>
      <w:r>
        <w:rPr>
          <w:rStyle w:val="FootnoteReference"/>
        </w:rPr>
        <w:footnoteRef/>
      </w:r>
      <w:r>
        <w:t xml:space="preserve"> </w:t>
      </w:r>
      <w:r w:rsidRPr="00513151">
        <w:t>Sedano et al, (2022), ‘Disease activity indices for pouchitis: a systematic review’, Inflammatory Intestinal Diseases, 28, pp622-638</w:t>
      </w:r>
    </w:p>
  </w:footnote>
  <w:footnote w:id="4">
    <w:p w14:paraId="06968F25" w14:textId="2A26C50F" w:rsidR="00513151" w:rsidRDefault="00513151">
      <w:pPr>
        <w:pStyle w:val="FootnoteText"/>
      </w:pPr>
      <w:r>
        <w:rPr>
          <w:rStyle w:val="FootnoteReference"/>
        </w:rPr>
        <w:footnoteRef/>
      </w:r>
      <w:r>
        <w:t xml:space="preserve"> </w:t>
      </w:r>
      <w:r w:rsidRPr="00513151">
        <w:t>Donet et al, (2020), ‘#MondayNightIBD: Management of chronic #pouchitis’, Crohns Colitis 360, 2(4): otaa071</w:t>
      </w:r>
    </w:p>
  </w:footnote>
  <w:footnote w:id="5">
    <w:p w14:paraId="5D8213D4" w14:textId="3C42DBC0" w:rsidR="00513151" w:rsidRDefault="00513151">
      <w:pPr>
        <w:pStyle w:val="FootnoteText"/>
      </w:pPr>
      <w:r>
        <w:rPr>
          <w:rStyle w:val="FootnoteReference"/>
        </w:rPr>
        <w:footnoteRef/>
      </w:r>
      <w:r>
        <w:t xml:space="preserve"> </w:t>
      </w:r>
      <w:r w:rsidRPr="00513151">
        <w:t>Ardalan et al, (2020), ‘When less is more and more is less: The interrater reliability of the endoscopic findings of pouchitis’, Journal of Gastroenterology and Hepatology, 35, pp139.</w:t>
      </w:r>
    </w:p>
  </w:footnote>
  <w:footnote w:id="6">
    <w:p w14:paraId="1C14F1DA" w14:textId="77777777" w:rsidR="007F5816" w:rsidRDefault="007F5816" w:rsidP="007F5816">
      <w:pPr>
        <w:pStyle w:val="FootnoteText"/>
      </w:pPr>
      <w:r>
        <w:rPr>
          <w:rStyle w:val="FootnoteReference"/>
        </w:rPr>
        <w:footnoteRef/>
      </w:r>
      <w:r>
        <w:t xml:space="preserve"> </w:t>
      </w:r>
      <w:r w:rsidRPr="00BD719D">
        <w:t>Sedano, R</w:t>
      </w:r>
      <w:r>
        <w:t>, et al.</w:t>
      </w:r>
      <w:r w:rsidRPr="00BD719D">
        <w:t xml:space="preserve"> (2022). </w:t>
      </w:r>
      <w:r>
        <w:t>‘</w:t>
      </w:r>
      <w:r w:rsidRPr="00BD719D">
        <w:t>Disease Activity Indices for Pouchitis: A Systematic Review</w:t>
      </w:r>
      <w:r>
        <w:t>’</w:t>
      </w:r>
      <w:r w:rsidRPr="00BD719D">
        <w:t>. Inflamm Bowel Dis, 28(4), 622-638. https://doi.org/10.1093/ibd/izab124</w:t>
      </w:r>
    </w:p>
  </w:footnote>
  <w:footnote w:id="7">
    <w:p w14:paraId="3FA1D896" w14:textId="77777777" w:rsidR="008E69B5" w:rsidRDefault="008E69B5" w:rsidP="008E69B5">
      <w:pPr>
        <w:pStyle w:val="FootnoteText"/>
      </w:pPr>
      <w:r>
        <w:rPr>
          <w:rStyle w:val="FootnoteReference"/>
        </w:rPr>
        <w:footnoteRef/>
      </w:r>
      <w:r>
        <w:t xml:space="preserve"> </w:t>
      </w:r>
      <w:r w:rsidRPr="00513151">
        <w:t>Shen. B., et al. (2003b). Modified pouchitis disease activity index: a simplified approach to the diagnosis of pouchitis. Diseases of the colon and rectum, 46(6), 748–753. https://doi.org/10.1007/s10350-004-6652-</w:t>
      </w:r>
    </w:p>
  </w:footnote>
  <w:footnote w:id="8">
    <w:p w14:paraId="6D070174" w14:textId="19FF3C74" w:rsidR="008231E3" w:rsidRPr="00487300" w:rsidRDefault="008231E3">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w:t>
      </w:r>
      <w:r w:rsidR="00677213" w:rsidRPr="00487300">
        <w:rPr>
          <w:rFonts w:ascii="Arial Narrow" w:hAnsi="Arial Narrow"/>
        </w:rPr>
        <w:t>Sofo, L., et al., (2016), ‘Restorative proctocolectomy with ileal pouch-anal anastomosis for ulcerative colitis: A narrative review’, World journal of gastrointestinal surgery, 8(8), 556–563. https://doi.org/10.4240/wjgs.v8.i8.556</w:t>
      </w:r>
    </w:p>
  </w:footnote>
  <w:footnote w:id="9">
    <w:p w14:paraId="6A8EE945"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Shen, B., &amp; Lashner, B. A. (2008), ‘Diagnosis and treatment of pouchitis’. Gastroenterology &amp; hepatology, 4(5), 355–361.</w:t>
      </w:r>
    </w:p>
  </w:footnote>
  <w:footnote w:id="10">
    <w:p w14:paraId="0797FB4C"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Fazio, V. W., et al., (2013), ‘Ileal pouch anal anastomosis: analysis of outcome and quality of life in 3707 patients’, Annals of surgery, 257(4), 679–685. https://doi.org/10.1097/SLA.0b013e31827d99a2</w:t>
      </w:r>
    </w:p>
  </w:footnote>
  <w:footnote w:id="11">
    <w:p w14:paraId="6C90566B"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Ikeuchi, H., et al., (2018), ‘Long-term outcomes following restorative proctocolectomy ileal pouch-anal anastomosis in pediatric ulcerative colitis patients: Multicenter national study in Japan’. Annals of gastroenterological surgery, 2(6), 428–433. https://doi.org/10.1002/ags3.12198</w:t>
      </w:r>
    </w:p>
  </w:footnote>
  <w:footnote w:id="12">
    <w:p w14:paraId="78502F78"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Penna, C., et al., (1996), ‘Pouchitis after ileal pouch-anal anastomosis for ulcerative colitis occurs with increased frequency in patients with associated primary sclerosing cholangitis’. Gut, 38(2), 234–239. https://doi.org/10.1136/gut.38.2.234</w:t>
      </w:r>
    </w:p>
  </w:footnote>
  <w:footnote w:id="13">
    <w:p w14:paraId="3739FE50"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Ferrante, M., et al., (2008), ‘Outcome after proctocolectomy with ileal pouch-anal anastomosis for ulcerative colitis’, Inflammatory bowel diseases, 14(1), 20–28. https://doi.org/10.1002/ibd.20278</w:t>
      </w:r>
    </w:p>
  </w:footnote>
  <w:footnote w:id="14">
    <w:p w14:paraId="46DE164F"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Lim MH, et al., (2021), ‘Ileal Pouch-Anal Anastomosis for Ulcerative Colitis: An Australian Institution's Experience’, Ann Coloproctol, 37(5):318-325. doi: 10.3393/ac.2020.08.26</w:t>
      </w:r>
    </w:p>
  </w:footnote>
  <w:footnote w:id="15">
    <w:p w14:paraId="510AA6F8" w14:textId="77777777" w:rsidR="007F5816" w:rsidRDefault="007F5816" w:rsidP="007F5816">
      <w:pPr>
        <w:pStyle w:val="FootnoteText"/>
      </w:pPr>
      <w:r w:rsidRPr="00487300">
        <w:rPr>
          <w:rStyle w:val="FootnoteReference"/>
          <w:rFonts w:ascii="Arial Narrow" w:hAnsi="Arial Narrow"/>
        </w:rPr>
        <w:footnoteRef/>
      </w:r>
      <w:r w:rsidRPr="00487300">
        <w:rPr>
          <w:rFonts w:ascii="Arial Narrow" w:hAnsi="Arial Narrow"/>
        </w:rPr>
        <w:t xml:space="preserve"> Shen, B., et al., (2021), ‘Diagnosis and classification of ileal pouch disorders: consensus guidelines from the International Ileal Pouch Consortium’. The lancet. Gastroenterology &amp; hepatology, 6(10), 826–849. https://doi.org/10.1016/S2468-1253(21)00101-1</w:t>
      </w:r>
    </w:p>
  </w:footnote>
  <w:footnote w:id="16">
    <w:p w14:paraId="20B462DE"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Sandborn, W. J., &amp; Pardi, D. S., (2004), ‘Clinical management of pouchitis’, Gastroenterology, 127(6), 1809–1814. https://doi.org/10.1053/j.gastro.2004.10.011</w:t>
      </w:r>
    </w:p>
  </w:footnote>
  <w:footnote w:id="17">
    <w:p w14:paraId="4341B245"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Magro, F., et al., (2017), ‘Third European Evidence-based Consensus on Diagnosis and Management of Ulcerative Colitis. Part 1: Definitions, Diagnosis, Extra-intestinal Manifestations, Pregnancy, Cancer Surveillance, Surgery, and Ileo-anal Pouch Disorders’, Journal of Crohn's and colitis, 11(6), 649–670. https://doi.org/10.1093/ecco-jcc/jjx008</w:t>
      </w:r>
    </w:p>
  </w:footnote>
  <w:footnote w:id="18">
    <w:p w14:paraId="4A60CFD1"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Quinn, K. P., &amp; Raffals, L. E., (2020), ‘An Update on the Medical Management of Inflammatory Pouch Complications’, The American journal of gastroenterology, 115(9), 1439–1450. https://doi.org/10.14309/ajg.0000000000000666</w:t>
      </w:r>
    </w:p>
  </w:footnote>
  <w:footnote w:id="19">
    <w:p w14:paraId="7F115B17" w14:textId="77777777" w:rsidR="007F5816" w:rsidRPr="00487300" w:rsidRDefault="007F5816" w:rsidP="007F5816">
      <w:pPr>
        <w:pStyle w:val="FootnoteTex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Outtier, A., &amp; Ferrante, M., (2021), ‘Chronic Antibiotic-Refractory Pouchitis: Management Challenges’, Clinical and experimental gastroenterology, 14, 277–290. https://doi.org/10.2147/CEG.S219556</w:t>
      </w:r>
    </w:p>
  </w:footnote>
  <w:footnote w:id="20">
    <w:p w14:paraId="1174CA32" w14:textId="068A12FA" w:rsidR="003E3EB4" w:rsidRDefault="003E3EB4">
      <w:pPr>
        <w:pStyle w:val="FootnoteText"/>
      </w:pPr>
      <w:r w:rsidRPr="00487300">
        <w:rPr>
          <w:rStyle w:val="FootnoteReference"/>
          <w:rFonts w:ascii="Arial Narrow" w:hAnsi="Arial Narrow"/>
        </w:rPr>
        <w:footnoteRef/>
      </w:r>
      <w:r w:rsidRPr="00487300">
        <w:rPr>
          <w:rFonts w:ascii="Arial Narrow" w:hAnsi="Arial Narrow"/>
        </w:rPr>
        <w:t xml:space="preserve"> Barnes, E. L., et al. (2024). ‘AGA Clinical Practice Guideline on the Management of Pouchitis and Inflammatory Pouch Disorders’. Gastroenterology, 166(1), 59-85. https://doi.org/10.1053/j.gastro.2023.10.015</w:t>
      </w:r>
    </w:p>
  </w:footnote>
  <w:footnote w:id="21">
    <w:p w14:paraId="16FA223F" w14:textId="77777777" w:rsidR="007F5816" w:rsidRPr="00487300" w:rsidRDefault="007F5816" w:rsidP="00152D11">
      <w:pPr>
        <w:pStyle w:val="FootnoteText"/>
        <w:jc w:val="left"/>
        <w:rPr>
          <w:rFonts w:ascii="Arial Narrow" w:hAnsi="Arial Narrow"/>
        </w:rPr>
      </w:pPr>
      <w:r w:rsidRPr="00487300">
        <w:rPr>
          <w:rStyle w:val="FootnoteReference"/>
          <w:rFonts w:ascii="Arial Narrow" w:hAnsi="Arial Narrow"/>
        </w:rPr>
        <w:footnoteRef/>
      </w:r>
      <w:r w:rsidRPr="00487300">
        <w:rPr>
          <w:rFonts w:ascii="Arial Narrow" w:hAnsi="Arial Narrow"/>
        </w:rPr>
        <w:t xml:space="preserve"> ‘Faecal calprotectin in inflammatory bowel disease’, </w:t>
      </w:r>
      <w:hyperlink r:id="rId1" w:history="1">
        <w:r w:rsidRPr="00487300">
          <w:rPr>
            <w:rStyle w:val="Hyperlink"/>
            <w:rFonts w:ascii="Arial Narrow" w:hAnsi="Arial Narrow"/>
          </w:rPr>
          <w:t>https://www.nps.org.au/bdmards/gastroenterology/resources/faecal-calprotectin-in-inflammatory-bowel-disease</w:t>
        </w:r>
      </w:hyperlink>
      <w:r w:rsidRPr="00487300">
        <w:rPr>
          <w:rFonts w:ascii="Arial Narrow" w:hAnsi="Arial Narrow"/>
        </w:rPr>
        <w:t xml:space="preserve">, accessed 11 April 2024. </w:t>
      </w:r>
    </w:p>
  </w:footnote>
  <w:footnote w:id="22">
    <w:p w14:paraId="15009931" w14:textId="77777777" w:rsidR="007F5816" w:rsidRPr="006D7631" w:rsidRDefault="007F5816" w:rsidP="007F5816">
      <w:pPr>
        <w:pStyle w:val="FootnoteText"/>
        <w:rPr>
          <w:rFonts w:ascii="Arial Narrow" w:hAnsi="Arial Narrow"/>
          <w:sz w:val="18"/>
          <w:szCs w:val="18"/>
        </w:rPr>
      </w:pPr>
      <w:r w:rsidRPr="006D7631">
        <w:rPr>
          <w:rStyle w:val="FootnoteReference"/>
          <w:rFonts w:ascii="Arial Narrow" w:hAnsi="Arial Narrow"/>
          <w:sz w:val="18"/>
          <w:szCs w:val="18"/>
        </w:rPr>
        <w:footnoteRef/>
      </w:r>
      <w:r w:rsidRPr="006D7631">
        <w:rPr>
          <w:rFonts w:ascii="Arial Narrow" w:hAnsi="Arial Narrow"/>
          <w:sz w:val="18"/>
          <w:szCs w:val="18"/>
        </w:rPr>
        <w:t xml:space="preserve"> Lim MH, et al., (2021), ‘Ileal Pouch-Anal Anastomosis for Ulcerative Colitis: An Australian Institution's Experience’, Ann Coloproctol, 37(5):318-325. doi: 10.3393/ac.2020.08.26</w:t>
      </w:r>
    </w:p>
  </w:footnote>
  <w:footnote w:id="23">
    <w:p w14:paraId="53019928" w14:textId="77777777" w:rsidR="007F5816" w:rsidRDefault="007F5816" w:rsidP="007F5816">
      <w:pPr>
        <w:pStyle w:val="FootnoteText"/>
      </w:pPr>
      <w:r w:rsidRPr="006D7631">
        <w:rPr>
          <w:rStyle w:val="FootnoteReference"/>
          <w:rFonts w:ascii="Arial Narrow" w:hAnsi="Arial Narrow"/>
          <w:sz w:val="18"/>
          <w:szCs w:val="18"/>
        </w:rPr>
        <w:footnoteRef/>
      </w:r>
      <w:r w:rsidRPr="006D7631">
        <w:rPr>
          <w:rFonts w:ascii="Arial Narrow" w:hAnsi="Arial Narrow"/>
          <w:sz w:val="18"/>
          <w:szCs w:val="18"/>
        </w:rPr>
        <w:t xml:space="preserve"> Lim MH, et al., (2021), ‘Ileal Pouch-Anal Anastomosis for Ulcerative Colitis: An Australian Institution's Experience’, Ann Coloproctol, 37(5):318-325. doi: 10.3393/ac.2020.08.26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F766" w14:textId="0623A060" w:rsidR="00F55938" w:rsidRPr="00056684" w:rsidRDefault="00586ECE" w:rsidP="00F55938">
    <w:pPr>
      <w:pStyle w:val="Header"/>
      <w:ind w:left="360"/>
      <w:rPr>
        <w:rFonts w:asciiTheme="minorHAnsi" w:hAnsiTheme="minorHAnsi"/>
        <w:i/>
        <w:color w:val="808080"/>
      </w:rPr>
    </w:pPr>
    <w:bookmarkStart w:id="120" w:name="_Hlk175733429"/>
    <w:bookmarkStart w:id="121" w:name="_Hlk76375146"/>
    <w:r w:rsidRPr="00586ECE">
      <w:rPr>
        <w:rFonts w:asciiTheme="minorHAnsi" w:hAnsiTheme="minorHAnsi"/>
        <w:i/>
        <w:color w:val="808080"/>
      </w:rPr>
      <w:t>Public Summary Document</w:t>
    </w:r>
    <w:bookmarkEnd w:id="120"/>
    <w:r w:rsidRPr="00586ECE">
      <w:rPr>
        <w:rFonts w:asciiTheme="minorHAnsi" w:hAnsiTheme="minorHAnsi"/>
        <w:i/>
        <w:color w:val="808080"/>
      </w:rPr>
      <w:t xml:space="preserve"> </w:t>
    </w:r>
    <w:r w:rsidR="00F55938" w:rsidRPr="00056684">
      <w:rPr>
        <w:rFonts w:asciiTheme="minorHAnsi" w:hAnsiTheme="minorHAnsi"/>
        <w:i/>
        <w:color w:val="808080"/>
      </w:rPr>
      <w:t xml:space="preserve">– </w:t>
    </w:r>
    <w:r w:rsidR="00F55938">
      <w:rPr>
        <w:rFonts w:asciiTheme="minorHAnsi" w:hAnsiTheme="minorHAnsi"/>
        <w:i/>
        <w:color w:val="808080"/>
      </w:rPr>
      <w:t>July 2024</w:t>
    </w:r>
    <w:r w:rsidR="00F55938" w:rsidRPr="00056684">
      <w:rPr>
        <w:rFonts w:asciiTheme="minorHAnsi" w:hAnsiTheme="minorHAnsi"/>
        <w:i/>
        <w:color w:val="808080"/>
      </w:rPr>
      <w:t xml:space="preserve"> PBAC Meeting</w:t>
    </w:r>
  </w:p>
  <w:bookmarkEnd w:id="121"/>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5744D"/>
    <w:multiLevelType w:val="hybridMultilevel"/>
    <w:tmpl w:val="23E43F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31" w:hanging="360"/>
      </w:pPr>
      <w:rPr>
        <w:rFonts w:ascii="Courier New" w:hAnsi="Courier New" w:cs="Courier New" w:hint="default"/>
      </w:rPr>
    </w:lvl>
    <w:lvl w:ilvl="2" w:tplc="0C090001">
      <w:start w:val="1"/>
      <w:numFmt w:val="bullet"/>
      <w:lvlText w:val=""/>
      <w:lvlJc w:val="left"/>
      <w:pPr>
        <w:ind w:left="1451" w:hanging="360"/>
      </w:pPr>
      <w:rPr>
        <w:rFonts w:ascii="Symbol" w:hAnsi="Symbol" w:hint="default"/>
      </w:rPr>
    </w:lvl>
    <w:lvl w:ilvl="3" w:tplc="0C090001">
      <w:start w:val="1"/>
      <w:numFmt w:val="bullet"/>
      <w:lvlText w:val=""/>
      <w:lvlJc w:val="left"/>
      <w:pPr>
        <w:ind w:left="2171" w:hanging="360"/>
      </w:pPr>
      <w:rPr>
        <w:rFonts w:ascii="Symbol" w:hAnsi="Symbol" w:hint="default"/>
      </w:rPr>
    </w:lvl>
    <w:lvl w:ilvl="4" w:tplc="FAAAEB48">
      <w:numFmt w:val="bullet"/>
      <w:lvlText w:val="-"/>
      <w:lvlJc w:val="left"/>
      <w:pPr>
        <w:ind w:left="2891" w:hanging="360"/>
      </w:pPr>
      <w:rPr>
        <w:rFonts w:ascii="Calibri" w:eastAsia="Times New Roman" w:hAnsi="Calibri" w:cs="Calibri"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 w15:restartNumberingAfterBreak="0">
    <w:nsid w:val="17083BE4"/>
    <w:multiLevelType w:val="hybridMultilevel"/>
    <w:tmpl w:val="B4DC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A86859"/>
    <w:multiLevelType w:val="hybridMultilevel"/>
    <w:tmpl w:val="F38019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1CA0C64"/>
    <w:multiLevelType w:val="hybridMultilevel"/>
    <w:tmpl w:val="0B226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D67A28"/>
    <w:multiLevelType w:val="hybridMultilevel"/>
    <w:tmpl w:val="2AA43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A635E75"/>
    <w:multiLevelType w:val="hybridMultilevel"/>
    <w:tmpl w:val="E69A203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365646DA"/>
    <w:multiLevelType w:val="hybridMultilevel"/>
    <w:tmpl w:val="BD9214E8"/>
    <w:lvl w:ilvl="0" w:tplc="80E4293C">
      <w:start w:val="1"/>
      <w:numFmt w:val="bullet"/>
      <w:lvlText w:val="•"/>
      <w:lvlJc w:val="left"/>
      <w:pPr>
        <w:tabs>
          <w:tab w:val="num" w:pos="720"/>
        </w:tabs>
        <w:ind w:left="720" w:hanging="360"/>
      </w:pPr>
      <w:rPr>
        <w:rFonts w:ascii="Arial" w:hAnsi="Arial" w:hint="default"/>
      </w:rPr>
    </w:lvl>
    <w:lvl w:ilvl="1" w:tplc="460494B8">
      <w:numFmt w:val="bullet"/>
      <w:lvlText w:val="◦"/>
      <w:lvlJc w:val="left"/>
      <w:pPr>
        <w:tabs>
          <w:tab w:val="num" w:pos="1440"/>
        </w:tabs>
        <w:ind w:left="1440" w:hanging="360"/>
      </w:pPr>
      <w:rPr>
        <w:rFonts w:ascii="Calibri" w:hAnsi="Calibri" w:hint="default"/>
      </w:rPr>
    </w:lvl>
    <w:lvl w:ilvl="2" w:tplc="C8B45AF6" w:tentative="1">
      <w:start w:val="1"/>
      <w:numFmt w:val="bullet"/>
      <w:lvlText w:val="•"/>
      <w:lvlJc w:val="left"/>
      <w:pPr>
        <w:tabs>
          <w:tab w:val="num" w:pos="2160"/>
        </w:tabs>
        <w:ind w:left="2160" w:hanging="360"/>
      </w:pPr>
      <w:rPr>
        <w:rFonts w:ascii="Arial" w:hAnsi="Arial" w:hint="default"/>
      </w:rPr>
    </w:lvl>
    <w:lvl w:ilvl="3" w:tplc="13809332" w:tentative="1">
      <w:start w:val="1"/>
      <w:numFmt w:val="bullet"/>
      <w:lvlText w:val="•"/>
      <w:lvlJc w:val="left"/>
      <w:pPr>
        <w:tabs>
          <w:tab w:val="num" w:pos="2880"/>
        </w:tabs>
        <w:ind w:left="2880" w:hanging="360"/>
      </w:pPr>
      <w:rPr>
        <w:rFonts w:ascii="Arial" w:hAnsi="Arial" w:hint="default"/>
      </w:rPr>
    </w:lvl>
    <w:lvl w:ilvl="4" w:tplc="68D4FA7E" w:tentative="1">
      <w:start w:val="1"/>
      <w:numFmt w:val="bullet"/>
      <w:lvlText w:val="•"/>
      <w:lvlJc w:val="left"/>
      <w:pPr>
        <w:tabs>
          <w:tab w:val="num" w:pos="3600"/>
        </w:tabs>
        <w:ind w:left="3600" w:hanging="360"/>
      </w:pPr>
      <w:rPr>
        <w:rFonts w:ascii="Arial" w:hAnsi="Arial" w:hint="default"/>
      </w:rPr>
    </w:lvl>
    <w:lvl w:ilvl="5" w:tplc="6B306AE8" w:tentative="1">
      <w:start w:val="1"/>
      <w:numFmt w:val="bullet"/>
      <w:lvlText w:val="•"/>
      <w:lvlJc w:val="left"/>
      <w:pPr>
        <w:tabs>
          <w:tab w:val="num" w:pos="4320"/>
        </w:tabs>
        <w:ind w:left="4320" w:hanging="360"/>
      </w:pPr>
      <w:rPr>
        <w:rFonts w:ascii="Arial" w:hAnsi="Arial" w:hint="default"/>
      </w:rPr>
    </w:lvl>
    <w:lvl w:ilvl="6" w:tplc="BF2A25C0" w:tentative="1">
      <w:start w:val="1"/>
      <w:numFmt w:val="bullet"/>
      <w:lvlText w:val="•"/>
      <w:lvlJc w:val="left"/>
      <w:pPr>
        <w:tabs>
          <w:tab w:val="num" w:pos="5040"/>
        </w:tabs>
        <w:ind w:left="5040" w:hanging="360"/>
      </w:pPr>
      <w:rPr>
        <w:rFonts w:ascii="Arial" w:hAnsi="Arial" w:hint="default"/>
      </w:rPr>
    </w:lvl>
    <w:lvl w:ilvl="7" w:tplc="7CE00700" w:tentative="1">
      <w:start w:val="1"/>
      <w:numFmt w:val="bullet"/>
      <w:lvlText w:val="•"/>
      <w:lvlJc w:val="left"/>
      <w:pPr>
        <w:tabs>
          <w:tab w:val="num" w:pos="5760"/>
        </w:tabs>
        <w:ind w:left="5760" w:hanging="360"/>
      </w:pPr>
      <w:rPr>
        <w:rFonts w:ascii="Arial" w:hAnsi="Arial" w:hint="default"/>
      </w:rPr>
    </w:lvl>
    <w:lvl w:ilvl="8" w:tplc="C5E20A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E67A75"/>
    <w:multiLevelType w:val="hybridMultilevel"/>
    <w:tmpl w:val="5316C9D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D711A"/>
    <w:multiLevelType w:val="hybridMultilevel"/>
    <w:tmpl w:val="73700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998E4A54"/>
    <w:lvl w:ilvl="0" w:tplc="DF2E8F7A">
      <w:start w:val="1"/>
      <w:numFmt w:val="bullet"/>
      <w:pStyle w:val="ListParagraph"/>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D32AB"/>
    <w:multiLevelType w:val="hybridMultilevel"/>
    <w:tmpl w:val="83B65EB2"/>
    <w:lvl w:ilvl="0" w:tplc="FFFFFFFF">
      <w:start w:val="1"/>
      <w:numFmt w:val="lowerLetter"/>
      <w:lvlText w:val="(%1)"/>
      <w:lvlJc w:val="left"/>
      <w:pPr>
        <w:ind w:left="720" w:hanging="360"/>
      </w:pPr>
      <w:rPr>
        <w:rFonts w:hint="default"/>
      </w:rPr>
    </w:lvl>
    <w:lvl w:ilvl="1" w:tplc="590451F4">
      <w:start w:val="1"/>
      <w:numFmt w:val="lowerLetter"/>
      <w:lvlText w:val="%2."/>
      <w:lvlJc w:val="left"/>
      <w:pPr>
        <w:ind w:left="1440" w:hanging="360"/>
      </w:pPr>
      <w:rPr>
        <w:i/>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052A4A"/>
    <w:multiLevelType w:val="hybridMultilevel"/>
    <w:tmpl w:val="4A003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A783124"/>
    <w:multiLevelType w:val="hybridMultilevel"/>
    <w:tmpl w:val="BFD61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441ED"/>
    <w:multiLevelType w:val="hybridMultilevel"/>
    <w:tmpl w:val="39C0C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6A3413B"/>
    <w:multiLevelType w:val="hybridMultilevel"/>
    <w:tmpl w:val="626EB2AC"/>
    <w:lvl w:ilvl="0" w:tplc="590451F4">
      <w:start w:val="1"/>
      <w:numFmt w:val="lowerLetter"/>
      <w:lvlText w:val="%1."/>
      <w:lvlJc w:val="left"/>
      <w:pPr>
        <w:ind w:left="360" w:hanging="360"/>
      </w:pPr>
      <w:rPr>
        <w:i/>
        <w:iCs/>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15:restartNumberingAfterBreak="0">
    <w:nsid w:val="6A1F7A0F"/>
    <w:multiLevelType w:val="hybridMultilevel"/>
    <w:tmpl w:val="DAF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AF22442"/>
    <w:multiLevelType w:val="hybridMultilevel"/>
    <w:tmpl w:val="58960E8C"/>
    <w:lvl w:ilvl="0" w:tplc="4F501ACC">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4D033C"/>
    <w:multiLevelType w:val="multilevel"/>
    <w:tmpl w:val="A320AF5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B23B9D"/>
    <w:multiLevelType w:val="hybridMultilevel"/>
    <w:tmpl w:val="842E7C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D8A7257"/>
    <w:multiLevelType w:val="hybridMultilevel"/>
    <w:tmpl w:val="FD80BD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03659956">
    <w:abstractNumId w:val="21"/>
  </w:num>
  <w:num w:numId="2" w16cid:durableId="1278607428">
    <w:abstractNumId w:val="9"/>
  </w:num>
  <w:num w:numId="3" w16cid:durableId="1753576585">
    <w:abstractNumId w:val="11"/>
  </w:num>
  <w:num w:numId="4" w16cid:durableId="1430199898">
    <w:abstractNumId w:val="0"/>
  </w:num>
  <w:num w:numId="5" w16cid:durableId="1959527896">
    <w:abstractNumId w:val="21"/>
  </w:num>
  <w:num w:numId="6" w16cid:durableId="1660839070">
    <w:abstractNumId w:val="16"/>
  </w:num>
  <w:num w:numId="7" w16cid:durableId="1161583353">
    <w:abstractNumId w:val="14"/>
  </w:num>
  <w:num w:numId="8" w16cid:durableId="2045209670">
    <w:abstractNumId w:val="2"/>
  </w:num>
  <w:num w:numId="9" w16cid:durableId="805896223">
    <w:abstractNumId w:val="10"/>
  </w:num>
  <w:num w:numId="10" w16cid:durableId="100271551">
    <w:abstractNumId w:val="1"/>
  </w:num>
  <w:num w:numId="11" w16cid:durableId="1148088885">
    <w:abstractNumId w:val="6"/>
  </w:num>
  <w:num w:numId="12" w16cid:durableId="997419023">
    <w:abstractNumId w:val="13"/>
  </w:num>
  <w:num w:numId="13" w16cid:durableId="591624193">
    <w:abstractNumId w:val="3"/>
  </w:num>
  <w:num w:numId="14" w16cid:durableId="303825091">
    <w:abstractNumId w:val="15"/>
  </w:num>
  <w:num w:numId="15" w16cid:durableId="391778001">
    <w:abstractNumId w:val="4"/>
  </w:num>
  <w:num w:numId="16" w16cid:durableId="1491605052">
    <w:abstractNumId w:val="5"/>
  </w:num>
  <w:num w:numId="17" w16cid:durableId="1309170833">
    <w:abstractNumId w:val="23"/>
  </w:num>
  <w:num w:numId="18" w16cid:durableId="177811782">
    <w:abstractNumId w:val="22"/>
  </w:num>
  <w:num w:numId="19" w16cid:durableId="1143815317">
    <w:abstractNumId w:val="18"/>
  </w:num>
  <w:num w:numId="20" w16cid:durableId="1354577181">
    <w:abstractNumId w:val="8"/>
  </w:num>
  <w:num w:numId="21" w16cid:durableId="1508714883">
    <w:abstractNumId w:val="12"/>
  </w:num>
  <w:num w:numId="22" w16cid:durableId="788011726">
    <w:abstractNumId w:val="19"/>
  </w:num>
  <w:num w:numId="23" w16cid:durableId="1640770225">
    <w:abstractNumId w:val="20"/>
  </w:num>
  <w:num w:numId="24" w16cid:durableId="76364473">
    <w:abstractNumId w:val="7"/>
  </w:num>
  <w:num w:numId="25" w16cid:durableId="143840124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D06"/>
    <w:rsid w:val="00002FAA"/>
    <w:rsid w:val="00003499"/>
    <w:rsid w:val="000039B7"/>
    <w:rsid w:val="00003CD9"/>
    <w:rsid w:val="00003D06"/>
    <w:rsid w:val="0000427E"/>
    <w:rsid w:val="00004A7B"/>
    <w:rsid w:val="00004EBF"/>
    <w:rsid w:val="000050E1"/>
    <w:rsid w:val="000056B9"/>
    <w:rsid w:val="0000639A"/>
    <w:rsid w:val="000064FB"/>
    <w:rsid w:val="00007E9F"/>
    <w:rsid w:val="00010198"/>
    <w:rsid w:val="00010625"/>
    <w:rsid w:val="00011E41"/>
    <w:rsid w:val="0001264B"/>
    <w:rsid w:val="0001279D"/>
    <w:rsid w:val="00012C00"/>
    <w:rsid w:val="00012D48"/>
    <w:rsid w:val="00013247"/>
    <w:rsid w:val="00014441"/>
    <w:rsid w:val="0001467D"/>
    <w:rsid w:val="00014F89"/>
    <w:rsid w:val="00015886"/>
    <w:rsid w:val="00015A36"/>
    <w:rsid w:val="000162EF"/>
    <w:rsid w:val="0001699C"/>
    <w:rsid w:val="00017502"/>
    <w:rsid w:val="00020668"/>
    <w:rsid w:val="000207C9"/>
    <w:rsid w:val="000217DE"/>
    <w:rsid w:val="00021ED4"/>
    <w:rsid w:val="0002225F"/>
    <w:rsid w:val="0002244F"/>
    <w:rsid w:val="00022576"/>
    <w:rsid w:val="00022BF1"/>
    <w:rsid w:val="00023613"/>
    <w:rsid w:val="00023763"/>
    <w:rsid w:val="00024226"/>
    <w:rsid w:val="000242DB"/>
    <w:rsid w:val="00024324"/>
    <w:rsid w:val="00024CF3"/>
    <w:rsid w:val="00024D8F"/>
    <w:rsid w:val="00024EB5"/>
    <w:rsid w:val="00027456"/>
    <w:rsid w:val="000274B8"/>
    <w:rsid w:val="000301AF"/>
    <w:rsid w:val="00030C34"/>
    <w:rsid w:val="00031F15"/>
    <w:rsid w:val="00031FFA"/>
    <w:rsid w:val="000320DA"/>
    <w:rsid w:val="00032867"/>
    <w:rsid w:val="00033863"/>
    <w:rsid w:val="00033E12"/>
    <w:rsid w:val="00035287"/>
    <w:rsid w:val="0003556C"/>
    <w:rsid w:val="000358B4"/>
    <w:rsid w:val="00035DC0"/>
    <w:rsid w:val="00035FB7"/>
    <w:rsid w:val="00036829"/>
    <w:rsid w:val="00036FAF"/>
    <w:rsid w:val="00037739"/>
    <w:rsid w:val="00040895"/>
    <w:rsid w:val="00040BB5"/>
    <w:rsid w:val="000410A0"/>
    <w:rsid w:val="00043197"/>
    <w:rsid w:val="000433AA"/>
    <w:rsid w:val="000435EE"/>
    <w:rsid w:val="00043C37"/>
    <w:rsid w:val="00044028"/>
    <w:rsid w:val="00045017"/>
    <w:rsid w:val="00045337"/>
    <w:rsid w:val="00045725"/>
    <w:rsid w:val="00045A2B"/>
    <w:rsid w:val="00046617"/>
    <w:rsid w:val="00046797"/>
    <w:rsid w:val="0004698F"/>
    <w:rsid w:val="00046D64"/>
    <w:rsid w:val="000476EF"/>
    <w:rsid w:val="0004791E"/>
    <w:rsid w:val="00050401"/>
    <w:rsid w:val="000508C2"/>
    <w:rsid w:val="000508DD"/>
    <w:rsid w:val="00052059"/>
    <w:rsid w:val="0005213B"/>
    <w:rsid w:val="00052291"/>
    <w:rsid w:val="000530E7"/>
    <w:rsid w:val="000539D0"/>
    <w:rsid w:val="000544B9"/>
    <w:rsid w:val="0005459C"/>
    <w:rsid w:val="00054621"/>
    <w:rsid w:val="000546D7"/>
    <w:rsid w:val="00054A8D"/>
    <w:rsid w:val="00054FFE"/>
    <w:rsid w:val="00055153"/>
    <w:rsid w:val="00055D4E"/>
    <w:rsid w:val="0005600C"/>
    <w:rsid w:val="000566C7"/>
    <w:rsid w:val="00056A30"/>
    <w:rsid w:val="00056ECF"/>
    <w:rsid w:val="00057A38"/>
    <w:rsid w:val="000604DF"/>
    <w:rsid w:val="00060F40"/>
    <w:rsid w:val="00061332"/>
    <w:rsid w:val="00061A3A"/>
    <w:rsid w:val="00062324"/>
    <w:rsid w:val="0006258E"/>
    <w:rsid w:val="00062F19"/>
    <w:rsid w:val="00064266"/>
    <w:rsid w:val="000653B5"/>
    <w:rsid w:val="00066187"/>
    <w:rsid w:val="00066360"/>
    <w:rsid w:val="00066AF8"/>
    <w:rsid w:val="000674BA"/>
    <w:rsid w:val="00067832"/>
    <w:rsid w:val="0007003F"/>
    <w:rsid w:val="0007014B"/>
    <w:rsid w:val="000708B2"/>
    <w:rsid w:val="00070FC1"/>
    <w:rsid w:val="00071248"/>
    <w:rsid w:val="000720B9"/>
    <w:rsid w:val="00072132"/>
    <w:rsid w:val="00073292"/>
    <w:rsid w:val="00073489"/>
    <w:rsid w:val="000737F7"/>
    <w:rsid w:val="00075488"/>
    <w:rsid w:val="00075882"/>
    <w:rsid w:val="0007672F"/>
    <w:rsid w:val="00076B54"/>
    <w:rsid w:val="000774F0"/>
    <w:rsid w:val="000776AD"/>
    <w:rsid w:val="0007775E"/>
    <w:rsid w:val="00077A16"/>
    <w:rsid w:val="000807BD"/>
    <w:rsid w:val="00080909"/>
    <w:rsid w:val="00080C54"/>
    <w:rsid w:val="000812CA"/>
    <w:rsid w:val="00081D8D"/>
    <w:rsid w:val="00081E63"/>
    <w:rsid w:val="0008258D"/>
    <w:rsid w:val="00082BA8"/>
    <w:rsid w:val="00082CED"/>
    <w:rsid w:val="000838BF"/>
    <w:rsid w:val="00083CE0"/>
    <w:rsid w:val="00083E99"/>
    <w:rsid w:val="000846A1"/>
    <w:rsid w:val="00084746"/>
    <w:rsid w:val="00084C06"/>
    <w:rsid w:val="00084FA8"/>
    <w:rsid w:val="000856C5"/>
    <w:rsid w:val="00085C31"/>
    <w:rsid w:val="00086468"/>
    <w:rsid w:val="00086C50"/>
    <w:rsid w:val="00086FA4"/>
    <w:rsid w:val="000879C8"/>
    <w:rsid w:val="000902D9"/>
    <w:rsid w:val="00090792"/>
    <w:rsid w:val="00090C7E"/>
    <w:rsid w:val="00090DCB"/>
    <w:rsid w:val="00090F80"/>
    <w:rsid w:val="00091063"/>
    <w:rsid w:val="000911AC"/>
    <w:rsid w:val="000916FE"/>
    <w:rsid w:val="00092600"/>
    <w:rsid w:val="0009262B"/>
    <w:rsid w:val="00093310"/>
    <w:rsid w:val="00093CC1"/>
    <w:rsid w:val="0009445C"/>
    <w:rsid w:val="000946EF"/>
    <w:rsid w:val="0009484D"/>
    <w:rsid w:val="00095200"/>
    <w:rsid w:val="00095438"/>
    <w:rsid w:val="0009553F"/>
    <w:rsid w:val="00095FE5"/>
    <w:rsid w:val="00096284"/>
    <w:rsid w:val="00096DCD"/>
    <w:rsid w:val="0009721F"/>
    <w:rsid w:val="000A0A5C"/>
    <w:rsid w:val="000A103D"/>
    <w:rsid w:val="000A1BC0"/>
    <w:rsid w:val="000A1BCC"/>
    <w:rsid w:val="000A1C06"/>
    <w:rsid w:val="000A1C45"/>
    <w:rsid w:val="000A2F9E"/>
    <w:rsid w:val="000A366F"/>
    <w:rsid w:val="000A3E47"/>
    <w:rsid w:val="000A3FA8"/>
    <w:rsid w:val="000A522B"/>
    <w:rsid w:val="000A5FD4"/>
    <w:rsid w:val="000A6039"/>
    <w:rsid w:val="000A6B24"/>
    <w:rsid w:val="000A6F91"/>
    <w:rsid w:val="000A7453"/>
    <w:rsid w:val="000A7851"/>
    <w:rsid w:val="000A78BC"/>
    <w:rsid w:val="000A7D08"/>
    <w:rsid w:val="000A7FF8"/>
    <w:rsid w:val="000B0121"/>
    <w:rsid w:val="000B0280"/>
    <w:rsid w:val="000B0670"/>
    <w:rsid w:val="000B08D7"/>
    <w:rsid w:val="000B0E75"/>
    <w:rsid w:val="000B1C21"/>
    <w:rsid w:val="000B2DCB"/>
    <w:rsid w:val="000B3C33"/>
    <w:rsid w:val="000B3D9C"/>
    <w:rsid w:val="000B46DD"/>
    <w:rsid w:val="000B5CE0"/>
    <w:rsid w:val="000B614E"/>
    <w:rsid w:val="000B6CAC"/>
    <w:rsid w:val="000B6CCB"/>
    <w:rsid w:val="000B6FFE"/>
    <w:rsid w:val="000B75FC"/>
    <w:rsid w:val="000B7612"/>
    <w:rsid w:val="000B78AE"/>
    <w:rsid w:val="000C051C"/>
    <w:rsid w:val="000C0C7D"/>
    <w:rsid w:val="000C0D6D"/>
    <w:rsid w:val="000C0EBE"/>
    <w:rsid w:val="000C1968"/>
    <w:rsid w:val="000C21A3"/>
    <w:rsid w:val="000C3D60"/>
    <w:rsid w:val="000C3DF9"/>
    <w:rsid w:val="000C4CF2"/>
    <w:rsid w:val="000C5DD9"/>
    <w:rsid w:val="000C6693"/>
    <w:rsid w:val="000C6713"/>
    <w:rsid w:val="000C6C4D"/>
    <w:rsid w:val="000C7244"/>
    <w:rsid w:val="000D026E"/>
    <w:rsid w:val="000D0C5D"/>
    <w:rsid w:val="000D1BFC"/>
    <w:rsid w:val="000D1D5D"/>
    <w:rsid w:val="000D281A"/>
    <w:rsid w:val="000D2848"/>
    <w:rsid w:val="000D2E00"/>
    <w:rsid w:val="000D326A"/>
    <w:rsid w:val="000D3FF3"/>
    <w:rsid w:val="000D51FB"/>
    <w:rsid w:val="000D52C3"/>
    <w:rsid w:val="000D6739"/>
    <w:rsid w:val="000E02F3"/>
    <w:rsid w:val="000E05E1"/>
    <w:rsid w:val="000E0640"/>
    <w:rsid w:val="000E0C54"/>
    <w:rsid w:val="000E0F95"/>
    <w:rsid w:val="000E135D"/>
    <w:rsid w:val="000E147C"/>
    <w:rsid w:val="000E165D"/>
    <w:rsid w:val="000E247C"/>
    <w:rsid w:val="000E2A87"/>
    <w:rsid w:val="000E2DF6"/>
    <w:rsid w:val="000E37DB"/>
    <w:rsid w:val="000E4484"/>
    <w:rsid w:val="000E4AE4"/>
    <w:rsid w:val="000E5164"/>
    <w:rsid w:val="000E5BC4"/>
    <w:rsid w:val="000E6F30"/>
    <w:rsid w:val="000F00BA"/>
    <w:rsid w:val="000F11AB"/>
    <w:rsid w:val="000F11D3"/>
    <w:rsid w:val="000F1973"/>
    <w:rsid w:val="000F1F24"/>
    <w:rsid w:val="000F228F"/>
    <w:rsid w:val="000F2522"/>
    <w:rsid w:val="000F2A48"/>
    <w:rsid w:val="000F316A"/>
    <w:rsid w:val="000F31FC"/>
    <w:rsid w:val="000F3416"/>
    <w:rsid w:val="000F3C74"/>
    <w:rsid w:val="000F4638"/>
    <w:rsid w:val="000F4BB8"/>
    <w:rsid w:val="000F4E84"/>
    <w:rsid w:val="000F4FA9"/>
    <w:rsid w:val="000F53FB"/>
    <w:rsid w:val="000F578B"/>
    <w:rsid w:val="000F5D89"/>
    <w:rsid w:val="000F7127"/>
    <w:rsid w:val="000F7927"/>
    <w:rsid w:val="000F7B54"/>
    <w:rsid w:val="001000B3"/>
    <w:rsid w:val="00100BF9"/>
    <w:rsid w:val="00100F8A"/>
    <w:rsid w:val="00101CA7"/>
    <w:rsid w:val="00102AED"/>
    <w:rsid w:val="001035AD"/>
    <w:rsid w:val="0010452E"/>
    <w:rsid w:val="00104CA4"/>
    <w:rsid w:val="00105904"/>
    <w:rsid w:val="00105AE2"/>
    <w:rsid w:val="001060C6"/>
    <w:rsid w:val="001066A6"/>
    <w:rsid w:val="00106810"/>
    <w:rsid w:val="00106815"/>
    <w:rsid w:val="00106B1B"/>
    <w:rsid w:val="00106B80"/>
    <w:rsid w:val="0011032E"/>
    <w:rsid w:val="0011077D"/>
    <w:rsid w:val="00110B17"/>
    <w:rsid w:val="00111CAF"/>
    <w:rsid w:val="001121B4"/>
    <w:rsid w:val="0011348B"/>
    <w:rsid w:val="00113A55"/>
    <w:rsid w:val="00114038"/>
    <w:rsid w:val="001149A6"/>
    <w:rsid w:val="001153AD"/>
    <w:rsid w:val="00115827"/>
    <w:rsid w:val="0011596D"/>
    <w:rsid w:val="00115982"/>
    <w:rsid w:val="0011673E"/>
    <w:rsid w:val="0011695D"/>
    <w:rsid w:val="00116C53"/>
    <w:rsid w:val="00117CB1"/>
    <w:rsid w:val="0012084E"/>
    <w:rsid w:val="00120E33"/>
    <w:rsid w:val="00121531"/>
    <w:rsid w:val="001215F7"/>
    <w:rsid w:val="00121799"/>
    <w:rsid w:val="00121EF2"/>
    <w:rsid w:val="001222FC"/>
    <w:rsid w:val="00123902"/>
    <w:rsid w:val="00123A07"/>
    <w:rsid w:val="001246A7"/>
    <w:rsid w:val="00124A51"/>
    <w:rsid w:val="00124E86"/>
    <w:rsid w:val="001250D4"/>
    <w:rsid w:val="001250DB"/>
    <w:rsid w:val="00125249"/>
    <w:rsid w:val="00125E82"/>
    <w:rsid w:val="0012627F"/>
    <w:rsid w:val="001263DB"/>
    <w:rsid w:val="00126621"/>
    <w:rsid w:val="00126B1D"/>
    <w:rsid w:val="00127C1F"/>
    <w:rsid w:val="001301E9"/>
    <w:rsid w:val="00131159"/>
    <w:rsid w:val="00131C1C"/>
    <w:rsid w:val="00131D82"/>
    <w:rsid w:val="0013222F"/>
    <w:rsid w:val="001325F7"/>
    <w:rsid w:val="00132B22"/>
    <w:rsid w:val="00133A82"/>
    <w:rsid w:val="00133D36"/>
    <w:rsid w:val="001341CE"/>
    <w:rsid w:val="001341F6"/>
    <w:rsid w:val="001345E3"/>
    <w:rsid w:val="0013502C"/>
    <w:rsid w:val="001356F6"/>
    <w:rsid w:val="001370DB"/>
    <w:rsid w:val="00137645"/>
    <w:rsid w:val="00137DE1"/>
    <w:rsid w:val="0014015A"/>
    <w:rsid w:val="001405D6"/>
    <w:rsid w:val="00140D1C"/>
    <w:rsid w:val="00140E99"/>
    <w:rsid w:val="001412D5"/>
    <w:rsid w:val="001423E6"/>
    <w:rsid w:val="0014292A"/>
    <w:rsid w:val="00143052"/>
    <w:rsid w:val="0014399D"/>
    <w:rsid w:val="00143F67"/>
    <w:rsid w:val="001451A7"/>
    <w:rsid w:val="00145234"/>
    <w:rsid w:val="00145540"/>
    <w:rsid w:val="001456B0"/>
    <w:rsid w:val="00145C65"/>
    <w:rsid w:val="00145EE1"/>
    <w:rsid w:val="00146FB1"/>
    <w:rsid w:val="001478E9"/>
    <w:rsid w:val="00147ADA"/>
    <w:rsid w:val="00151CDD"/>
    <w:rsid w:val="001525E2"/>
    <w:rsid w:val="00152D11"/>
    <w:rsid w:val="001543E3"/>
    <w:rsid w:val="001547AB"/>
    <w:rsid w:val="0015542D"/>
    <w:rsid w:val="00155C11"/>
    <w:rsid w:val="00155F16"/>
    <w:rsid w:val="001568FA"/>
    <w:rsid w:val="00156A86"/>
    <w:rsid w:val="00156F8F"/>
    <w:rsid w:val="00157130"/>
    <w:rsid w:val="0015765F"/>
    <w:rsid w:val="001576B1"/>
    <w:rsid w:val="00157812"/>
    <w:rsid w:val="00157EE7"/>
    <w:rsid w:val="0016047B"/>
    <w:rsid w:val="00160A4C"/>
    <w:rsid w:val="001618E2"/>
    <w:rsid w:val="00162913"/>
    <w:rsid w:val="001637BE"/>
    <w:rsid w:val="00163EFF"/>
    <w:rsid w:val="00163F66"/>
    <w:rsid w:val="0016478E"/>
    <w:rsid w:val="0016529A"/>
    <w:rsid w:val="00165EC4"/>
    <w:rsid w:val="001661FB"/>
    <w:rsid w:val="00166273"/>
    <w:rsid w:val="00167159"/>
    <w:rsid w:val="001671A0"/>
    <w:rsid w:val="0016767F"/>
    <w:rsid w:val="0017190E"/>
    <w:rsid w:val="001721CD"/>
    <w:rsid w:val="00172D8F"/>
    <w:rsid w:val="0017325E"/>
    <w:rsid w:val="001732D2"/>
    <w:rsid w:val="00173565"/>
    <w:rsid w:val="00173A1C"/>
    <w:rsid w:val="00173B07"/>
    <w:rsid w:val="00173D9F"/>
    <w:rsid w:val="00174D3D"/>
    <w:rsid w:val="001751FA"/>
    <w:rsid w:val="00175C61"/>
    <w:rsid w:val="001762C6"/>
    <w:rsid w:val="00176B66"/>
    <w:rsid w:val="00176D25"/>
    <w:rsid w:val="00180850"/>
    <w:rsid w:val="00180E33"/>
    <w:rsid w:val="00181A4B"/>
    <w:rsid w:val="00181C10"/>
    <w:rsid w:val="00181D9C"/>
    <w:rsid w:val="001837FF"/>
    <w:rsid w:val="00184B0E"/>
    <w:rsid w:val="00184B83"/>
    <w:rsid w:val="00184C3B"/>
    <w:rsid w:val="00184ECE"/>
    <w:rsid w:val="00184F55"/>
    <w:rsid w:val="001859C1"/>
    <w:rsid w:val="00185CB8"/>
    <w:rsid w:val="001862CF"/>
    <w:rsid w:val="001870BC"/>
    <w:rsid w:val="0018752F"/>
    <w:rsid w:val="00187FE3"/>
    <w:rsid w:val="0019001E"/>
    <w:rsid w:val="00192D93"/>
    <w:rsid w:val="00193376"/>
    <w:rsid w:val="00193838"/>
    <w:rsid w:val="001946B4"/>
    <w:rsid w:val="00194AD8"/>
    <w:rsid w:val="00195222"/>
    <w:rsid w:val="00195452"/>
    <w:rsid w:val="001956B4"/>
    <w:rsid w:val="00196321"/>
    <w:rsid w:val="001975D8"/>
    <w:rsid w:val="001A0360"/>
    <w:rsid w:val="001A0BC1"/>
    <w:rsid w:val="001A178E"/>
    <w:rsid w:val="001A3739"/>
    <w:rsid w:val="001A43FA"/>
    <w:rsid w:val="001A4495"/>
    <w:rsid w:val="001A44DF"/>
    <w:rsid w:val="001A4607"/>
    <w:rsid w:val="001A47C5"/>
    <w:rsid w:val="001A4A35"/>
    <w:rsid w:val="001A4B31"/>
    <w:rsid w:val="001A4CF5"/>
    <w:rsid w:val="001A5371"/>
    <w:rsid w:val="001A59FB"/>
    <w:rsid w:val="001A5E9E"/>
    <w:rsid w:val="001A6354"/>
    <w:rsid w:val="001A6366"/>
    <w:rsid w:val="001A77A8"/>
    <w:rsid w:val="001A78E6"/>
    <w:rsid w:val="001A7AE8"/>
    <w:rsid w:val="001A7FF7"/>
    <w:rsid w:val="001B0353"/>
    <w:rsid w:val="001B0E40"/>
    <w:rsid w:val="001B198F"/>
    <w:rsid w:val="001B204E"/>
    <w:rsid w:val="001B2372"/>
    <w:rsid w:val="001B3376"/>
    <w:rsid w:val="001B3443"/>
    <w:rsid w:val="001B4AC0"/>
    <w:rsid w:val="001B4D20"/>
    <w:rsid w:val="001B4F5F"/>
    <w:rsid w:val="001B5090"/>
    <w:rsid w:val="001B54B9"/>
    <w:rsid w:val="001B56EC"/>
    <w:rsid w:val="001B5DF4"/>
    <w:rsid w:val="001B70BE"/>
    <w:rsid w:val="001B7D87"/>
    <w:rsid w:val="001B7F84"/>
    <w:rsid w:val="001C00B2"/>
    <w:rsid w:val="001C104B"/>
    <w:rsid w:val="001C10F5"/>
    <w:rsid w:val="001C2542"/>
    <w:rsid w:val="001C2A9B"/>
    <w:rsid w:val="001C34AD"/>
    <w:rsid w:val="001C3989"/>
    <w:rsid w:val="001C3DD6"/>
    <w:rsid w:val="001C4299"/>
    <w:rsid w:val="001C4874"/>
    <w:rsid w:val="001C5096"/>
    <w:rsid w:val="001C50D2"/>
    <w:rsid w:val="001C5C63"/>
    <w:rsid w:val="001C5D23"/>
    <w:rsid w:val="001C5F94"/>
    <w:rsid w:val="001C66E4"/>
    <w:rsid w:val="001C6E30"/>
    <w:rsid w:val="001C6E66"/>
    <w:rsid w:val="001D033A"/>
    <w:rsid w:val="001D07B6"/>
    <w:rsid w:val="001D0888"/>
    <w:rsid w:val="001D0DCE"/>
    <w:rsid w:val="001D1100"/>
    <w:rsid w:val="001D1391"/>
    <w:rsid w:val="001D25D7"/>
    <w:rsid w:val="001D3324"/>
    <w:rsid w:val="001D3B01"/>
    <w:rsid w:val="001D4123"/>
    <w:rsid w:val="001D4E02"/>
    <w:rsid w:val="001D50B2"/>
    <w:rsid w:val="001D5859"/>
    <w:rsid w:val="001D6E02"/>
    <w:rsid w:val="001D7197"/>
    <w:rsid w:val="001D71F4"/>
    <w:rsid w:val="001D7645"/>
    <w:rsid w:val="001D7B85"/>
    <w:rsid w:val="001D7B98"/>
    <w:rsid w:val="001D7FC5"/>
    <w:rsid w:val="001E11DF"/>
    <w:rsid w:val="001E1A3F"/>
    <w:rsid w:val="001E1E86"/>
    <w:rsid w:val="001E238E"/>
    <w:rsid w:val="001E2483"/>
    <w:rsid w:val="001E2B1E"/>
    <w:rsid w:val="001E2CFF"/>
    <w:rsid w:val="001E2F24"/>
    <w:rsid w:val="001E30D4"/>
    <w:rsid w:val="001E3357"/>
    <w:rsid w:val="001E34DF"/>
    <w:rsid w:val="001E47AA"/>
    <w:rsid w:val="001E4B92"/>
    <w:rsid w:val="001E52EB"/>
    <w:rsid w:val="001E61D2"/>
    <w:rsid w:val="001E61DA"/>
    <w:rsid w:val="001E6651"/>
    <w:rsid w:val="001E6896"/>
    <w:rsid w:val="001E7120"/>
    <w:rsid w:val="001E740C"/>
    <w:rsid w:val="001E798C"/>
    <w:rsid w:val="001F04D6"/>
    <w:rsid w:val="001F1235"/>
    <w:rsid w:val="001F1CB3"/>
    <w:rsid w:val="001F2025"/>
    <w:rsid w:val="001F2DE0"/>
    <w:rsid w:val="001F304F"/>
    <w:rsid w:val="001F3803"/>
    <w:rsid w:val="001F38B5"/>
    <w:rsid w:val="001F4081"/>
    <w:rsid w:val="001F4862"/>
    <w:rsid w:val="001F4DE9"/>
    <w:rsid w:val="001F5139"/>
    <w:rsid w:val="001F5401"/>
    <w:rsid w:val="001F7042"/>
    <w:rsid w:val="001F7361"/>
    <w:rsid w:val="002002DD"/>
    <w:rsid w:val="00200E16"/>
    <w:rsid w:val="002011B0"/>
    <w:rsid w:val="00201210"/>
    <w:rsid w:val="00202C00"/>
    <w:rsid w:val="00203181"/>
    <w:rsid w:val="00203783"/>
    <w:rsid w:val="0020385F"/>
    <w:rsid w:val="00203F44"/>
    <w:rsid w:val="00204A62"/>
    <w:rsid w:val="002058FC"/>
    <w:rsid w:val="002068A0"/>
    <w:rsid w:val="00206957"/>
    <w:rsid w:val="00207021"/>
    <w:rsid w:val="0020732F"/>
    <w:rsid w:val="00207A5A"/>
    <w:rsid w:val="00207D00"/>
    <w:rsid w:val="002105C1"/>
    <w:rsid w:val="002116FD"/>
    <w:rsid w:val="002117A0"/>
    <w:rsid w:val="00211C17"/>
    <w:rsid w:val="00211CA3"/>
    <w:rsid w:val="00213AF2"/>
    <w:rsid w:val="00213EF5"/>
    <w:rsid w:val="00214B53"/>
    <w:rsid w:val="0021533F"/>
    <w:rsid w:val="00215848"/>
    <w:rsid w:val="00215EE1"/>
    <w:rsid w:val="00216BF5"/>
    <w:rsid w:val="00220D3F"/>
    <w:rsid w:val="00221AFA"/>
    <w:rsid w:val="0022224B"/>
    <w:rsid w:val="00222517"/>
    <w:rsid w:val="00222D06"/>
    <w:rsid w:val="002235C3"/>
    <w:rsid w:val="002237E2"/>
    <w:rsid w:val="00223B49"/>
    <w:rsid w:val="00223D5A"/>
    <w:rsid w:val="00223E7C"/>
    <w:rsid w:val="002246F1"/>
    <w:rsid w:val="00224DD4"/>
    <w:rsid w:val="00225233"/>
    <w:rsid w:val="0022579E"/>
    <w:rsid w:val="00225F0A"/>
    <w:rsid w:val="00227334"/>
    <w:rsid w:val="002274BB"/>
    <w:rsid w:val="002278A0"/>
    <w:rsid w:val="002309CC"/>
    <w:rsid w:val="00231BA9"/>
    <w:rsid w:val="0023209F"/>
    <w:rsid w:val="00233BCC"/>
    <w:rsid w:val="00233C01"/>
    <w:rsid w:val="0023413C"/>
    <w:rsid w:val="00234664"/>
    <w:rsid w:val="002346F0"/>
    <w:rsid w:val="00234787"/>
    <w:rsid w:val="002358C6"/>
    <w:rsid w:val="00236210"/>
    <w:rsid w:val="0023629D"/>
    <w:rsid w:val="00236783"/>
    <w:rsid w:val="00237255"/>
    <w:rsid w:val="00237B16"/>
    <w:rsid w:val="00237BBF"/>
    <w:rsid w:val="002422B7"/>
    <w:rsid w:val="002424AF"/>
    <w:rsid w:val="00242708"/>
    <w:rsid w:val="00242C4F"/>
    <w:rsid w:val="002433D0"/>
    <w:rsid w:val="0024348E"/>
    <w:rsid w:val="002434CC"/>
    <w:rsid w:val="002439DC"/>
    <w:rsid w:val="002441D2"/>
    <w:rsid w:val="002441DA"/>
    <w:rsid w:val="002446B6"/>
    <w:rsid w:val="00244C9B"/>
    <w:rsid w:val="00244DC8"/>
    <w:rsid w:val="002458BA"/>
    <w:rsid w:val="00245CE9"/>
    <w:rsid w:val="0024636C"/>
    <w:rsid w:val="00246439"/>
    <w:rsid w:val="00247186"/>
    <w:rsid w:val="00247345"/>
    <w:rsid w:val="0024772E"/>
    <w:rsid w:val="00247925"/>
    <w:rsid w:val="00250E4E"/>
    <w:rsid w:val="00251006"/>
    <w:rsid w:val="00251389"/>
    <w:rsid w:val="002524D5"/>
    <w:rsid w:val="00253032"/>
    <w:rsid w:val="0025320E"/>
    <w:rsid w:val="00253985"/>
    <w:rsid w:val="00253B1D"/>
    <w:rsid w:val="00253EE9"/>
    <w:rsid w:val="0025436D"/>
    <w:rsid w:val="00254649"/>
    <w:rsid w:val="00254929"/>
    <w:rsid w:val="00254DCF"/>
    <w:rsid w:val="0025534B"/>
    <w:rsid w:val="00255BB7"/>
    <w:rsid w:val="00255E40"/>
    <w:rsid w:val="002567F4"/>
    <w:rsid w:val="00257541"/>
    <w:rsid w:val="00257A39"/>
    <w:rsid w:val="00257AC4"/>
    <w:rsid w:val="00257BBE"/>
    <w:rsid w:val="0026068B"/>
    <w:rsid w:val="002613D8"/>
    <w:rsid w:val="002619AC"/>
    <w:rsid w:val="00261EEF"/>
    <w:rsid w:val="00262853"/>
    <w:rsid w:val="00262A1A"/>
    <w:rsid w:val="00262A87"/>
    <w:rsid w:val="0026308C"/>
    <w:rsid w:val="002630B0"/>
    <w:rsid w:val="00263122"/>
    <w:rsid w:val="0026366C"/>
    <w:rsid w:val="0026394F"/>
    <w:rsid w:val="002639A5"/>
    <w:rsid w:val="00263D63"/>
    <w:rsid w:val="0026415C"/>
    <w:rsid w:val="002641EB"/>
    <w:rsid w:val="00264D26"/>
    <w:rsid w:val="0026575B"/>
    <w:rsid w:val="00265AFE"/>
    <w:rsid w:val="0026688A"/>
    <w:rsid w:val="002669D9"/>
    <w:rsid w:val="00267527"/>
    <w:rsid w:val="00267642"/>
    <w:rsid w:val="00267AEA"/>
    <w:rsid w:val="00267F43"/>
    <w:rsid w:val="002700E6"/>
    <w:rsid w:val="00270113"/>
    <w:rsid w:val="002708B5"/>
    <w:rsid w:val="002714B2"/>
    <w:rsid w:val="00271654"/>
    <w:rsid w:val="0027268E"/>
    <w:rsid w:val="0027294B"/>
    <w:rsid w:val="00272FF2"/>
    <w:rsid w:val="00273764"/>
    <w:rsid w:val="0027381B"/>
    <w:rsid w:val="00273EB4"/>
    <w:rsid w:val="00274076"/>
    <w:rsid w:val="002742A5"/>
    <w:rsid w:val="00274682"/>
    <w:rsid w:val="00275158"/>
    <w:rsid w:val="0027556E"/>
    <w:rsid w:val="00275C5A"/>
    <w:rsid w:val="00275C90"/>
    <w:rsid w:val="00275C9D"/>
    <w:rsid w:val="00276600"/>
    <w:rsid w:val="00276C36"/>
    <w:rsid w:val="00277410"/>
    <w:rsid w:val="002779E7"/>
    <w:rsid w:val="00277DBF"/>
    <w:rsid w:val="00281014"/>
    <w:rsid w:val="002813DF"/>
    <w:rsid w:val="002829A6"/>
    <w:rsid w:val="00282ADA"/>
    <w:rsid w:val="00283863"/>
    <w:rsid w:val="00284184"/>
    <w:rsid w:val="002841F3"/>
    <w:rsid w:val="002842B5"/>
    <w:rsid w:val="002857BF"/>
    <w:rsid w:val="00285AD8"/>
    <w:rsid w:val="00285BCE"/>
    <w:rsid w:val="002862AD"/>
    <w:rsid w:val="0028665D"/>
    <w:rsid w:val="0028685B"/>
    <w:rsid w:val="00286AE3"/>
    <w:rsid w:val="002871FC"/>
    <w:rsid w:val="00287F7A"/>
    <w:rsid w:val="00290AD6"/>
    <w:rsid w:val="00291543"/>
    <w:rsid w:val="002918D2"/>
    <w:rsid w:val="002924F9"/>
    <w:rsid w:val="002931B1"/>
    <w:rsid w:val="002937E9"/>
    <w:rsid w:val="00295089"/>
    <w:rsid w:val="0029593E"/>
    <w:rsid w:val="00295F3C"/>
    <w:rsid w:val="002966F6"/>
    <w:rsid w:val="00296938"/>
    <w:rsid w:val="00296AAB"/>
    <w:rsid w:val="00297247"/>
    <w:rsid w:val="0029783C"/>
    <w:rsid w:val="002A00DF"/>
    <w:rsid w:val="002A0487"/>
    <w:rsid w:val="002A0997"/>
    <w:rsid w:val="002A14AB"/>
    <w:rsid w:val="002A2ADE"/>
    <w:rsid w:val="002A2F50"/>
    <w:rsid w:val="002A4D20"/>
    <w:rsid w:val="002A4E4F"/>
    <w:rsid w:val="002A4F52"/>
    <w:rsid w:val="002A576A"/>
    <w:rsid w:val="002A5CD1"/>
    <w:rsid w:val="002A5D0B"/>
    <w:rsid w:val="002A6E21"/>
    <w:rsid w:val="002A7943"/>
    <w:rsid w:val="002B05A1"/>
    <w:rsid w:val="002B09A4"/>
    <w:rsid w:val="002B0AD2"/>
    <w:rsid w:val="002B0B1B"/>
    <w:rsid w:val="002B0E6F"/>
    <w:rsid w:val="002B10AC"/>
    <w:rsid w:val="002B1AFF"/>
    <w:rsid w:val="002B1C1F"/>
    <w:rsid w:val="002B274E"/>
    <w:rsid w:val="002B342C"/>
    <w:rsid w:val="002B34F1"/>
    <w:rsid w:val="002B381D"/>
    <w:rsid w:val="002B395B"/>
    <w:rsid w:val="002B432F"/>
    <w:rsid w:val="002B487A"/>
    <w:rsid w:val="002B4DDA"/>
    <w:rsid w:val="002B5653"/>
    <w:rsid w:val="002B5E3F"/>
    <w:rsid w:val="002B5F73"/>
    <w:rsid w:val="002B62B3"/>
    <w:rsid w:val="002B6483"/>
    <w:rsid w:val="002B6715"/>
    <w:rsid w:val="002B6754"/>
    <w:rsid w:val="002B6998"/>
    <w:rsid w:val="002B6CCE"/>
    <w:rsid w:val="002B71D4"/>
    <w:rsid w:val="002C1631"/>
    <w:rsid w:val="002C1C41"/>
    <w:rsid w:val="002C1DF5"/>
    <w:rsid w:val="002C2510"/>
    <w:rsid w:val="002C2775"/>
    <w:rsid w:val="002C27C1"/>
    <w:rsid w:val="002C34A4"/>
    <w:rsid w:val="002C36E3"/>
    <w:rsid w:val="002C5099"/>
    <w:rsid w:val="002C53A9"/>
    <w:rsid w:val="002C5889"/>
    <w:rsid w:val="002C67C8"/>
    <w:rsid w:val="002C7132"/>
    <w:rsid w:val="002C71CE"/>
    <w:rsid w:val="002C74B6"/>
    <w:rsid w:val="002C7A01"/>
    <w:rsid w:val="002D00BB"/>
    <w:rsid w:val="002D079C"/>
    <w:rsid w:val="002D08F8"/>
    <w:rsid w:val="002D0BD7"/>
    <w:rsid w:val="002D1282"/>
    <w:rsid w:val="002D1A94"/>
    <w:rsid w:val="002D1F1A"/>
    <w:rsid w:val="002D20E0"/>
    <w:rsid w:val="002D2A74"/>
    <w:rsid w:val="002D2D7F"/>
    <w:rsid w:val="002D3663"/>
    <w:rsid w:val="002D3F9B"/>
    <w:rsid w:val="002D44F9"/>
    <w:rsid w:val="002D55DC"/>
    <w:rsid w:val="002D577C"/>
    <w:rsid w:val="002D7832"/>
    <w:rsid w:val="002E1071"/>
    <w:rsid w:val="002E15B9"/>
    <w:rsid w:val="002E1919"/>
    <w:rsid w:val="002E2158"/>
    <w:rsid w:val="002E29E2"/>
    <w:rsid w:val="002E2B8F"/>
    <w:rsid w:val="002E3B58"/>
    <w:rsid w:val="002E4F02"/>
    <w:rsid w:val="002E5838"/>
    <w:rsid w:val="002E5940"/>
    <w:rsid w:val="002E7722"/>
    <w:rsid w:val="002F07BA"/>
    <w:rsid w:val="002F0DA9"/>
    <w:rsid w:val="002F0F36"/>
    <w:rsid w:val="002F1014"/>
    <w:rsid w:val="002F1249"/>
    <w:rsid w:val="002F1E3B"/>
    <w:rsid w:val="002F23CE"/>
    <w:rsid w:val="002F29AE"/>
    <w:rsid w:val="002F35EA"/>
    <w:rsid w:val="002F3BE4"/>
    <w:rsid w:val="002F3EE9"/>
    <w:rsid w:val="002F4064"/>
    <w:rsid w:val="002F40F6"/>
    <w:rsid w:val="002F45D4"/>
    <w:rsid w:val="002F4609"/>
    <w:rsid w:val="002F643C"/>
    <w:rsid w:val="002F6D1C"/>
    <w:rsid w:val="002F6EBC"/>
    <w:rsid w:val="002F6F27"/>
    <w:rsid w:val="002F7094"/>
    <w:rsid w:val="002F71C0"/>
    <w:rsid w:val="002F74F1"/>
    <w:rsid w:val="002F771F"/>
    <w:rsid w:val="002F7A69"/>
    <w:rsid w:val="002F7B37"/>
    <w:rsid w:val="003003CF"/>
    <w:rsid w:val="0030063D"/>
    <w:rsid w:val="00301017"/>
    <w:rsid w:val="0030155F"/>
    <w:rsid w:val="003020EC"/>
    <w:rsid w:val="00302316"/>
    <w:rsid w:val="003028A9"/>
    <w:rsid w:val="00303741"/>
    <w:rsid w:val="0030374A"/>
    <w:rsid w:val="00303DC6"/>
    <w:rsid w:val="003051C0"/>
    <w:rsid w:val="0030587B"/>
    <w:rsid w:val="00305DD6"/>
    <w:rsid w:val="00305FB3"/>
    <w:rsid w:val="00306576"/>
    <w:rsid w:val="003068E7"/>
    <w:rsid w:val="00306C45"/>
    <w:rsid w:val="00306D98"/>
    <w:rsid w:val="00306FCF"/>
    <w:rsid w:val="00307180"/>
    <w:rsid w:val="0030786C"/>
    <w:rsid w:val="00307E1D"/>
    <w:rsid w:val="0031031A"/>
    <w:rsid w:val="00310433"/>
    <w:rsid w:val="003105AC"/>
    <w:rsid w:val="00310832"/>
    <w:rsid w:val="00310981"/>
    <w:rsid w:val="00310B83"/>
    <w:rsid w:val="003118F7"/>
    <w:rsid w:val="00311D9B"/>
    <w:rsid w:val="00311E7E"/>
    <w:rsid w:val="003124D9"/>
    <w:rsid w:val="00312594"/>
    <w:rsid w:val="0031277E"/>
    <w:rsid w:val="00312F9B"/>
    <w:rsid w:val="00313670"/>
    <w:rsid w:val="00313CC8"/>
    <w:rsid w:val="00313CE9"/>
    <w:rsid w:val="00314F83"/>
    <w:rsid w:val="00314FBC"/>
    <w:rsid w:val="003153CE"/>
    <w:rsid w:val="00315498"/>
    <w:rsid w:val="00315794"/>
    <w:rsid w:val="00316474"/>
    <w:rsid w:val="00316A77"/>
    <w:rsid w:val="00316C37"/>
    <w:rsid w:val="00316F11"/>
    <w:rsid w:val="003171AE"/>
    <w:rsid w:val="003205B8"/>
    <w:rsid w:val="00321AE9"/>
    <w:rsid w:val="00322107"/>
    <w:rsid w:val="00322355"/>
    <w:rsid w:val="00322364"/>
    <w:rsid w:val="003223E0"/>
    <w:rsid w:val="00322846"/>
    <w:rsid w:val="00322B6F"/>
    <w:rsid w:val="00324E93"/>
    <w:rsid w:val="00325513"/>
    <w:rsid w:val="00326DA7"/>
    <w:rsid w:val="00326F3D"/>
    <w:rsid w:val="003270E4"/>
    <w:rsid w:val="00327886"/>
    <w:rsid w:val="00327C88"/>
    <w:rsid w:val="003305CD"/>
    <w:rsid w:val="00330DAA"/>
    <w:rsid w:val="00330F5C"/>
    <w:rsid w:val="003313C4"/>
    <w:rsid w:val="0033160E"/>
    <w:rsid w:val="003317AB"/>
    <w:rsid w:val="00332680"/>
    <w:rsid w:val="00333326"/>
    <w:rsid w:val="0033359D"/>
    <w:rsid w:val="00333B76"/>
    <w:rsid w:val="003341B0"/>
    <w:rsid w:val="0033458F"/>
    <w:rsid w:val="00335FC5"/>
    <w:rsid w:val="00336428"/>
    <w:rsid w:val="003365F5"/>
    <w:rsid w:val="003366C9"/>
    <w:rsid w:val="003371B0"/>
    <w:rsid w:val="00337F56"/>
    <w:rsid w:val="00340CC1"/>
    <w:rsid w:val="00340DF1"/>
    <w:rsid w:val="00340E1D"/>
    <w:rsid w:val="00342BAD"/>
    <w:rsid w:val="00343F09"/>
    <w:rsid w:val="00344670"/>
    <w:rsid w:val="0034504B"/>
    <w:rsid w:val="003461BA"/>
    <w:rsid w:val="0034682D"/>
    <w:rsid w:val="00346A6D"/>
    <w:rsid w:val="00346C8D"/>
    <w:rsid w:val="00347748"/>
    <w:rsid w:val="00350372"/>
    <w:rsid w:val="0035090F"/>
    <w:rsid w:val="003511B5"/>
    <w:rsid w:val="003517F9"/>
    <w:rsid w:val="00351AA5"/>
    <w:rsid w:val="00351BA9"/>
    <w:rsid w:val="00352337"/>
    <w:rsid w:val="00352F1E"/>
    <w:rsid w:val="0035364F"/>
    <w:rsid w:val="003539AB"/>
    <w:rsid w:val="003544B0"/>
    <w:rsid w:val="003547FB"/>
    <w:rsid w:val="00354F64"/>
    <w:rsid w:val="003555A8"/>
    <w:rsid w:val="00355DB9"/>
    <w:rsid w:val="0035620E"/>
    <w:rsid w:val="0035678C"/>
    <w:rsid w:val="00356CEE"/>
    <w:rsid w:val="00356D09"/>
    <w:rsid w:val="003575BE"/>
    <w:rsid w:val="00357D3C"/>
    <w:rsid w:val="00357D5C"/>
    <w:rsid w:val="00360345"/>
    <w:rsid w:val="00360580"/>
    <w:rsid w:val="00360E38"/>
    <w:rsid w:val="00361A05"/>
    <w:rsid w:val="00361C50"/>
    <w:rsid w:val="003624C4"/>
    <w:rsid w:val="00363803"/>
    <w:rsid w:val="00363A92"/>
    <w:rsid w:val="00363B00"/>
    <w:rsid w:val="00364718"/>
    <w:rsid w:val="00364A3E"/>
    <w:rsid w:val="00364FFB"/>
    <w:rsid w:val="003654AC"/>
    <w:rsid w:val="0036585A"/>
    <w:rsid w:val="00365A05"/>
    <w:rsid w:val="003667EB"/>
    <w:rsid w:val="00367271"/>
    <w:rsid w:val="0036727D"/>
    <w:rsid w:val="0037046A"/>
    <w:rsid w:val="003706AE"/>
    <w:rsid w:val="00371015"/>
    <w:rsid w:val="003710CF"/>
    <w:rsid w:val="00372AB4"/>
    <w:rsid w:val="0037358A"/>
    <w:rsid w:val="00373E2D"/>
    <w:rsid w:val="003743AA"/>
    <w:rsid w:val="00374A66"/>
    <w:rsid w:val="003750F6"/>
    <w:rsid w:val="00375232"/>
    <w:rsid w:val="00375DE8"/>
    <w:rsid w:val="003760FC"/>
    <w:rsid w:val="00376645"/>
    <w:rsid w:val="0037665F"/>
    <w:rsid w:val="00377575"/>
    <w:rsid w:val="0037791E"/>
    <w:rsid w:val="00377EF2"/>
    <w:rsid w:val="00382AA2"/>
    <w:rsid w:val="00382CE8"/>
    <w:rsid w:val="0038365C"/>
    <w:rsid w:val="0038369B"/>
    <w:rsid w:val="00383B78"/>
    <w:rsid w:val="00383C11"/>
    <w:rsid w:val="00384A26"/>
    <w:rsid w:val="00385189"/>
    <w:rsid w:val="003851C9"/>
    <w:rsid w:val="00385A9D"/>
    <w:rsid w:val="00385CE9"/>
    <w:rsid w:val="003861C0"/>
    <w:rsid w:val="003865D4"/>
    <w:rsid w:val="00386EB9"/>
    <w:rsid w:val="00387121"/>
    <w:rsid w:val="003902B1"/>
    <w:rsid w:val="00390502"/>
    <w:rsid w:val="003907AE"/>
    <w:rsid w:val="00391469"/>
    <w:rsid w:val="003916D3"/>
    <w:rsid w:val="0039179C"/>
    <w:rsid w:val="00391EF4"/>
    <w:rsid w:val="00391F8D"/>
    <w:rsid w:val="00392B7C"/>
    <w:rsid w:val="00392CC9"/>
    <w:rsid w:val="00393BB8"/>
    <w:rsid w:val="00393DBA"/>
    <w:rsid w:val="00394A68"/>
    <w:rsid w:val="00394E2C"/>
    <w:rsid w:val="00394FB2"/>
    <w:rsid w:val="0039553D"/>
    <w:rsid w:val="00395E3F"/>
    <w:rsid w:val="00396896"/>
    <w:rsid w:val="00396F71"/>
    <w:rsid w:val="00396FD0"/>
    <w:rsid w:val="0039711B"/>
    <w:rsid w:val="00397CC6"/>
    <w:rsid w:val="003A0BA5"/>
    <w:rsid w:val="003A1586"/>
    <w:rsid w:val="003A1A7A"/>
    <w:rsid w:val="003A2392"/>
    <w:rsid w:val="003A2831"/>
    <w:rsid w:val="003A345A"/>
    <w:rsid w:val="003A3AAF"/>
    <w:rsid w:val="003A3CB6"/>
    <w:rsid w:val="003A3D1A"/>
    <w:rsid w:val="003A3ED1"/>
    <w:rsid w:val="003A44DB"/>
    <w:rsid w:val="003A4C14"/>
    <w:rsid w:val="003A4C86"/>
    <w:rsid w:val="003A502F"/>
    <w:rsid w:val="003A552E"/>
    <w:rsid w:val="003A5A0C"/>
    <w:rsid w:val="003A61C2"/>
    <w:rsid w:val="003A625D"/>
    <w:rsid w:val="003A640B"/>
    <w:rsid w:val="003A72A1"/>
    <w:rsid w:val="003B0E3F"/>
    <w:rsid w:val="003B2930"/>
    <w:rsid w:val="003B3847"/>
    <w:rsid w:val="003B3971"/>
    <w:rsid w:val="003B3989"/>
    <w:rsid w:val="003B39E5"/>
    <w:rsid w:val="003B3A3D"/>
    <w:rsid w:val="003B4186"/>
    <w:rsid w:val="003B48C0"/>
    <w:rsid w:val="003B53AF"/>
    <w:rsid w:val="003B55D1"/>
    <w:rsid w:val="003B5743"/>
    <w:rsid w:val="003B5B61"/>
    <w:rsid w:val="003B65A5"/>
    <w:rsid w:val="003B6699"/>
    <w:rsid w:val="003B7318"/>
    <w:rsid w:val="003B7EC9"/>
    <w:rsid w:val="003C0CB4"/>
    <w:rsid w:val="003C0CED"/>
    <w:rsid w:val="003C1604"/>
    <w:rsid w:val="003C1654"/>
    <w:rsid w:val="003C177F"/>
    <w:rsid w:val="003C2905"/>
    <w:rsid w:val="003C307A"/>
    <w:rsid w:val="003C44B2"/>
    <w:rsid w:val="003C4D97"/>
    <w:rsid w:val="003C5542"/>
    <w:rsid w:val="003C56B5"/>
    <w:rsid w:val="003C56CF"/>
    <w:rsid w:val="003C63C5"/>
    <w:rsid w:val="003C65ED"/>
    <w:rsid w:val="003C6617"/>
    <w:rsid w:val="003C668B"/>
    <w:rsid w:val="003C6845"/>
    <w:rsid w:val="003C7C15"/>
    <w:rsid w:val="003C7C3B"/>
    <w:rsid w:val="003C7D19"/>
    <w:rsid w:val="003C7D2F"/>
    <w:rsid w:val="003C7F2B"/>
    <w:rsid w:val="003D0321"/>
    <w:rsid w:val="003D0C5A"/>
    <w:rsid w:val="003D13C0"/>
    <w:rsid w:val="003D1828"/>
    <w:rsid w:val="003D1DE4"/>
    <w:rsid w:val="003D1E9A"/>
    <w:rsid w:val="003D2422"/>
    <w:rsid w:val="003D2ABC"/>
    <w:rsid w:val="003D2ACB"/>
    <w:rsid w:val="003D39A1"/>
    <w:rsid w:val="003D3FBF"/>
    <w:rsid w:val="003D419C"/>
    <w:rsid w:val="003D4A30"/>
    <w:rsid w:val="003D5CE3"/>
    <w:rsid w:val="003D5F5D"/>
    <w:rsid w:val="003D6882"/>
    <w:rsid w:val="003D6D28"/>
    <w:rsid w:val="003D7452"/>
    <w:rsid w:val="003D79BB"/>
    <w:rsid w:val="003D7C98"/>
    <w:rsid w:val="003D7D8E"/>
    <w:rsid w:val="003D7D9D"/>
    <w:rsid w:val="003D7E17"/>
    <w:rsid w:val="003E03B9"/>
    <w:rsid w:val="003E04DE"/>
    <w:rsid w:val="003E0543"/>
    <w:rsid w:val="003E13FD"/>
    <w:rsid w:val="003E1D5D"/>
    <w:rsid w:val="003E3496"/>
    <w:rsid w:val="003E3D7C"/>
    <w:rsid w:val="003E3EB4"/>
    <w:rsid w:val="003E3FF3"/>
    <w:rsid w:val="003E5603"/>
    <w:rsid w:val="003E5FD2"/>
    <w:rsid w:val="003E65BF"/>
    <w:rsid w:val="003E749E"/>
    <w:rsid w:val="003E7E7E"/>
    <w:rsid w:val="003F0374"/>
    <w:rsid w:val="003F05E1"/>
    <w:rsid w:val="003F0872"/>
    <w:rsid w:val="003F09C8"/>
    <w:rsid w:val="003F0DF9"/>
    <w:rsid w:val="003F161E"/>
    <w:rsid w:val="003F1C6C"/>
    <w:rsid w:val="003F1D0F"/>
    <w:rsid w:val="003F2065"/>
    <w:rsid w:val="003F2C77"/>
    <w:rsid w:val="003F2D47"/>
    <w:rsid w:val="003F3A46"/>
    <w:rsid w:val="003F40B5"/>
    <w:rsid w:val="003F4156"/>
    <w:rsid w:val="003F4DC5"/>
    <w:rsid w:val="003F500D"/>
    <w:rsid w:val="003F51BC"/>
    <w:rsid w:val="003F5ADF"/>
    <w:rsid w:val="003F649A"/>
    <w:rsid w:val="003F6613"/>
    <w:rsid w:val="003F78EF"/>
    <w:rsid w:val="004003CE"/>
    <w:rsid w:val="00400491"/>
    <w:rsid w:val="00400B29"/>
    <w:rsid w:val="00400F45"/>
    <w:rsid w:val="004012F3"/>
    <w:rsid w:val="004017DC"/>
    <w:rsid w:val="00401D5B"/>
    <w:rsid w:val="00401DDF"/>
    <w:rsid w:val="00402812"/>
    <w:rsid w:val="00402BAF"/>
    <w:rsid w:val="0040504B"/>
    <w:rsid w:val="0040578F"/>
    <w:rsid w:val="004059F4"/>
    <w:rsid w:val="00405A4D"/>
    <w:rsid w:val="0040722A"/>
    <w:rsid w:val="00407249"/>
    <w:rsid w:val="00407526"/>
    <w:rsid w:val="00407FE5"/>
    <w:rsid w:val="00407FF7"/>
    <w:rsid w:val="004101B0"/>
    <w:rsid w:val="00410326"/>
    <w:rsid w:val="00410708"/>
    <w:rsid w:val="00410EC7"/>
    <w:rsid w:val="0041120F"/>
    <w:rsid w:val="00411B39"/>
    <w:rsid w:val="00411CD6"/>
    <w:rsid w:val="004125B0"/>
    <w:rsid w:val="0041267A"/>
    <w:rsid w:val="004127A7"/>
    <w:rsid w:val="00413A1E"/>
    <w:rsid w:val="00414476"/>
    <w:rsid w:val="00414C2E"/>
    <w:rsid w:val="00414C92"/>
    <w:rsid w:val="004151CF"/>
    <w:rsid w:val="004156A8"/>
    <w:rsid w:val="00415C10"/>
    <w:rsid w:val="00416364"/>
    <w:rsid w:val="004169CE"/>
    <w:rsid w:val="00417AE4"/>
    <w:rsid w:val="00420338"/>
    <w:rsid w:val="0042047F"/>
    <w:rsid w:val="00420AA6"/>
    <w:rsid w:val="00420B9F"/>
    <w:rsid w:val="00421838"/>
    <w:rsid w:val="004218E3"/>
    <w:rsid w:val="0042192C"/>
    <w:rsid w:val="0042198C"/>
    <w:rsid w:val="00421AC1"/>
    <w:rsid w:val="004221DB"/>
    <w:rsid w:val="00422260"/>
    <w:rsid w:val="004224D9"/>
    <w:rsid w:val="00423E58"/>
    <w:rsid w:val="00423EE0"/>
    <w:rsid w:val="00423FF8"/>
    <w:rsid w:val="00424018"/>
    <w:rsid w:val="0042413F"/>
    <w:rsid w:val="00424A52"/>
    <w:rsid w:val="00426734"/>
    <w:rsid w:val="004269EF"/>
    <w:rsid w:val="00427712"/>
    <w:rsid w:val="0042797C"/>
    <w:rsid w:val="00430AE7"/>
    <w:rsid w:val="004319F8"/>
    <w:rsid w:val="00431DE8"/>
    <w:rsid w:val="00431E55"/>
    <w:rsid w:val="00432101"/>
    <w:rsid w:val="004321F6"/>
    <w:rsid w:val="0043237D"/>
    <w:rsid w:val="0043286D"/>
    <w:rsid w:val="00432A4C"/>
    <w:rsid w:val="00433044"/>
    <w:rsid w:val="00434088"/>
    <w:rsid w:val="0043537E"/>
    <w:rsid w:val="0043564F"/>
    <w:rsid w:val="004375B9"/>
    <w:rsid w:val="004376C2"/>
    <w:rsid w:val="0043781B"/>
    <w:rsid w:val="00437FCE"/>
    <w:rsid w:val="00440D6C"/>
    <w:rsid w:val="004428C2"/>
    <w:rsid w:val="004428D0"/>
    <w:rsid w:val="00442F58"/>
    <w:rsid w:val="00443303"/>
    <w:rsid w:val="00443B77"/>
    <w:rsid w:val="00444185"/>
    <w:rsid w:val="004443A7"/>
    <w:rsid w:val="0044442C"/>
    <w:rsid w:val="00444886"/>
    <w:rsid w:val="0044514B"/>
    <w:rsid w:val="00445941"/>
    <w:rsid w:val="00445C5A"/>
    <w:rsid w:val="004464EB"/>
    <w:rsid w:val="0044718C"/>
    <w:rsid w:val="00447BEC"/>
    <w:rsid w:val="00447D26"/>
    <w:rsid w:val="00447DFC"/>
    <w:rsid w:val="00451B61"/>
    <w:rsid w:val="00455D45"/>
    <w:rsid w:val="00455DD3"/>
    <w:rsid w:val="00455EE1"/>
    <w:rsid w:val="00455FCB"/>
    <w:rsid w:val="00456F25"/>
    <w:rsid w:val="00457D81"/>
    <w:rsid w:val="00460CC5"/>
    <w:rsid w:val="00460E11"/>
    <w:rsid w:val="00460EE8"/>
    <w:rsid w:val="0046105D"/>
    <w:rsid w:val="0046161D"/>
    <w:rsid w:val="0046332D"/>
    <w:rsid w:val="00464595"/>
    <w:rsid w:val="00464C04"/>
    <w:rsid w:val="00464DAB"/>
    <w:rsid w:val="004658B5"/>
    <w:rsid w:val="004661CC"/>
    <w:rsid w:val="00467446"/>
    <w:rsid w:val="00467EFD"/>
    <w:rsid w:val="004702B9"/>
    <w:rsid w:val="00470A72"/>
    <w:rsid w:val="004712D8"/>
    <w:rsid w:val="00471EA5"/>
    <w:rsid w:val="00472077"/>
    <w:rsid w:val="00472A79"/>
    <w:rsid w:val="00472B3E"/>
    <w:rsid w:val="0047372D"/>
    <w:rsid w:val="00473A7A"/>
    <w:rsid w:val="00473F19"/>
    <w:rsid w:val="004742FA"/>
    <w:rsid w:val="00474AF3"/>
    <w:rsid w:val="00474CCF"/>
    <w:rsid w:val="00474F1B"/>
    <w:rsid w:val="00474F1C"/>
    <w:rsid w:val="00475E22"/>
    <w:rsid w:val="00476443"/>
    <w:rsid w:val="00476ECC"/>
    <w:rsid w:val="004779C7"/>
    <w:rsid w:val="00477BB6"/>
    <w:rsid w:val="0048088E"/>
    <w:rsid w:val="00480C70"/>
    <w:rsid w:val="00480F2B"/>
    <w:rsid w:val="00481A18"/>
    <w:rsid w:val="00482720"/>
    <w:rsid w:val="004835E7"/>
    <w:rsid w:val="0048500C"/>
    <w:rsid w:val="0048528F"/>
    <w:rsid w:val="004859E1"/>
    <w:rsid w:val="004859E3"/>
    <w:rsid w:val="00485B77"/>
    <w:rsid w:val="00486621"/>
    <w:rsid w:val="004866D9"/>
    <w:rsid w:val="004867E2"/>
    <w:rsid w:val="0048694F"/>
    <w:rsid w:val="00486F3F"/>
    <w:rsid w:val="00487300"/>
    <w:rsid w:val="0048743A"/>
    <w:rsid w:val="00490B17"/>
    <w:rsid w:val="0049103D"/>
    <w:rsid w:val="00491B3A"/>
    <w:rsid w:val="004924D6"/>
    <w:rsid w:val="00492C27"/>
    <w:rsid w:val="00492CFD"/>
    <w:rsid w:val="004936B1"/>
    <w:rsid w:val="00493F51"/>
    <w:rsid w:val="00494207"/>
    <w:rsid w:val="00494DD5"/>
    <w:rsid w:val="00495DB3"/>
    <w:rsid w:val="00495DE5"/>
    <w:rsid w:val="004962D2"/>
    <w:rsid w:val="00496E0A"/>
    <w:rsid w:val="0049729D"/>
    <w:rsid w:val="00497F31"/>
    <w:rsid w:val="004A0011"/>
    <w:rsid w:val="004A0DA1"/>
    <w:rsid w:val="004A12CE"/>
    <w:rsid w:val="004A13D6"/>
    <w:rsid w:val="004A2CF2"/>
    <w:rsid w:val="004A3C92"/>
    <w:rsid w:val="004A3E85"/>
    <w:rsid w:val="004A457C"/>
    <w:rsid w:val="004A52E9"/>
    <w:rsid w:val="004A58ED"/>
    <w:rsid w:val="004A5BAB"/>
    <w:rsid w:val="004A6040"/>
    <w:rsid w:val="004A61EB"/>
    <w:rsid w:val="004A6597"/>
    <w:rsid w:val="004A77FC"/>
    <w:rsid w:val="004A7848"/>
    <w:rsid w:val="004A793B"/>
    <w:rsid w:val="004A7FF3"/>
    <w:rsid w:val="004B0BFB"/>
    <w:rsid w:val="004B1217"/>
    <w:rsid w:val="004B1CB4"/>
    <w:rsid w:val="004B2284"/>
    <w:rsid w:val="004B2F18"/>
    <w:rsid w:val="004B3AAF"/>
    <w:rsid w:val="004B3DDB"/>
    <w:rsid w:val="004B3F16"/>
    <w:rsid w:val="004B44FD"/>
    <w:rsid w:val="004B464C"/>
    <w:rsid w:val="004B4BEF"/>
    <w:rsid w:val="004B598F"/>
    <w:rsid w:val="004B5CF3"/>
    <w:rsid w:val="004B5CFC"/>
    <w:rsid w:val="004B5FA8"/>
    <w:rsid w:val="004B6071"/>
    <w:rsid w:val="004B6F79"/>
    <w:rsid w:val="004B731C"/>
    <w:rsid w:val="004B774D"/>
    <w:rsid w:val="004B7BB2"/>
    <w:rsid w:val="004B7D7E"/>
    <w:rsid w:val="004C04BB"/>
    <w:rsid w:val="004C0606"/>
    <w:rsid w:val="004C0920"/>
    <w:rsid w:val="004C0B0C"/>
    <w:rsid w:val="004C2AC2"/>
    <w:rsid w:val="004C2EC9"/>
    <w:rsid w:val="004C2FDE"/>
    <w:rsid w:val="004C3758"/>
    <w:rsid w:val="004C4AED"/>
    <w:rsid w:val="004C4E48"/>
    <w:rsid w:val="004C5FCB"/>
    <w:rsid w:val="004C65F6"/>
    <w:rsid w:val="004C68E0"/>
    <w:rsid w:val="004C7D06"/>
    <w:rsid w:val="004D0176"/>
    <w:rsid w:val="004D020E"/>
    <w:rsid w:val="004D0CED"/>
    <w:rsid w:val="004D1358"/>
    <w:rsid w:val="004D28A2"/>
    <w:rsid w:val="004D2C2D"/>
    <w:rsid w:val="004D2DB4"/>
    <w:rsid w:val="004D2F2D"/>
    <w:rsid w:val="004D309D"/>
    <w:rsid w:val="004D40BB"/>
    <w:rsid w:val="004D49EC"/>
    <w:rsid w:val="004D5047"/>
    <w:rsid w:val="004D656C"/>
    <w:rsid w:val="004D69B5"/>
    <w:rsid w:val="004D6A25"/>
    <w:rsid w:val="004D6F53"/>
    <w:rsid w:val="004D7227"/>
    <w:rsid w:val="004D7B5E"/>
    <w:rsid w:val="004E03CA"/>
    <w:rsid w:val="004E0E76"/>
    <w:rsid w:val="004E0E7F"/>
    <w:rsid w:val="004E0EB8"/>
    <w:rsid w:val="004E18E9"/>
    <w:rsid w:val="004E1E27"/>
    <w:rsid w:val="004E2ADC"/>
    <w:rsid w:val="004E4073"/>
    <w:rsid w:val="004E43B2"/>
    <w:rsid w:val="004E4EB3"/>
    <w:rsid w:val="004E4EFB"/>
    <w:rsid w:val="004E53DD"/>
    <w:rsid w:val="004E5A4D"/>
    <w:rsid w:val="004E5C9A"/>
    <w:rsid w:val="004E6599"/>
    <w:rsid w:val="004E69DD"/>
    <w:rsid w:val="004E70B5"/>
    <w:rsid w:val="004E790D"/>
    <w:rsid w:val="004E7E83"/>
    <w:rsid w:val="004F1383"/>
    <w:rsid w:val="004F1CFB"/>
    <w:rsid w:val="004F1D02"/>
    <w:rsid w:val="004F20F7"/>
    <w:rsid w:val="004F21E7"/>
    <w:rsid w:val="004F2679"/>
    <w:rsid w:val="004F2918"/>
    <w:rsid w:val="004F2F21"/>
    <w:rsid w:val="004F3B2A"/>
    <w:rsid w:val="004F3DE5"/>
    <w:rsid w:val="004F45B0"/>
    <w:rsid w:val="004F53E6"/>
    <w:rsid w:val="004F5407"/>
    <w:rsid w:val="004F5B6B"/>
    <w:rsid w:val="004F6913"/>
    <w:rsid w:val="004F715F"/>
    <w:rsid w:val="004F7865"/>
    <w:rsid w:val="004F7C44"/>
    <w:rsid w:val="0050027A"/>
    <w:rsid w:val="005009D3"/>
    <w:rsid w:val="0050174E"/>
    <w:rsid w:val="00501854"/>
    <w:rsid w:val="0050219B"/>
    <w:rsid w:val="00502282"/>
    <w:rsid w:val="00502334"/>
    <w:rsid w:val="00502C99"/>
    <w:rsid w:val="00502CF3"/>
    <w:rsid w:val="0050311E"/>
    <w:rsid w:val="005034F9"/>
    <w:rsid w:val="00503B5C"/>
    <w:rsid w:val="00503F17"/>
    <w:rsid w:val="00503F3A"/>
    <w:rsid w:val="0050435D"/>
    <w:rsid w:val="005054BD"/>
    <w:rsid w:val="005061E4"/>
    <w:rsid w:val="0050624E"/>
    <w:rsid w:val="0050657B"/>
    <w:rsid w:val="00506928"/>
    <w:rsid w:val="00506BFE"/>
    <w:rsid w:val="005077EF"/>
    <w:rsid w:val="0050786D"/>
    <w:rsid w:val="00511420"/>
    <w:rsid w:val="00511426"/>
    <w:rsid w:val="00511AD5"/>
    <w:rsid w:val="00511C9E"/>
    <w:rsid w:val="00511DC7"/>
    <w:rsid w:val="00512162"/>
    <w:rsid w:val="00512953"/>
    <w:rsid w:val="0051302F"/>
    <w:rsid w:val="00513151"/>
    <w:rsid w:val="0051398C"/>
    <w:rsid w:val="00513C77"/>
    <w:rsid w:val="005142C5"/>
    <w:rsid w:val="005147DF"/>
    <w:rsid w:val="00514B83"/>
    <w:rsid w:val="00514C60"/>
    <w:rsid w:val="0051501B"/>
    <w:rsid w:val="005152B5"/>
    <w:rsid w:val="00515370"/>
    <w:rsid w:val="00515886"/>
    <w:rsid w:val="005162D5"/>
    <w:rsid w:val="0051631D"/>
    <w:rsid w:val="0052034C"/>
    <w:rsid w:val="0052123C"/>
    <w:rsid w:val="00521319"/>
    <w:rsid w:val="00521B58"/>
    <w:rsid w:val="00521D70"/>
    <w:rsid w:val="005222E3"/>
    <w:rsid w:val="00522588"/>
    <w:rsid w:val="00522BC8"/>
    <w:rsid w:val="00522F71"/>
    <w:rsid w:val="00523796"/>
    <w:rsid w:val="00523A19"/>
    <w:rsid w:val="00523C28"/>
    <w:rsid w:val="00523D05"/>
    <w:rsid w:val="00524542"/>
    <w:rsid w:val="00524677"/>
    <w:rsid w:val="00525D19"/>
    <w:rsid w:val="00526627"/>
    <w:rsid w:val="00526BE0"/>
    <w:rsid w:val="00526FFC"/>
    <w:rsid w:val="005307C7"/>
    <w:rsid w:val="00530D3B"/>
    <w:rsid w:val="0053176B"/>
    <w:rsid w:val="00531D9C"/>
    <w:rsid w:val="00532727"/>
    <w:rsid w:val="00532852"/>
    <w:rsid w:val="005341B3"/>
    <w:rsid w:val="0053421E"/>
    <w:rsid w:val="0053431B"/>
    <w:rsid w:val="0053471F"/>
    <w:rsid w:val="0053528C"/>
    <w:rsid w:val="005356ED"/>
    <w:rsid w:val="005363DA"/>
    <w:rsid w:val="0053682F"/>
    <w:rsid w:val="00536A25"/>
    <w:rsid w:val="00536D24"/>
    <w:rsid w:val="00536F42"/>
    <w:rsid w:val="00537182"/>
    <w:rsid w:val="005372A4"/>
    <w:rsid w:val="00540992"/>
    <w:rsid w:val="00541367"/>
    <w:rsid w:val="00541535"/>
    <w:rsid w:val="00541EDD"/>
    <w:rsid w:val="00542743"/>
    <w:rsid w:val="005428A0"/>
    <w:rsid w:val="00542C01"/>
    <w:rsid w:val="00542C2D"/>
    <w:rsid w:val="00543154"/>
    <w:rsid w:val="0054353F"/>
    <w:rsid w:val="005448D6"/>
    <w:rsid w:val="00545ABC"/>
    <w:rsid w:val="00545D60"/>
    <w:rsid w:val="00546662"/>
    <w:rsid w:val="005478BD"/>
    <w:rsid w:val="005479E3"/>
    <w:rsid w:val="00551985"/>
    <w:rsid w:val="005520B8"/>
    <w:rsid w:val="005528AC"/>
    <w:rsid w:val="00552BD3"/>
    <w:rsid w:val="00552C5E"/>
    <w:rsid w:val="005532A0"/>
    <w:rsid w:val="005536CF"/>
    <w:rsid w:val="00553AF4"/>
    <w:rsid w:val="0055483D"/>
    <w:rsid w:val="00554FE4"/>
    <w:rsid w:val="00555109"/>
    <w:rsid w:val="005551AF"/>
    <w:rsid w:val="00556B35"/>
    <w:rsid w:val="0055741A"/>
    <w:rsid w:val="0055758B"/>
    <w:rsid w:val="005611B7"/>
    <w:rsid w:val="00561519"/>
    <w:rsid w:val="0056167D"/>
    <w:rsid w:val="005616B0"/>
    <w:rsid w:val="00561823"/>
    <w:rsid w:val="005618D4"/>
    <w:rsid w:val="00564816"/>
    <w:rsid w:val="00564867"/>
    <w:rsid w:val="00565C79"/>
    <w:rsid w:val="00565DF0"/>
    <w:rsid w:val="00566042"/>
    <w:rsid w:val="00566068"/>
    <w:rsid w:val="0056696F"/>
    <w:rsid w:val="00570060"/>
    <w:rsid w:val="00570893"/>
    <w:rsid w:val="00570ABC"/>
    <w:rsid w:val="00570DA6"/>
    <w:rsid w:val="00571915"/>
    <w:rsid w:val="00572269"/>
    <w:rsid w:val="0057244A"/>
    <w:rsid w:val="0057263C"/>
    <w:rsid w:val="00572920"/>
    <w:rsid w:val="00572A67"/>
    <w:rsid w:val="00572F26"/>
    <w:rsid w:val="00574057"/>
    <w:rsid w:val="00574CAB"/>
    <w:rsid w:val="00574F1D"/>
    <w:rsid w:val="005750C5"/>
    <w:rsid w:val="005752DE"/>
    <w:rsid w:val="005753D0"/>
    <w:rsid w:val="00575601"/>
    <w:rsid w:val="00575D60"/>
    <w:rsid w:val="00575D8D"/>
    <w:rsid w:val="00576747"/>
    <w:rsid w:val="00576972"/>
    <w:rsid w:val="00577248"/>
    <w:rsid w:val="0058137E"/>
    <w:rsid w:val="00582290"/>
    <w:rsid w:val="00582956"/>
    <w:rsid w:val="005830DA"/>
    <w:rsid w:val="005835D6"/>
    <w:rsid w:val="00583699"/>
    <w:rsid w:val="005854D9"/>
    <w:rsid w:val="00585CDD"/>
    <w:rsid w:val="00586ECE"/>
    <w:rsid w:val="00587058"/>
    <w:rsid w:val="00590324"/>
    <w:rsid w:val="005918EB"/>
    <w:rsid w:val="00591957"/>
    <w:rsid w:val="00592074"/>
    <w:rsid w:val="0059243B"/>
    <w:rsid w:val="00593626"/>
    <w:rsid w:val="00593BCF"/>
    <w:rsid w:val="00594007"/>
    <w:rsid w:val="005942A5"/>
    <w:rsid w:val="00594D0D"/>
    <w:rsid w:val="005952FD"/>
    <w:rsid w:val="0059562E"/>
    <w:rsid w:val="00595FA0"/>
    <w:rsid w:val="005970D7"/>
    <w:rsid w:val="005971D3"/>
    <w:rsid w:val="00597BF9"/>
    <w:rsid w:val="00597C29"/>
    <w:rsid w:val="005A0567"/>
    <w:rsid w:val="005A0C11"/>
    <w:rsid w:val="005A0DB1"/>
    <w:rsid w:val="005A248F"/>
    <w:rsid w:val="005A309A"/>
    <w:rsid w:val="005A316C"/>
    <w:rsid w:val="005A373D"/>
    <w:rsid w:val="005A4A30"/>
    <w:rsid w:val="005A62EC"/>
    <w:rsid w:val="005A7A8E"/>
    <w:rsid w:val="005B05A7"/>
    <w:rsid w:val="005B08CD"/>
    <w:rsid w:val="005B0B58"/>
    <w:rsid w:val="005B0D20"/>
    <w:rsid w:val="005B0E5F"/>
    <w:rsid w:val="005B0F27"/>
    <w:rsid w:val="005B166D"/>
    <w:rsid w:val="005B16D6"/>
    <w:rsid w:val="005B28D2"/>
    <w:rsid w:val="005B3B8B"/>
    <w:rsid w:val="005B3F6C"/>
    <w:rsid w:val="005B458E"/>
    <w:rsid w:val="005B45C4"/>
    <w:rsid w:val="005B4910"/>
    <w:rsid w:val="005B4E53"/>
    <w:rsid w:val="005B565A"/>
    <w:rsid w:val="005B5857"/>
    <w:rsid w:val="005B5D83"/>
    <w:rsid w:val="005B5ECC"/>
    <w:rsid w:val="005B62E1"/>
    <w:rsid w:val="005B66DA"/>
    <w:rsid w:val="005B6B02"/>
    <w:rsid w:val="005B6E61"/>
    <w:rsid w:val="005B7C87"/>
    <w:rsid w:val="005C0190"/>
    <w:rsid w:val="005C0275"/>
    <w:rsid w:val="005C04B2"/>
    <w:rsid w:val="005C135F"/>
    <w:rsid w:val="005C19C4"/>
    <w:rsid w:val="005C1B83"/>
    <w:rsid w:val="005C1DAC"/>
    <w:rsid w:val="005C21D8"/>
    <w:rsid w:val="005C22A6"/>
    <w:rsid w:val="005C243A"/>
    <w:rsid w:val="005C25FF"/>
    <w:rsid w:val="005C2C2A"/>
    <w:rsid w:val="005C2D55"/>
    <w:rsid w:val="005C3108"/>
    <w:rsid w:val="005C31BB"/>
    <w:rsid w:val="005C346B"/>
    <w:rsid w:val="005C3BA4"/>
    <w:rsid w:val="005C5ABC"/>
    <w:rsid w:val="005C6095"/>
    <w:rsid w:val="005C688B"/>
    <w:rsid w:val="005C7D9E"/>
    <w:rsid w:val="005D044D"/>
    <w:rsid w:val="005D04A9"/>
    <w:rsid w:val="005D0ABD"/>
    <w:rsid w:val="005D18AD"/>
    <w:rsid w:val="005D23B1"/>
    <w:rsid w:val="005D26B4"/>
    <w:rsid w:val="005D4633"/>
    <w:rsid w:val="005D5759"/>
    <w:rsid w:val="005D589E"/>
    <w:rsid w:val="005D59CB"/>
    <w:rsid w:val="005D6102"/>
    <w:rsid w:val="005D70C3"/>
    <w:rsid w:val="005D7396"/>
    <w:rsid w:val="005D7759"/>
    <w:rsid w:val="005E0DF1"/>
    <w:rsid w:val="005E0F30"/>
    <w:rsid w:val="005E1647"/>
    <w:rsid w:val="005E1995"/>
    <w:rsid w:val="005E1DA2"/>
    <w:rsid w:val="005E2E65"/>
    <w:rsid w:val="005E2FB8"/>
    <w:rsid w:val="005E311B"/>
    <w:rsid w:val="005E3E47"/>
    <w:rsid w:val="005E47EB"/>
    <w:rsid w:val="005E4C68"/>
    <w:rsid w:val="005E5C14"/>
    <w:rsid w:val="005E6CBC"/>
    <w:rsid w:val="005E700A"/>
    <w:rsid w:val="005E72FF"/>
    <w:rsid w:val="005E73C0"/>
    <w:rsid w:val="005E7D30"/>
    <w:rsid w:val="005F07ED"/>
    <w:rsid w:val="005F0EF7"/>
    <w:rsid w:val="005F2706"/>
    <w:rsid w:val="005F3011"/>
    <w:rsid w:val="005F3020"/>
    <w:rsid w:val="005F39FB"/>
    <w:rsid w:val="005F3DAC"/>
    <w:rsid w:val="005F4527"/>
    <w:rsid w:val="005F5D75"/>
    <w:rsid w:val="005F6014"/>
    <w:rsid w:val="005F6231"/>
    <w:rsid w:val="005F6A8F"/>
    <w:rsid w:val="005F6BB7"/>
    <w:rsid w:val="005F7299"/>
    <w:rsid w:val="005F7588"/>
    <w:rsid w:val="006000CA"/>
    <w:rsid w:val="0060057F"/>
    <w:rsid w:val="00600E6B"/>
    <w:rsid w:val="00601540"/>
    <w:rsid w:val="00601609"/>
    <w:rsid w:val="00601FF0"/>
    <w:rsid w:val="00602874"/>
    <w:rsid w:val="00602BF1"/>
    <w:rsid w:val="00602FCF"/>
    <w:rsid w:val="0060372B"/>
    <w:rsid w:val="00603DB9"/>
    <w:rsid w:val="00604176"/>
    <w:rsid w:val="006043DB"/>
    <w:rsid w:val="00604518"/>
    <w:rsid w:val="0060482D"/>
    <w:rsid w:val="006048E9"/>
    <w:rsid w:val="0060493F"/>
    <w:rsid w:val="006053AA"/>
    <w:rsid w:val="006064F9"/>
    <w:rsid w:val="00606828"/>
    <w:rsid w:val="00606B40"/>
    <w:rsid w:val="00606E98"/>
    <w:rsid w:val="00606FBA"/>
    <w:rsid w:val="006071EE"/>
    <w:rsid w:val="00607669"/>
    <w:rsid w:val="006076F4"/>
    <w:rsid w:val="00607AFD"/>
    <w:rsid w:val="00611190"/>
    <w:rsid w:val="00611B12"/>
    <w:rsid w:val="00612622"/>
    <w:rsid w:val="00612B3B"/>
    <w:rsid w:val="00612F97"/>
    <w:rsid w:val="0061345D"/>
    <w:rsid w:val="00613C3C"/>
    <w:rsid w:val="0061418A"/>
    <w:rsid w:val="006141C6"/>
    <w:rsid w:val="00614615"/>
    <w:rsid w:val="00614C26"/>
    <w:rsid w:val="0061549B"/>
    <w:rsid w:val="00615567"/>
    <w:rsid w:val="006157D8"/>
    <w:rsid w:val="00616057"/>
    <w:rsid w:val="00616775"/>
    <w:rsid w:val="00616802"/>
    <w:rsid w:val="00616B94"/>
    <w:rsid w:val="00617371"/>
    <w:rsid w:val="006177AB"/>
    <w:rsid w:val="006179EF"/>
    <w:rsid w:val="00617E12"/>
    <w:rsid w:val="00620640"/>
    <w:rsid w:val="00620C25"/>
    <w:rsid w:val="00621135"/>
    <w:rsid w:val="00621477"/>
    <w:rsid w:val="0062158B"/>
    <w:rsid w:val="00621ADA"/>
    <w:rsid w:val="00621C6F"/>
    <w:rsid w:val="006224D1"/>
    <w:rsid w:val="006234C2"/>
    <w:rsid w:val="00623F7B"/>
    <w:rsid w:val="00624841"/>
    <w:rsid w:val="0062484D"/>
    <w:rsid w:val="00624BD4"/>
    <w:rsid w:val="00624D91"/>
    <w:rsid w:val="00626974"/>
    <w:rsid w:val="00626A77"/>
    <w:rsid w:val="00627A1D"/>
    <w:rsid w:val="00630160"/>
    <w:rsid w:val="006302D2"/>
    <w:rsid w:val="006304C8"/>
    <w:rsid w:val="00630720"/>
    <w:rsid w:val="006309B5"/>
    <w:rsid w:val="006313FA"/>
    <w:rsid w:val="0063158F"/>
    <w:rsid w:val="00631BFD"/>
    <w:rsid w:val="00631D6B"/>
    <w:rsid w:val="00632183"/>
    <w:rsid w:val="006325B5"/>
    <w:rsid w:val="00632A4C"/>
    <w:rsid w:val="00632DAC"/>
    <w:rsid w:val="00632E2C"/>
    <w:rsid w:val="006330A1"/>
    <w:rsid w:val="0063315C"/>
    <w:rsid w:val="00633374"/>
    <w:rsid w:val="00634137"/>
    <w:rsid w:val="006342FA"/>
    <w:rsid w:val="0063479F"/>
    <w:rsid w:val="00634B40"/>
    <w:rsid w:val="00634C46"/>
    <w:rsid w:val="00634D37"/>
    <w:rsid w:val="0063519B"/>
    <w:rsid w:val="006353F0"/>
    <w:rsid w:val="006354DE"/>
    <w:rsid w:val="006357B5"/>
    <w:rsid w:val="006364A1"/>
    <w:rsid w:val="0063678E"/>
    <w:rsid w:val="0063682D"/>
    <w:rsid w:val="00636A57"/>
    <w:rsid w:val="00636C49"/>
    <w:rsid w:val="0063775E"/>
    <w:rsid w:val="00637BFD"/>
    <w:rsid w:val="00637C5C"/>
    <w:rsid w:val="006403D8"/>
    <w:rsid w:val="00641C4E"/>
    <w:rsid w:val="00641FB3"/>
    <w:rsid w:val="00642006"/>
    <w:rsid w:val="0064215F"/>
    <w:rsid w:val="006427DB"/>
    <w:rsid w:val="00642D5E"/>
    <w:rsid w:val="00643E4F"/>
    <w:rsid w:val="0064434C"/>
    <w:rsid w:val="00644680"/>
    <w:rsid w:val="006457E2"/>
    <w:rsid w:val="00645E39"/>
    <w:rsid w:val="0064617F"/>
    <w:rsid w:val="00646BA9"/>
    <w:rsid w:val="00646E0B"/>
    <w:rsid w:val="006470CA"/>
    <w:rsid w:val="006471CC"/>
    <w:rsid w:val="006472FE"/>
    <w:rsid w:val="00647A29"/>
    <w:rsid w:val="0065079F"/>
    <w:rsid w:val="0065125F"/>
    <w:rsid w:val="00651829"/>
    <w:rsid w:val="00652A28"/>
    <w:rsid w:val="00652FC2"/>
    <w:rsid w:val="00653077"/>
    <w:rsid w:val="0065379F"/>
    <w:rsid w:val="00653FF9"/>
    <w:rsid w:val="00654D2D"/>
    <w:rsid w:val="00656188"/>
    <w:rsid w:val="0065618D"/>
    <w:rsid w:val="006562CA"/>
    <w:rsid w:val="00656AB8"/>
    <w:rsid w:val="0065715A"/>
    <w:rsid w:val="00657166"/>
    <w:rsid w:val="00657BC0"/>
    <w:rsid w:val="006601AA"/>
    <w:rsid w:val="006610F1"/>
    <w:rsid w:val="006618BA"/>
    <w:rsid w:val="00661C6B"/>
    <w:rsid w:val="0066299E"/>
    <w:rsid w:val="00662D3E"/>
    <w:rsid w:val="00662EE3"/>
    <w:rsid w:val="00663344"/>
    <w:rsid w:val="00663C2A"/>
    <w:rsid w:val="00664FC4"/>
    <w:rsid w:val="0066595F"/>
    <w:rsid w:val="00665C68"/>
    <w:rsid w:val="00665F2C"/>
    <w:rsid w:val="006660C1"/>
    <w:rsid w:val="00666EAB"/>
    <w:rsid w:val="00667BE3"/>
    <w:rsid w:val="00670060"/>
    <w:rsid w:val="006706FA"/>
    <w:rsid w:val="00671004"/>
    <w:rsid w:val="006713D5"/>
    <w:rsid w:val="0067164E"/>
    <w:rsid w:val="00671FB9"/>
    <w:rsid w:val="00672646"/>
    <w:rsid w:val="0067269C"/>
    <w:rsid w:val="00672997"/>
    <w:rsid w:val="00672ED1"/>
    <w:rsid w:val="00673FD9"/>
    <w:rsid w:val="00674093"/>
    <w:rsid w:val="00674992"/>
    <w:rsid w:val="00674E42"/>
    <w:rsid w:val="0067583C"/>
    <w:rsid w:val="00676563"/>
    <w:rsid w:val="00677213"/>
    <w:rsid w:val="00677ADC"/>
    <w:rsid w:val="006805D4"/>
    <w:rsid w:val="006806AB"/>
    <w:rsid w:val="006813F8"/>
    <w:rsid w:val="006814EE"/>
    <w:rsid w:val="00682112"/>
    <w:rsid w:val="0068256C"/>
    <w:rsid w:val="00682BA6"/>
    <w:rsid w:val="00682CAF"/>
    <w:rsid w:val="0068315F"/>
    <w:rsid w:val="006831EA"/>
    <w:rsid w:val="00683613"/>
    <w:rsid w:val="00684693"/>
    <w:rsid w:val="00685410"/>
    <w:rsid w:val="006856F7"/>
    <w:rsid w:val="00686327"/>
    <w:rsid w:val="0068638F"/>
    <w:rsid w:val="006868B7"/>
    <w:rsid w:val="00686957"/>
    <w:rsid w:val="006872BA"/>
    <w:rsid w:val="00687547"/>
    <w:rsid w:val="00687F19"/>
    <w:rsid w:val="0069070C"/>
    <w:rsid w:val="00690795"/>
    <w:rsid w:val="006907BF"/>
    <w:rsid w:val="006914A0"/>
    <w:rsid w:val="00691648"/>
    <w:rsid w:val="006917D7"/>
    <w:rsid w:val="00691CD4"/>
    <w:rsid w:val="00691EBE"/>
    <w:rsid w:val="00692659"/>
    <w:rsid w:val="00692790"/>
    <w:rsid w:val="00693388"/>
    <w:rsid w:val="006939D2"/>
    <w:rsid w:val="0069434C"/>
    <w:rsid w:val="0069436E"/>
    <w:rsid w:val="00694F44"/>
    <w:rsid w:val="00695E07"/>
    <w:rsid w:val="00696132"/>
    <w:rsid w:val="00696350"/>
    <w:rsid w:val="00696BA2"/>
    <w:rsid w:val="00696C18"/>
    <w:rsid w:val="00696EF9"/>
    <w:rsid w:val="00696F51"/>
    <w:rsid w:val="0069765C"/>
    <w:rsid w:val="006979A5"/>
    <w:rsid w:val="00697C28"/>
    <w:rsid w:val="006A016F"/>
    <w:rsid w:val="006A0DF7"/>
    <w:rsid w:val="006A1A92"/>
    <w:rsid w:val="006A2D77"/>
    <w:rsid w:val="006A3726"/>
    <w:rsid w:val="006A4321"/>
    <w:rsid w:val="006A43D9"/>
    <w:rsid w:val="006A4458"/>
    <w:rsid w:val="006A5D1B"/>
    <w:rsid w:val="006A5EA9"/>
    <w:rsid w:val="006A6B99"/>
    <w:rsid w:val="006A6EDD"/>
    <w:rsid w:val="006A721D"/>
    <w:rsid w:val="006A7443"/>
    <w:rsid w:val="006A7E5F"/>
    <w:rsid w:val="006B0012"/>
    <w:rsid w:val="006B055E"/>
    <w:rsid w:val="006B0796"/>
    <w:rsid w:val="006B19AB"/>
    <w:rsid w:val="006B261B"/>
    <w:rsid w:val="006B276A"/>
    <w:rsid w:val="006B2C90"/>
    <w:rsid w:val="006B3343"/>
    <w:rsid w:val="006B343C"/>
    <w:rsid w:val="006B35E6"/>
    <w:rsid w:val="006B3844"/>
    <w:rsid w:val="006B444D"/>
    <w:rsid w:val="006B465A"/>
    <w:rsid w:val="006B4D02"/>
    <w:rsid w:val="006B516E"/>
    <w:rsid w:val="006B536D"/>
    <w:rsid w:val="006B5524"/>
    <w:rsid w:val="006B6965"/>
    <w:rsid w:val="006B6DD0"/>
    <w:rsid w:val="006B70A2"/>
    <w:rsid w:val="006B7878"/>
    <w:rsid w:val="006B7CF8"/>
    <w:rsid w:val="006C0399"/>
    <w:rsid w:val="006C0AB8"/>
    <w:rsid w:val="006C0D60"/>
    <w:rsid w:val="006C14A6"/>
    <w:rsid w:val="006C261C"/>
    <w:rsid w:val="006C2A8E"/>
    <w:rsid w:val="006C2F5D"/>
    <w:rsid w:val="006C3255"/>
    <w:rsid w:val="006C36BA"/>
    <w:rsid w:val="006C37B4"/>
    <w:rsid w:val="006C386D"/>
    <w:rsid w:val="006C392E"/>
    <w:rsid w:val="006C3F26"/>
    <w:rsid w:val="006C3FEE"/>
    <w:rsid w:val="006C482C"/>
    <w:rsid w:val="006C4F30"/>
    <w:rsid w:val="006C5811"/>
    <w:rsid w:val="006D029D"/>
    <w:rsid w:val="006D06E0"/>
    <w:rsid w:val="006D0D17"/>
    <w:rsid w:val="006D1303"/>
    <w:rsid w:val="006D219D"/>
    <w:rsid w:val="006D2A83"/>
    <w:rsid w:val="006D3741"/>
    <w:rsid w:val="006D3C7D"/>
    <w:rsid w:val="006D3CED"/>
    <w:rsid w:val="006D3E88"/>
    <w:rsid w:val="006D4659"/>
    <w:rsid w:val="006D4B36"/>
    <w:rsid w:val="006D4BD3"/>
    <w:rsid w:val="006D4BF6"/>
    <w:rsid w:val="006D57D3"/>
    <w:rsid w:val="006D5D5F"/>
    <w:rsid w:val="006D67E6"/>
    <w:rsid w:val="006D68D8"/>
    <w:rsid w:val="006D68FB"/>
    <w:rsid w:val="006D69AE"/>
    <w:rsid w:val="006D7631"/>
    <w:rsid w:val="006D7A11"/>
    <w:rsid w:val="006D7FC5"/>
    <w:rsid w:val="006D7FE8"/>
    <w:rsid w:val="006E1E13"/>
    <w:rsid w:val="006E2868"/>
    <w:rsid w:val="006E2A88"/>
    <w:rsid w:val="006E3163"/>
    <w:rsid w:val="006E40D8"/>
    <w:rsid w:val="006E4155"/>
    <w:rsid w:val="006E447A"/>
    <w:rsid w:val="006E5C75"/>
    <w:rsid w:val="006E79B9"/>
    <w:rsid w:val="006E7C25"/>
    <w:rsid w:val="006F02CD"/>
    <w:rsid w:val="006F268F"/>
    <w:rsid w:val="006F29C8"/>
    <w:rsid w:val="006F306C"/>
    <w:rsid w:val="006F37F9"/>
    <w:rsid w:val="006F3A72"/>
    <w:rsid w:val="006F47FB"/>
    <w:rsid w:val="006F599F"/>
    <w:rsid w:val="006F59CE"/>
    <w:rsid w:val="006F6371"/>
    <w:rsid w:val="006F6397"/>
    <w:rsid w:val="006F63A5"/>
    <w:rsid w:val="006F75A6"/>
    <w:rsid w:val="006F78F0"/>
    <w:rsid w:val="006F7B00"/>
    <w:rsid w:val="006F7CB2"/>
    <w:rsid w:val="007004D0"/>
    <w:rsid w:val="0070052A"/>
    <w:rsid w:val="00701032"/>
    <w:rsid w:val="0070142B"/>
    <w:rsid w:val="007019F5"/>
    <w:rsid w:val="00702033"/>
    <w:rsid w:val="0070205D"/>
    <w:rsid w:val="0070276E"/>
    <w:rsid w:val="0070281F"/>
    <w:rsid w:val="00702F59"/>
    <w:rsid w:val="00702F8F"/>
    <w:rsid w:val="00703ED5"/>
    <w:rsid w:val="00703EE2"/>
    <w:rsid w:val="00704579"/>
    <w:rsid w:val="00705393"/>
    <w:rsid w:val="00705EE8"/>
    <w:rsid w:val="007062AF"/>
    <w:rsid w:val="00706366"/>
    <w:rsid w:val="007067B9"/>
    <w:rsid w:val="00706AFE"/>
    <w:rsid w:val="00706BFB"/>
    <w:rsid w:val="0070743E"/>
    <w:rsid w:val="0070795C"/>
    <w:rsid w:val="007079FC"/>
    <w:rsid w:val="00707E4A"/>
    <w:rsid w:val="0071068A"/>
    <w:rsid w:val="0071084B"/>
    <w:rsid w:val="00710D6E"/>
    <w:rsid w:val="00710D89"/>
    <w:rsid w:val="0071191F"/>
    <w:rsid w:val="00711A36"/>
    <w:rsid w:val="00711C7B"/>
    <w:rsid w:val="007124C7"/>
    <w:rsid w:val="00712577"/>
    <w:rsid w:val="007125D3"/>
    <w:rsid w:val="007129A1"/>
    <w:rsid w:val="00712A7B"/>
    <w:rsid w:val="0071385B"/>
    <w:rsid w:val="00713E7A"/>
    <w:rsid w:val="00714323"/>
    <w:rsid w:val="0071456B"/>
    <w:rsid w:val="00714AE3"/>
    <w:rsid w:val="00714C26"/>
    <w:rsid w:val="00714C63"/>
    <w:rsid w:val="007151DB"/>
    <w:rsid w:val="0071529C"/>
    <w:rsid w:val="0071583F"/>
    <w:rsid w:val="00715BCF"/>
    <w:rsid w:val="00716B88"/>
    <w:rsid w:val="007170DA"/>
    <w:rsid w:val="007172AD"/>
    <w:rsid w:val="00717546"/>
    <w:rsid w:val="00720234"/>
    <w:rsid w:val="0072057A"/>
    <w:rsid w:val="00720801"/>
    <w:rsid w:val="00720B7A"/>
    <w:rsid w:val="00721EA3"/>
    <w:rsid w:val="0072239E"/>
    <w:rsid w:val="00722B1B"/>
    <w:rsid w:val="00722F2E"/>
    <w:rsid w:val="0072303E"/>
    <w:rsid w:val="00723A1E"/>
    <w:rsid w:val="0072416F"/>
    <w:rsid w:val="00725D99"/>
    <w:rsid w:val="00727B98"/>
    <w:rsid w:val="00727C94"/>
    <w:rsid w:val="007307B1"/>
    <w:rsid w:val="00730988"/>
    <w:rsid w:val="00731B0A"/>
    <w:rsid w:val="00731C42"/>
    <w:rsid w:val="00731EAE"/>
    <w:rsid w:val="007329D2"/>
    <w:rsid w:val="00732E88"/>
    <w:rsid w:val="00733073"/>
    <w:rsid w:val="0073345A"/>
    <w:rsid w:val="00734184"/>
    <w:rsid w:val="007343EF"/>
    <w:rsid w:val="00734C7D"/>
    <w:rsid w:val="00735033"/>
    <w:rsid w:val="00735119"/>
    <w:rsid w:val="00735328"/>
    <w:rsid w:val="00735923"/>
    <w:rsid w:val="00735E1E"/>
    <w:rsid w:val="0073685B"/>
    <w:rsid w:val="00737FF7"/>
    <w:rsid w:val="00740810"/>
    <w:rsid w:val="007408EF"/>
    <w:rsid w:val="00741737"/>
    <w:rsid w:val="00741EE2"/>
    <w:rsid w:val="007421D3"/>
    <w:rsid w:val="00743C4D"/>
    <w:rsid w:val="007449BF"/>
    <w:rsid w:val="007463FE"/>
    <w:rsid w:val="00746BC0"/>
    <w:rsid w:val="0074702E"/>
    <w:rsid w:val="007479DE"/>
    <w:rsid w:val="00747BEF"/>
    <w:rsid w:val="007501AD"/>
    <w:rsid w:val="007510B4"/>
    <w:rsid w:val="007515BF"/>
    <w:rsid w:val="00752142"/>
    <w:rsid w:val="007523F9"/>
    <w:rsid w:val="00752497"/>
    <w:rsid w:val="0075269A"/>
    <w:rsid w:val="0075293C"/>
    <w:rsid w:val="00752D2F"/>
    <w:rsid w:val="0075357E"/>
    <w:rsid w:val="00753B29"/>
    <w:rsid w:val="007541C8"/>
    <w:rsid w:val="0075428A"/>
    <w:rsid w:val="0075444C"/>
    <w:rsid w:val="00754590"/>
    <w:rsid w:val="007545FC"/>
    <w:rsid w:val="007552EB"/>
    <w:rsid w:val="0075537A"/>
    <w:rsid w:val="00756725"/>
    <w:rsid w:val="007573E8"/>
    <w:rsid w:val="00757EE4"/>
    <w:rsid w:val="00760C4E"/>
    <w:rsid w:val="00760F9E"/>
    <w:rsid w:val="0076108B"/>
    <w:rsid w:val="0076138F"/>
    <w:rsid w:val="007616E6"/>
    <w:rsid w:val="007627BE"/>
    <w:rsid w:val="007629FF"/>
    <w:rsid w:val="00762CE4"/>
    <w:rsid w:val="00762D53"/>
    <w:rsid w:val="0076328D"/>
    <w:rsid w:val="00764482"/>
    <w:rsid w:val="00764574"/>
    <w:rsid w:val="00764F03"/>
    <w:rsid w:val="00765446"/>
    <w:rsid w:val="00765B1A"/>
    <w:rsid w:val="00765C21"/>
    <w:rsid w:val="00765CDD"/>
    <w:rsid w:val="00765DB7"/>
    <w:rsid w:val="00765DC1"/>
    <w:rsid w:val="007660E9"/>
    <w:rsid w:val="00766CE1"/>
    <w:rsid w:val="0076715D"/>
    <w:rsid w:val="00771220"/>
    <w:rsid w:val="00771501"/>
    <w:rsid w:val="00771681"/>
    <w:rsid w:val="00771B4D"/>
    <w:rsid w:val="00772600"/>
    <w:rsid w:val="0077332C"/>
    <w:rsid w:val="00774EA1"/>
    <w:rsid w:val="007750DC"/>
    <w:rsid w:val="00775E5E"/>
    <w:rsid w:val="00777335"/>
    <w:rsid w:val="00780125"/>
    <w:rsid w:val="00780760"/>
    <w:rsid w:val="00781138"/>
    <w:rsid w:val="007813BD"/>
    <w:rsid w:val="00782854"/>
    <w:rsid w:val="00782921"/>
    <w:rsid w:val="007836E8"/>
    <w:rsid w:val="007843F2"/>
    <w:rsid w:val="007846FA"/>
    <w:rsid w:val="00784919"/>
    <w:rsid w:val="00784EB2"/>
    <w:rsid w:val="007854E1"/>
    <w:rsid w:val="00785A9F"/>
    <w:rsid w:val="0078668D"/>
    <w:rsid w:val="007871F4"/>
    <w:rsid w:val="0078793A"/>
    <w:rsid w:val="00790440"/>
    <w:rsid w:val="00790E3D"/>
    <w:rsid w:val="0079115F"/>
    <w:rsid w:val="00791BBB"/>
    <w:rsid w:val="007925DF"/>
    <w:rsid w:val="00794626"/>
    <w:rsid w:val="00794AEA"/>
    <w:rsid w:val="00795636"/>
    <w:rsid w:val="00795875"/>
    <w:rsid w:val="00795AC9"/>
    <w:rsid w:val="0079640D"/>
    <w:rsid w:val="0079673C"/>
    <w:rsid w:val="0079717F"/>
    <w:rsid w:val="007A08AA"/>
    <w:rsid w:val="007A0A12"/>
    <w:rsid w:val="007A1102"/>
    <w:rsid w:val="007A132D"/>
    <w:rsid w:val="007A1345"/>
    <w:rsid w:val="007A2153"/>
    <w:rsid w:val="007A2DDB"/>
    <w:rsid w:val="007A2EB9"/>
    <w:rsid w:val="007A3A42"/>
    <w:rsid w:val="007A4506"/>
    <w:rsid w:val="007A470D"/>
    <w:rsid w:val="007A502D"/>
    <w:rsid w:val="007A5FDE"/>
    <w:rsid w:val="007A6578"/>
    <w:rsid w:val="007A70BA"/>
    <w:rsid w:val="007B0D68"/>
    <w:rsid w:val="007B199F"/>
    <w:rsid w:val="007B1C45"/>
    <w:rsid w:val="007B1C65"/>
    <w:rsid w:val="007B20AA"/>
    <w:rsid w:val="007B251D"/>
    <w:rsid w:val="007B2A7F"/>
    <w:rsid w:val="007B3533"/>
    <w:rsid w:val="007B3F1F"/>
    <w:rsid w:val="007B4F58"/>
    <w:rsid w:val="007B528D"/>
    <w:rsid w:val="007B52C7"/>
    <w:rsid w:val="007B58B0"/>
    <w:rsid w:val="007B63CA"/>
    <w:rsid w:val="007B665C"/>
    <w:rsid w:val="007B77D1"/>
    <w:rsid w:val="007B78B1"/>
    <w:rsid w:val="007B7CF3"/>
    <w:rsid w:val="007C07C7"/>
    <w:rsid w:val="007C11B6"/>
    <w:rsid w:val="007C1741"/>
    <w:rsid w:val="007C192A"/>
    <w:rsid w:val="007C1CD9"/>
    <w:rsid w:val="007C206F"/>
    <w:rsid w:val="007C2249"/>
    <w:rsid w:val="007C28B4"/>
    <w:rsid w:val="007C2C8D"/>
    <w:rsid w:val="007C2F6F"/>
    <w:rsid w:val="007C32EF"/>
    <w:rsid w:val="007C361D"/>
    <w:rsid w:val="007C39FE"/>
    <w:rsid w:val="007C3E51"/>
    <w:rsid w:val="007C3F1D"/>
    <w:rsid w:val="007C424F"/>
    <w:rsid w:val="007C4B84"/>
    <w:rsid w:val="007C52D5"/>
    <w:rsid w:val="007C54B4"/>
    <w:rsid w:val="007C574C"/>
    <w:rsid w:val="007C58E8"/>
    <w:rsid w:val="007C62D8"/>
    <w:rsid w:val="007C70FF"/>
    <w:rsid w:val="007C72E2"/>
    <w:rsid w:val="007C7C25"/>
    <w:rsid w:val="007D004F"/>
    <w:rsid w:val="007D035F"/>
    <w:rsid w:val="007D06B2"/>
    <w:rsid w:val="007D06C8"/>
    <w:rsid w:val="007D0A28"/>
    <w:rsid w:val="007D0B38"/>
    <w:rsid w:val="007D0E20"/>
    <w:rsid w:val="007D1D1B"/>
    <w:rsid w:val="007D244D"/>
    <w:rsid w:val="007D2669"/>
    <w:rsid w:val="007D291D"/>
    <w:rsid w:val="007D3F2E"/>
    <w:rsid w:val="007D5440"/>
    <w:rsid w:val="007D621C"/>
    <w:rsid w:val="007D650D"/>
    <w:rsid w:val="007D69EB"/>
    <w:rsid w:val="007D6CCD"/>
    <w:rsid w:val="007D7A6A"/>
    <w:rsid w:val="007E128F"/>
    <w:rsid w:val="007E1D48"/>
    <w:rsid w:val="007E2232"/>
    <w:rsid w:val="007E273E"/>
    <w:rsid w:val="007E3B49"/>
    <w:rsid w:val="007E4030"/>
    <w:rsid w:val="007E5E22"/>
    <w:rsid w:val="007E6630"/>
    <w:rsid w:val="007E6D2A"/>
    <w:rsid w:val="007F0A1D"/>
    <w:rsid w:val="007F0E4E"/>
    <w:rsid w:val="007F0EEE"/>
    <w:rsid w:val="007F1017"/>
    <w:rsid w:val="007F121D"/>
    <w:rsid w:val="007F1657"/>
    <w:rsid w:val="007F18AB"/>
    <w:rsid w:val="007F1947"/>
    <w:rsid w:val="007F2199"/>
    <w:rsid w:val="007F3204"/>
    <w:rsid w:val="007F33D1"/>
    <w:rsid w:val="007F402B"/>
    <w:rsid w:val="007F4271"/>
    <w:rsid w:val="007F4A3F"/>
    <w:rsid w:val="007F4A61"/>
    <w:rsid w:val="007F5255"/>
    <w:rsid w:val="007F53BF"/>
    <w:rsid w:val="007F56CC"/>
    <w:rsid w:val="007F56E0"/>
    <w:rsid w:val="007F5816"/>
    <w:rsid w:val="007F5EA2"/>
    <w:rsid w:val="007F61C2"/>
    <w:rsid w:val="007F6243"/>
    <w:rsid w:val="007F77B5"/>
    <w:rsid w:val="007F7DB3"/>
    <w:rsid w:val="00800097"/>
    <w:rsid w:val="00800286"/>
    <w:rsid w:val="0080092B"/>
    <w:rsid w:val="00800B92"/>
    <w:rsid w:val="00801582"/>
    <w:rsid w:val="00803736"/>
    <w:rsid w:val="00803790"/>
    <w:rsid w:val="00804A67"/>
    <w:rsid w:val="00805142"/>
    <w:rsid w:val="00805853"/>
    <w:rsid w:val="00805B3F"/>
    <w:rsid w:val="00805F2D"/>
    <w:rsid w:val="00805FCE"/>
    <w:rsid w:val="008063A2"/>
    <w:rsid w:val="008064FC"/>
    <w:rsid w:val="00806578"/>
    <w:rsid w:val="00806D29"/>
    <w:rsid w:val="00807A8B"/>
    <w:rsid w:val="00807CEB"/>
    <w:rsid w:val="00810260"/>
    <w:rsid w:val="008102EA"/>
    <w:rsid w:val="008103A4"/>
    <w:rsid w:val="00810753"/>
    <w:rsid w:val="00810DEB"/>
    <w:rsid w:val="00811383"/>
    <w:rsid w:val="00812149"/>
    <w:rsid w:val="00812B7F"/>
    <w:rsid w:val="00812CAC"/>
    <w:rsid w:val="00812F79"/>
    <w:rsid w:val="00814076"/>
    <w:rsid w:val="00816361"/>
    <w:rsid w:val="008166EF"/>
    <w:rsid w:val="00816FEF"/>
    <w:rsid w:val="00817404"/>
    <w:rsid w:val="008178CA"/>
    <w:rsid w:val="00817A8C"/>
    <w:rsid w:val="00820A8C"/>
    <w:rsid w:val="008211F8"/>
    <w:rsid w:val="008215FB"/>
    <w:rsid w:val="00821B25"/>
    <w:rsid w:val="00821DC4"/>
    <w:rsid w:val="008220CC"/>
    <w:rsid w:val="008223A3"/>
    <w:rsid w:val="00823174"/>
    <w:rsid w:val="008231E3"/>
    <w:rsid w:val="008239B9"/>
    <w:rsid w:val="00823D09"/>
    <w:rsid w:val="00825215"/>
    <w:rsid w:val="00825751"/>
    <w:rsid w:val="008264EB"/>
    <w:rsid w:val="008268CE"/>
    <w:rsid w:val="00826B53"/>
    <w:rsid w:val="00827040"/>
    <w:rsid w:val="00827339"/>
    <w:rsid w:val="00827768"/>
    <w:rsid w:val="00827C23"/>
    <w:rsid w:val="00827FA3"/>
    <w:rsid w:val="0083049E"/>
    <w:rsid w:val="0083144C"/>
    <w:rsid w:val="008318DE"/>
    <w:rsid w:val="00831FFC"/>
    <w:rsid w:val="00833B05"/>
    <w:rsid w:val="008342E1"/>
    <w:rsid w:val="00835FF7"/>
    <w:rsid w:val="008362B4"/>
    <w:rsid w:val="00836401"/>
    <w:rsid w:val="008375F9"/>
    <w:rsid w:val="00837DAE"/>
    <w:rsid w:val="008408BE"/>
    <w:rsid w:val="00840CA2"/>
    <w:rsid w:val="00840E15"/>
    <w:rsid w:val="00840F15"/>
    <w:rsid w:val="0084159B"/>
    <w:rsid w:val="00842A86"/>
    <w:rsid w:val="00843048"/>
    <w:rsid w:val="008430D6"/>
    <w:rsid w:val="0084374F"/>
    <w:rsid w:val="00843844"/>
    <w:rsid w:val="00843CC6"/>
    <w:rsid w:val="00843DA2"/>
    <w:rsid w:val="00843E1C"/>
    <w:rsid w:val="00844A22"/>
    <w:rsid w:val="0084516D"/>
    <w:rsid w:val="00846518"/>
    <w:rsid w:val="00847034"/>
    <w:rsid w:val="008474EA"/>
    <w:rsid w:val="00847703"/>
    <w:rsid w:val="00847DF5"/>
    <w:rsid w:val="0085087B"/>
    <w:rsid w:val="00850AE1"/>
    <w:rsid w:val="00851F60"/>
    <w:rsid w:val="00852655"/>
    <w:rsid w:val="0085309D"/>
    <w:rsid w:val="00854B40"/>
    <w:rsid w:val="00856012"/>
    <w:rsid w:val="00856067"/>
    <w:rsid w:val="00856897"/>
    <w:rsid w:val="00856D13"/>
    <w:rsid w:val="00856E9A"/>
    <w:rsid w:val="00856FBE"/>
    <w:rsid w:val="00856FC2"/>
    <w:rsid w:val="008575C8"/>
    <w:rsid w:val="00857966"/>
    <w:rsid w:val="0086075D"/>
    <w:rsid w:val="00860EB0"/>
    <w:rsid w:val="00861EB2"/>
    <w:rsid w:val="00862502"/>
    <w:rsid w:val="008629BA"/>
    <w:rsid w:val="00862CC1"/>
    <w:rsid w:val="0086355D"/>
    <w:rsid w:val="008642A7"/>
    <w:rsid w:val="008660D4"/>
    <w:rsid w:val="008662AE"/>
    <w:rsid w:val="008667C7"/>
    <w:rsid w:val="00866B19"/>
    <w:rsid w:val="008671D3"/>
    <w:rsid w:val="00867286"/>
    <w:rsid w:val="00867C3E"/>
    <w:rsid w:val="00871FA9"/>
    <w:rsid w:val="008728E9"/>
    <w:rsid w:val="00872B82"/>
    <w:rsid w:val="00872DFE"/>
    <w:rsid w:val="00874012"/>
    <w:rsid w:val="00875137"/>
    <w:rsid w:val="00875CDC"/>
    <w:rsid w:val="0087711F"/>
    <w:rsid w:val="00877728"/>
    <w:rsid w:val="00877747"/>
    <w:rsid w:val="00880EDB"/>
    <w:rsid w:val="00881389"/>
    <w:rsid w:val="00881F8B"/>
    <w:rsid w:val="008826E9"/>
    <w:rsid w:val="00882874"/>
    <w:rsid w:val="008828C1"/>
    <w:rsid w:val="00882AB0"/>
    <w:rsid w:val="00882E3C"/>
    <w:rsid w:val="0088308A"/>
    <w:rsid w:val="008834E0"/>
    <w:rsid w:val="00883787"/>
    <w:rsid w:val="008837BA"/>
    <w:rsid w:val="00884149"/>
    <w:rsid w:val="008851FA"/>
    <w:rsid w:val="00885431"/>
    <w:rsid w:val="008855E4"/>
    <w:rsid w:val="00885D2C"/>
    <w:rsid w:val="00886CD2"/>
    <w:rsid w:val="00887CCB"/>
    <w:rsid w:val="008902CF"/>
    <w:rsid w:val="008907FD"/>
    <w:rsid w:val="0089109F"/>
    <w:rsid w:val="00891520"/>
    <w:rsid w:val="00891E6F"/>
    <w:rsid w:val="008925B0"/>
    <w:rsid w:val="00892676"/>
    <w:rsid w:val="0089275D"/>
    <w:rsid w:val="00892A17"/>
    <w:rsid w:val="00892A36"/>
    <w:rsid w:val="00893239"/>
    <w:rsid w:val="008933D6"/>
    <w:rsid w:val="008942B6"/>
    <w:rsid w:val="00894489"/>
    <w:rsid w:val="0089466B"/>
    <w:rsid w:val="00894CD6"/>
    <w:rsid w:val="0089506A"/>
    <w:rsid w:val="008953D9"/>
    <w:rsid w:val="008954E7"/>
    <w:rsid w:val="008963A5"/>
    <w:rsid w:val="00896435"/>
    <w:rsid w:val="00896D5D"/>
    <w:rsid w:val="00896DFD"/>
    <w:rsid w:val="008979F2"/>
    <w:rsid w:val="008A0E16"/>
    <w:rsid w:val="008A1C55"/>
    <w:rsid w:val="008A2123"/>
    <w:rsid w:val="008A3158"/>
    <w:rsid w:val="008A3363"/>
    <w:rsid w:val="008A3371"/>
    <w:rsid w:val="008A38F9"/>
    <w:rsid w:val="008A3C3E"/>
    <w:rsid w:val="008A469D"/>
    <w:rsid w:val="008A53FF"/>
    <w:rsid w:val="008A5694"/>
    <w:rsid w:val="008A6742"/>
    <w:rsid w:val="008A7137"/>
    <w:rsid w:val="008A79DE"/>
    <w:rsid w:val="008A7C17"/>
    <w:rsid w:val="008A7EC4"/>
    <w:rsid w:val="008A7F0C"/>
    <w:rsid w:val="008A7FE2"/>
    <w:rsid w:val="008B08C0"/>
    <w:rsid w:val="008B0A58"/>
    <w:rsid w:val="008B1164"/>
    <w:rsid w:val="008B1177"/>
    <w:rsid w:val="008B1757"/>
    <w:rsid w:val="008B1C33"/>
    <w:rsid w:val="008B2444"/>
    <w:rsid w:val="008B2993"/>
    <w:rsid w:val="008B3C0F"/>
    <w:rsid w:val="008B3CFA"/>
    <w:rsid w:val="008B46C2"/>
    <w:rsid w:val="008B4B6F"/>
    <w:rsid w:val="008B599E"/>
    <w:rsid w:val="008B59DA"/>
    <w:rsid w:val="008B614B"/>
    <w:rsid w:val="008B63FE"/>
    <w:rsid w:val="008B6835"/>
    <w:rsid w:val="008B6C19"/>
    <w:rsid w:val="008B7992"/>
    <w:rsid w:val="008B7D7E"/>
    <w:rsid w:val="008C1262"/>
    <w:rsid w:val="008C1C25"/>
    <w:rsid w:val="008C1D62"/>
    <w:rsid w:val="008C212E"/>
    <w:rsid w:val="008C2351"/>
    <w:rsid w:val="008C30EC"/>
    <w:rsid w:val="008C3370"/>
    <w:rsid w:val="008C34EE"/>
    <w:rsid w:val="008C3656"/>
    <w:rsid w:val="008C4085"/>
    <w:rsid w:val="008C40F5"/>
    <w:rsid w:val="008C497E"/>
    <w:rsid w:val="008C4EC3"/>
    <w:rsid w:val="008C5388"/>
    <w:rsid w:val="008C5610"/>
    <w:rsid w:val="008C5739"/>
    <w:rsid w:val="008C595F"/>
    <w:rsid w:val="008C7282"/>
    <w:rsid w:val="008C761B"/>
    <w:rsid w:val="008C7622"/>
    <w:rsid w:val="008C785F"/>
    <w:rsid w:val="008C7ECB"/>
    <w:rsid w:val="008D0592"/>
    <w:rsid w:val="008D0E39"/>
    <w:rsid w:val="008D0E74"/>
    <w:rsid w:val="008D18F8"/>
    <w:rsid w:val="008D2365"/>
    <w:rsid w:val="008D26F3"/>
    <w:rsid w:val="008D2D2B"/>
    <w:rsid w:val="008D2E02"/>
    <w:rsid w:val="008D3B86"/>
    <w:rsid w:val="008D3CCE"/>
    <w:rsid w:val="008D41BB"/>
    <w:rsid w:val="008D43FD"/>
    <w:rsid w:val="008D467B"/>
    <w:rsid w:val="008D4755"/>
    <w:rsid w:val="008D4C3D"/>
    <w:rsid w:val="008D4C45"/>
    <w:rsid w:val="008D4D57"/>
    <w:rsid w:val="008D4F6D"/>
    <w:rsid w:val="008D4F84"/>
    <w:rsid w:val="008D5405"/>
    <w:rsid w:val="008D5946"/>
    <w:rsid w:val="008D5F54"/>
    <w:rsid w:val="008D6125"/>
    <w:rsid w:val="008D6616"/>
    <w:rsid w:val="008D670B"/>
    <w:rsid w:val="008D730C"/>
    <w:rsid w:val="008D743C"/>
    <w:rsid w:val="008D75CF"/>
    <w:rsid w:val="008D766D"/>
    <w:rsid w:val="008E0529"/>
    <w:rsid w:val="008E07D5"/>
    <w:rsid w:val="008E0AD6"/>
    <w:rsid w:val="008E0C7B"/>
    <w:rsid w:val="008E0D3C"/>
    <w:rsid w:val="008E0E3C"/>
    <w:rsid w:val="008E179E"/>
    <w:rsid w:val="008E1B9E"/>
    <w:rsid w:val="008E2854"/>
    <w:rsid w:val="008E28C6"/>
    <w:rsid w:val="008E2BF8"/>
    <w:rsid w:val="008E3483"/>
    <w:rsid w:val="008E3493"/>
    <w:rsid w:val="008E4601"/>
    <w:rsid w:val="008E55AB"/>
    <w:rsid w:val="008E5D18"/>
    <w:rsid w:val="008E69B5"/>
    <w:rsid w:val="008F05C1"/>
    <w:rsid w:val="008F0BF0"/>
    <w:rsid w:val="008F0CD3"/>
    <w:rsid w:val="008F1132"/>
    <w:rsid w:val="008F120A"/>
    <w:rsid w:val="008F15B7"/>
    <w:rsid w:val="008F17AC"/>
    <w:rsid w:val="008F23CD"/>
    <w:rsid w:val="008F27E0"/>
    <w:rsid w:val="008F2BF5"/>
    <w:rsid w:val="008F312B"/>
    <w:rsid w:val="008F3499"/>
    <w:rsid w:val="008F4195"/>
    <w:rsid w:val="008F43FF"/>
    <w:rsid w:val="008F48EB"/>
    <w:rsid w:val="008F4C7C"/>
    <w:rsid w:val="008F4F0B"/>
    <w:rsid w:val="008F4F8C"/>
    <w:rsid w:val="008F5A40"/>
    <w:rsid w:val="008F7063"/>
    <w:rsid w:val="008F7756"/>
    <w:rsid w:val="008F7CBB"/>
    <w:rsid w:val="009009F5"/>
    <w:rsid w:val="00901BBC"/>
    <w:rsid w:val="009046C4"/>
    <w:rsid w:val="009062A5"/>
    <w:rsid w:val="00906462"/>
    <w:rsid w:val="00907699"/>
    <w:rsid w:val="00907D67"/>
    <w:rsid w:val="00910FA7"/>
    <w:rsid w:val="00911272"/>
    <w:rsid w:val="00911339"/>
    <w:rsid w:val="00911E2D"/>
    <w:rsid w:val="009123D3"/>
    <w:rsid w:val="0091257E"/>
    <w:rsid w:val="00912E30"/>
    <w:rsid w:val="00912FE3"/>
    <w:rsid w:val="009135D6"/>
    <w:rsid w:val="00914C77"/>
    <w:rsid w:val="00915AB3"/>
    <w:rsid w:val="00916175"/>
    <w:rsid w:val="009169E8"/>
    <w:rsid w:val="009171AE"/>
    <w:rsid w:val="00917DD1"/>
    <w:rsid w:val="00920026"/>
    <w:rsid w:val="009200CE"/>
    <w:rsid w:val="0092017B"/>
    <w:rsid w:val="009214FB"/>
    <w:rsid w:val="00921903"/>
    <w:rsid w:val="00921ACB"/>
    <w:rsid w:val="00922D2C"/>
    <w:rsid w:val="0092369B"/>
    <w:rsid w:val="00923F5F"/>
    <w:rsid w:val="00924282"/>
    <w:rsid w:val="009243F7"/>
    <w:rsid w:val="00924FFF"/>
    <w:rsid w:val="009252D9"/>
    <w:rsid w:val="009259F2"/>
    <w:rsid w:val="00926191"/>
    <w:rsid w:val="009269D9"/>
    <w:rsid w:val="00930FC8"/>
    <w:rsid w:val="009316F0"/>
    <w:rsid w:val="00931EB3"/>
    <w:rsid w:val="0093217B"/>
    <w:rsid w:val="0093225C"/>
    <w:rsid w:val="00933434"/>
    <w:rsid w:val="00933D09"/>
    <w:rsid w:val="009348CD"/>
    <w:rsid w:val="00934988"/>
    <w:rsid w:val="009354BA"/>
    <w:rsid w:val="00937089"/>
    <w:rsid w:val="0093750D"/>
    <w:rsid w:val="0094026B"/>
    <w:rsid w:val="009405D0"/>
    <w:rsid w:val="0094199A"/>
    <w:rsid w:val="009423BB"/>
    <w:rsid w:val="009424C1"/>
    <w:rsid w:val="00942BE7"/>
    <w:rsid w:val="0094308C"/>
    <w:rsid w:val="00944F1D"/>
    <w:rsid w:val="00944F8A"/>
    <w:rsid w:val="00945246"/>
    <w:rsid w:val="00945604"/>
    <w:rsid w:val="0094606B"/>
    <w:rsid w:val="00946C7C"/>
    <w:rsid w:val="00950EC9"/>
    <w:rsid w:val="0095105E"/>
    <w:rsid w:val="009510A2"/>
    <w:rsid w:val="00951929"/>
    <w:rsid w:val="0095193B"/>
    <w:rsid w:val="00951A6D"/>
    <w:rsid w:val="0095231E"/>
    <w:rsid w:val="00952812"/>
    <w:rsid w:val="00952E9A"/>
    <w:rsid w:val="00953257"/>
    <w:rsid w:val="00953D56"/>
    <w:rsid w:val="00954298"/>
    <w:rsid w:val="00954334"/>
    <w:rsid w:val="00954447"/>
    <w:rsid w:val="00954625"/>
    <w:rsid w:val="0095474C"/>
    <w:rsid w:val="0095498B"/>
    <w:rsid w:val="00954A3B"/>
    <w:rsid w:val="00954DEC"/>
    <w:rsid w:val="009553B4"/>
    <w:rsid w:val="009554F6"/>
    <w:rsid w:val="00955AF0"/>
    <w:rsid w:val="009562F4"/>
    <w:rsid w:val="009567B0"/>
    <w:rsid w:val="00957465"/>
    <w:rsid w:val="00957D92"/>
    <w:rsid w:val="009604EA"/>
    <w:rsid w:val="00960C7A"/>
    <w:rsid w:val="00960CF5"/>
    <w:rsid w:val="009614A1"/>
    <w:rsid w:val="00961756"/>
    <w:rsid w:val="00961CEE"/>
    <w:rsid w:val="009620BB"/>
    <w:rsid w:val="009620DF"/>
    <w:rsid w:val="00962856"/>
    <w:rsid w:val="00962CB9"/>
    <w:rsid w:val="009632ED"/>
    <w:rsid w:val="00963C36"/>
    <w:rsid w:val="0096427D"/>
    <w:rsid w:val="00964312"/>
    <w:rsid w:val="009643D9"/>
    <w:rsid w:val="009648A9"/>
    <w:rsid w:val="009651BF"/>
    <w:rsid w:val="00965439"/>
    <w:rsid w:val="0096574A"/>
    <w:rsid w:val="00965B77"/>
    <w:rsid w:val="00965B8A"/>
    <w:rsid w:val="00965D89"/>
    <w:rsid w:val="00965F94"/>
    <w:rsid w:val="009665FF"/>
    <w:rsid w:val="00966EAE"/>
    <w:rsid w:val="00967030"/>
    <w:rsid w:val="00967914"/>
    <w:rsid w:val="0097071F"/>
    <w:rsid w:val="00971081"/>
    <w:rsid w:val="009717AC"/>
    <w:rsid w:val="00971EB4"/>
    <w:rsid w:val="009724FE"/>
    <w:rsid w:val="00972542"/>
    <w:rsid w:val="009729FD"/>
    <w:rsid w:val="00973C27"/>
    <w:rsid w:val="009749F8"/>
    <w:rsid w:val="00974F0C"/>
    <w:rsid w:val="009751C1"/>
    <w:rsid w:val="009751DD"/>
    <w:rsid w:val="00976108"/>
    <w:rsid w:val="009775D1"/>
    <w:rsid w:val="00977FCB"/>
    <w:rsid w:val="0098050E"/>
    <w:rsid w:val="0098062F"/>
    <w:rsid w:val="009811F1"/>
    <w:rsid w:val="00983B59"/>
    <w:rsid w:val="00983C6A"/>
    <w:rsid w:val="00983E57"/>
    <w:rsid w:val="009845EF"/>
    <w:rsid w:val="00985069"/>
    <w:rsid w:val="00985797"/>
    <w:rsid w:val="00985DE2"/>
    <w:rsid w:val="0098675D"/>
    <w:rsid w:val="0098711B"/>
    <w:rsid w:val="00987AFE"/>
    <w:rsid w:val="00987BA4"/>
    <w:rsid w:val="009903F4"/>
    <w:rsid w:val="00990BA4"/>
    <w:rsid w:val="00990C45"/>
    <w:rsid w:val="00990D35"/>
    <w:rsid w:val="00990F5F"/>
    <w:rsid w:val="00992321"/>
    <w:rsid w:val="009926E0"/>
    <w:rsid w:val="00992F3F"/>
    <w:rsid w:val="00992FED"/>
    <w:rsid w:val="00993210"/>
    <w:rsid w:val="00993447"/>
    <w:rsid w:val="00994231"/>
    <w:rsid w:val="0099451E"/>
    <w:rsid w:val="009946AE"/>
    <w:rsid w:val="00994809"/>
    <w:rsid w:val="00995090"/>
    <w:rsid w:val="009956A9"/>
    <w:rsid w:val="00995967"/>
    <w:rsid w:val="00996B1A"/>
    <w:rsid w:val="00996CF2"/>
    <w:rsid w:val="00997479"/>
    <w:rsid w:val="009A0DA2"/>
    <w:rsid w:val="009A1394"/>
    <w:rsid w:val="009A1462"/>
    <w:rsid w:val="009A18F6"/>
    <w:rsid w:val="009A2DCC"/>
    <w:rsid w:val="009A4395"/>
    <w:rsid w:val="009A4743"/>
    <w:rsid w:val="009A5ABC"/>
    <w:rsid w:val="009A6B35"/>
    <w:rsid w:val="009A6BB6"/>
    <w:rsid w:val="009A724D"/>
    <w:rsid w:val="009A7E60"/>
    <w:rsid w:val="009A7F10"/>
    <w:rsid w:val="009B024E"/>
    <w:rsid w:val="009B0BB6"/>
    <w:rsid w:val="009B1683"/>
    <w:rsid w:val="009B1E2E"/>
    <w:rsid w:val="009B2567"/>
    <w:rsid w:val="009B3E26"/>
    <w:rsid w:val="009B60D3"/>
    <w:rsid w:val="009B6389"/>
    <w:rsid w:val="009B6396"/>
    <w:rsid w:val="009B6AD1"/>
    <w:rsid w:val="009B6C87"/>
    <w:rsid w:val="009B774A"/>
    <w:rsid w:val="009B776A"/>
    <w:rsid w:val="009B7B88"/>
    <w:rsid w:val="009B7D14"/>
    <w:rsid w:val="009B7EC9"/>
    <w:rsid w:val="009C0F63"/>
    <w:rsid w:val="009C1271"/>
    <w:rsid w:val="009C1F3A"/>
    <w:rsid w:val="009C2ACC"/>
    <w:rsid w:val="009C2B09"/>
    <w:rsid w:val="009C3706"/>
    <w:rsid w:val="009C3A3A"/>
    <w:rsid w:val="009C4A43"/>
    <w:rsid w:val="009C4DB9"/>
    <w:rsid w:val="009C5106"/>
    <w:rsid w:val="009C6A0A"/>
    <w:rsid w:val="009C6CEA"/>
    <w:rsid w:val="009C7836"/>
    <w:rsid w:val="009C7B85"/>
    <w:rsid w:val="009D0155"/>
    <w:rsid w:val="009D0254"/>
    <w:rsid w:val="009D02A2"/>
    <w:rsid w:val="009D049D"/>
    <w:rsid w:val="009D0558"/>
    <w:rsid w:val="009D06F4"/>
    <w:rsid w:val="009D0748"/>
    <w:rsid w:val="009D131E"/>
    <w:rsid w:val="009D1773"/>
    <w:rsid w:val="009D1845"/>
    <w:rsid w:val="009D1A64"/>
    <w:rsid w:val="009D3BA4"/>
    <w:rsid w:val="009D59EF"/>
    <w:rsid w:val="009D5B3E"/>
    <w:rsid w:val="009D5B91"/>
    <w:rsid w:val="009D6192"/>
    <w:rsid w:val="009D758D"/>
    <w:rsid w:val="009D792E"/>
    <w:rsid w:val="009D79F3"/>
    <w:rsid w:val="009D7E1B"/>
    <w:rsid w:val="009D7E9A"/>
    <w:rsid w:val="009D7F9B"/>
    <w:rsid w:val="009E02FC"/>
    <w:rsid w:val="009E07B7"/>
    <w:rsid w:val="009E0887"/>
    <w:rsid w:val="009E0DFE"/>
    <w:rsid w:val="009E0F9F"/>
    <w:rsid w:val="009E24AA"/>
    <w:rsid w:val="009E31F6"/>
    <w:rsid w:val="009E37F6"/>
    <w:rsid w:val="009E396E"/>
    <w:rsid w:val="009E4600"/>
    <w:rsid w:val="009E464C"/>
    <w:rsid w:val="009E4C07"/>
    <w:rsid w:val="009E5821"/>
    <w:rsid w:val="009E5BE6"/>
    <w:rsid w:val="009E60FF"/>
    <w:rsid w:val="009E67C5"/>
    <w:rsid w:val="009E6BF7"/>
    <w:rsid w:val="009E6F64"/>
    <w:rsid w:val="009E777F"/>
    <w:rsid w:val="009F075F"/>
    <w:rsid w:val="009F2E14"/>
    <w:rsid w:val="009F3217"/>
    <w:rsid w:val="009F4D49"/>
    <w:rsid w:val="009F5033"/>
    <w:rsid w:val="009F5202"/>
    <w:rsid w:val="009F59C4"/>
    <w:rsid w:val="009F6120"/>
    <w:rsid w:val="009F79A2"/>
    <w:rsid w:val="00A00A52"/>
    <w:rsid w:val="00A00D76"/>
    <w:rsid w:val="00A01184"/>
    <w:rsid w:val="00A01449"/>
    <w:rsid w:val="00A015B6"/>
    <w:rsid w:val="00A01718"/>
    <w:rsid w:val="00A01DDA"/>
    <w:rsid w:val="00A02AF2"/>
    <w:rsid w:val="00A037C2"/>
    <w:rsid w:val="00A03D3D"/>
    <w:rsid w:val="00A03D43"/>
    <w:rsid w:val="00A04380"/>
    <w:rsid w:val="00A04786"/>
    <w:rsid w:val="00A04C68"/>
    <w:rsid w:val="00A050D7"/>
    <w:rsid w:val="00A05472"/>
    <w:rsid w:val="00A05C32"/>
    <w:rsid w:val="00A0653F"/>
    <w:rsid w:val="00A06A79"/>
    <w:rsid w:val="00A06B97"/>
    <w:rsid w:val="00A06F80"/>
    <w:rsid w:val="00A06FD5"/>
    <w:rsid w:val="00A072D3"/>
    <w:rsid w:val="00A1165A"/>
    <w:rsid w:val="00A11C91"/>
    <w:rsid w:val="00A11CD0"/>
    <w:rsid w:val="00A12502"/>
    <w:rsid w:val="00A13241"/>
    <w:rsid w:val="00A138D8"/>
    <w:rsid w:val="00A13948"/>
    <w:rsid w:val="00A147E6"/>
    <w:rsid w:val="00A14A1C"/>
    <w:rsid w:val="00A14CF0"/>
    <w:rsid w:val="00A1521C"/>
    <w:rsid w:val="00A1555B"/>
    <w:rsid w:val="00A155C5"/>
    <w:rsid w:val="00A15D6B"/>
    <w:rsid w:val="00A16AD8"/>
    <w:rsid w:val="00A17976"/>
    <w:rsid w:val="00A17CE8"/>
    <w:rsid w:val="00A17D7A"/>
    <w:rsid w:val="00A2021E"/>
    <w:rsid w:val="00A20225"/>
    <w:rsid w:val="00A2059C"/>
    <w:rsid w:val="00A207F3"/>
    <w:rsid w:val="00A21704"/>
    <w:rsid w:val="00A21A60"/>
    <w:rsid w:val="00A21BEC"/>
    <w:rsid w:val="00A21C95"/>
    <w:rsid w:val="00A21CF3"/>
    <w:rsid w:val="00A22B74"/>
    <w:rsid w:val="00A2383E"/>
    <w:rsid w:val="00A23AA8"/>
    <w:rsid w:val="00A24813"/>
    <w:rsid w:val="00A25A6F"/>
    <w:rsid w:val="00A2689A"/>
    <w:rsid w:val="00A26EED"/>
    <w:rsid w:val="00A27065"/>
    <w:rsid w:val="00A27321"/>
    <w:rsid w:val="00A27AEC"/>
    <w:rsid w:val="00A3013A"/>
    <w:rsid w:val="00A31A6B"/>
    <w:rsid w:val="00A31C7C"/>
    <w:rsid w:val="00A320DB"/>
    <w:rsid w:val="00A32561"/>
    <w:rsid w:val="00A325FD"/>
    <w:rsid w:val="00A33806"/>
    <w:rsid w:val="00A33F53"/>
    <w:rsid w:val="00A34821"/>
    <w:rsid w:val="00A34D3C"/>
    <w:rsid w:val="00A358A2"/>
    <w:rsid w:val="00A35BCC"/>
    <w:rsid w:val="00A35D16"/>
    <w:rsid w:val="00A35D22"/>
    <w:rsid w:val="00A3721F"/>
    <w:rsid w:val="00A3743B"/>
    <w:rsid w:val="00A37BCD"/>
    <w:rsid w:val="00A37C26"/>
    <w:rsid w:val="00A4053C"/>
    <w:rsid w:val="00A41689"/>
    <w:rsid w:val="00A416B4"/>
    <w:rsid w:val="00A42523"/>
    <w:rsid w:val="00A42592"/>
    <w:rsid w:val="00A42699"/>
    <w:rsid w:val="00A4312B"/>
    <w:rsid w:val="00A43349"/>
    <w:rsid w:val="00A438E5"/>
    <w:rsid w:val="00A43A33"/>
    <w:rsid w:val="00A43C59"/>
    <w:rsid w:val="00A445BF"/>
    <w:rsid w:val="00A44B4B"/>
    <w:rsid w:val="00A452EE"/>
    <w:rsid w:val="00A4546B"/>
    <w:rsid w:val="00A45987"/>
    <w:rsid w:val="00A45A15"/>
    <w:rsid w:val="00A45AFF"/>
    <w:rsid w:val="00A45DEF"/>
    <w:rsid w:val="00A46210"/>
    <w:rsid w:val="00A46FF9"/>
    <w:rsid w:val="00A474C9"/>
    <w:rsid w:val="00A47FB2"/>
    <w:rsid w:val="00A50ECD"/>
    <w:rsid w:val="00A51146"/>
    <w:rsid w:val="00A5164D"/>
    <w:rsid w:val="00A518F3"/>
    <w:rsid w:val="00A51AC1"/>
    <w:rsid w:val="00A52010"/>
    <w:rsid w:val="00A52705"/>
    <w:rsid w:val="00A52729"/>
    <w:rsid w:val="00A53675"/>
    <w:rsid w:val="00A55166"/>
    <w:rsid w:val="00A55247"/>
    <w:rsid w:val="00A55615"/>
    <w:rsid w:val="00A564D7"/>
    <w:rsid w:val="00A56B6A"/>
    <w:rsid w:val="00A578DC"/>
    <w:rsid w:val="00A57C63"/>
    <w:rsid w:val="00A60594"/>
    <w:rsid w:val="00A60905"/>
    <w:rsid w:val="00A6213B"/>
    <w:rsid w:val="00A625C7"/>
    <w:rsid w:val="00A62CEE"/>
    <w:rsid w:val="00A640E2"/>
    <w:rsid w:val="00A64CC9"/>
    <w:rsid w:val="00A64D65"/>
    <w:rsid w:val="00A6531C"/>
    <w:rsid w:val="00A6552A"/>
    <w:rsid w:val="00A66235"/>
    <w:rsid w:val="00A6706E"/>
    <w:rsid w:val="00A6725B"/>
    <w:rsid w:val="00A70605"/>
    <w:rsid w:val="00A709D5"/>
    <w:rsid w:val="00A70A02"/>
    <w:rsid w:val="00A70A16"/>
    <w:rsid w:val="00A71392"/>
    <w:rsid w:val="00A72D8A"/>
    <w:rsid w:val="00A72F06"/>
    <w:rsid w:val="00A73134"/>
    <w:rsid w:val="00A7365A"/>
    <w:rsid w:val="00A74EE4"/>
    <w:rsid w:val="00A75450"/>
    <w:rsid w:val="00A76001"/>
    <w:rsid w:val="00A7620E"/>
    <w:rsid w:val="00A769AC"/>
    <w:rsid w:val="00A77684"/>
    <w:rsid w:val="00A777B2"/>
    <w:rsid w:val="00A81010"/>
    <w:rsid w:val="00A81C60"/>
    <w:rsid w:val="00A82091"/>
    <w:rsid w:val="00A82176"/>
    <w:rsid w:val="00A822D0"/>
    <w:rsid w:val="00A823DF"/>
    <w:rsid w:val="00A825D4"/>
    <w:rsid w:val="00A828F6"/>
    <w:rsid w:val="00A82B73"/>
    <w:rsid w:val="00A82E45"/>
    <w:rsid w:val="00A82E51"/>
    <w:rsid w:val="00A835D9"/>
    <w:rsid w:val="00A84858"/>
    <w:rsid w:val="00A84C65"/>
    <w:rsid w:val="00A85618"/>
    <w:rsid w:val="00A86E8B"/>
    <w:rsid w:val="00A87164"/>
    <w:rsid w:val="00A871A9"/>
    <w:rsid w:val="00A87C7E"/>
    <w:rsid w:val="00A9001E"/>
    <w:rsid w:val="00A901D2"/>
    <w:rsid w:val="00A90AFB"/>
    <w:rsid w:val="00A90CEC"/>
    <w:rsid w:val="00A91425"/>
    <w:rsid w:val="00A9243E"/>
    <w:rsid w:val="00A92835"/>
    <w:rsid w:val="00A93072"/>
    <w:rsid w:val="00A938BD"/>
    <w:rsid w:val="00A93953"/>
    <w:rsid w:val="00A941E9"/>
    <w:rsid w:val="00A94AA9"/>
    <w:rsid w:val="00A95705"/>
    <w:rsid w:val="00A957C3"/>
    <w:rsid w:val="00A959D8"/>
    <w:rsid w:val="00A96A44"/>
    <w:rsid w:val="00A976DE"/>
    <w:rsid w:val="00AA050A"/>
    <w:rsid w:val="00AA0ACA"/>
    <w:rsid w:val="00AA113D"/>
    <w:rsid w:val="00AA1F35"/>
    <w:rsid w:val="00AA2ADF"/>
    <w:rsid w:val="00AA2BE6"/>
    <w:rsid w:val="00AA337F"/>
    <w:rsid w:val="00AA45C5"/>
    <w:rsid w:val="00AA46A1"/>
    <w:rsid w:val="00AA5876"/>
    <w:rsid w:val="00AA5B3B"/>
    <w:rsid w:val="00AA6BD5"/>
    <w:rsid w:val="00AA6BD8"/>
    <w:rsid w:val="00AA6C7D"/>
    <w:rsid w:val="00AA7FD6"/>
    <w:rsid w:val="00AB0212"/>
    <w:rsid w:val="00AB042A"/>
    <w:rsid w:val="00AB11AD"/>
    <w:rsid w:val="00AB12B7"/>
    <w:rsid w:val="00AB19EF"/>
    <w:rsid w:val="00AB2495"/>
    <w:rsid w:val="00AB2D34"/>
    <w:rsid w:val="00AB304B"/>
    <w:rsid w:val="00AB3430"/>
    <w:rsid w:val="00AB37B9"/>
    <w:rsid w:val="00AB4AD1"/>
    <w:rsid w:val="00AB4E02"/>
    <w:rsid w:val="00AB535B"/>
    <w:rsid w:val="00AB53C7"/>
    <w:rsid w:val="00AB5C56"/>
    <w:rsid w:val="00AB5E07"/>
    <w:rsid w:val="00AB6531"/>
    <w:rsid w:val="00AB67F3"/>
    <w:rsid w:val="00AB728B"/>
    <w:rsid w:val="00AB7B4A"/>
    <w:rsid w:val="00AB7CFA"/>
    <w:rsid w:val="00AC15E2"/>
    <w:rsid w:val="00AC1C3D"/>
    <w:rsid w:val="00AC2CB9"/>
    <w:rsid w:val="00AC38A8"/>
    <w:rsid w:val="00AC4012"/>
    <w:rsid w:val="00AC4522"/>
    <w:rsid w:val="00AC4D8A"/>
    <w:rsid w:val="00AC4EEA"/>
    <w:rsid w:val="00AC5B42"/>
    <w:rsid w:val="00AC5B48"/>
    <w:rsid w:val="00AC69CC"/>
    <w:rsid w:val="00AC6C2A"/>
    <w:rsid w:val="00AD0A97"/>
    <w:rsid w:val="00AD115E"/>
    <w:rsid w:val="00AD1450"/>
    <w:rsid w:val="00AD15E8"/>
    <w:rsid w:val="00AD202F"/>
    <w:rsid w:val="00AD2073"/>
    <w:rsid w:val="00AD31B2"/>
    <w:rsid w:val="00AD356D"/>
    <w:rsid w:val="00AD3D9C"/>
    <w:rsid w:val="00AD4944"/>
    <w:rsid w:val="00AD5148"/>
    <w:rsid w:val="00AD53B7"/>
    <w:rsid w:val="00AD5C3C"/>
    <w:rsid w:val="00AD649C"/>
    <w:rsid w:val="00AD6502"/>
    <w:rsid w:val="00AD6AA8"/>
    <w:rsid w:val="00AD782B"/>
    <w:rsid w:val="00AD784A"/>
    <w:rsid w:val="00AD7ADC"/>
    <w:rsid w:val="00AE0266"/>
    <w:rsid w:val="00AE0695"/>
    <w:rsid w:val="00AE07F6"/>
    <w:rsid w:val="00AE1B8A"/>
    <w:rsid w:val="00AE1D4C"/>
    <w:rsid w:val="00AE3409"/>
    <w:rsid w:val="00AE3E7E"/>
    <w:rsid w:val="00AE5203"/>
    <w:rsid w:val="00AE5D86"/>
    <w:rsid w:val="00AE62C1"/>
    <w:rsid w:val="00AE6396"/>
    <w:rsid w:val="00AE63CC"/>
    <w:rsid w:val="00AE6D00"/>
    <w:rsid w:val="00AE6DCC"/>
    <w:rsid w:val="00AE7E53"/>
    <w:rsid w:val="00AF1315"/>
    <w:rsid w:val="00AF14CC"/>
    <w:rsid w:val="00AF19BF"/>
    <w:rsid w:val="00AF233A"/>
    <w:rsid w:val="00AF2502"/>
    <w:rsid w:val="00AF2517"/>
    <w:rsid w:val="00AF27CF"/>
    <w:rsid w:val="00AF2906"/>
    <w:rsid w:val="00AF2CF9"/>
    <w:rsid w:val="00AF2DC3"/>
    <w:rsid w:val="00AF471D"/>
    <w:rsid w:val="00AF4CC0"/>
    <w:rsid w:val="00AF58D5"/>
    <w:rsid w:val="00AF67FF"/>
    <w:rsid w:val="00AF6DD3"/>
    <w:rsid w:val="00B0041B"/>
    <w:rsid w:val="00B01E04"/>
    <w:rsid w:val="00B0269C"/>
    <w:rsid w:val="00B032EC"/>
    <w:rsid w:val="00B033E5"/>
    <w:rsid w:val="00B034DC"/>
    <w:rsid w:val="00B03656"/>
    <w:rsid w:val="00B037CF"/>
    <w:rsid w:val="00B03A63"/>
    <w:rsid w:val="00B03B9E"/>
    <w:rsid w:val="00B046DC"/>
    <w:rsid w:val="00B04AD1"/>
    <w:rsid w:val="00B04C6A"/>
    <w:rsid w:val="00B052FD"/>
    <w:rsid w:val="00B05E57"/>
    <w:rsid w:val="00B06814"/>
    <w:rsid w:val="00B074E9"/>
    <w:rsid w:val="00B10228"/>
    <w:rsid w:val="00B1060C"/>
    <w:rsid w:val="00B10CD4"/>
    <w:rsid w:val="00B11101"/>
    <w:rsid w:val="00B11605"/>
    <w:rsid w:val="00B11B5C"/>
    <w:rsid w:val="00B12658"/>
    <w:rsid w:val="00B126D8"/>
    <w:rsid w:val="00B129A4"/>
    <w:rsid w:val="00B12E94"/>
    <w:rsid w:val="00B132A0"/>
    <w:rsid w:val="00B136A9"/>
    <w:rsid w:val="00B14247"/>
    <w:rsid w:val="00B16042"/>
    <w:rsid w:val="00B1662C"/>
    <w:rsid w:val="00B16C99"/>
    <w:rsid w:val="00B16DE3"/>
    <w:rsid w:val="00B16F21"/>
    <w:rsid w:val="00B17669"/>
    <w:rsid w:val="00B201A4"/>
    <w:rsid w:val="00B201D1"/>
    <w:rsid w:val="00B2020D"/>
    <w:rsid w:val="00B213A6"/>
    <w:rsid w:val="00B21E17"/>
    <w:rsid w:val="00B231E3"/>
    <w:rsid w:val="00B23378"/>
    <w:rsid w:val="00B234CA"/>
    <w:rsid w:val="00B235B0"/>
    <w:rsid w:val="00B24069"/>
    <w:rsid w:val="00B24DF6"/>
    <w:rsid w:val="00B25BCF"/>
    <w:rsid w:val="00B26311"/>
    <w:rsid w:val="00B26866"/>
    <w:rsid w:val="00B277A4"/>
    <w:rsid w:val="00B279D9"/>
    <w:rsid w:val="00B27A61"/>
    <w:rsid w:val="00B27C1D"/>
    <w:rsid w:val="00B27D46"/>
    <w:rsid w:val="00B27D47"/>
    <w:rsid w:val="00B3066B"/>
    <w:rsid w:val="00B308FC"/>
    <w:rsid w:val="00B32F13"/>
    <w:rsid w:val="00B33E19"/>
    <w:rsid w:val="00B3411C"/>
    <w:rsid w:val="00B344CB"/>
    <w:rsid w:val="00B34FE2"/>
    <w:rsid w:val="00B35166"/>
    <w:rsid w:val="00B357D8"/>
    <w:rsid w:val="00B35D94"/>
    <w:rsid w:val="00B360F4"/>
    <w:rsid w:val="00B36A00"/>
    <w:rsid w:val="00B3760D"/>
    <w:rsid w:val="00B3792B"/>
    <w:rsid w:val="00B37BFC"/>
    <w:rsid w:val="00B37C27"/>
    <w:rsid w:val="00B40358"/>
    <w:rsid w:val="00B40BDC"/>
    <w:rsid w:val="00B40D30"/>
    <w:rsid w:val="00B40E73"/>
    <w:rsid w:val="00B40F54"/>
    <w:rsid w:val="00B41614"/>
    <w:rsid w:val="00B42851"/>
    <w:rsid w:val="00B42E46"/>
    <w:rsid w:val="00B42F80"/>
    <w:rsid w:val="00B435CB"/>
    <w:rsid w:val="00B45E80"/>
    <w:rsid w:val="00B465EC"/>
    <w:rsid w:val="00B4690D"/>
    <w:rsid w:val="00B505C8"/>
    <w:rsid w:val="00B50A06"/>
    <w:rsid w:val="00B50DB8"/>
    <w:rsid w:val="00B50F9E"/>
    <w:rsid w:val="00B53285"/>
    <w:rsid w:val="00B53314"/>
    <w:rsid w:val="00B53654"/>
    <w:rsid w:val="00B53905"/>
    <w:rsid w:val="00B53E82"/>
    <w:rsid w:val="00B53E87"/>
    <w:rsid w:val="00B5439B"/>
    <w:rsid w:val="00B545E6"/>
    <w:rsid w:val="00B546DB"/>
    <w:rsid w:val="00B54B5B"/>
    <w:rsid w:val="00B54B7C"/>
    <w:rsid w:val="00B5517B"/>
    <w:rsid w:val="00B5562E"/>
    <w:rsid w:val="00B55862"/>
    <w:rsid w:val="00B55D65"/>
    <w:rsid w:val="00B55EE6"/>
    <w:rsid w:val="00B56305"/>
    <w:rsid w:val="00B56ACC"/>
    <w:rsid w:val="00B57000"/>
    <w:rsid w:val="00B5705C"/>
    <w:rsid w:val="00B60142"/>
    <w:rsid w:val="00B60939"/>
    <w:rsid w:val="00B60A2B"/>
    <w:rsid w:val="00B60AFD"/>
    <w:rsid w:val="00B61B49"/>
    <w:rsid w:val="00B62103"/>
    <w:rsid w:val="00B62715"/>
    <w:rsid w:val="00B63F20"/>
    <w:rsid w:val="00B651E1"/>
    <w:rsid w:val="00B65611"/>
    <w:rsid w:val="00B65905"/>
    <w:rsid w:val="00B65AC7"/>
    <w:rsid w:val="00B65B31"/>
    <w:rsid w:val="00B67189"/>
    <w:rsid w:val="00B676EC"/>
    <w:rsid w:val="00B67A07"/>
    <w:rsid w:val="00B705AD"/>
    <w:rsid w:val="00B70DDA"/>
    <w:rsid w:val="00B70E8E"/>
    <w:rsid w:val="00B71311"/>
    <w:rsid w:val="00B71A63"/>
    <w:rsid w:val="00B71CF4"/>
    <w:rsid w:val="00B7299A"/>
    <w:rsid w:val="00B75D94"/>
    <w:rsid w:val="00B76C92"/>
    <w:rsid w:val="00B77299"/>
    <w:rsid w:val="00B77835"/>
    <w:rsid w:val="00B804C9"/>
    <w:rsid w:val="00B8092E"/>
    <w:rsid w:val="00B80EFD"/>
    <w:rsid w:val="00B81305"/>
    <w:rsid w:val="00B8162C"/>
    <w:rsid w:val="00B8178F"/>
    <w:rsid w:val="00B818A4"/>
    <w:rsid w:val="00B81B15"/>
    <w:rsid w:val="00B81D55"/>
    <w:rsid w:val="00B83739"/>
    <w:rsid w:val="00B84117"/>
    <w:rsid w:val="00B84962"/>
    <w:rsid w:val="00B85016"/>
    <w:rsid w:val="00B851DC"/>
    <w:rsid w:val="00B85466"/>
    <w:rsid w:val="00B854EB"/>
    <w:rsid w:val="00B858F0"/>
    <w:rsid w:val="00B85AA2"/>
    <w:rsid w:val="00B86274"/>
    <w:rsid w:val="00B8649C"/>
    <w:rsid w:val="00B864AB"/>
    <w:rsid w:val="00B8664D"/>
    <w:rsid w:val="00B8695D"/>
    <w:rsid w:val="00B86D14"/>
    <w:rsid w:val="00B8725E"/>
    <w:rsid w:val="00B87276"/>
    <w:rsid w:val="00B87524"/>
    <w:rsid w:val="00B87769"/>
    <w:rsid w:val="00B87E0F"/>
    <w:rsid w:val="00B87F0A"/>
    <w:rsid w:val="00B9091F"/>
    <w:rsid w:val="00B90920"/>
    <w:rsid w:val="00B90EE5"/>
    <w:rsid w:val="00B91363"/>
    <w:rsid w:val="00B916CB"/>
    <w:rsid w:val="00B92D0B"/>
    <w:rsid w:val="00B92F7E"/>
    <w:rsid w:val="00B93346"/>
    <w:rsid w:val="00B94945"/>
    <w:rsid w:val="00B94CAD"/>
    <w:rsid w:val="00B94DD6"/>
    <w:rsid w:val="00B95594"/>
    <w:rsid w:val="00B9591B"/>
    <w:rsid w:val="00B9635B"/>
    <w:rsid w:val="00B97410"/>
    <w:rsid w:val="00B974E5"/>
    <w:rsid w:val="00B97840"/>
    <w:rsid w:val="00BA04E1"/>
    <w:rsid w:val="00BA0FD0"/>
    <w:rsid w:val="00BA112F"/>
    <w:rsid w:val="00BA125F"/>
    <w:rsid w:val="00BA2D22"/>
    <w:rsid w:val="00BA322D"/>
    <w:rsid w:val="00BA354D"/>
    <w:rsid w:val="00BA63FA"/>
    <w:rsid w:val="00BA763D"/>
    <w:rsid w:val="00BA78C2"/>
    <w:rsid w:val="00BA7FC8"/>
    <w:rsid w:val="00BB00B3"/>
    <w:rsid w:val="00BB0789"/>
    <w:rsid w:val="00BB09EE"/>
    <w:rsid w:val="00BB0BDD"/>
    <w:rsid w:val="00BB0D2B"/>
    <w:rsid w:val="00BB0EA8"/>
    <w:rsid w:val="00BB176C"/>
    <w:rsid w:val="00BB236E"/>
    <w:rsid w:val="00BB2398"/>
    <w:rsid w:val="00BB2A73"/>
    <w:rsid w:val="00BB3A45"/>
    <w:rsid w:val="00BB49D7"/>
    <w:rsid w:val="00BB4ACC"/>
    <w:rsid w:val="00BB59E8"/>
    <w:rsid w:val="00BB703E"/>
    <w:rsid w:val="00BB732D"/>
    <w:rsid w:val="00BB7405"/>
    <w:rsid w:val="00BC01A1"/>
    <w:rsid w:val="00BC0C7E"/>
    <w:rsid w:val="00BC0D93"/>
    <w:rsid w:val="00BC0E77"/>
    <w:rsid w:val="00BC163C"/>
    <w:rsid w:val="00BC1C51"/>
    <w:rsid w:val="00BC1D35"/>
    <w:rsid w:val="00BC2543"/>
    <w:rsid w:val="00BC260A"/>
    <w:rsid w:val="00BC308F"/>
    <w:rsid w:val="00BC35F5"/>
    <w:rsid w:val="00BC3631"/>
    <w:rsid w:val="00BC3688"/>
    <w:rsid w:val="00BC458E"/>
    <w:rsid w:val="00BC591F"/>
    <w:rsid w:val="00BC6710"/>
    <w:rsid w:val="00BC6D0A"/>
    <w:rsid w:val="00BC7D6D"/>
    <w:rsid w:val="00BD0027"/>
    <w:rsid w:val="00BD0368"/>
    <w:rsid w:val="00BD03C7"/>
    <w:rsid w:val="00BD03FA"/>
    <w:rsid w:val="00BD05F5"/>
    <w:rsid w:val="00BD11B9"/>
    <w:rsid w:val="00BD2108"/>
    <w:rsid w:val="00BD3416"/>
    <w:rsid w:val="00BD39F6"/>
    <w:rsid w:val="00BD46DC"/>
    <w:rsid w:val="00BD6183"/>
    <w:rsid w:val="00BD6367"/>
    <w:rsid w:val="00BD64F1"/>
    <w:rsid w:val="00BD68A3"/>
    <w:rsid w:val="00BD6938"/>
    <w:rsid w:val="00BD6CF3"/>
    <w:rsid w:val="00BD719D"/>
    <w:rsid w:val="00BD79BB"/>
    <w:rsid w:val="00BD7F72"/>
    <w:rsid w:val="00BD7FFB"/>
    <w:rsid w:val="00BE01A9"/>
    <w:rsid w:val="00BE07FA"/>
    <w:rsid w:val="00BE0ECA"/>
    <w:rsid w:val="00BE1B16"/>
    <w:rsid w:val="00BE2180"/>
    <w:rsid w:val="00BE21F2"/>
    <w:rsid w:val="00BE28B5"/>
    <w:rsid w:val="00BE30CF"/>
    <w:rsid w:val="00BE4275"/>
    <w:rsid w:val="00BE55AF"/>
    <w:rsid w:val="00BE5FA5"/>
    <w:rsid w:val="00BE61EA"/>
    <w:rsid w:val="00BE6921"/>
    <w:rsid w:val="00BE6B74"/>
    <w:rsid w:val="00BE7342"/>
    <w:rsid w:val="00BE7430"/>
    <w:rsid w:val="00BE7C13"/>
    <w:rsid w:val="00BE7E46"/>
    <w:rsid w:val="00BE7E95"/>
    <w:rsid w:val="00BF06AE"/>
    <w:rsid w:val="00BF0CE3"/>
    <w:rsid w:val="00BF0F95"/>
    <w:rsid w:val="00BF1076"/>
    <w:rsid w:val="00BF131B"/>
    <w:rsid w:val="00BF1C66"/>
    <w:rsid w:val="00BF1D4A"/>
    <w:rsid w:val="00BF22FF"/>
    <w:rsid w:val="00BF2300"/>
    <w:rsid w:val="00BF2433"/>
    <w:rsid w:val="00BF2E32"/>
    <w:rsid w:val="00BF2E6E"/>
    <w:rsid w:val="00BF4C41"/>
    <w:rsid w:val="00BF4E29"/>
    <w:rsid w:val="00BF5AB8"/>
    <w:rsid w:val="00BF5C97"/>
    <w:rsid w:val="00BF5EE0"/>
    <w:rsid w:val="00BF61C9"/>
    <w:rsid w:val="00BF6C94"/>
    <w:rsid w:val="00BF7437"/>
    <w:rsid w:val="00BF7A63"/>
    <w:rsid w:val="00BF7A8F"/>
    <w:rsid w:val="00BF7C5F"/>
    <w:rsid w:val="00C00424"/>
    <w:rsid w:val="00C00BB0"/>
    <w:rsid w:val="00C00FB6"/>
    <w:rsid w:val="00C01329"/>
    <w:rsid w:val="00C02CE7"/>
    <w:rsid w:val="00C02FE6"/>
    <w:rsid w:val="00C037A1"/>
    <w:rsid w:val="00C04A21"/>
    <w:rsid w:val="00C04E64"/>
    <w:rsid w:val="00C05DC8"/>
    <w:rsid w:val="00C05E17"/>
    <w:rsid w:val="00C06D9A"/>
    <w:rsid w:val="00C0739C"/>
    <w:rsid w:val="00C0762D"/>
    <w:rsid w:val="00C07BEE"/>
    <w:rsid w:val="00C10806"/>
    <w:rsid w:val="00C108A7"/>
    <w:rsid w:val="00C10FFD"/>
    <w:rsid w:val="00C1179F"/>
    <w:rsid w:val="00C11D82"/>
    <w:rsid w:val="00C1237D"/>
    <w:rsid w:val="00C1278B"/>
    <w:rsid w:val="00C127B9"/>
    <w:rsid w:val="00C128FA"/>
    <w:rsid w:val="00C12C14"/>
    <w:rsid w:val="00C1466C"/>
    <w:rsid w:val="00C15146"/>
    <w:rsid w:val="00C15570"/>
    <w:rsid w:val="00C159DE"/>
    <w:rsid w:val="00C15A4D"/>
    <w:rsid w:val="00C15F04"/>
    <w:rsid w:val="00C17072"/>
    <w:rsid w:val="00C172FF"/>
    <w:rsid w:val="00C175E8"/>
    <w:rsid w:val="00C17931"/>
    <w:rsid w:val="00C179B3"/>
    <w:rsid w:val="00C17AA7"/>
    <w:rsid w:val="00C17E3F"/>
    <w:rsid w:val="00C200AA"/>
    <w:rsid w:val="00C21A2A"/>
    <w:rsid w:val="00C21AC3"/>
    <w:rsid w:val="00C233E0"/>
    <w:rsid w:val="00C237ED"/>
    <w:rsid w:val="00C23C0B"/>
    <w:rsid w:val="00C23D4F"/>
    <w:rsid w:val="00C240A4"/>
    <w:rsid w:val="00C24632"/>
    <w:rsid w:val="00C2464D"/>
    <w:rsid w:val="00C252DF"/>
    <w:rsid w:val="00C25418"/>
    <w:rsid w:val="00C2545F"/>
    <w:rsid w:val="00C25D9C"/>
    <w:rsid w:val="00C26596"/>
    <w:rsid w:val="00C26EF3"/>
    <w:rsid w:val="00C27131"/>
    <w:rsid w:val="00C2713E"/>
    <w:rsid w:val="00C2743E"/>
    <w:rsid w:val="00C2745D"/>
    <w:rsid w:val="00C2778B"/>
    <w:rsid w:val="00C27D4A"/>
    <w:rsid w:val="00C302D5"/>
    <w:rsid w:val="00C30457"/>
    <w:rsid w:val="00C31649"/>
    <w:rsid w:val="00C31B9A"/>
    <w:rsid w:val="00C3258A"/>
    <w:rsid w:val="00C32B64"/>
    <w:rsid w:val="00C3319F"/>
    <w:rsid w:val="00C333F7"/>
    <w:rsid w:val="00C33917"/>
    <w:rsid w:val="00C33FA9"/>
    <w:rsid w:val="00C33FCD"/>
    <w:rsid w:val="00C3434C"/>
    <w:rsid w:val="00C34AF8"/>
    <w:rsid w:val="00C35623"/>
    <w:rsid w:val="00C36214"/>
    <w:rsid w:val="00C3676E"/>
    <w:rsid w:val="00C377C1"/>
    <w:rsid w:val="00C37CC9"/>
    <w:rsid w:val="00C40385"/>
    <w:rsid w:val="00C4091B"/>
    <w:rsid w:val="00C41768"/>
    <w:rsid w:val="00C427E0"/>
    <w:rsid w:val="00C43862"/>
    <w:rsid w:val="00C43C5B"/>
    <w:rsid w:val="00C43F82"/>
    <w:rsid w:val="00C444D9"/>
    <w:rsid w:val="00C44AB3"/>
    <w:rsid w:val="00C45DDF"/>
    <w:rsid w:val="00C4635A"/>
    <w:rsid w:val="00C46963"/>
    <w:rsid w:val="00C475AA"/>
    <w:rsid w:val="00C47CA4"/>
    <w:rsid w:val="00C50308"/>
    <w:rsid w:val="00C50DC0"/>
    <w:rsid w:val="00C50F58"/>
    <w:rsid w:val="00C511C8"/>
    <w:rsid w:val="00C523CA"/>
    <w:rsid w:val="00C523F3"/>
    <w:rsid w:val="00C527C7"/>
    <w:rsid w:val="00C53C98"/>
    <w:rsid w:val="00C5475C"/>
    <w:rsid w:val="00C55531"/>
    <w:rsid w:val="00C558D2"/>
    <w:rsid w:val="00C56FCF"/>
    <w:rsid w:val="00C57B6C"/>
    <w:rsid w:val="00C60B99"/>
    <w:rsid w:val="00C6107F"/>
    <w:rsid w:val="00C61560"/>
    <w:rsid w:val="00C61A59"/>
    <w:rsid w:val="00C626E3"/>
    <w:rsid w:val="00C628A6"/>
    <w:rsid w:val="00C63826"/>
    <w:rsid w:val="00C64344"/>
    <w:rsid w:val="00C646F6"/>
    <w:rsid w:val="00C64719"/>
    <w:rsid w:val="00C65108"/>
    <w:rsid w:val="00C654D0"/>
    <w:rsid w:val="00C65576"/>
    <w:rsid w:val="00C66165"/>
    <w:rsid w:val="00C66BDE"/>
    <w:rsid w:val="00C700E7"/>
    <w:rsid w:val="00C702D1"/>
    <w:rsid w:val="00C7060A"/>
    <w:rsid w:val="00C70D7B"/>
    <w:rsid w:val="00C71065"/>
    <w:rsid w:val="00C71406"/>
    <w:rsid w:val="00C7151A"/>
    <w:rsid w:val="00C717E3"/>
    <w:rsid w:val="00C718D9"/>
    <w:rsid w:val="00C71F60"/>
    <w:rsid w:val="00C72241"/>
    <w:rsid w:val="00C73490"/>
    <w:rsid w:val="00C74B29"/>
    <w:rsid w:val="00C74F6B"/>
    <w:rsid w:val="00C75001"/>
    <w:rsid w:val="00C750C8"/>
    <w:rsid w:val="00C7560F"/>
    <w:rsid w:val="00C766F9"/>
    <w:rsid w:val="00C77747"/>
    <w:rsid w:val="00C77F8D"/>
    <w:rsid w:val="00C80248"/>
    <w:rsid w:val="00C805D2"/>
    <w:rsid w:val="00C80A0E"/>
    <w:rsid w:val="00C8155D"/>
    <w:rsid w:val="00C81902"/>
    <w:rsid w:val="00C8213F"/>
    <w:rsid w:val="00C8303F"/>
    <w:rsid w:val="00C843AC"/>
    <w:rsid w:val="00C84A07"/>
    <w:rsid w:val="00C85154"/>
    <w:rsid w:val="00C8565F"/>
    <w:rsid w:val="00C85A70"/>
    <w:rsid w:val="00C8612B"/>
    <w:rsid w:val="00C8797A"/>
    <w:rsid w:val="00C87C35"/>
    <w:rsid w:val="00C87F80"/>
    <w:rsid w:val="00C900B8"/>
    <w:rsid w:val="00C90197"/>
    <w:rsid w:val="00C90532"/>
    <w:rsid w:val="00C90C71"/>
    <w:rsid w:val="00C90D69"/>
    <w:rsid w:val="00C91FD1"/>
    <w:rsid w:val="00C9231E"/>
    <w:rsid w:val="00C9291E"/>
    <w:rsid w:val="00C931CF"/>
    <w:rsid w:val="00C93418"/>
    <w:rsid w:val="00C938CF"/>
    <w:rsid w:val="00C93979"/>
    <w:rsid w:val="00C94053"/>
    <w:rsid w:val="00C95B5A"/>
    <w:rsid w:val="00C9624D"/>
    <w:rsid w:val="00C969DA"/>
    <w:rsid w:val="00C9745A"/>
    <w:rsid w:val="00C97D12"/>
    <w:rsid w:val="00CA0AD5"/>
    <w:rsid w:val="00CA185A"/>
    <w:rsid w:val="00CA1E3C"/>
    <w:rsid w:val="00CA2375"/>
    <w:rsid w:val="00CA26B0"/>
    <w:rsid w:val="00CA2C77"/>
    <w:rsid w:val="00CA36BA"/>
    <w:rsid w:val="00CA37E2"/>
    <w:rsid w:val="00CA3AC7"/>
    <w:rsid w:val="00CA444F"/>
    <w:rsid w:val="00CA4B4D"/>
    <w:rsid w:val="00CA5245"/>
    <w:rsid w:val="00CA57A3"/>
    <w:rsid w:val="00CA622E"/>
    <w:rsid w:val="00CA71A7"/>
    <w:rsid w:val="00CA71F4"/>
    <w:rsid w:val="00CA7219"/>
    <w:rsid w:val="00CA768A"/>
    <w:rsid w:val="00CA7B09"/>
    <w:rsid w:val="00CB0604"/>
    <w:rsid w:val="00CB0F8C"/>
    <w:rsid w:val="00CB12A5"/>
    <w:rsid w:val="00CB1746"/>
    <w:rsid w:val="00CB1B1C"/>
    <w:rsid w:val="00CB1CAC"/>
    <w:rsid w:val="00CB2107"/>
    <w:rsid w:val="00CB2618"/>
    <w:rsid w:val="00CB2901"/>
    <w:rsid w:val="00CB2B7F"/>
    <w:rsid w:val="00CB2F2A"/>
    <w:rsid w:val="00CB53EB"/>
    <w:rsid w:val="00CB5825"/>
    <w:rsid w:val="00CB5B1A"/>
    <w:rsid w:val="00CB6B22"/>
    <w:rsid w:val="00CB7630"/>
    <w:rsid w:val="00CB76F9"/>
    <w:rsid w:val="00CB7F5F"/>
    <w:rsid w:val="00CC0020"/>
    <w:rsid w:val="00CC00CD"/>
    <w:rsid w:val="00CC1126"/>
    <w:rsid w:val="00CC1B39"/>
    <w:rsid w:val="00CC1BFA"/>
    <w:rsid w:val="00CC2E9F"/>
    <w:rsid w:val="00CC2F13"/>
    <w:rsid w:val="00CC317F"/>
    <w:rsid w:val="00CC332B"/>
    <w:rsid w:val="00CC34E0"/>
    <w:rsid w:val="00CC35EA"/>
    <w:rsid w:val="00CC3848"/>
    <w:rsid w:val="00CC45D8"/>
    <w:rsid w:val="00CC4C06"/>
    <w:rsid w:val="00CC4C1F"/>
    <w:rsid w:val="00CC5551"/>
    <w:rsid w:val="00CC6D5E"/>
    <w:rsid w:val="00CC6DFA"/>
    <w:rsid w:val="00CC6F9B"/>
    <w:rsid w:val="00CC726D"/>
    <w:rsid w:val="00CC7979"/>
    <w:rsid w:val="00CD018A"/>
    <w:rsid w:val="00CD0200"/>
    <w:rsid w:val="00CD02F0"/>
    <w:rsid w:val="00CD0936"/>
    <w:rsid w:val="00CD1240"/>
    <w:rsid w:val="00CD1A70"/>
    <w:rsid w:val="00CD2148"/>
    <w:rsid w:val="00CD2D37"/>
    <w:rsid w:val="00CD3321"/>
    <w:rsid w:val="00CD3F77"/>
    <w:rsid w:val="00CD451D"/>
    <w:rsid w:val="00CD4E3C"/>
    <w:rsid w:val="00CD4F7C"/>
    <w:rsid w:val="00CD585F"/>
    <w:rsid w:val="00CD622C"/>
    <w:rsid w:val="00CD6A5B"/>
    <w:rsid w:val="00CD6ACB"/>
    <w:rsid w:val="00CD6ADC"/>
    <w:rsid w:val="00CD7193"/>
    <w:rsid w:val="00CE0486"/>
    <w:rsid w:val="00CE0AD7"/>
    <w:rsid w:val="00CE107C"/>
    <w:rsid w:val="00CE1CA0"/>
    <w:rsid w:val="00CE22AD"/>
    <w:rsid w:val="00CE2BAE"/>
    <w:rsid w:val="00CE326B"/>
    <w:rsid w:val="00CE3841"/>
    <w:rsid w:val="00CE38C8"/>
    <w:rsid w:val="00CE3DBF"/>
    <w:rsid w:val="00CE3E11"/>
    <w:rsid w:val="00CE4715"/>
    <w:rsid w:val="00CE524F"/>
    <w:rsid w:val="00CE53CE"/>
    <w:rsid w:val="00CE58CC"/>
    <w:rsid w:val="00CE6274"/>
    <w:rsid w:val="00CE6F51"/>
    <w:rsid w:val="00CE6FB3"/>
    <w:rsid w:val="00CE7627"/>
    <w:rsid w:val="00CE77B6"/>
    <w:rsid w:val="00CF07DC"/>
    <w:rsid w:val="00CF09DC"/>
    <w:rsid w:val="00CF0B3C"/>
    <w:rsid w:val="00CF14F3"/>
    <w:rsid w:val="00CF15CD"/>
    <w:rsid w:val="00CF269A"/>
    <w:rsid w:val="00CF274A"/>
    <w:rsid w:val="00CF28B8"/>
    <w:rsid w:val="00CF2B8D"/>
    <w:rsid w:val="00CF2BBF"/>
    <w:rsid w:val="00CF3555"/>
    <w:rsid w:val="00CF3921"/>
    <w:rsid w:val="00CF3A1B"/>
    <w:rsid w:val="00CF41B6"/>
    <w:rsid w:val="00CF455C"/>
    <w:rsid w:val="00CF456B"/>
    <w:rsid w:val="00CF5664"/>
    <w:rsid w:val="00CF5A22"/>
    <w:rsid w:val="00CF60F4"/>
    <w:rsid w:val="00D010FE"/>
    <w:rsid w:val="00D01A77"/>
    <w:rsid w:val="00D0262E"/>
    <w:rsid w:val="00D03679"/>
    <w:rsid w:val="00D03FBA"/>
    <w:rsid w:val="00D04A0B"/>
    <w:rsid w:val="00D04C62"/>
    <w:rsid w:val="00D05E3D"/>
    <w:rsid w:val="00D06139"/>
    <w:rsid w:val="00D06627"/>
    <w:rsid w:val="00D070A5"/>
    <w:rsid w:val="00D07ED1"/>
    <w:rsid w:val="00D103A6"/>
    <w:rsid w:val="00D10DCD"/>
    <w:rsid w:val="00D110BD"/>
    <w:rsid w:val="00D11180"/>
    <w:rsid w:val="00D11632"/>
    <w:rsid w:val="00D1164A"/>
    <w:rsid w:val="00D11BD2"/>
    <w:rsid w:val="00D132C2"/>
    <w:rsid w:val="00D13675"/>
    <w:rsid w:val="00D13F42"/>
    <w:rsid w:val="00D141E1"/>
    <w:rsid w:val="00D1439D"/>
    <w:rsid w:val="00D148FC"/>
    <w:rsid w:val="00D149C5"/>
    <w:rsid w:val="00D1509E"/>
    <w:rsid w:val="00D15101"/>
    <w:rsid w:val="00D15314"/>
    <w:rsid w:val="00D1565C"/>
    <w:rsid w:val="00D15B48"/>
    <w:rsid w:val="00D160C2"/>
    <w:rsid w:val="00D163A5"/>
    <w:rsid w:val="00D16EA5"/>
    <w:rsid w:val="00D17D6C"/>
    <w:rsid w:val="00D2155B"/>
    <w:rsid w:val="00D23C95"/>
    <w:rsid w:val="00D23D11"/>
    <w:rsid w:val="00D240A0"/>
    <w:rsid w:val="00D244B6"/>
    <w:rsid w:val="00D249BD"/>
    <w:rsid w:val="00D2504F"/>
    <w:rsid w:val="00D267B2"/>
    <w:rsid w:val="00D26C01"/>
    <w:rsid w:val="00D271A2"/>
    <w:rsid w:val="00D2754D"/>
    <w:rsid w:val="00D27B27"/>
    <w:rsid w:val="00D30D5B"/>
    <w:rsid w:val="00D30EB5"/>
    <w:rsid w:val="00D330E6"/>
    <w:rsid w:val="00D3327A"/>
    <w:rsid w:val="00D33BE9"/>
    <w:rsid w:val="00D33F93"/>
    <w:rsid w:val="00D35755"/>
    <w:rsid w:val="00D357FF"/>
    <w:rsid w:val="00D37C88"/>
    <w:rsid w:val="00D41433"/>
    <w:rsid w:val="00D424C7"/>
    <w:rsid w:val="00D42E40"/>
    <w:rsid w:val="00D43B2A"/>
    <w:rsid w:val="00D43CF1"/>
    <w:rsid w:val="00D43D83"/>
    <w:rsid w:val="00D442A7"/>
    <w:rsid w:val="00D44368"/>
    <w:rsid w:val="00D44A50"/>
    <w:rsid w:val="00D451B8"/>
    <w:rsid w:val="00D47575"/>
    <w:rsid w:val="00D47692"/>
    <w:rsid w:val="00D509CF"/>
    <w:rsid w:val="00D509E4"/>
    <w:rsid w:val="00D50C16"/>
    <w:rsid w:val="00D52134"/>
    <w:rsid w:val="00D5243B"/>
    <w:rsid w:val="00D528E4"/>
    <w:rsid w:val="00D52C8C"/>
    <w:rsid w:val="00D531E2"/>
    <w:rsid w:val="00D533D6"/>
    <w:rsid w:val="00D533EC"/>
    <w:rsid w:val="00D53924"/>
    <w:rsid w:val="00D54889"/>
    <w:rsid w:val="00D54B7E"/>
    <w:rsid w:val="00D55612"/>
    <w:rsid w:val="00D5595C"/>
    <w:rsid w:val="00D563D7"/>
    <w:rsid w:val="00D563E2"/>
    <w:rsid w:val="00D56A95"/>
    <w:rsid w:val="00D57A92"/>
    <w:rsid w:val="00D57ADF"/>
    <w:rsid w:val="00D601AF"/>
    <w:rsid w:val="00D6076E"/>
    <w:rsid w:val="00D6309D"/>
    <w:rsid w:val="00D6421E"/>
    <w:rsid w:val="00D64E96"/>
    <w:rsid w:val="00D660EB"/>
    <w:rsid w:val="00D66F7A"/>
    <w:rsid w:val="00D67841"/>
    <w:rsid w:val="00D67D2F"/>
    <w:rsid w:val="00D70523"/>
    <w:rsid w:val="00D7091C"/>
    <w:rsid w:val="00D70F16"/>
    <w:rsid w:val="00D71156"/>
    <w:rsid w:val="00D71907"/>
    <w:rsid w:val="00D7236A"/>
    <w:rsid w:val="00D72617"/>
    <w:rsid w:val="00D72F57"/>
    <w:rsid w:val="00D73DB3"/>
    <w:rsid w:val="00D73DD0"/>
    <w:rsid w:val="00D76100"/>
    <w:rsid w:val="00D7665F"/>
    <w:rsid w:val="00D76691"/>
    <w:rsid w:val="00D76A44"/>
    <w:rsid w:val="00D77094"/>
    <w:rsid w:val="00D775A0"/>
    <w:rsid w:val="00D77F53"/>
    <w:rsid w:val="00D80030"/>
    <w:rsid w:val="00D815DD"/>
    <w:rsid w:val="00D815EF"/>
    <w:rsid w:val="00D81949"/>
    <w:rsid w:val="00D81C07"/>
    <w:rsid w:val="00D81D04"/>
    <w:rsid w:val="00D81F26"/>
    <w:rsid w:val="00D822E2"/>
    <w:rsid w:val="00D82E37"/>
    <w:rsid w:val="00D843F2"/>
    <w:rsid w:val="00D8532E"/>
    <w:rsid w:val="00D86231"/>
    <w:rsid w:val="00D870F6"/>
    <w:rsid w:val="00D90487"/>
    <w:rsid w:val="00D90546"/>
    <w:rsid w:val="00D912A9"/>
    <w:rsid w:val="00D912AB"/>
    <w:rsid w:val="00D91672"/>
    <w:rsid w:val="00D91923"/>
    <w:rsid w:val="00D92371"/>
    <w:rsid w:val="00D92B80"/>
    <w:rsid w:val="00D92CCF"/>
    <w:rsid w:val="00D93753"/>
    <w:rsid w:val="00D940EF"/>
    <w:rsid w:val="00D95853"/>
    <w:rsid w:val="00D95C52"/>
    <w:rsid w:val="00D9698A"/>
    <w:rsid w:val="00D97859"/>
    <w:rsid w:val="00DA07A7"/>
    <w:rsid w:val="00DA18F8"/>
    <w:rsid w:val="00DA23ED"/>
    <w:rsid w:val="00DA3167"/>
    <w:rsid w:val="00DA4594"/>
    <w:rsid w:val="00DA4C21"/>
    <w:rsid w:val="00DA4CD8"/>
    <w:rsid w:val="00DA4DC3"/>
    <w:rsid w:val="00DA56E0"/>
    <w:rsid w:val="00DA5EDF"/>
    <w:rsid w:val="00DA62A6"/>
    <w:rsid w:val="00DA680E"/>
    <w:rsid w:val="00DA77A5"/>
    <w:rsid w:val="00DA7841"/>
    <w:rsid w:val="00DA78C2"/>
    <w:rsid w:val="00DB0266"/>
    <w:rsid w:val="00DB06FF"/>
    <w:rsid w:val="00DB0E36"/>
    <w:rsid w:val="00DB2280"/>
    <w:rsid w:val="00DB2569"/>
    <w:rsid w:val="00DB2F14"/>
    <w:rsid w:val="00DB354D"/>
    <w:rsid w:val="00DB3DBF"/>
    <w:rsid w:val="00DB4592"/>
    <w:rsid w:val="00DB484F"/>
    <w:rsid w:val="00DB5FD2"/>
    <w:rsid w:val="00DB634D"/>
    <w:rsid w:val="00DB6C1C"/>
    <w:rsid w:val="00DB6D27"/>
    <w:rsid w:val="00DB7053"/>
    <w:rsid w:val="00DB75CF"/>
    <w:rsid w:val="00DC0284"/>
    <w:rsid w:val="00DC04F6"/>
    <w:rsid w:val="00DC0690"/>
    <w:rsid w:val="00DC1264"/>
    <w:rsid w:val="00DC156F"/>
    <w:rsid w:val="00DC1AEB"/>
    <w:rsid w:val="00DC1CCB"/>
    <w:rsid w:val="00DC1D65"/>
    <w:rsid w:val="00DC28C8"/>
    <w:rsid w:val="00DC2F2B"/>
    <w:rsid w:val="00DC3098"/>
    <w:rsid w:val="00DC3C57"/>
    <w:rsid w:val="00DC41AC"/>
    <w:rsid w:val="00DC4DD4"/>
    <w:rsid w:val="00DC539F"/>
    <w:rsid w:val="00DC5501"/>
    <w:rsid w:val="00DC5A97"/>
    <w:rsid w:val="00DC5DE4"/>
    <w:rsid w:val="00DC5E65"/>
    <w:rsid w:val="00DC70CB"/>
    <w:rsid w:val="00DC7154"/>
    <w:rsid w:val="00DC736B"/>
    <w:rsid w:val="00DC75E0"/>
    <w:rsid w:val="00DC7CC4"/>
    <w:rsid w:val="00DC7E8A"/>
    <w:rsid w:val="00DD0F34"/>
    <w:rsid w:val="00DD0F78"/>
    <w:rsid w:val="00DD1E23"/>
    <w:rsid w:val="00DD273C"/>
    <w:rsid w:val="00DD2B4E"/>
    <w:rsid w:val="00DD3114"/>
    <w:rsid w:val="00DD3787"/>
    <w:rsid w:val="00DD384C"/>
    <w:rsid w:val="00DD3D6B"/>
    <w:rsid w:val="00DD3F28"/>
    <w:rsid w:val="00DD441D"/>
    <w:rsid w:val="00DD4446"/>
    <w:rsid w:val="00DD4537"/>
    <w:rsid w:val="00DD47F6"/>
    <w:rsid w:val="00DD4C24"/>
    <w:rsid w:val="00DD4E15"/>
    <w:rsid w:val="00DD5FD7"/>
    <w:rsid w:val="00DD610D"/>
    <w:rsid w:val="00DD7052"/>
    <w:rsid w:val="00DD7379"/>
    <w:rsid w:val="00DD7410"/>
    <w:rsid w:val="00DD78F3"/>
    <w:rsid w:val="00DE0436"/>
    <w:rsid w:val="00DE1B25"/>
    <w:rsid w:val="00DE2304"/>
    <w:rsid w:val="00DE2455"/>
    <w:rsid w:val="00DE2589"/>
    <w:rsid w:val="00DE25EB"/>
    <w:rsid w:val="00DE312F"/>
    <w:rsid w:val="00DE3138"/>
    <w:rsid w:val="00DE3312"/>
    <w:rsid w:val="00DE335F"/>
    <w:rsid w:val="00DE3705"/>
    <w:rsid w:val="00DE37F8"/>
    <w:rsid w:val="00DE3F7C"/>
    <w:rsid w:val="00DE41D3"/>
    <w:rsid w:val="00DE4273"/>
    <w:rsid w:val="00DE468A"/>
    <w:rsid w:val="00DE4C8F"/>
    <w:rsid w:val="00DE4FCB"/>
    <w:rsid w:val="00DE5D07"/>
    <w:rsid w:val="00DE70DB"/>
    <w:rsid w:val="00DE72A7"/>
    <w:rsid w:val="00DE75A3"/>
    <w:rsid w:val="00DE75FF"/>
    <w:rsid w:val="00DE7832"/>
    <w:rsid w:val="00DE7F7B"/>
    <w:rsid w:val="00DE7FFE"/>
    <w:rsid w:val="00DF03D7"/>
    <w:rsid w:val="00DF1422"/>
    <w:rsid w:val="00DF18FC"/>
    <w:rsid w:val="00DF1A18"/>
    <w:rsid w:val="00DF1B30"/>
    <w:rsid w:val="00DF1F53"/>
    <w:rsid w:val="00DF3468"/>
    <w:rsid w:val="00DF346A"/>
    <w:rsid w:val="00DF36BC"/>
    <w:rsid w:val="00DF4293"/>
    <w:rsid w:val="00DF4516"/>
    <w:rsid w:val="00DF5376"/>
    <w:rsid w:val="00DF5D2B"/>
    <w:rsid w:val="00DF6341"/>
    <w:rsid w:val="00DF7FCD"/>
    <w:rsid w:val="00E00E8E"/>
    <w:rsid w:val="00E0221B"/>
    <w:rsid w:val="00E02927"/>
    <w:rsid w:val="00E03AED"/>
    <w:rsid w:val="00E047DC"/>
    <w:rsid w:val="00E05012"/>
    <w:rsid w:val="00E053F3"/>
    <w:rsid w:val="00E05630"/>
    <w:rsid w:val="00E06DBB"/>
    <w:rsid w:val="00E072DE"/>
    <w:rsid w:val="00E075A9"/>
    <w:rsid w:val="00E07886"/>
    <w:rsid w:val="00E07F3E"/>
    <w:rsid w:val="00E10149"/>
    <w:rsid w:val="00E10397"/>
    <w:rsid w:val="00E11094"/>
    <w:rsid w:val="00E11151"/>
    <w:rsid w:val="00E11340"/>
    <w:rsid w:val="00E115ED"/>
    <w:rsid w:val="00E11E85"/>
    <w:rsid w:val="00E122A1"/>
    <w:rsid w:val="00E12EEB"/>
    <w:rsid w:val="00E13927"/>
    <w:rsid w:val="00E13ECA"/>
    <w:rsid w:val="00E15520"/>
    <w:rsid w:val="00E16372"/>
    <w:rsid w:val="00E16664"/>
    <w:rsid w:val="00E16AD8"/>
    <w:rsid w:val="00E16EDC"/>
    <w:rsid w:val="00E17602"/>
    <w:rsid w:val="00E178DD"/>
    <w:rsid w:val="00E17FFA"/>
    <w:rsid w:val="00E20E4D"/>
    <w:rsid w:val="00E20ED6"/>
    <w:rsid w:val="00E21358"/>
    <w:rsid w:val="00E21F24"/>
    <w:rsid w:val="00E21FE6"/>
    <w:rsid w:val="00E2249B"/>
    <w:rsid w:val="00E228AA"/>
    <w:rsid w:val="00E22A0D"/>
    <w:rsid w:val="00E2317B"/>
    <w:rsid w:val="00E244F6"/>
    <w:rsid w:val="00E24F89"/>
    <w:rsid w:val="00E258DB"/>
    <w:rsid w:val="00E25980"/>
    <w:rsid w:val="00E25C09"/>
    <w:rsid w:val="00E2771E"/>
    <w:rsid w:val="00E27EAC"/>
    <w:rsid w:val="00E27F6B"/>
    <w:rsid w:val="00E3117B"/>
    <w:rsid w:val="00E311EF"/>
    <w:rsid w:val="00E3144C"/>
    <w:rsid w:val="00E32180"/>
    <w:rsid w:val="00E32211"/>
    <w:rsid w:val="00E3352A"/>
    <w:rsid w:val="00E339BB"/>
    <w:rsid w:val="00E33A5C"/>
    <w:rsid w:val="00E33E6B"/>
    <w:rsid w:val="00E3434D"/>
    <w:rsid w:val="00E345C4"/>
    <w:rsid w:val="00E34948"/>
    <w:rsid w:val="00E34B57"/>
    <w:rsid w:val="00E34E3D"/>
    <w:rsid w:val="00E351A5"/>
    <w:rsid w:val="00E353F8"/>
    <w:rsid w:val="00E35E49"/>
    <w:rsid w:val="00E362A0"/>
    <w:rsid w:val="00E36E86"/>
    <w:rsid w:val="00E37470"/>
    <w:rsid w:val="00E37569"/>
    <w:rsid w:val="00E401B2"/>
    <w:rsid w:val="00E4101E"/>
    <w:rsid w:val="00E41E30"/>
    <w:rsid w:val="00E429CF"/>
    <w:rsid w:val="00E42A04"/>
    <w:rsid w:val="00E42F73"/>
    <w:rsid w:val="00E43568"/>
    <w:rsid w:val="00E435C9"/>
    <w:rsid w:val="00E43D70"/>
    <w:rsid w:val="00E441B6"/>
    <w:rsid w:val="00E441D0"/>
    <w:rsid w:val="00E441FE"/>
    <w:rsid w:val="00E443AA"/>
    <w:rsid w:val="00E44785"/>
    <w:rsid w:val="00E45062"/>
    <w:rsid w:val="00E45B4D"/>
    <w:rsid w:val="00E45CC4"/>
    <w:rsid w:val="00E45D06"/>
    <w:rsid w:val="00E466B5"/>
    <w:rsid w:val="00E466F3"/>
    <w:rsid w:val="00E46973"/>
    <w:rsid w:val="00E46A1E"/>
    <w:rsid w:val="00E46C66"/>
    <w:rsid w:val="00E47A39"/>
    <w:rsid w:val="00E47B2C"/>
    <w:rsid w:val="00E50600"/>
    <w:rsid w:val="00E50798"/>
    <w:rsid w:val="00E51397"/>
    <w:rsid w:val="00E51560"/>
    <w:rsid w:val="00E51821"/>
    <w:rsid w:val="00E51A2A"/>
    <w:rsid w:val="00E5232F"/>
    <w:rsid w:val="00E523BA"/>
    <w:rsid w:val="00E53DAB"/>
    <w:rsid w:val="00E53FBD"/>
    <w:rsid w:val="00E53FC8"/>
    <w:rsid w:val="00E54347"/>
    <w:rsid w:val="00E5459F"/>
    <w:rsid w:val="00E54A3F"/>
    <w:rsid w:val="00E5534C"/>
    <w:rsid w:val="00E55424"/>
    <w:rsid w:val="00E557F8"/>
    <w:rsid w:val="00E55915"/>
    <w:rsid w:val="00E55BB5"/>
    <w:rsid w:val="00E5721E"/>
    <w:rsid w:val="00E57501"/>
    <w:rsid w:val="00E57B1D"/>
    <w:rsid w:val="00E60755"/>
    <w:rsid w:val="00E60F1E"/>
    <w:rsid w:val="00E611DF"/>
    <w:rsid w:val="00E6191F"/>
    <w:rsid w:val="00E6216C"/>
    <w:rsid w:val="00E6461A"/>
    <w:rsid w:val="00E648E4"/>
    <w:rsid w:val="00E64C20"/>
    <w:rsid w:val="00E65E79"/>
    <w:rsid w:val="00E6686C"/>
    <w:rsid w:val="00E66A80"/>
    <w:rsid w:val="00E66BA2"/>
    <w:rsid w:val="00E67416"/>
    <w:rsid w:val="00E67EF3"/>
    <w:rsid w:val="00E70C95"/>
    <w:rsid w:val="00E71218"/>
    <w:rsid w:val="00E71425"/>
    <w:rsid w:val="00E718B6"/>
    <w:rsid w:val="00E723BA"/>
    <w:rsid w:val="00E723F6"/>
    <w:rsid w:val="00E729FE"/>
    <w:rsid w:val="00E73581"/>
    <w:rsid w:val="00E73F29"/>
    <w:rsid w:val="00E73F38"/>
    <w:rsid w:val="00E80AE6"/>
    <w:rsid w:val="00E8143E"/>
    <w:rsid w:val="00E8207C"/>
    <w:rsid w:val="00E833F7"/>
    <w:rsid w:val="00E83603"/>
    <w:rsid w:val="00E83BDF"/>
    <w:rsid w:val="00E859A5"/>
    <w:rsid w:val="00E860E4"/>
    <w:rsid w:val="00E8621B"/>
    <w:rsid w:val="00E86B50"/>
    <w:rsid w:val="00E86C1B"/>
    <w:rsid w:val="00E86FCC"/>
    <w:rsid w:val="00E87A1D"/>
    <w:rsid w:val="00E87B76"/>
    <w:rsid w:val="00E9094A"/>
    <w:rsid w:val="00E90BEC"/>
    <w:rsid w:val="00E917E9"/>
    <w:rsid w:val="00E91D35"/>
    <w:rsid w:val="00E92094"/>
    <w:rsid w:val="00E926A5"/>
    <w:rsid w:val="00E92E09"/>
    <w:rsid w:val="00E92E32"/>
    <w:rsid w:val="00E9335E"/>
    <w:rsid w:val="00E93970"/>
    <w:rsid w:val="00E93F4F"/>
    <w:rsid w:val="00E94FF4"/>
    <w:rsid w:val="00E9610A"/>
    <w:rsid w:val="00E962CC"/>
    <w:rsid w:val="00E96603"/>
    <w:rsid w:val="00E96B9F"/>
    <w:rsid w:val="00E97235"/>
    <w:rsid w:val="00E978E5"/>
    <w:rsid w:val="00EA0707"/>
    <w:rsid w:val="00EA097C"/>
    <w:rsid w:val="00EA17C3"/>
    <w:rsid w:val="00EA2005"/>
    <w:rsid w:val="00EA27B2"/>
    <w:rsid w:val="00EA28E2"/>
    <w:rsid w:val="00EA2CAA"/>
    <w:rsid w:val="00EA326D"/>
    <w:rsid w:val="00EA3720"/>
    <w:rsid w:val="00EA3864"/>
    <w:rsid w:val="00EA42EF"/>
    <w:rsid w:val="00EA445F"/>
    <w:rsid w:val="00EA4F90"/>
    <w:rsid w:val="00EA5283"/>
    <w:rsid w:val="00EA55FB"/>
    <w:rsid w:val="00EA6484"/>
    <w:rsid w:val="00EA7324"/>
    <w:rsid w:val="00EA7BF9"/>
    <w:rsid w:val="00EA7F1C"/>
    <w:rsid w:val="00EB035E"/>
    <w:rsid w:val="00EB077D"/>
    <w:rsid w:val="00EB0817"/>
    <w:rsid w:val="00EB0B1D"/>
    <w:rsid w:val="00EB0E55"/>
    <w:rsid w:val="00EB15B6"/>
    <w:rsid w:val="00EB168F"/>
    <w:rsid w:val="00EB1B40"/>
    <w:rsid w:val="00EB1CB7"/>
    <w:rsid w:val="00EB260C"/>
    <w:rsid w:val="00EB3069"/>
    <w:rsid w:val="00EB3500"/>
    <w:rsid w:val="00EB3D06"/>
    <w:rsid w:val="00EB40AE"/>
    <w:rsid w:val="00EB4916"/>
    <w:rsid w:val="00EB5F64"/>
    <w:rsid w:val="00EB6F4B"/>
    <w:rsid w:val="00EB6FB2"/>
    <w:rsid w:val="00EB7C93"/>
    <w:rsid w:val="00EB7E95"/>
    <w:rsid w:val="00EC00C9"/>
    <w:rsid w:val="00EC0668"/>
    <w:rsid w:val="00EC0970"/>
    <w:rsid w:val="00EC0DD9"/>
    <w:rsid w:val="00EC0FF0"/>
    <w:rsid w:val="00EC15D7"/>
    <w:rsid w:val="00EC2004"/>
    <w:rsid w:val="00EC21DF"/>
    <w:rsid w:val="00EC2649"/>
    <w:rsid w:val="00EC288F"/>
    <w:rsid w:val="00EC31ED"/>
    <w:rsid w:val="00EC379B"/>
    <w:rsid w:val="00EC4D28"/>
    <w:rsid w:val="00EC5394"/>
    <w:rsid w:val="00EC5836"/>
    <w:rsid w:val="00EC633F"/>
    <w:rsid w:val="00EC688C"/>
    <w:rsid w:val="00EC693D"/>
    <w:rsid w:val="00EC6A1E"/>
    <w:rsid w:val="00EC7810"/>
    <w:rsid w:val="00EC7FA2"/>
    <w:rsid w:val="00ED12E3"/>
    <w:rsid w:val="00ED1685"/>
    <w:rsid w:val="00ED17BA"/>
    <w:rsid w:val="00ED2230"/>
    <w:rsid w:val="00ED24EE"/>
    <w:rsid w:val="00ED2941"/>
    <w:rsid w:val="00ED38A7"/>
    <w:rsid w:val="00ED3933"/>
    <w:rsid w:val="00ED3A9F"/>
    <w:rsid w:val="00ED3B53"/>
    <w:rsid w:val="00ED3B9A"/>
    <w:rsid w:val="00ED419F"/>
    <w:rsid w:val="00ED4B04"/>
    <w:rsid w:val="00ED57EA"/>
    <w:rsid w:val="00ED5801"/>
    <w:rsid w:val="00ED5BD4"/>
    <w:rsid w:val="00EE07D3"/>
    <w:rsid w:val="00EE0800"/>
    <w:rsid w:val="00EE0E98"/>
    <w:rsid w:val="00EE1277"/>
    <w:rsid w:val="00EE1996"/>
    <w:rsid w:val="00EE1C01"/>
    <w:rsid w:val="00EE21E2"/>
    <w:rsid w:val="00EE22AF"/>
    <w:rsid w:val="00EE3B80"/>
    <w:rsid w:val="00EE4212"/>
    <w:rsid w:val="00EE53B4"/>
    <w:rsid w:val="00EE6510"/>
    <w:rsid w:val="00EE70EC"/>
    <w:rsid w:val="00EF0171"/>
    <w:rsid w:val="00EF025E"/>
    <w:rsid w:val="00EF0A52"/>
    <w:rsid w:val="00EF1B25"/>
    <w:rsid w:val="00EF1DA0"/>
    <w:rsid w:val="00EF274D"/>
    <w:rsid w:val="00EF3E45"/>
    <w:rsid w:val="00EF4162"/>
    <w:rsid w:val="00EF4600"/>
    <w:rsid w:val="00EF4747"/>
    <w:rsid w:val="00EF4924"/>
    <w:rsid w:val="00EF4BF8"/>
    <w:rsid w:val="00EF4FC0"/>
    <w:rsid w:val="00EF5792"/>
    <w:rsid w:val="00EF7DD0"/>
    <w:rsid w:val="00F002CC"/>
    <w:rsid w:val="00F01A94"/>
    <w:rsid w:val="00F02253"/>
    <w:rsid w:val="00F02A7A"/>
    <w:rsid w:val="00F03262"/>
    <w:rsid w:val="00F03C2E"/>
    <w:rsid w:val="00F04A66"/>
    <w:rsid w:val="00F04B4B"/>
    <w:rsid w:val="00F0516C"/>
    <w:rsid w:val="00F067A2"/>
    <w:rsid w:val="00F06852"/>
    <w:rsid w:val="00F06883"/>
    <w:rsid w:val="00F06E47"/>
    <w:rsid w:val="00F072FE"/>
    <w:rsid w:val="00F07B9E"/>
    <w:rsid w:val="00F10110"/>
    <w:rsid w:val="00F10175"/>
    <w:rsid w:val="00F105A7"/>
    <w:rsid w:val="00F10E97"/>
    <w:rsid w:val="00F1116F"/>
    <w:rsid w:val="00F11A2F"/>
    <w:rsid w:val="00F1263A"/>
    <w:rsid w:val="00F139C5"/>
    <w:rsid w:val="00F1475D"/>
    <w:rsid w:val="00F14E03"/>
    <w:rsid w:val="00F15B77"/>
    <w:rsid w:val="00F15BD5"/>
    <w:rsid w:val="00F161C0"/>
    <w:rsid w:val="00F16B1E"/>
    <w:rsid w:val="00F17204"/>
    <w:rsid w:val="00F20B7F"/>
    <w:rsid w:val="00F20C80"/>
    <w:rsid w:val="00F21115"/>
    <w:rsid w:val="00F21236"/>
    <w:rsid w:val="00F22220"/>
    <w:rsid w:val="00F2266A"/>
    <w:rsid w:val="00F22D93"/>
    <w:rsid w:val="00F239DF"/>
    <w:rsid w:val="00F23B5E"/>
    <w:rsid w:val="00F23C87"/>
    <w:rsid w:val="00F24837"/>
    <w:rsid w:val="00F2575F"/>
    <w:rsid w:val="00F26089"/>
    <w:rsid w:val="00F2655E"/>
    <w:rsid w:val="00F26633"/>
    <w:rsid w:val="00F26FB5"/>
    <w:rsid w:val="00F27565"/>
    <w:rsid w:val="00F30128"/>
    <w:rsid w:val="00F3089D"/>
    <w:rsid w:val="00F30AA5"/>
    <w:rsid w:val="00F310D4"/>
    <w:rsid w:val="00F3172B"/>
    <w:rsid w:val="00F31B68"/>
    <w:rsid w:val="00F31D5A"/>
    <w:rsid w:val="00F31D70"/>
    <w:rsid w:val="00F33975"/>
    <w:rsid w:val="00F33B5B"/>
    <w:rsid w:val="00F33DE9"/>
    <w:rsid w:val="00F35007"/>
    <w:rsid w:val="00F35E6D"/>
    <w:rsid w:val="00F3619A"/>
    <w:rsid w:val="00F3743A"/>
    <w:rsid w:val="00F4026A"/>
    <w:rsid w:val="00F4060D"/>
    <w:rsid w:val="00F40AAA"/>
    <w:rsid w:val="00F40BA7"/>
    <w:rsid w:val="00F40F9D"/>
    <w:rsid w:val="00F40FBE"/>
    <w:rsid w:val="00F4157F"/>
    <w:rsid w:val="00F41A2A"/>
    <w:rsid w:val="00F41ACD"/>
    <w:rsid w:val="00F42057"/>
    <w:rsid w:val="00F423BE"/>
    <w:rsid w:val="00F435D8"/>
    <w:rsid w:val="00F44AC1"/>
    <w:rsid w:val="00F44FAE"/>
    <w:rsid w:val="00F45084"/>
    <w:rsid w:val="00F45A79"/>
    <w:rsid w:val="00F46CB6"/>
    <w:rsid w:val="00F47413"/>
    <w:rsid w:val="00F4756D"/>
    <w:rsid w:val="00F47DE8"/>
    <w:rsid w:val="00F51FB1"/>
    <w:rsid w:val="00F53DED"/>
    <w:rsid w:val="00F542C1"/>
    <w:rsid w:val="00F549B9"/>
    <w:rsid w:val="00F54A7A"/>
    <w:rsid w:val="00F550E3"/>
    <w:rsid w:val="00F5517D"/>
    <w:rsid w:val="00F55938"/>
    <w:rsid w:val="00F55E73"/>
    <w:rsid w:val="00F55EDA"/>
    <w:rsid w:val="00F5602B"/>
    <w:rsid w:val="00F5672A"/>
    <w:rsid w:val="00F56C80"/>
    <w:rsid w:val="00F56DDD"/>
    <w:rsid w:val="00F57B78"/>
    <w:rsid w:val="00F60092"/>
    <w:rsid w:val="00F60A26"/>
    <w:rsid w:val="00F60F68"/>
    <w:rsid w:val="00F61C18"/>
    <w:rsid w:val="00F6302F"/>
    <w:rsid w:val="00F63B22"/>
    <w:rsid w:val="00F642BA"/>
    <w:rsid w:val="00F646CD"/>
    <w:rsid w:val="00F65189"/>
    <w:rsid w:val="00F65B80"/>
    <w:rsid w:val="00F65F4B"/>
    <w:rsid w:val="00F667D2"/>
    <w:rsid w:val="00F67A69"/>
    <w:rsid w:val="00F67B01"/>
    <w:rsid w:val="00F67B87"/>
    <w:rsid w:val="00F70BFF"/>
    <w:rsid w:val="00F70C9D"/>
    <w:rsid w:val="00F70D65"/>
    <w:rsid w:val="00F7210C"/>
    <w:rsid w:val="00F72787"/>
    <w:rsid w:val="00F730C9"/>
    <w:rsid w:val="00F73E08"/>
    <w:rsid w:val="00F74CD9"/>
    <w:rsid w:val="00F74FCB"/>
    <w:rsid w:val="00F75C53"/>
    <w:rsid w:val="00F778EA"/>
    <w:rsid w:val="00F77C83"/>
    <w:rsid w:val="00F80A7B"/>
    <w:rsid w:val="00F80E5D"/>
    <w:rsid w:val="00F81921"/>
    <w:rsid w:val="00F81E78"/>
    <w:rsid w:val="00F83916"/>
    <w:rsid w:val="00F851CE"/>
    <w:rsid w:val="00F8555C"/>
    <w:rsid w:val="00F85854"/>
    <w:rsid w:val="00F863C5"/>
    <w:rsid w:val="00F87AF2"/>
    <w:rsid w:val="00F87C8D"/>
    <w:rsid w:val="00F90EA8"/>
    <w:rsid w:val="00F91219"/>
    <w:rsid w:val="00F91660"/>
    <w:rsid w:val="00F9195D"/>
    <w:rsid w:val="00F92444"/>
    <w:rsid w:val="00F929AA"/>
    <w:rsid w:val="00F9303A"/>
    <w:rsid w:val="00F930F3"/>
    <w:rsid w:val="00F9393E"/>
    <w:rsid w:val="00F93D92"/>
    <w:rsid w:val="00F93E04"/>
    <w:rsid w:val="00F93E7A"/>
    <w:rsid w:val="00F95F12"/>
    <w:rsid w:val="00F9618E"/>
    <w:rsid w:val="00F969E0"/>
    <w:rsid w:val="00F96BD8"/>
    <w:rsid w:val="00F96FD0"/>
    <w:rsid w:val="00F975A9"/>
    <w:rsid w:val="00F97A78"/>
    <w:rsid w:val="00FA059E"/>
    <w:rsid w:val="00FA0629"/>
    <w:rsid w:val="00FA092C"/>
    <w:rsid w:val="00FA0B20"/>
    <w:rsid w:val="00FA0C0F"/>
    <w:rsid w:val="00FA0DA1"/>
    <w:rsid w:val="00FA116F"/>
    <w:rsid w:val="00FA24E7"/>
    <w:rsid w:val="00FA3306"/>
    <w:rsid w:val="00FA4284"/>
    <w:rsid w:val="00FA4963"/>
    <w:rsid w:val="00FA5EE6"/>
    <w:rsid w:val="00FA7156"/>
    <w:rsid w:val="00FA72F4"/>
    <w:rsid w:val="00FA7956"/>
    <w:rsid w:val="00FA7DFE"/>
    <w:rsid w:val="00FA7F6C"/>
    <w:rsid w:val="00FB0824"/>
    <w:rsid w:val="00FB0DF6"/>
    <w:rsid w:val="00FB1369"/>
    <w:rsid w:val="00FB1411"/>
    <w:rsid w:val="00FB16D4"/>
    <w:rsid w:val="00FB1F6C"/>
    <w:rsid w:val="00FB203D"/>
    <w:rsid w:val="00FB2FCB"/>
    <w:rsid w:val="00FB470E"/>
    <w:rsid w:val="00FB4C9C"/>
    <w:rsid w:val="00FB4E24"/>
    <w:rsid w:val="00FB5D81"/>
    <w:rsid w:val="00FB69B2"/>
    <w:rsid w:val="00FB6F07"/>
    <w:rsid w:val="00FB7C55"/>
    <w:rsid w:val="00FC0A3B"/>
    <w:rsid w:val="00FC1074"/>
    <w:rsid w:val="00FC11A1"/>
    <w:rsid w:val="00FC1884"/>
    <w:rsid w:val="00FC1DE1"/>
    <w:rsid w:val="00FC21B7"/>
    <w:rsid w:val="00FC33B6"/>
    <w:rsid w:val="00FC371D"/>
    <w:rsid w:val="00FC44D1"/>
    <w:rsid w:val="00FC51BA"/>
    <w:rsid w:val="00FC5389"/>
    <w:rsid w:val="00FC53CE"/>
    <w:rsid w:val="00FC5C2F"/>
    <w:rsid w:val="00FC5C6A"/>
    <w:rsid w:val="00FC5F0B"/>
    <w:rsid w:val="00FC6367"/>
    <w:rsid w:val="00FC7AE8"/>
    <w:rsid w:val="00FD0EAC"/>
    <w:rsid w:val="00FD0F50"/>
    <w:rsid w:val="00FD1004"/>
    <w:rsid w:val="00FD10E7"/>
    <w:rsid w:val="00FD1641"/>
    <w:rsid w:val="00FD186F"/>
    <w:rsid w:val="00FD1CB3"/>
    <w:rsid w:val="00FD2100"/>
    <w:rsid w:val="00FD3655"/>
    <w:rsid w:val="00FD41B4"/>
    <w:rsid w:val="00FD436C"/>
    <w:rsid w:val="00FD446D"/>
    <w:rsid w:val="00FD4D50"/>
    <w:rsid w:val="00FD4F2C"/>
    <w:rsid w:val="00FD54A4"/>
    <w:rsid w:val="00FD5A3F"/>
    <w:rsid w:val="00FD5C45"/>
    <w:rsid w:val="00FD622D"/>
    <w:rsid w:val="00FD6394"/>
    <w:rsid w:val="00FD6A1A"/>
    <w:rsid w:val="00FD6A94"/>
    <w:rsid w:val="00FD6B9B"/>
    <w:rsid w:val="00FD7438"/>
    <w:rsid w:val="00FD78F7"/>
    <w:rsid w:val="00FE0DFA"/>
    <w:rsid w:val="00FE0E6C"/>
    <w:rsid w:val="00FE0E9B"/>
    <w:rsid w:val="00FE1600"/>
    <w:rsid w:val="00FE1B42"/>
    <w:rsid w:val="00FE1CDC"/>
    <w:rsid w:val="00FE1D3E"/>
    <w:rsid w:val="00FE1E0C"/>
    <w:rsid w:val="00FE20ED"/>
    <w:rsid w:val="00FE2B0E"/>
    <w:rsid w:val="00FE3E0C"/>
    <w:rsid w:val="00FE48DC"/>
    <w:rsid w:val="00FE5144"/>
    <w:rsid w:val="00FE52B2"/>
    <w:rsid w:val="00FE5840"/>
    <w:rsid w:val="00FE6F7D"/>
    <w:rsid w:val="00FE70C3"/>
    <w:rsid w:val="00FE7102"/>
    <w:rsid w:val="00FE7B4F"/>
    <w:rsid w:val="00FE7C9A"/>
    <w:rsid w:val="00FF0D80"/>
    <w:rsid w:val="00FF1A8B"/>
    <w:rsid w:val="00FF1C86"/>
    <w:rsid w:val="00FF27AB"/>
    <w:rsid w:val="00FF2AD9"/>
    <w:rsid w:val="00FF2BE1"/>
    <w:rsid w:val="00FF359F"/>
    <w:rsid w:val="00FF3A5F"/>
    <w:rsid w:val="00FF3DCF"/>
    <w:rsid w:val="00FF43BE"/>
    <w:rsid w:val="00FF47A5"/>
    <w:rsid w:val="00FF492C"/>
    <w:rsid w:val="00FF4A21"/>
    <w:rsid w:val="00FF59CA"/>
    <w:rsid w:val="00FF5AA3"/>
    <w:rsid w:val="00FF5AD8"/>
    <w:rsid w:val="00FF7185"/>
    <w:rsid w:val="00FF7CF7"/>
    <w:rsid w:val="03258914"/>
    <w:rsid w:val="0333C22E"/>
    <w:rsid w:val="05028E79"/>
    <w:rsid w:val="0A8DA416"/>
    <w:rsid w:val="0AAF6026"/>
    <w:rsid w:val="0C425515"/>
    <w:rsid w:val="18EC98A1"/>
    <w:rsid w:val="1967213A"/>
    <w:rsid w:val="1B7426DF"/>
    <w:rsid w:val="1D31305A"/>
    <w:rsid w:val="1F97E03A"/>
    <w:rsid w:val="243566BB"/>
    <w:rsid w:val="27291C48"/>
    <w:rsid w:val="29D5A4C8"/>
    <w:rsid w:val="2B4F4D31"/>
    <w:rsid w:val="2C210A7B"/>
    <w:rsid w:val="2F84B5A9"/>
    <w:rsid w:val="2FCBF30A"/>
    <w:rsid w:val="3117935C"/>
    <w:rsid w:val="319645BD"/>
    <w:rsid w:val="408E9C66"/>
    <w:rsid w:val="422A6CC7"/>
    <w:rsid w:val="42D96AA1"/>
    <w:rsid w:val="446D456E"/>
    <w:rsid w:val="4611BF7E"/>
    <w:rsid w:val="47BB0BA1"/>
    <w:rsid w:val="4899AE4B"/>
    <w:rsid w:val="4F02C8B1"/>
    <w:rsid w:val="4FF06E50"/>
    <w:rsid w:val="5A47B36F"/>
    <w:rsid w:val="5B66BDE3"/>
    <w:rsid w:val="60A0B675"/>
    <w:rsid w:val="62378B17"/>
    <w:rsid w:val="6277FBAC"/>
    <w:rsid w:val="66191F46"/>
    <w:rsid w:val="6AB5CCF7"/>
    <w:rsid w:val="6B94C7AD"/>
    <w:rsid w:val="6BD4AA35"/>
    <w:rsid w:val="6C7D02E8"/>
    <w:rsid w:val="6DDA6AE8"/>
    <w:rsid w:val="6F2AECF8"/>
    <w:rsid w:val="6F3EAD32"/>
    <w:rsid w:val="6FF6036F"/>
    <w:rsid w:val="721495F4"/>
    <w:rsid w:val="72628DBA"/>
    <w:rsid w:val="734F6041"/>
    <w:rsid w:val="74EB30A2"/>
    <w:rsid w:val="753A5C9A"/>
    <w:rsid w:val="7809A907"/>
    <w:rsid w:val="78912FFC"/>
    <w:rsid w:val="7A83CDC0"/>
    <w:rsid w:val="7C80B1B1"/>
    <w:rsid w:val="7E07B2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A50"/>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Normal: Bullets,Table Legend,Bullet1,Bullet 1,Bullet List,Section 5,List Table,Bullets Points,BULLE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Normal: Bullets Char,Table Legend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PBAC table,new style,MSD Table Grid,RTI AMCP Table,Dossier table,Summary Table,PHE Table Grid,Lash Style Table,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Annotationmark"/>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4B731C"/>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5E311B"/>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5E311B"/>
  </w:style>
  <w:style w:type="character" w:customStyle="1" w:styleId="eop">
    <w:name w:val="eop"/>
    <w:basedOn w:val="DefaultParagraphFont"/>
    <w:rsid w:val="005E311B"/>
  </w:style>
  <w:style w:type="character" w:customStyle="1" w:styleId="contentcontrolboundarysink">
    <w:name w:val="contentcontrolboundarysink"/>
    <w:basedOn w:val="DefaultParagraphFont"/>
    <w:rsid w:val="005E311B"/>
  </w:style>
  <w:style w:type="paragraph" w:customStyle="1" w:styleId="PBACTabletext">
    <w:name w:val="PBAC Table text"/>
    <w:qFormat/>
    <w:rsid w:val="00DA4594"/>
    <w:pPr>
      <w:keepNext/>
      <w:keepLines/>
      <w:suppressLineNumbers/>
      <w:spacing w:after="20"/>
      <w:textboxTightWrap w:val="allLines"/>
    </w:pPr>
    <w:rPr>
      <w:rFonts w:ascii="Arial Narrow" w:hAnsi="Arial Narrow" w:cs="Arial"/>
      <w:szCs w:val="24"/>
      <w:lang w:eastAsia="en-GB"/>
    </w:rPr>
  </w:style>
  <w:style w:type="character" w:customStyle="1" w:styleId="spellingerror">
    <w:name w:val="spellingerror"/>
    <w:basedOn w:val="DefaultParagraphFont"/>
    <w:rsid w:val="000301AF"/>
  </w:style>
  <w:style w:type="paragraph" w:styleId="FootnoteText">
    <w:name w:val="footnote text"/>
    <w:basedOn w:val="Normal"/>
    <w:link w:val="FootnoteTextChar"/>
    <w:semiHidden/>
    <w:unhideWhenUsed/>
    <w:rsid w:val="009F59C4"/>
    <w:rPr>
      <w:sz w:val="20"/>
      <w:szCs w:val="20"/>
    </w:rPr>
  </w:style>
  <w:style w:type="character" w:customStyle="1" w:styleId="FootnoteTextChar">
    <w:name w:val="Footnote Text Char"/>
    <w:basedOn w:val="DefaultParagraphFont"/>
    <w:link w:val="FootnoteText"/>
    <w:semiHidden/>
    <w:rsid w:val="009F59C4"/>
    <w:rPr>
      <w:rFonts w:ascii="Calibri" w:hAnsi="Calibri" w:cs="Arial"/>
    </w:rPr>
  </w:style>
  <w:style w:type="character" w:styleId="FootnoteReference">
    <w:name w:val="footnote reference"/>
    <w:basedOn w:val="DefaultParagraphFont"/>
    <w:semiHidden/>
    <w:unhideWhenUsed/>
    <w:rsid w:val="009F59C4"/>
    <w:rPr>
      <w:vertAlign w:val="superscript"/>
    </w:rPr>
  </w:style>
  <w:style w:type="character" w:styleId="Mention">
    <w:name w:val="Mention"/>
    <w:basedOn w:val="DefaultParagraphFont"/>
    <w:uiPriority w:val="99"/>
    <w:unhideWhenUsed/>
    <w:rsid w:val="0071385B"/>
    <w:rPr>
      <w:color w:val="2B579A"/>
      <w:shd w:val="clear" w:color="auto" w:fill="E1DFDD"/>
    </w:rPr>
  </w:style>
  <w:style w:type="paragraph" w:customStyle="1" w:styleId="PBACTblFignote">
    <w:name w:val="PBAC Tbl/Fig note"/>
    <w:qFormat/>
    <w:rsid w:val="00CB1B1C"/>
    <w:pPr>
      <w:keepNext/>
      <w:keepLines/>
      <w:spacing w:after="360"/>
      <w:contextualSpacing/>
      <w:textboxTightWrap w:val="allLines"/>
    </w:pPr>
    <w:rPr>
      <w:rFonts w:ascii="Arial Narrow" w:hAnsi="Arial Narrow" w:cs="Arial"/>
      <w:sz w:val="18"/>
      <w:szCs w:val="24"/>
      <w:lang w:eastAsia="en-GB"/>
    </w:rPr>
  </w:style>
  <w:style w:type="character" w:styleId="UnresolvedMention">
    <w:name w:val="Unresolved Mention"/>
    <w:basedOn w:val="DefaultParagraphFont"/>
    <w:uiPriority w:val="99"/>
    <w:semiHidden/>
    <w:unhideWhenUsed/>
    <w:rsid w:val="00CB1B1C"/>
    <w:rPr>
      <w:color w:val="605E5C"/>
      <w:shd w:val="clear" w:color="auto" w:fill="E1DFDD"/>
    </w:rPr>
  </w:style>
  <w:style w:type="paragraph" w:styleId="z-TopofForm">
    <w:name w:val="HTML Top of Form"/>
    <w:basedOn w:val="Normal"/>
    <w:next w:val="Normal"/>
    <w:link w:val="z-TopofFormChar"/>
    <w:hidden/>
    <w:uiPriority w:val="99"/>
    <w:semiHidden/>
    <w:unhideWhenUsed/>
    <w:rsid w:val="00CB1B1C"/>
    <w:pPr>
      <w:pBdr>
        <w:bottom w:val="single" w:sz="6" w:space="1" w:color="auto"/>
      </w:pBdr>
      <w:jc w:val="center"/>
    </w:pPr>
    <w:rPr>
      <w:rFonts w:ascii="Arial" w:hAnsi="Arial"/>
      <w:vanish/>
      <w:sz w:val="16"/>
      <w:szCs w:val="16"/>
      <w:lang w:eastAsia="en-GB"/>
    </w:rPr>
  </w:style>
  <w:style w:type="character" w:customStyle="1" w:styleId="z-TopofFormChar">
    <w:name w:val="z-Top of Form Char"/>
    <w:basedOn w:val="DefaultParagraphFont"/>
    <w:link w:val="z-TopofForm"/>
    <w:uiPriority w:val="99"/>
    <w:semiHidden/>
    <w:rsid w:val="00CB1B1C"/>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B1B1C"/>
    <w:pPr>
      <w:pBdr>
        <w:top w:val="single" w:sz="6" w:space="1" w:color="auto"/>
      </w:pBdr>
      <w:jc w:val="center"/>
    </w:pPr>
    <w:rPr>
      <w:rFonts w:ascii="Arial" w:hAnsi="Arial"/>
      <w:vanish/>
      <w:sz w:val="16"/>
      <w:szCs w:val="16"/>
      <w:lang w:eastAsia="en-GB"/>
    </w:rPr>
  </w:style>
  <w:style w:type="character" w:customStyle="1" w:styleId="z-BottomofFormChar">
    <w:name w:val="z-Bottom of Form Char"/>
    <w:basedOn w:val="DefaultParagraphFont"/>
    <w:link w:val="z-BottomofForm"/>
    <w:uiPriority w:val="99"/>
    <w:semiHidden/>
    <w:rsid w:val="00CB1B1C"/>
    <w:rPr>
      <w:rFonts w:ascii="Arial" w:hAnsi="Arial" w:cs="Arial"/>
      <w:vanish/>
      <w:sz w:val="16"/>
      <w:szCs w:val="16"/>
      <w:lang w:eastAsia="en-GB"/>
    </w:rPr>
  </w:style>
  <w:style w:type="character" w:customStyle="1" w:styleId="cf01">
    <w:name w:val="cf01"/>
    <w:basedOn w:val="DefaultParagraphFont"/>
    <w:rsid w:val="00CB1B1C"/>
    <w:rPr>
      <w:rFonts w:ascii="Segoe UI" w:hAnsi="Segoe UI" w:cs="Segoe UI" w:hint="default"/>
      <w:i/>
      <w:iCs/>
      <w:sz w:val="18"/>
      <w:szCs w:val="18"/>
    </w:rPr>
  </w:style>
  <w:style w:type="numbering" w:customStyle="1" w:styleId="SectionBi1">
    <w:name w:val="Section Bi1"/>
    <w:uiPriority w:val="99"/>
    <w:rsid w:val="00B63F20"/>
  </w:style>
  <w:style w:type="paragraph" w:customStyle="1" w:styleId="pf0">
    <w:name w:val="pf0"/>
    <w:basedOn w:val="Normal"/>
    <w:rsid w:val="00B63F20"/>
    <w:pPr>
      <w:spacing w:before="100" w:beforeAutospacing="1" w:after="100" w:afterAutospacing="1"/>
      <w:jc w:val="left"/>
    </w:pPr>
    <w:rPr>
      <w:rFonts w:ascii="Times New Roman" w:hAnsi="Times New Roman" w:cs="Times New Roman"/>
    </w:rPr>
  </w:style>
  <w:style w:type="paragraph" w:customStyle="1" w:styleId="TableHeading0">
    <w:name w:val="Table Heading"/>
    <w:basedOn w:val="TableText0"/>
    <w:link w:val="TableHeadingChar"/>
    <w:uiPriority w:val="3"/>
    <w:qFormat/>
    <w:rsid w:val="00364FFB"/>
    <w:pPr>
      <w:keepLines/>
      <w:spacing w:before="20" w:after="20" w:line="276" w:lineRule="auto"/>
    </w:pPr>
    <w:rPr>
      <w:rFonts w:cs="Arial"/>
      <w:b/>
      <w:bCs w:val="0"/>
      <w:szCs w:val="20"/>
      <w:lang w:bidi="en-US"/>
    </w:rPr>
  </w:style>
  <w:style w:type="character" w:customStyle="1" w:styleId="TableHeadingChar">
    <w:name w:val="Table Heading Char"/>
    <w:basedOn w:val="DefaultParagraphFont"/>
    <w:link w:val="TableHeading0"/>
    <w:uiPriority w:val="3"/>
    <w:locked/>
    <w:rsid w:val="00364FFB"/>
    <w:rPr>
      <w:rFonts w:ascii="Arial Narrow" w:eastAsiaTheme="majorEastAsia" w:hAnsi="Arial Narrow" w:cs="Arial"/>
      <w:b/>
      <w:lang w:bidi="en-US"/>
    </w:rPr>
  </w:style>
  <w:style w:type="paragraph" w:styleId="Quote">
    <w:name w:val="Quote"/>
    <w:basedOn w:val="Normal"/>
    <w:next w:val="Normal"/>
    <w:link w:val="QuoteChar"/>
    <w:uiPriority w:val="29"/>
    <w:qFormat/>
    <w:rsid w:val="00C43C5B"/>
    <w:pPr>
      <w:spacing w:before="160"/>
      <w:jc w:val="center"/>
    </w:pPr>
    <w:rPr>
      <w:i/>
      <w:iCs/>
      <w:color w:val="404040" w:themeColor="text1" w:themeTint="BF"/>
    </w:rPr>
  </w:style>
  <w:style w:type="character" w:customStyle="1" w:styleId="QuoteChar">
    <w:name w:val="Quote Char"/>
    <w:basedOn w:val="DefaultParagraphFont"/>
    <w:link w:val="Quote"/>
    <w:uiPriority w:val="29"/>
    <w:rsid w:val="00C43C5B"/>
    <w:rPr>
      <w:rFonts w:ascii="Calibri" w:hAnsi="Calibri" w:cs="Arial"/>
      <w:i/>
      <w:iCs/>
      <w:color w:val="404040" w:themeColor="text1" w:themeTint="BF"/>
      <w:sz w:val="24"/>
      <w:szCs w:val="24"/>
    </w:rPr>
  </w:style>
  <w:style w:type="paragraph" w:customStyle="1" w:styleId="3-SubsectionHeading">
    <w:name w:val="3-Subsection Heading"/>
    <w:basedOn w:val="Heading2"/>
    <w:next w:val="Normal"/>
    <w:link w:val="3-SubsectionHeadingChar"/>
    <w:qFormat/>
    <w:rsid w:val="00F55938"/>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55938"/>
    <w:rPr>
      <w:rFonts w:asciiTheme="minorHAnsi" w:eastAsiaTheme="majorEastAsia" w:hAnsiTheme="minorHAnsi" w:cstheme="majorBidi"/>
      <w:b/>
      <w:i/>
      <w:snapToGrid/>
      <w:spacing w:val="5"/>
      <w:kern w:val="28"/>
      <w:sz w:val="28"/>
      <w:szCs w:val="36"/>
      <w:lang w:eastAsia="en-US"/>
    </w:rPr>
  </w:style>
  <w:style w:type="paragraph" w:customStyle="1" w:styleId="TableFigureFooter">
    <w:name w:val="Table/Figure Footer"/>
    <w:basedOn w:val="Normal"/>
    <w:link w:val="TableFigureFooterChar"/>
    <w:qFormat/>
    <w:rsid w:val="00B87E0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B87E0F"/>
    <w:rPr>
      <w:rFonts w:ascii="Arial Narrow" w:hAnsi="Arial Narrow" w:cs="Arial"/>
      <w:snapToGrid w:val="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96951">
      <w:bodyDiv w:val="1"/>
      <w:marLeft w:val="0"/>
      <w:marRight w:val="0"/>
      <w:marTop w:val="0"/>
      <w:marBottom w:val="0"/>
      <w:divBdr>
        <w:top w:val="none" w:sz="0" w:space="0" w:color="auto"/>
        <w:left w:val="none" w:sz="0" w:space="0" w:color="auto"/>
        <w:bottom w:val="none" w:sz="0" w:space="0" w:color="auto"/>
        <w:right w:val="none" w:sz="0" w:space="0" w:color="auto"/>
      </w:divBdr>
      <w:divsChild>
        <w:div w:id="87118784">
          <w:marLeft w:val="0"/>
          <w:marRight w:val="0"/>
          <w:marTop w:val="0"/>
          <w:marBottom w:val="0"/>
          <w:divBdr>
            <w:top w:val="none" w:sz="0" w:space="0" w:color="auto"/>
            <w:left w:val="none" w:sz="0" w:space="0" w:color="auto"/>
            <w:bottom w:val="none" w:sz="0" w:space="0" w:color="auto"/>
            <w:right w:val="none" w:sz="0" w:space="0" w:color="auto"/>
          </w:divBdr>
        </w:div>
        <w:div w:id="100345028">
          <w:marLeft w:val="0"/>
          <w:marRight w:val="0"/>
          <w:marTop w:val="0"/>
          <w:marBottom w:val="0"/>
          <w:divBdr>
            <w:top w:val="none" w:sz="0" w:space="0" w:color="auto"/>
            <w:left w:val="none" w:sz="0" w:space="0" w:color="auto"/>
            <w:bottom w:val="none" w:sz="0" w:space="0" w:color="auto"/>
            <w:right w:val="none" w:sz="0" w:space="0" w:color="auto"/>
          </w:divBdr>
        </w:div>
        <w:div w:id="401023469">
          <w:marLeft w:val="0"/>
          <w:marRight w:val="0"/>
          <w:marTop w:val="0"/>
          <w:marBottom w:val="0"/>
          <w:divBdr>
            <w:top w:val="none" w:sz="0" w:space="0" w:color="auto"/>
            <w:left w:val="none" w:sz="0" w:space="0" w:color="auto"/>
            <w:bottom w:val="none" w:sz="0" w:space="0" w:color="auto"/>
            <w:right w:val="none" w:sz="0" w:space="0" w:color="auto"/>
          </w:divBdr>
        </w:div>
        <w:div w:id="609241095">
          <w:marLeft w:val="0"/>
          <w:marRight w:val="0"/>
          <w:marTop w:val="0"/>
          <w:marBottom w:val="0"/>
          <w:divBdr>
            <w:top w:val="none" w:sz="0" w:space="0" w:color="auto"/>
            <w:left w:val="none" w:sz="0" w:space="0" w:color="auto"/>
            <w:bottom w:val="none" w:sz="0" w:space="0" w:color="auto"/>
            <w:right w:val="none" w:sz="0" w:space="0" w:color="auto"/>
          </w:divBdr>
        </w:div>
        <w:div w:id="816192701">
          <w:marLeft w:val="0"/>
          <w:marRight w:val="0"/>
          <w:marTop w:val="0"/>
          <w:marBottom w:val="0"/>
          <w:divBdr>
            <w:top w:val="none" w:sz="0" w:space="0" w:color="auto"/>
            <w:left w:val="none" w:sz="0" w:space="0" w:color="auto"/>
            <w:bottom w:val="none" w:sz="0" w:space="0" w:color="auto"/>
            <w:right w:val="none" w:sz="0" w:space="0" w:color="auto"/>
          </w:divBdr>
        </w:div>
        <w:div w:id="1344630796">
          <w:marLeft w:val="0"/>
          <w:marRight w:val="0"/>
          <w:marTop w:val="0"/>
          <w:marBottom w:val="0"/>
          <w:divBdr>
            <w:top w:val="none" w:sz="0" w:space="0" w:color="auto"/>
            <w:left w:val="none" w:sz="0" w:space="0" w:color="auto"/>
            <w:bottom w:val="none" w:sz="0" w:space="0" w:color="auto"/>
            <w:right w:val="none" w:sz="0" w:space="0" w:color="auto"/>
          </w:divBdr>
        </w:div>
        <w:div w:id="1584605942">
          <w:marLeft w:val="0"/>
          <w:marRight w:val="0"/>
          <w:marTop w:val="0"/>
          <w:marBottom w:val="0"/>
          <w:divBdr>
            <w:top w:val="none" w:sz="0" w:space="0" w:color="auto"/>
            <w:left w:val="none" w:sz="0" w:space="0" w:color="auto"/>
            <w:bottom w:val="none" w:sz="0" w:space="0" w:color="auto"/>
            <w:right w:val="none" w:sz="0" w:space="0" w:color="auto"/>
          </w:divBdr>
        </w:div>
        <w:div w:id="1647784103">
          <w:marLeft w:val="0"/>
          <w:marRight w:val="0"/>
          <w:marTop w:val="0"/>
          <w:marBottom w:val="0"/>
          <w:divBdr>
            <w:top w:val="none" w:sz="0" w:space="0" w:color="auto"/>
            <w:left w:val="none" w:sz="0" w:space="0" w:color="auto"/>
            <w:bottom w:val="none" w:sz="0" w:space="0" w:color="auto"/>
            <w:right w:val="none" w:sz="0" w:space="0" w:color="auto"/>
          </w:divBdr>
        </w:div>
        <w:div w:id="2099403087">
          <w:marLeft w:val="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8880823">
      <w:bodyDiv w:val="1"/>
      <w:marLeft w:val="0"/>
      <w:marRight w:val="0"/>
      <w:marTop w:val="0"/>
      <w:marBottom w:val="0"/>
      <w:divBdr>
        <w:top w:val="none" w:sz="0" w:space="0" w:color="auto"/>
        <w:left w:val="none" w:sz="0" w:space="0" w:color="auto"/>
        <w:bottom w:val="none" w:sz="0" w:space="0" w:color="auto"/>
        <w:right w:val="none" w:sz="0" w:space="0" w:color="auto"/>
      </w:divBdr>
      <w:divsChild>
        <w:div w:id="59406831">
          <w:marLeft w:val="0"/>
          <w:marRight w:val="0"/>
          <w:marTop w:val="0"/>
          <w:marBottom w:val="0"/>
          <w:divBdr>
            <w:top w:val="none" w:sz="0" w:space="0" w:color="auto"/>
            <w:left w:val="none" w:sz="0" w:space="0" w:color="auto"/>
            <w:bottom w:val="none" w:sz="0" w:space="0" w:color="auto"/>
            <w:right w:val="none" w:sz="0" w:space="0" w:color="auto"/>
          </w:divBdr>
        </w:div>
        <w:div w:id="128714493">
          <w:marLeft w:val="0"/>
          <w:marRight w:val="0"/>
          <w:marTop w:val="0"/>
          <w:marBottom w:val="0"/>
          <w:divBdr>
            <w:top w:val="none" w:sz="0" w:space="0" w:color="auto"/>
            <w:left w:val="none" w:sz="0" w:space="0" w:color="auto"/>
            <w:bottom w:val="none" w:sz="0" w:space="0" w:color="auto"/>
            <w:right w:val="none" w:sz="0" w:space="0" w:color="auto"/>
          </w:divBdr>
        </w:div>
        <w:div w:id="532233457">
          <w:marLeft w:val="0"/>
          <w:marRight w:val="0"/>
          <w:marTop w:val="0"/>
          <w:marBottom w:val="0"/>
          <w:divBdr>
            <w:top w:val="none" w:sz="0" w:space="0" w:color="auto"/>
            <w:left w:val="none" w:sz="0" w:space="0" w:color="auto"/>
            <w:bottom w:val="none" w:sz="0" w:space="0" w:color="auto"/>
            <w:right w:val="none" w:sz="0" w:space="0" w:color="auto"/>
          </w:divBdr>
        </w:div>
        <w:div w:id="566498416">
          <w:marLeft w:val="0"/>
          <w:marRight w:val="0"/>
          <w:marTop w:val="0"/>
          <w:marBottom w:val="0"/>
          <w:divBdr>
            <w:top w:val="none" w:sz="0" w:space="0" w:color="auto"/>
            <w:left w:val="none" w:sz="0" w:space="0" w:color="auto"/>
            <w:bottom w:val="none" w:sz="0" w:space="0" w:color="auto"/>
            <w:right w:val="none" w:sz="0" w:space="0" w:color="auto"/>
          </w:divBdr>
        </w:div>
        <w:div w:id="591201946">
          <w:marLeft w:val="0"/>
          <w:marRight w:val="0"/>
          <w:marTop w:val="0"/>
          <w:marBottom w:val="0"/>
          <w:divBdr>
            <w:top w:val="none" w:sz="0" w:space="0" w:color="auto"/>
            <w:left w:val="none" w:sz="0" w:space="0" w:color="auto"/>
            <w:bottom w:val="none" w:sz="0" w:space="0" w:color="auto"/>
            <w:right w:val="none" w:sz="0" w:space="0" w:color="auto"/>
          </w:divBdr>
        </w:div>
        <w:div w:id="821428448">
          <w:marLeft w:val="0"/>
          <w:marRight w:val="0"/>
          <w:marTop w:val="0"/>
          <w:marBottom w:val="0"/>
          <w:divBdr>
            <w:top w:val="none" w:sz="0" w:space="0" w:color="auto"/>
            <w:left w:val="none" w:sz="0" w:space="0" w:color="auto"/>
            <w:bottom w:val="none" w:sz="0" w:space="0" w:color="auto"/>
            <w:right w:val="none" w:sz="0" w:space="0" w:color="auto"/>
          </w:divBdr>
        </w:div>
        <w:div w:id="1384601930">
          <w:marLeft w:val="0"/>
          <w:marRight w:val="0"/>
          <w:marTop w:val="0"/>
          <w:marBottom w:val="0"/>
          <w:divBdr>
            <w:top w:val="none" w:sz="0" w:space="0" w:color="auto"/>
            <w:left w:val="none" w:sz="0" w:space="0" w:color="auto"/>
            <w:bottom w:val="none" w:sz="0" w:space="0" w:color="auto"/>
            <w:right w:val="none" w:sz="0" w:space="0" w:color="auto"/>
          </w:divBdr>
        </w:div>
        <w:div w:id="1573079562">
          <w:marLeft w:val="0"/>
          <w:marRight w:val="0"/>
          <w:marTop w:val="0"/>
          <w:marBottom w:val="0"/>
          <w:divBdr>
            <w:top w:val="none" w:sz="0" w:space="0" w:color="auto"/>
            <w:left w:val="none" w:sz="0" w:space="0" w:color="auto"/>
            <w:bottom w:val="none" w:sz="0" w:space="0" w:color="auto"/>
            <w:right w:val="none" w:sz="0" w:space="0" w:color="auto"/>
          </w:divBdr>
        </w:div>
        <w:div w:id="1939096820">
          <w:marLeft w:val="0"/>
          <w:marRight w:val="0"/>
          <w:marTop w:val="0"/>
          <w:marBottom w:val="0"/>
          <w:divBdr>
            <w:top w:val="none" w:sz="0" w:space="0" w:color="auto"/>
            <w:left w:val="none" w:sz="0" w:space="0" w:color="auto"/>
            <w:bottom w:val="none" w:sz="0" w:space="0" w:color="auto"/>
            <w:right w:val="none" w:sz="0" w:space="0" w:color="auto"/>
          </w:divBdr>
        </w:div>
      </w:divsChild>
    </w:div>
    <w:div w:id="236866381">
      <w:bodyDiv w:val="1"/>
      <w:marLeft w:val="0"/>
      <w:marRight w:val="0"/>
      <w:marTop w:val="0"/>
      <w:marBottom w:val="0"/>
      <w:divBdr>
        <w:top w:val="none" w:sz="0" w:space="0" w:color="auto"/>
        <w:left w:val="none" w:sz="0" w:space="0" w:color="auto"/>
        <w:bottom w:val="none" w:sz="0" w:space="0" w:color="auto"/>
        <w:right w:val="none" w:sz="0" w:space="0" w:color="auto"/>
      </w:divBdr>
      <w:divsChild>
        <w:div w:id="415522020">
          <w:marLeft w:val="0"/>
          <w:marRight w:val="0"/>
          <w:marTop w:val="0"/>
          <w:marBottom w:val="0"/>
          <w:divBdr>
            <w:top w:val="none" w:sz="0" w:space="0" w:color="auto"/>
            <w:left w:val="none" w:sz="0" w:space="0" w:color="auto"/>
            <w:bottom w:val="none" w:sz="0" w:space="0" w:color="auto"/>
            <w:right w:val="none" w:sz="0" w:space="0" w:color="auto"/>
          </w:divBdr>
        </w:div>
        <w:div w:id="675117407">
          <w:marLeft w:val="0"/>
          <w:marRight w:val="0"/>
          <w:marTop w:val="0"/>
          <w:marBottom w:val="0"/>
          <w:divBdr>
            <w:top w:val="none" w:sz="0" w:space="0" w:color="auto"/>
            <w:left w:val="none" w:sz="0" w:space="0" w:color="auto"/>
            <w:bottom w:val="none" w:sz="0" w:space="0" w:color="auto"/>
            <w:right w:val="none" w:sz="0" w:space="0" w:color="auto"/>
          </w:divBdr>
        </w:div>
        <w:div w:id="692221788">
          <w:marLeft w:val="0"/>
          <w:marRight w:val="0"/>
          <w:marTop w:val="0"/>
          <w:marBottom w:val="0"/>
          <w:divBdr>
            <w:top w:val="none" w:sz="0" w:space="0" w:color="auto"/>
            <w:left w:val="none" w:sz="0" w:space="0" w:color="auto"/>
            <w:bottom w:val="none" w:sz="0" w:space="0" w:color="auto"/>
            <w:right w:val="none" w:sz="0" w:space="0" w:color="auto"/>
          </w:divBdr>
        </w:div>
        <w:div w:id="742532955">
          <w:marLeft w:val="0"/>
          <w:marRight w:val="0"/>
          <w:marTop w:val="0"/>
          <w:marBottom w:val="0"/>
          <w:divBdr>
            <w:top w:val="none" w:sz="0" w:space="0" w:color="auto"/>
            <w:left w:val="none" w:sz="0" w:space="0" w:color="auto"/>
            <w:bottom w:val="none" w:sz="0" w:space="0" w:color="auto"/>
            <w:right w:val="none" w:sz="0" w:space="0" w:color="auto"/>
          </w:divBdr>
        </w:div>
        <w:div w:id="866602812">
          <w:marLeft w:val="0"/>
          <w:marRight w:val="0"/>
          <w:marTop w:val="0"/>
          <w:marBottom w:val="0"/>
          <w:divBdr>
            <w:top w:val="none" w:sz="0" w:space="0" w:color="auto"/>
            <w:left w:val="none" w:sz="0" w:space="0" w:color="auto"/>
            <w:bottom w:val="none" w:sz="0" w:space="0" w:color="auto"/>
            <w:right w:val="none" w:sz="0" w:space="0" w:color="auto"/>
          </w:divBdr>
        </w:div>
        <w:div w:id="1437361886">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732386945">
          <w:marLeft w:val="0"/>
          <w:marRight w:val="0"/>
          <w:marTop w:val="0"/>
          <w:marBottom w:val="0"/>
          <w:divBdr>
            <w:top w:val="none" w:sz="0" w:space="0" w:color="auto"/>
            <w:left w:val="none" w:sz="0" w:space="0" w:color="auto"/>
            <w:bottom w:val="none" w:sz="0" w:space="0" w:color="auto"/>
            <w:right w:val="none" w:sz="0" w:space="0" w:color="auto"/>
          </w:divBdr>
        </w:div>
        <w:div w:id="1776778970">
          <w:marLeft w:val="0"/>
          <w:marRight w:val="0"/>
          <w:marTop w:val="0"/>
          <w:marBottom w:val="0"/>
          <w:divBdr>
            <w:top w:val="none" w:sz="0" w:space="0" w:color="auto"/>
            <w:left w:val="none" w:sz="0" w:space="0" w:color="auto"/>
            <w:bottom w:val="none" w:sz="0" w:space="0" w:color="auto"/>
            <w:right w:val="none" w:sz="0" w:space="0" w:color="auto"/>
          </w:divBdr>
        </w:div>
      </w:divsChild>
    </w:div>
    <w:div w:id="31538423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6391172">
      <w:bodyDiv w:val="1"/>
      <w:marLeft w:val="0"/>
      <w:marRight w:val="0"/>
      <w:marTop w:val="0"/>
      <w:marBottom w:val="0"/>
      <w:divBdr>
        <w:top w:val="none" w:sz="0" w:space="0" w:color="auto"/>
        <w:left w:val="none" w:sz="0" w:space="0" w:color="auto"/>
        <w:bottom w:val="none" w:sz="0" w:space="0" w:color="auto"/>
        <w:right w:val="none" w:sz="0" w:space="0" w:color="auto"/>
      </w:divBdr>
    </w:div>
    <w:div w:id="363209592">
      <w:bodyDiv w:val="1"/>
      <w:marLeft w:val="0"/>
      <w:marRight w:val="0"/>
      <w:marTop w:val="0"/>
      <w:marBottom w:val="0"/>
      <w:divBdr>
        <w:top w:val="none" w:sz="0" w:space="0" w:color="auto"/>
        <w:left w:val="none" w:sz="0" w:space="0" w:color="auto"/>
        <w:bottom w:val="none" w:sz="0" w:space="0" w:color="auto"/>
        <w:right w:val="none" w:sz="0" w:space="0" w:color="auto"/>
      </w:divBdr>
      <w:divsChild>
        <w:div w:id="595944515">
          <w:marLeft w:val="0"/>
          <w:marRight w:val="0"/>
          <w:marTop w:val="0"/>
          <w:marBottom w:val="0"/>
          <w:divBdr>
            <w:top w:val="none" w:sz="0" w:space="0" w:color="auto"/>
            <w:left w:val="none" w:sz="0" w:space="0" w:color="auto"/>
            <w:bottom w:val="none" w:sz="0" w:space="0" w:color="auto"/>
            <w:right w:val="none" w:sz="0" w:space="0" w:color="auto"/>
          </w:divBdr>
        </w:div>
        <w:div w:id="797332191">
          <w:marLeft w:val="0"/>
          <w:marRight w:val="0"/>
          <w:marTop w:val="0"/>
          <w:marBottom w:val="0"/>
          <w:divBdr>
            <w:top w:val="none" w:sz="0" w:space="0" w:color="auto"/>
            <w:left w:val="none" w:sz="0" w:space="0" w:color="auto"/>
            <w:bottom w:val="none" w:sz="0" w:space="0" w:color="auto"/>
            <w:right w:val="none" w:sz="0" w:space="0" w:color="auto"/>
          </w:divBdr>
        </w:div>
        <w:div w:id="803734219">
          <w:marLeft w:val="0"/>
          <w:marRight w:val="0"/>
          <w:marTop w:val="0"/>
          <w:marBottom w:val="0"/>
          <w:divBdr>
            <w:top w:val="none" w:sz="0" w:space="0" w:color="auto"/>
            <w:left w:val="none" w:sz="0" w:space="0" w:color="auto"/>
            <w:bottom w:val="none" w:sz="0" w:space="0" w:color="auto"/>
            <w:right w:val="none" w:sz="0" w:space="0" w:color="auto"/>
          </w:divBdr>
        </w:div>
        <w:div w:id="813135638">
          <w:marLeft w:val="0"/>
          <w:marRight w:val="0"/>
          <w:marTop w:val="0"/>
          <w:marBottom w:val="0"/>
          <w:divBdr>
            <w:top w:val="none" w:sz="0" w:space="0" w:color="auto"/>
            <w:left w:val="none" w:sz="0" w:space="0" w:color="auto"/>
            <w:bottom w:val="none" w:sz="0" w:space="0" w:color="auto"/>
            <w:right w:val="none" w:sz="0" w:space="0" w:color="auto"/>
          </w:divBdr>
        </w:div>
        <w:div w:id="1174539793">
          <w:marLeft w:val="0"/>
          <w:marRight w:val="0"/>
          <w:marTop w:val="0"/>
          <w:marBottom w:val="0"/>
          <w:divBdr>
            <w:top w:val="none" w:sz="0" w:space="0" w:color="auto"/>
            <w:left w:val="none" w:sz="0" w:space="0" w:color="auto"/>
            <w:bottom w:val="none" w:sz="0" w:space="0" w:color="auto"/>
            <w:right w:val="none" w:sz="0" w:space="0" w:color="auto"/>
          </w:divBdr>
        </w:div>
        <w:div w:id="2002267567">
          <w:marLeft w:val="0"/>
          <w:marRight w:val="0"/>
          <w:marTop w:val="0"/>
          <w:marBottom w:val="0"/>
          <w:divBdr>
            <w:top w:val="none" w:sz="0" w:space="0" w:color="auto"/>
            <w:left w:val="none" w:sz="0" w:space="0" w:color="auto"/>
            <w:bottom w:val="none" w:sz="0" w:space="0" w:color="auto"/>
            <w:right w:val="none" w:sz="0" w:space="0" w:color="auto"/>
          </w:divBdr>
        </w:div>
      </w:divsChild>
    </w:div>
    <w:div w:id="564922670">
      <w:bodyDiv w:val="1"/>
      <w:marLeft w:val="0"/>
      <w:marRight w:val="0"/>
      <w:marTop w:val="0"/>
      <w:marBottom w:val="0"/>
      <w:divBdr>
        <w:top w:val="none" w:sz="0" w:space="0" w:color="auto"/>
        <w:left w:val="none" w:sz="0" w:space="0" w:color="auto"/>
        <w:bottom w:val="none" w:sz="0" w:space="0" w:color="auto"/>
        <w:right w:val="none" w:sz="0" w:space="0" w:color="auto"/>
      </w:divBdr>
      <w:divsChild>
        <w:div w:id="211621757">
          <w:marLeft w:val="0"/>
          <w:marRight w:val="0"/>
          <w:marTop w:val="0"/>
          <w:marBottom w:val="0"/>
          <w:divBdr>
            <w:top w:val="none" w:sz="0" w:space="0" w:color="auto"/>
            <w:left w:val="none" w:sz="0" w:space="0" w:color="auto"/>
            <w:bottom w:val="none" w:sz="0" w:space="0" w:color="auto"/>
            <w:right w:val="none" w:sz="0" w:space="0" w:color="auto"/>
          </w:divBdr>
          <w:divsChild>
            <w:div w:id="1508905218">
              <w:marLeft w:val="-75"/>
              <w:marRight w:val="0"/>
              <w:marTop w:val="30"/>
              <w:marBottom w:val="30"/>
              <w:divBdr>
                <w:top w:val="none" w:sz="0" w:space="0" w:color="auto"/>
                <w:left w:val="none" w:sz="0" w:space="0" w:color="auto"/>
                <w:bottom w:val="none" w:sz="0" w:space="0" w:color="auto"/>
                <w:right w:val="none" w:sz="0" w:space="0" w:color="auto"/>
              </w:divBdr>
              <w:divsChild>
                <w:div w:id="83501400">
                  <w:marLeft w:val="0"/>
                  <w:marRight w:val="0"/>
                  <w:marTop w:val="0"/>
                  <w:marBottom w:val="0"/>
                  <w:divBdr>
                    <w:top w:val="none" w:sz="0" w:space="0" w:color="auto"/>
                    <w:left w:val="none" w:sz="0" w:space="0" w:color="auto"/>
                    <w:bottom w:val="none" w:sz="0" w:space="0" w:color="auto"/>
                    <w:right w:val="none" w:sz="0" w:space="0" w:color="auto"/>
                  </w:divBdr>
                  <w:divsChild>
                    <w:div w:id="1200557113">
                      <w:marLeft w:val="0"/>
                      <w:marRight w:val="0"/>
                      <w:marTop w:val="0"/>
                      <w:marBottom w:val="0"/>
                      <w:divBdr>
                        <w:top w:val="none" w:sz="0" w:space="0" w:color="auto"/>
                        <w:left w:val="none" w:sz="0" w:space="0" w:color="auto"/>
                        <w:bottom w:val="none" w:sz="0" w:space="0" w:color="auto"/>
                        <w:right w:val="none" w:sz="0" w:space="0" w:color="auto"/>
                      </w:divBdr>
                    </w:div>
                    <w:div w:id="1614363225">
                      <w:marLeft w:val="0"/>
                      <w:marRight w:val="0"/>
                      <w:marTop w:val="0"/>
                      <w:marBottom w:val="0"/>
                      <w:divBdr>
                        <w:top w:val="none" w:sz="0" w:space="0" w:color="auto"/>
                        <w:left w:val="none" w:sz="0" w:space="0" w:color="auto"/>
                        <w:bottom w:val="none" w:sz="0" w:space="0" w:color="auto"/>
                        <w:right w:val="none" w:sz="0" w:space="0" w:color="auto"/>
                      </w:divBdr>
                    </w:div>
                  </w:divsChild>
                </w:div>
                <w:div w:id="2106263833">
                  <w:marLeft w:val="0"/>
                  <w:marRight w:val="0"/>
                  <w:marTop w:val="0"/>
                  <w:marBottom w:val="0"/>
                  <w:divBdr>
                    <w:top w:val="none" w:sz="0" w:space="0" w:color="auto"/>
                    <w:left w:val="none" w:sz="0" w:space="0" w:color="auto"/>
                    <w:bottom w:val="none" w:sz="0" w:space="0" w:color="auto"/>
                    <w:right w:val="none" w:sz="0" w:space="0" w:color="auto"/>
                  </w:divBdr>
                  <w:divsChild>
                    <w:div w:id="12377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9411">
          <w:marLeft w:val="0"/>
          <w:marRight w:val="0"/>
          <w:marTop w:val="0"/>
          <w:marBottom w:val="0"/>
          <w:divBdr>
            <w:top w:val="none" w:sz="0" w:space="0" w:color="auto"/>
            <w:left w:val="none" w:sz="0" w:space="0" w:color="auto"/>
            <w:bottom w:val="none" w:sz="0" w:space="0" w:color="auto"/>
            <w:right w:val="none" w:sz="0" w:space="0" w:color="auto"/>
          </w:divBdr>
        </w:div>
        <w:div w:id="350229808">
          <w:marLeft w:val="0"/>
          <w:marRight w:val="0"/>
          <w:marTop w:val="0"/>
          <w:marBottom w:val="0"/>
          <w:divBdr>
            <w:top w:val="none" w:sz="0" w:space="0" w:color="auto"/>
            <w:left w:val="none" w:sz="0" w:space="0" w:color="auto"/>
            <w:bottom w:val="none" w:sz="0" w:space="0" w:color="auto"/>
            <w:right w:val="none" w:sz="0" w:space="0" w:color="auto"/>
          </w:divBdr>
        </w:div>
        <w:div w:id="425662894">
          <w:marLeft w:val="0"/>
          <w:marRight w:val="0"/>
          <w:marTop w:val="0"/>
          <w:marBottom w:val="0"/>
          <w:divBdr>
            <w:top w:val="none" w:sz="0" w:space="0" w:color="auto"/>
            <w:left w:val="none" w:sz="0" w:space="0" w:color="auto"/>
            <w:bottom w:val="none" w:sz="0" w:space="0" w:color="auto"/>
            <w:right w:val="none" w:sz="0" w:space="0" w:color="auto"/>
          </w:divBdr>
        </w:div>
        <w:div w:id="432746540">
          <w:marLeft w:val="0"/>
          <w:marRight w:val="0"/>
          <w:marTop w:val="0"/>
          <w:marBottom w:val="0"/>
          <w:divBdr>
            <w:top w:val="none" w:sz="0" w:space="0" w:color="auto"/>
            <w:left w:val="none" w:sz="0" w:space="0" w:color="auto"/>
            <w:bottom w:val="none" w:sz="0" w:space="0" w:color="auto"/>
            <w:right w:val="none" w:sz="0" w:space="0" w:color="auto"/>
          </w:divBdr>
        </w:div>
        <w:div w:id="700479408">
          <w:marLeft w:val="0"/>
          <w:marRight w:val="0"/>
          <w:marTop w:val="0"/>
          <w:marBottom w:val="0"/>
          <w:divBdr>
            <w:top w:val="none" w:sz="0" w:space="0" w:color="auto"/>
            <w:left w:val="none" w:sz="0" w:space="0" w:color="auto"/>
            <w:bottom w:val="none" w:sz="0" w:space="0" w:color="auto"/>
            <w:right w:val="none" w:sz="0" w:space="0" w:color="auto"/>
          </w:divBdr>
        </w:div>
        <w:div w:id="942567729">
          <w:marLeft w:val="0"/>
          <w:marRight w:val="0"/>
          <w:marTop w:val="0"/>
          <w:marBottom w:val="0"/>
          <w:divBdr>
            <w:top w:val="none" w:sz="0" w:space="0" w:color="auto"/>
            <w:left w:val="none" w:sz="0" w:space="0" w:color="auto"/>
            <w:bottom w:val="none" w:sz="0" w:space="0" w:color="auto"/>
            <w:right w:val="none" w:sz="0" w:space="0" w:color="auto"/>
          </w:divBdr>
        </w:div>
        <w:div w:id="964307668">
          <w:marLeft w:val="0"/>
          <w:marRight w:val="0"/>
          <w:marTop w:val="0"/>
          <w:marBottom w:val="0"/>
          <w:divBdr>
            <w:top w:val="none" w:sz="0" w:space="0" w:color="auto"/>
            <w:left w:val="none" w:sz="0" w:space="0" w:color="auto"/>
            <w:bottom w:val="none" w:sz="0" w:space="0" w:color="auto"/>
            <w:right w:val="none" w:sz="0" w:space="0" w:color="auto"/>
          </w:divBdr>
          <w:divsChild>
            <w:div w:id="224688391">
              <w:marLeft w:val="-75"/>
              <w:marRight w:val="0"/>
              <w:marTop w:val="30"/>
              <w:marBottom w:val="30"/>
              <w:divBdr>
                <w:top w:val="none" w:sz="0" w:space="0" w:color="auto"/>
                <w:left w:val="none" w:sz="0" w:space="0" w:color="auto"/>
                <w:bottom w:val="none" w:sz="0" w:space="0" w:color="auto"/>
                <w:right w:val="none" w:sz="0" w:space="0" w:color="auto"/>
              </w:divBdr>
              <w:divsChild>
                <w:div w:id="13116462">
                  <w:marLeft w:val="0"/>
                  <w:marRight w:val="0"/>
                  <w:marTop w:val="0"/>
                  <w:marBottom w:val="0"/>
                  <w:divBdr>
                    <w:top w:val="none" w:sz="0" w:space="0" w:color="auto"/>
                    <w:left w:val="none" w:sz="0" w:space="0" w:color="auto"/>
                    <w:bottom w:val="none" w:sz="0" w:space="0" w:color="auto"/>
                    <w:right w:val="none" w:sz="0" w:space="0" w:color="auto"/>
                  </w:divBdr>
                  <w:divsChild>
                    <w:div w:id="854001608">
                      <w:marLeft w:val="0"/>
                      <w:marRight w:val="0"/>
                      <w:marTop w:val="0"/>
                      <w:marBottom w:val="0"/>
                      <w:divBdr>
                        <w:top w:val="none" w:sz="0" w:space="0" w:color="auto"/>
                        <w:left w:val="none" w:sz="0" w:space="0" w:color="auto"/>
                        <w:bottom w:val="none" w:sz="0" w:space="0" w:color="auto"/>
                        <w:right w:val="none" w:sz="0" w:space="0" w:color="auto"/>
                      </w:divBdr>
                    </w:div>
                  </w:divsChild>
                </w:div>
                <w:div w:id="68354066">
                  <w:marLeft w:val="0"/>
                  <w:marRight w:val="0"/>
                  <w:marTop w:val="0"/>
                  <w:marBottom w:val="0"/>
                  <w:divBdr>
                    <w:top w:val="none" w:sz="0" w:space="0" w:color="auto"/>
                    <w:left w:val="none" w:sz="0" w:space="0" w:color="auto"/>
                    <w:bottom w:val="none" w:sz="0" w:space="0" w:color="auto"/>
                    <w:right w:val="none" w:sz="0" w:space="0" w:color="auto"/>
                  </w:divBdr>
                  <w:divsChild>
                    <w:div w:id="401103121">
                      <w:marLeft w:val="0"/>
                      <w:marRight w:val="0"/>
                      <w:marTop w:val="0"/>
                      <w:marBottom w:val="0"/>
                      <w:divBdr>
                        <w:top w:val="none" w:sz="0" w:space="0" w:color="auto"/>
                        <w:left w:val="none" w:sz="0" w:space="0" w:color="auto"/>
                        <w:bottom w:val="none" w:sz="0" w:space="0" w:color="auto"/>
                        <w:right w:val="none" w:sz="0" w:space="0" w:color="auto"/>
                      </w:divBdr>
                    </w:div>
                  </w:divsChild>
                </w:div>
                <w:div w:id="223487465">
                  <w:marLeft w:val="0"/>
                  <w:marRight w:val="0"/>
                  <w:marTop w:val="0"/>
                  <w:marBottom w:val="0"/>
                  <w:divBdr>
                    <w:top w:val="none" w:sz="0" w:space="0" w:color="auto"/>
                    <w:left w:val="none" w:sz="0" w:space="0" w:color="auto"/>
                    <w:bottom w:val="none" w:sz="0" w:space="0" w:color="auto"/>
                    <w:right w:val="none" w:sz="0" w:space="0" w:color="auto"/>
                  </w:divBdr>
                  <w:divsChild>
                    <w:div w:id="1760179014">
                      <w:marLeft w:val="0"/>
                      <w:marRight w:val="0"/>
                      <w:marTop w:val="0"/>
                      <w:marBottom w:val="0"/>
                      <w:divBdr>
                        <w:top w:val="none" w:sz="0" w:space="0" w:color="auto"/>
                        <w:left w:val="none" w:sz="0" w:space="0" w:color="auto"/>
                        <w:bottom w:val="none" w:sz="0" w:space="0" w:color="auto"/>
                        <w:right w:val="none" w:sz="0" w:space="0" w:color="auto"/>
                      </w:divBdr>
                    </w:div>
                  </w:divsChild>
                </w:div>
                <w:div w:id="226183166">
                  <w:marLeft w:val="0"/>
                  <w:marRight w:val="0"/>
                  <w:marTop w:val="0"/>
                  <w:marBottom w:val="0"/>
                  <w:divBdr>
                    <w:top w:val="none" w:sz="0" w:space="0" w:color="auto"/>
                    <w:left w:val="none" w:sz="0" w:space="0" w:color="auto"/>
                    <w:bottom w:val="none" w:sz="0" w:space="0" w:color="auto"/>
                    <w:right w:val="none" w:sz="0" w:space="0" w:color="auto"/>
                  </w:divBdr>
                  <w:divsChild>
                    <w:div w:id="740717052">
                      <w:marLeft w:val="0"/>
                      <w:marRight w:val="0"/>
                      <w:marTop w:val="0"/>
                      <w:marBottom w:val="0"/>
                      <w:divBdr>
                        <w:top w:val="none" w:sz="0" w:space="0" w:color="auto"/>
                        <w:left w:val="none" w:sz="0" w:space="0" w:color="auto"/>
                        <w:bottom w:val="none" w:sz="0" w:space="0" w:color="auto"/>
                        <w:right w:val="none" w:sz="0" w:space="0" w:color="auto"/>
                      </w:divBdr>
                    </w:div>
                  </w:divsChild>
                </w:div>
                <w:div w:id="253630542">
                  <w:marLeft w:val="0"/>
                  <w:marRight w:val="0"/>
                  <w:marTop w:val="0"/>
                  <w:marBottom w:val="0"/>
                  <w:divBdr>
                    <w:top w:val="none" w:sz="0" w:space="0" w:color="auto"/>
                    <w:left w:val="none" w:sz="0" w:space="0" w:color="auto"/>
                    <w:bottom w:val="none" w:sz="0" w:space="0" w:color="auto"/>
                    <w:right w:val="none" w:sz="0" w:space="0" w:color="auto"/>
                  </w:divBdr>
                  <w:divsChild>
                    <w:div w:id="72093908">
                      <w:marLeft w:val="0"/>
                      <w:marRight w:val="0"/>
                      <w:marTop w:val="0"/>
                      <w:marBottom w:val="0"/>
                      <w:divBdr>
                        <w:top w:val="none" w:sz="0" w:space="0" w:color="auto"/>
                        <w:left w:val="none" w:sz="0" w:space="0" w:color="auto"/>
                        <w:bottom w:val="none" w:sz="0" w:space="0" w:color="auto"/>
                        <w:right w:val="none" w:sz="0" w:space="0" w:color="auto"/>
                      </w:divBdr>
                    </w:div>
                  </w:divsChild>
                </w:div>
                <w:div w:id="312108137">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sChild>
                </w:div>
                <w:div w:id="408888994">
                  <w:marLeft w:val="0"/>
                  <w:marRight w:val="0"/>
                  <w:marTop w:val="0"/>
                  <w:marBottom w:val="0"/>
                  <w:divBdr>
                    <w:top w:val="none" w:sz="0" w:space="0" w:color="auto"/>
                    <w:left w:val="none" w:sz="0" w:space="0" w:color="auto"/>
                    <w:bottom w:val="none" w:sz="0" w:space="0" w:color="auto"/>
                    <w:right w:val="none" w:sz="0" w:space="0" w:color="auto"/>
                  </w:divBdr>
                  <w:divsChild>
                    <w:div w:id="1959095047">
                      <w:marLeft w:val="0"/>
                      <w:marRight w:val="0"/>
                      <w:marTop w:val="0"/>
                      <w:marBottom w:val="0"/>
                      <w:divBdr>
                        <w:top w:val="none" w:sz="0" w:space="0" w:color="auto"/>
                        <w:left w:val="none" w:sz="0" w:space="0" w:color="auto"/>
                        <w:bottom w:val="none" w:sz="0" w:space="0" w:color="auto"/>
                        <w:right w:val="none" w:sz="0" w:space="0" w:color="auto"/>
                      </w:divBdr>
                    </w:div>
                  </w:divsChild>
                </w:div>
                <w:div w:id="509952012">
                  <w:marLeft w:val="0"/>
                  <w:marRight w:val="0"/>
                  <w:marTop w:val="0"/>
                  <w:marBottom w:val="0"/>
                  <w:divBdr>
                    <w:top w:val="none" w:sz="0" w:space="0" w:color="auto"/>
                    <w:left w:val="none" w:sz="0" w:space="0" w:color="auto"/>
                    <w:bottom w:val="none" w:sz="0" w:space="0" w:color="auto"/>
                    <w:right w:val="none" w:sz="0" w:space="0" w:color="auto"/>
                  </w:divBdr>
                  <w:divsChild>
                    <w:div w:id="659505754">
                      <w:marLeft w:val="0"/>
                      <w:marRight w:val="0"/>
                      <w:marTop w:val="0"/>
                      <w:marBottom w:val="0"/>
                      <w:divBdr>
                        <w:top w:val="none" w:sz="0" w:space="0" w:color="auto"/>
                        <w:left w:val="none" w:sz="0" w:space="0" w:color="auto"/>
                        <w:bottom w:val="none" w:sz="0" w:space="0" w:color="auto"/>
                        <w:right w:val="none" w:sz="0" w:space="0" w:color="auto"/>
                      </w:divBdr>
                    </w:div>
                  </w:divsChild>
                </w:div>
                <w:div w:id="569537638">
                  <w:marLeft w:val="0"/>
                  <w:marRight w:val="0"/>
                  <w:marTop w:val="0"/>
                  <w:marBottom w:val="0"/>
                  <w:divBdr>
                    <w:top w:val="none" w:sz="0" w:space="0" w:color="auto"/>
                    <w:left w:val="none" w:sz="0" w:space="0" w:color="auto"/>
                    <w:bottom w:val="none" w:sz="0" w:space="0" w:color="auto"/>
                    <w:right w:val="none" w:sz="0" w:space="0" w:color="auto"/>
                  </w:divBdr>
                  <w:divsChild>
                    <w:div w:id="1197546175">
                      <w:marLeft w:val="0"/>
                      <w:marRight w:val="0"/>
                      <w:marTop w:val="0"/>
                      <w:marBottom w:val="0"/>
                      <w:divBdr>
                        <w:top w:val="none" w:sz="0" w:space="0" w:color="auto"/>
                        <w:left w:val="none" w:sz="0" w:space="0" w:color="auto"/>
                        <w:bottom w:val="none" w:sz="0" w:space="0" w:color="auto"/>
                        <w:right w:val="none" w:sz="0" w:space="0" w:color="auto"/>
                      </w:divBdr>
                    </w:div>
                  </w:divsChild>
                </w:div>
                <w:div w:id="773210100">
                  <w:marLeft w:val="0"/>
                  <w:marRight w:val="0"/>
                  <w:marTop w:val="0"/>
                  <w:marBottom w:val="0"/>
                  <w:divBdr>
                    <w:top w:val="none" w:sz="0" w:space="0" w:color="auto"/>
                    <w:left w:val="none" w:sz="0" w:space="0" w:color="auto"/>
                    <w:bottom w:val="none" w:sz="0" w:space="0" w:color="auto"/>
                    <w:right w:val="none" w:sz="0" w:space="0" w:color="auto"/>
                  </w:divBdr>
                  <w:divsChild>
                    <w:div w:id="527261397">
                      <w:marLeft w:val="0"/>
                      <w:marRight w:val="0"/>
                      <w:marTop w:val="0"/>
                      <w:marBottom w:val="0"/>
                      <w:divBdr>
                        <w:top w:val="none" w:sz="0" w:space="0" w:color="auto"/>
                        <w:left w:val="none" w:sz="0" w:space="0" w:color="auto"/>
                        <w:bottom w:val="none" w:sz="0" w:space="0" w:color="auto"/>
                        <w:right w:val="none" w:sz="0" w:space="0" w:color="auto"/>
                      </w:divBdr>
                    </w:div>
                  </w:divsChild>
                </w:div>
                <w:div w:id="890503965">
                  <w:marLeft w:val="0"/>
                  <w:marRight w:val="0"/>
                  <w:marTop w:val="0"/>
                  <w:marBottom w:val="0"/>
                  <w:divBdr>
                    <w:top w:val="none" w:sz="0" w:space="0" w:color="auto"/>
                    <w:left w:val="none" w:sz="0" w:space="0" w:color="auto"/>
                    <w:bottom w:val="none" w:sz="0" w:space="0" w:color="auto"/>
                    <w:right w:val="none" w:sz="0" w:space="0" w:color="auto"/>
                  </w:divBdr>
                  <w:divsChild>
                    <w:div w:id="1567032879">
                      <w:marLeft w:val="0"/>
                      <w:marRight w:val="0"/>
                      <w:marTop w:val="0"/>
                      <w:marBottom w:val="0"/>
                      <w:divBdr>
                        <w:top w:val="none" w:sz="0" w:space="0" w:color="auto"/>
                        <w:left w:val="none" w:sz="0" w:space="0" w:color="auto"/>
                        <w:bottom w:val="none" w:sz="0" w:space="0" w:color="auto"/>
                        <w:right w:val="none" w:sz="0" w:space="0" w:color="auto"/>
                      </w:divBdr>
                    </w:div>
                  </w:divsChild>
                </w:div>
                <w:div w:id="898128321">
                  <w:marLeft w:val="0"/>
                  <w:marRight w:val="0"/>
                  <w:marTop w:val="0"/>
                  <w:marBottom w:val="0"/>
                  <w:divBdr>
                    <w:top w:val="none" w:sz="0" w:space="0" w:color="auto"/>
                    <w:left w:val="none" w:sz="0" w:space="0" w:color="auto"/>
                    <w:bottom w:val="none" w:sz="0" w:space="0" w:color="auto"/>
                    <w:right w:val="none" w:sz="0" w:space="0" w:color="auto"/>
                  </w:divBdr>
                  <w:divsChild>
                    <w:div w:id="1964459808">
                      <w:marLeft w:val="0"/>
                      <w:marRight w:val="0"/>
                      <w:marTop w:val="0"/>
                      <w:marBottom w:val="0"/>
                      <w:divBdr>
                        <w:top w:val="none" w:sz="0" w:space="0" w:color="auto"/>
                        <w:left w:val="none" w:sz="0" w:space="0" w:color="auto"/>
                        <w:bottom w:val="none" w:sz="0" w:space="0" w:color="auto"/>
                        <w:right w:val="none" w:sz="0" w:space="0" w:color="auto"/>
                      </w:divBdr>
                    </w:div>
                  </w:divsChild>
                </w:div>
                <w:div w:id="1169635774">
                  <w:marLeft w:val="0"/>
                  <w:marRight w:val="0"/>
                  <w:marTop w:val="0"/>
                  <w:marBottom w:val="0"/>
                  <w:divBdr>
                    <w:top w:val="none" w:sz="0" w:space="0" w:color="auto"/>
                    <w:left w:val="none" w:sz="0" w:space="0" w:color="auto"/>
                    <w:bottom w:val="none" w:sz="0" w:space="0" w:color="auto"/>
                    <w:right w:val="none" w:sz="0" w:space="0" w:color="auto"/>
                  </w:divBdr>
                  <w:divsChild>
                    <w:div w:id="543106873">
                      <w:marLeft w:val="0"/>
                      <w:marRight w:val="0"/>
                      <w:marTop w:val="0"/>
                      <w:marBottom w:val="0"/>
                      <w:divBdr>
                        <w:top w:val="none" w:sz="0" w:space="0" w:color="auto"/>
                        <w:left w:val="none" w:sz="0" w:space="0" w:color="auto"/>
                        <w:bottom w:val="none" w:sz="0" w:space="0" w:color="auto"/>
                        <w:right w:val="none" w:sz="0" w:space="0" w:color="auto"/>
                      </w:divBdr>
                    </w:div>
                  </w:divsChild>
                </w:div>
                <w:div w:id="1259292752">
                  <w:marLeft w:val="0"/>
                  <w:marRight w:val="0"/>
                  <w:marTop w:val="0"/>
                  <w:marBottom w:val="0"/>
                  <w:divBdr>
                    <w:top w:val="none" w:sz="0" w:space="0" w:color="auto"/>
                    <w:left w:val="none" w:sz="0" w:space="0" w:color="auto"/>
                    <w:bottom w:val="none" w:sz="0" w:space="0" w:color="auto"/>
                    <w:right w:val="none" w:sz="0" w:space="0" w:color="auto"/>
                  </w:divBdr>
                  <w:divsChild>
                    <w:div w:id="1391613022">
                      <w:marLeft w:val="0"/>
                      <w:marRight w:val="0"/>
                      <w:marTop w:val="0"/>
                      <w:marBottom w:val="0"/>
                      <w:divBdr>
                        <w:top w:val="none" w:sz="0" w:space="0" w:color="auto"/>
                        <w:left w:val="none" w:sz="0" w:space="0" w:color="auto"/>
                        <w:bottom w:val="none" w:sz="0" w:space="0" w:color="auto"/>
                        <w:right w:val="none" w:sz="0" w:space="0" w:color="auto"/>
                      </w:divBdr>
                    </w:div>
                  </w:divsChild>
                </w:div>
                <w:div w:id="1369910117">
                  <w:marLeft w:val="0"/>
                  <w:marRight w:val="0"/>
                  <w:marTop w:val="0"/>
                  <w:marBottom w:val="0"/>
                  <w:divBdr>
                    <w:top w:val="none" w:sz="0" w:space="0" w:color="auto"/>
                    <w:left w:val="none" w:sz="0" w:space="0" w:color="auto"/>
                    <w:bottom w:val="none" w:sz="0" w:space="0" w:color="auto"/>
                    <w:right w:val="none" w:sz="0" w:space="0" w:color="auto"/>
                  </w:divBdr>
                  <w:divsChild>
                    <w:div w:id="1331982386">
                      <w:marLeft w:val="0"/>
                      <w:marRight w:val="0"/>
                      <w:marTop w:val="0"/>
                      <w:marBottom w:val="0"/>
                      <w:divBdr>
                        <w:top w:val="none" w:sz="0" w:space="0" w:color="auto"/>
                        <w:left w:val="none" w:sz="0" w:space="0" w:color="auto"/>
                        <w:bottom w:val="none" w:sz="0" w:space="0" w:color="auto"/>
                        <w:right w:val="none" w:sz="0" w:space="0" w:color="auto"/>
                      </w:divBdr>
                    </w:div>
                  </w:divsChild>
                </w:div>
                <w:div w:id="1495796945">
                  <w:marLeft w:val="0"/>
                  <w:marRight w:val="0"/>
                  <w:marTop w:val="0"/>
                  <w:marBottom w:val="0"/>
                  <w:divBdr>
                    <w:top w:val="none" w:sz="0" w:space="0" w:color="auto"/>
                    <w:left w:val="none" w:sz="0" w:space="0" w:color="auto"/>
                    <w:bottom w:val="none" w:sz="0" w:space="0" w:color="auto"/>
                    <w:right w:val="none" w:sz="0" w:space="0" w:color="auto"/>
                  </w:divBdr>
                  <w:divsChild>
                    <w:div w:id="1131556406">
                      <w:marLeft w:val="0"/>
                      <w:marRight w:val="0"/>
                      <w:marTop w:val="0"/>
                      <w:marBottom w:val="0"/>
                      <w:divBdr>
                        <w:top w:val="none" w:sz="0" w:space="0" w:color="auto"/>
                        <w:left w:val="none" w:sz="0" w:space="0" w:color="auto"/>
                        <w:bottom w:val="none" w:sz="0" w:space="0" w:color="auto"/>
                        <w:right w:val="none" w:sz="0" w:space="0" w:color="auto"/>
                      </w:divBdr>
                    </w:div>
                  </w:divsChild>
                </w:div>
                <w:div w:id="1579822705">
                  <w:marLeft w:val="0"/>
                  <w:marRight w:val="0"/>
                  <w:marTop w:val="0"/>
                  <w:marBottom w:val="0"/>
                  <w:divBdr>
                    <w:top w:val="none" w:sz="0" w:space="0" w:color="auto"/>
                    <w:left w:val="none" w:sz="0" w:space="0" w:color="auto"/>
                    <w:bottom w:val="none" w:sz="0" w:space="0" w:color="auto"/>
                    <w:right w:val="none" w:sz="0" w:space="0" w:color="auto"/>
                  </w:divBdr>
                  <w:divsChild>
                    <w:div w:id="307781064">
                      <w:marLeft w:val="0"/>
                      <w:marRight w:val="0"/>
                      <w:marTop w:val="0"/>
                      <w:marBottom w:val="0"/>
                      <w:divBdr>
                        <w:top w:val="none" w:sz="0" w:space="0" w:color="auto"/>
                        <w:left w:val="none" w:sz="0" w:space="0" w:color="auto"/>
                        <w:bottom w:val="none" w:sz="0" w:space="0" w:color="auto"/>
                        <w:right w:val="none" w:sz="0" w:space="0" w:color="auto"/>
                      </w:divBdr>
                    </w:div>
                  </w:divsChild>
                </w:div>
                <w:div w:id="1628660159">
                  <w:marLeft w:val="0"/>
                  <w:marRight w:val="0"/>
                  <w:marTop w:val="0"/>
                  <w:marBottom w:val="0"/>
                  <w:divBdr>
                    <w:top w:val="none" w:sz="0" w:space="0" w:color="auto"/>
                    <w:left w:val="none" w:sz="0" w:space="0" w:color="auto"/>
                    <w:bottom w:val="none" w:sz="0" w:space="0" w:color="auto"/>
                    <w:right w:val="none" w:sz="0" w:space="0" w:color="auto"/>
                  </w:divBdr>
                  <w:divsChild>
                    <w:div w:id="2037536346">
                      <w:marLeft w:val="0"/>
                      <w:marRight w:val="0"/>
                      <w:marTop w:val="0"/>
                      <w:marBottom w:val="0"/>
                      <w:divBdr>
                        <w:top w:val="none" w:sz="0" w:space="0" w:color="auto"/>
                        <w:left w:val="none" w:sz="0" w:space="0" w:color="auto"/>
                        <w:bottom w:val="none" w:sz="0" w:space="0" w:color="auto"/>
                        <w:right w:val="none" w:sz="0" w:space="0" w:color="auto"/>
                      </w:divBdr>
                    </w:div>
                  </w:divsChild>
                </w:div>
                <w:div w:id="1631982056">
                  <w:marLeft w:val="0"/>
                  <w:marRight w:val="0"/>
                  <w:marTop w:val="0"/>
                  <w:marBottom w:val="0"/>
                  <w:divBdr>
                    <w:top w:val="none" w:sz="0" w:space="0" w:color="auto"/>
                    <w:left w:val="none" w:sz="0" w:space="0" w:color="auto"/>
                    <w:bottom w:val="none" w:sz="0" w:space="0" w:color="auto"/>
                    <w:right w:val="none" w:sz="0" w:space="0" w:color="auto"/>
                  </w:divBdr>
                  <w:divsChild>
                    <w:div w:id="1132358663">
                      <w:marLeft w:val="0"/>
                      <w:marRight w:val="0"/>
                      <w:marTop w:val="0"/>
                      <w:marBottom w:val="0"/>
                      <w:divBdr>
                        <w:top w:val="none" w:sz="0" w:space="0" w:color="auto"/>
                        <w:left w:val="none" w:sz="0" w:space="0" w:color="auto"/>
                        <w:bottom w:val="none" w:sz="0" w:space="0" w:color="auto"/>
                        <w:right w:val="none" w:sz="0" w:space="0" w:color="auto"/>
                      </w:divBdr>
                    </w:div>
                  </w:divsChild>
                </w:div>
                <w:div w:id="1671445845">
                  <w:marLeft w:val="0"/>
                  <w:marRight w:val="0"/>
                  <w:marTop w:val="0"/>
                  <w:marBottom w:val="0"/>
                  <w:divBdr>
                    <w:top w:val="none" w:sz="0" w:space="0" w:color="auto"/>
                    <w:left w:val="none" w:sz="0" w:space="0" w:color="auto"/>
                    <w:bottom w:val="none" w:sz="0" w:space="0" w:color="auto"/>
                    <w:right w:val="none" w:sz="0" w:space="0" w:color="auto"/>
                  </w:divBdr>
                  <w:divsChild>
                    <w:div w:id="564488936">
                      <w:marLeft w:val="0"/>
                      <w:marRight w:val="0"/>
                      <w:marTop w:val="0"/>
                      <w:marBottom w:val="0"/>
                      <w:divBdr>
                        <w:top w:val="none" w:sz="0" w:space="0" w:color="auto"/>
                        <w:left w:val="none" w:sz="0" w:space="0" w:color="auto"/>
                        <w:bottom w:val="none" w:sz="0" w:space="0" w:color="auto"/>
                        <w:right w:val="none" w:sz="0" w:space="0" w:color="auto"/>
                      </w:divBdr>
                    </w:div>
                  </w:divsChild>
                </w:div>
                <w:div w:id="1735087076">
                  <w:marLeft w:val="0"/>
                  <w:marRight w:val="0"/>
                  <w:marTop w:val="0"/>
                  <w:marBottom w:val="0"/>
                  <w:divBdr>
                    <w:top w:val="none" w:sz="0" w:space="0" w:color="auto"/>
                    <w:left w:val="none" w:sz="0" w:space="0" w:color="auto"/>
                    <w:bottom w:val="none" w:sz="0" w:space="0" w:color="auto"/>
                    <w:right w:val="none" w:sz="0" w:space="0" w:color="auto"/>
                  </w:divBdr>
                  <w:divsChild>
                    <w:div w:id="417558245">
                      <w:marLeft w:val="0"/>
                      <w:marRight w:val="0"/>
                      <w:marTop w:val="0"/>
                      <w:marBottom w:val="0"/>
                      <w:divBdr>
                        <w:top w:val="none" w:sz="0" w:space="0" w:color="auto"/>
                        <w:left w:val="none" w:sz="0" w:space="0" w:color="auto"/>
                        <w:bottom w:val="none" w:sz="0" w:space="0" w:color="auto"/>
                        <w:right w:val="none" w:sz="0" w:space="0" w:color="auto"/>
                      </w:divBdr>
                    </w:div>
                  </w:divsChild>
                </w:div>
                <w:div w:id="1796488471">
                  <w:marLeft w:val="0"/>
                  <w:marRight w:val="0"/>
                  <w:marTop w:val="0"/>
                  <w:marBottom w:val="0"/>
                  <w:divBdr>
                    <w:top w:val="none" w:sz="0" w:space="0" w:color="auto"/>
                    <w:left w:val="none" w:sz="0" w:space="0" w:color="auto"/>
                    <w:bottom w:val="none" w:sz="0" w:space="0" w:color="auto"/>
                    <w:right w:val="none" w:sz="0" w:space="0" w:color="auto"/>
                  </w:divBdr>
                  <w:divsChild>
                    <w:div w:id="703750086">
                      <w:marLeft w:val="0"/>
                      <w:marRight w:val="0"/>
                      <w:marTop w:val="0"/>
                      <w:marBottom w:val="0"/>
                      <w:divBdr>
                        <w:top w:val="none" w:sz="0" w:space="0" w:color="auto"/>
                        <w:left w:val="none" w:sz="0" w:space="0" w:color="auto"/>
                        <w:bottom w:val="none" w:sz="0" w:space="0" w:color="auto"/>
                        <w:right w:val="none" w:sz="0" w:space="0" w:color="auto"/>
                      </w:divBdr>
                    </w:div>
                    <w:div w:id="1409883084">
                      <w:marLeft w:val="0"/>
                      <w:marRight w:val="0"/>
                      <w:marTop w:val="0"/>
                      <w:marBottom w:val="0"/>
                      <w:divBdr>
                        <w:top w:val="none" w:sz="0" w:space="0" w:color="auto"/>
                        <w:left w:val="none" w:sz="0" w:space="0" w:color="auto"/>
                        <w:bottom w:val="none" w:sz="0" w:space="0" w:color="auto"/>
                        <w:right w:val="none" w:sz="0" w:space="0" w:color="auto"/>
                      </w:divBdr>
                    </w:div>
                  </w:divsChild>
                </w:div>
                <w:div w:id="1957760095">
                  <w:marLeft w:val="0"/>
                  <w:marRight w:val="0"/>
                  <w:marTop w:val="0"/>
                  <w:marBottom w:val="0"/>
                  <w:divBdr>
                    <w:top w:val="none" w:sz="0" w:space="0" w:color="auto"/>
                    <w:left w:val="none" w:sz="0" w:space="0" w:color="auto"/>
                    <w:bottom w:val="none" w:sz="0" w:space="0" w:color="auto"/>
                    <w:right w:val="none" w:sz="0" w:space="0" w:color="auto"/>
                  </w:divBdr>
                  <w:divsChild>
                    <w:div w:id="1667320957">
                      <w:marLeft w:val="0"/>
                      <w:marRight w:val="0"/>
                      <w:marTop w:val="0"/>
                      <w:marBottom w:val="0"/>
                      <w:divBdr>
                        <w:top w:val="none" w:sz="0" w:space="0" w:color="auto"/>
                        <w:left w:val="none" w:sz="0" w:space="0" w:color="auto"/>
                        <w:bottom w:val="none" w:sz="0" w:space="0" w:color="auto"/>
                        <w:right w:val="none" w:sz="0" w:space="0" w:color="auto"/>
                      </w:divBdr>
                    </w:div>
                  </w:divsChild>
                </w:div>
                <w:div w:id="1989280078">
                  <w:marLeft w:val="0"/>
                  <w:marRight w:val="0"/>
                  <w:marTop w:val="0"/>
                  <w:marBottom w:val="0"/>
                  <w:divBdr>
                    <w:top w:val="none" w:sz="0" w:space="0" w:color="auto"/>
                    <w:left w:val="none" w:sz="0" w:space="0" w:color="auto"/>
                    <w:bottom w:val="none" w:sz="0" w:space="0" w:color="auto"/>
                    <w:right w:val="none" w:sz="0" w:space="0" w:color="auto"/>
                  </w:divBdr>
                  <w:divsChild>
                    <w:div w:id="1769543411">
                      <w:marLeft w:val="0"/>
                      <w:marRight w:val="0"/>
                      <w:marTop w:val="0"/>
                      <w:marBottom w:val="0"/>
                      <w:divBdr>
                        <w:top w:val="none" w:sz="0" w:space="0" w:color="auto"/>
                        <w:left w:val="none" w:sz="0" w:space="0" w:color="auto"/>
                        <w:bottom w:val="none" w:sz="0" w:space="0" w:color="auto"/>
                        <w:right w:val="none" w:sz="0" w:space="0" w:color="auto"/>
                      </w:divBdr>
                    </w:div>
                  </w:divsChild>
                </w:div>
                <w:div w:id="1991865756">
                  <w:marLeft w:val="0"/>
                  <w:marRight w:val="0"/>
                  <w:marTop w:val="0"/>
                  <w:marBottom w:val="0"/>
                  <w:divBdr>
                    <w:top w:val="none" w:sz="0" w:space="0" w:color="auto"/>
                    <w:left w:val="none" w:sz="0" w:space="0" w:color="auto"/>
                    <w:bottom w:val="none" w:sz="0" w:space="0" w:color="auto"/>
                    <w:right w:val="none" w:sz="0" w:space="0" w:color="auto"/>
                  </w:divBdr>
                  <w:divsChild>
                    <w:div w:id="1179271846">
                      <w:marLeft w:val="0"/>
                      <w:marRight w:val="0"/>
                      <w:marTop w:val="0"/>
                      <w:marBottom w:val="0"/>
                      <w:divBdr>
                        <w:top w:val="none" w:sz="0" w:space="0" w:color="auto"/>
                        <w:left w:val="none" w:sz="0" w:space="0" w:color="auto"/>
                        <w:bottom w:val="none" w:sz="0" w:space="0" w:color="auto"/>
                        <w:right w:val="none" w:sz="0" w:space="0" w:color="auto"/>
                      </w:divBdr>
                    </w:div>
                  </w:divsChild>
                </w:div>
                <w:div w:id="2020623306">
                  <w:marLeft w:val="0"/>
                  <w:marRight w:val="0"/>
                  <w:marTop w:val="0"/>
                  <w:marBottom w:val="0"/>
                  <w:divBdr>
                    <w:top w:val="none" w:sz="0" w:space="0" w:color="auto"/>
                    <w:left w:val="none" w:sz="0" w:space="0" w:color="auto"/>
                    <w:bottom w:val="none" w:sz="0" w:space="0" w:color="auto"/>
                    <w:right w:val="none" w:sz="0" w:space="0" w:color="auto"/>
                  </w:divBdr>
                  <w:divsChild>
                    <w:div w:id="198202747">
                      <w:marLeft w:val="0"/>
                      <w:marRight w:val="0"/>
                      <w:marTop w:val="0"/>
                      <w:marBottom w:val="0"/>
                      <w:divBdr>
                        <w:top w:val="none" w:sz="0" w:space="0" w:color="auto"/>
                        <w:left w:val="none" w:sz="0" w:space="0" w:color="auto"/>
                        <w:bottom w:val="none" w:sz="0" w:space="0" w:color="auto"/>
                        <w:right w:val="none" w:sz="0" w:space="0" w:color="auto"/>
                      </w:divBdr>
                    </w:div>
                  </w:divsChild>
                </w:div>
                <w:div w:id="2060204985">
                  <w:marLeft w:val="0"/>
                  <w:marRight w:val="0"/>
                  <w:marTop w:val="0"/>
                  <w:marBottom w:val="0"/>
                  <w:divBdr>
                    <w:top w:val="none" w:sz="0" w:space="0" w:color="auto"/>
                    <w:left w:val="none" w:sz="0" w:space="0" w:color="auto"/>
                    <w:bottom w:val="none" w:sz="0" w:space="0" w:color="auto"/>
                    <w:right w:val="none" w:sz="0" w:space="0" w:color="auto"/>
                  </w:divBdr>
                  <w:divsChild>
                    <w:div w:id="380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5644">
          <w:marLeft w:val="0"/>
          <w:marRight w:val="0"/>
          <w:marTop w:val="0"/>
          <w:marBottom w:val="0"/>
          <w:divBdr>
            <w:top w:val="none" w:sz="0" w:space="0" w:color="auto"/>
            <w:left w:val="none" w:sz="0" w:space="0" w:color="auto"/>
            <w:bottom w:val="none" w:sz="0" w:space="0" w:color="auto"/>
            <w:right w:val="none" w:sz="0" w:space="0" w:color="auto"/>
          </w:divBdr>
        </w:div>
        <w:div w:id="1062826005">
          <w:marLeft w:val="0"/>
          <w:marRight w:val="0"/>
          <w:marTop w:val="0"/>
          <w:marBottom w:val="0"/>
          <w:divBdr>
            <w:top w:val="none" w:sz="0" w:space="0" w:color="auto"/>
            <w:left w:val="none" w:sz="0" w:space="0" w:color="auto"/>
            <w:bottom w:val="none" w:sz="0" w:space="0" w:color="auto"/>
            <w:right w:val="none" w:sz="0" w:space="0" w:color="auto"/>
          </w:divBdr>
        </w:div>
        <w:div w:id="1222902780">
          <w:marLeft w:val="0"/>
          <w:marRight w:val="0"/>
          <w:marTop w:val="0"/>
          <w:marBottom w:val="0"/>
          <w:divBdr>
            <w:top w:val="none" w:sz="0" w:space="0" w:color="auto"/>
            <w:left w:val="none" w:sz="0" w:space="0" w:color="auto"/>
            <w:bottom w:val="none" w:sz="0" w:space="0" w:color="auto"/>
            <w:right w:val="none" w:sz="0" w:space="0" w:color="auto"/>
          </w:divBdr>
        </w:div>
        <w:div w:id="1719082595">
          <w:marLeft w:val="0"/>
          <w:marRight w:val="0"/>
          <w:marTop w:val="0"/>
          <w:marBottom w:val="0"/>
          <w:divBdr>
            <w:top w:val="none" w:sz="0" w:space="0" w:color="auto"/>
            <w:left w:val="none" w:sz="0" w:space="0" w:color="auto"/>
            <w:bottom w:val="none" w:sz="0" w:space="0" w:color="auto"/>
            <w:right w:val="none" w:sz="0" w:space="0" w:color="auto"/>
          </w:divBdr>
        </w:div>
        <w:div w:id="1749309695">
          <w:marLeft w:val="0"/>
          <w:marRight w:val="0"/>
          <w:marTop w:val="0"/>
          <w:marBottom w:val="0"/>
          <w:divBdr>
            <w:top w:val="none" w:sz="0" w:space="0" w:color="auto"/>
            <w:left w:val="none" w:sz="0" w:space="0" w:color="auto"/>
            <w:bottom w:val="none" w:sz="0" w:space="0" w:color="auto"/>
            <w:right w:val="none" w:sz="0" w:space="0" w:color="auto"/>
          </w:divBdr>
        </w:div>
        <w:div w:id="1780297879">
          <w:marLeft w:val="0"/>
          <w:marRight w:val="0"/>
          <w:marTop w:val="0"/>
          <w:marBottom w:val="0"/>
          <w:divBdr>
            <w:top w:val="none" w:sz="0" w:space="0" w:color="auto"/>
            <w:left w:val="none" w:sz="0" w:space="0" w:color="auto"/>
            <w:bottom w:val="none" w:sz="0" w:space="0" w:color="auto"/>
            <w:right w:val="none" w:sz="0" w:space="0" w:color="auto"/>
          </w:divBdr>
        </w:div>
      </w:divsChild>
    </w:div>
    <w:div w:id="663437388">
      <w:bodyDiv w:val="1"/>
      <w:marLeft w:val="0"/>
      <w:marRight w:val="0"/>
      <w:marTop w:val="0"/>
      <w:marBottom w:val="0"/>
      <w:divBdr>
        <w:top w:val="none" w:sz="0" w:space="0" w:color="auto"/>
        <w:left w:val="none" w:sz="0" w:space="0" w:color="auto"/>
        <w:bottom w:val="none" w:sz="0" w:space="0" w:color="auto"/>
        <w:right w:val="none" w:sz="0" w:space="0" w:color="auto"/>
      </w:divBdr>
    </w:div>
    <w:div w:id="676345425">
      <w:bodyDiv w:val="1"/>
      <w:marLeft w:val="0"/>
      <w:marRight w:val="0"/>
      <w:marTop w:val="0"/>
      <w:marBottom w:val="0"/>
      <w:divBdr>
        <w:top w:val="none" w:sz="0" w:space="0" w:color="auto"/>
        <w:left w:val="none" w:sz="0" w:space="0" w:color="auto"/>
        <w:bottom w:val="none" w:sz="0" w:space="0" w:color="auto"/>
        <w:right w:val="none" w:sz="0" w:space="0" w:color="auto"/>
      </w:divBdr>
    </w:div>
    <w:div w:id="750856546">
      <w:bodyDiv w:val="1"/>
      <w:marLeft w:val="0"/>
      <w:marRight w:val="0"/>
      <w:marTop w:val="0"/>
      <w:marBottom w:val="0"/>
      <w:divBdr>
        <w:top w:val="none" w:sz="0" w:space="0" w:color="auto"/>
        <w:left w:val="none" w:sz="0" w:space="0" w:color="auto"/>
        <w:bottom w:val="none" w:sz="0" w:space="0" w:color="auto"/>
        <w:right w:val="none" w:sz="0" w:space="0" w:color="auto"/>
      </w:divBdr>
      <w:divsChild>
        <w:div w:id="1371413652">
          <w:marLeft w:val="605"/>
          <w:marRight w:val="0"/>
          <w:marTop w:val="40"/>
          <w:marBottom w:val="80"/>
          <w:divBdr>
            <w:top w:val="none" w:sz="0" w:space="0" w:color="auto"/>
            <w:left w:val="none" w:sz="0" w:space="0" w:color="auto"/>
            <w:bottom w:val="none" w:sz="0" w:space="0" w:color="auto"/>
            <w:right w:val="none" w:sz="0" w:space="0" w:color="auto"/>
          </w:divBdr>
        </w:div>
        <w:div w:id="283849229">
          <w:marLeft w:val="605"/>
          <w:marRight w:val="0"/>
          <w:marTop w:val="40"/>
          <w:marBottom w:val="80"/>
          <w:divBdr>
            <w:top w:val="none" w:sz="0" w:space="0" w:color="auto"/>
            <w:left w:val="none" w:sz="0" w:space="0" w:color="auto"/>
            <w:bottom w:val="none" w:sz="0" w:space="0" w:color="auto"/>
            <w:right w:val="none" w:sz="0" w:space="0" w:color="auto"/>
          </w:divBdr>
        </w:div>
        <w:div w:id="1542210863">
          <w:marLeft w:val="605"/>
          <w:marRight w:val="0"/>
          <w:marTop w:val="40"/>
          <w:marBottom w:val="80"/>
          <w:divBdr>
            <w:top w:val="none" w:sz="0" w:space="0" w:color="auto"/>
            <w:left w:val="none" w:sz="0" w:space="0" w:color="auto"/>
            <w:bottom w:val="none" w:sz="0" w:space="0" w:color="auto"/>
            <w:right w:val="none" w:sz="0" w:space="0" w:color="auto"/>
          </w:divBdr>
        </w:div>
        <w:div w:id="1409107344">
          <w:marLeft w:val="893"/>
          <w:marRight w:val="0"/>
          <w:marTop w:val="40"/>
          <w:marBottom w:val="80"/>
          <w:divBdr>
            <w:top w:val="none" w:sz="0" w:space="0" w:color="auto"/>
            <w:left w:val="none" w:sz="0" w:space="0" w:color="auto"/>
            <w:bottom w:val="none" w:sz="0" w:space="0" w:color="auto"/>
            <w:right w:val="none" w:sz="0" w:space="0" w:color="auto"/>
          </w:divBdr>
        </w:div>
        <w:div w:id="364064452">
          <w:marLeft w:val="893"/>
          <w:marRight w:val="0"/>
          <w:marTop w:val="40"/>
          <w:marBottom w:val="80"/>
          <w:divBdr>
            <w:top w:val="none" w:sz="0" w:space="0" w:color="auto"/>
            <w:left w:val="none" w:sz="0" w:space="0" w:color="auto"/>
            <w:bottom w:val="none" w:sz="0" w:space="0" w:color="auto"/>
            <w:right w:val="none" w:sz="0" w:space="0" w:color="auto"/>
          </w:divBdr>
        </w:div>
      </w:divsChild>
    </w:div>
    <w:div w:id="81788985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48797206">
      <w:bodyDiv w:val="1"/>
      <w:marLeft w:val="0"/>
      <w:marRight w:val="0"/>
      <w:marTop w:val="0"/>
      <w:marBottom w:val="0"/>
      <w:divBdr>
        <w:top w:val="none" w:sz="0" w:space="0" w:color="auto"/>
        <w:left w:val="none" w:sz="0" w:space="0" w:color="auto"/>
        <w:bottom w:val="none" w:sz="0" w:space="0" w:color="auto"/>
        <w:right w:val="none" w:sz="0" w:space="0" w:color="auto"/>
      </w:divBdr>
      <w:divsChild>
        <w:div w:id="403576431">
          <w:marLeft w:val="0"/>
          <w:marRight w:val="0"/>
          <w:marTop w:val="0"/>
          <w:marBottom w:val="0"/>
          <w:divBdr>
            <w:top w:val="none" w:sz="0" w:space="0" w:color="auto"/>
            <w:left w:val="none" w:sz="0" w:space="0" w:color="auto"/>
            <w:bottom w:val="none" w:sz="0" w:space="0" w:color="auto"/>
            <w:right w:val="none" w:sz="0" w:space="0" w:color="auto"/>
          </w:divBdr>
        </w:div>
        <w:div w:id="419912896">
          <w:marLeft w:val="0"/>
          <w:marRight w:val="0"/>
          <w:marTop w:val="0"/>
          <w:marBottom w:val="0"/>
          <w:divBdr>
            <w:top w:val="none" w:sz="0" w:space="0" w:color="auto"/>
            <w:left w:val="none" w:sz="0" w:space="0" w:color="auto"/>
            <w:bottom w:val="none" w:sz="0" w:space="0" w:color="auto"/>
            <w:right w:val="none" w:sz="0" w:space="0" w:color="auto"/>
          </w:divBdr>
        </w:div>
        <w:div w:id="480930976">
          <w:marLeft w:val="0"/>
          <w:marRight w:val="0"/>
          <w:marTop w:val="0"/>
          <w:marBottom w:val="0"/>
          <w:divBdr>
            <w:top w:val="none" w:sz="0" w:space="0" w:color="auto"/>
            <w:left w:val="none" w:sz="0" w:space="0" w:color="auto"/>
            <w:bottom w:val="none" w:sz="0" w:space="0" w:color="auto"/>
            <w:right w:val="none" w:sz="0" w:space="0" w:color="auto"/>
          </w:divBdr>
        </w:div>
        <w:div w:id="673996170">
          <w:marLeft w:val="0"/>
          <w:marRight w:val="0"/>
          <w:marTop w:val="0"/>
          <w:marBottom w:val="0"/>
          <w:divBdr>
            <w:top w:val="none" w:sz="0" w:space="0" w:color="auto"/>
            <w:left w:val="none" w:sz="0" w:space="0" w:color="auto"/>
            <w:bottom w:val="none" w:sz="0" w:space="0" w:color="auto"/>
            <w:right w:val="none" w:sz="0" w:space="0" w:color="auto"/>
          </w:divBdr>
        </w:div>
        <w:div w:id="915364552">
          <w:marLeft w:val="0"/>
          <w:marRight w:val="0"/>
          <w:marTop w:val="0"/>
          <w:marBottom w:val="0"/>
          <w:divBdr>
            <w:top w:val="none" w:sz="0" w:space="0" w:color="auto"/>
            <w:left w:val="none" w:sz="0" w:space="0" w:color="auto"/>
            <w:bottom w:val="none" w:sz="0" w:space="0" w:color="auto"/>
            <w:right w:val="none" w:sz="0" w:space="0" w:color="auto"/>
          </w:divBdr>
        </w:div>
        <w:div w:id="1351103691">
          <w:marLeft w:val="0"/>
          <w:marRight w:val="0"/>
          <w:marTop w:val="0"/>
          <w:marBottom w:val="0"/>
          <w:divBdr>
            <w:top w:val="none" w:sz="0" w:space="0" w:color="auto"/>
            <w:left w:val="none" w:sz="0" w:space="0" w:color="auto"/>
            <w:bottom w:val="none" w:sz="0" w:space="0" w:color="auto"/>
            <w:right w:val="none" w:sz="0" w:space="0" w:color="auto"/>
          </w:divBdr>
        </w:div>
        <w:div w:id="1613127918">
          <w:marLeft w:val="0"/>
          <w:marRight w:val="0"/>
          <w:marTop w:val="0"/>
          <w:marBottom w:val="0"/>
          <w:divBdr>
            <w:top w:val="none" w:sz="0" w:space="0" w:color="auto"/>
            <w:left w:val="none" w:sz="0" w:space="0" w:color="auto"/>
            <w:bottom w:val="none" w:sz="0" w:space="0" w:color="auto"/>
            <w:right w:val="none" w:sz="0" w:space="0" w:color="auto"/>
          </w:divBdr>
        </w:div>
        <w:div w:id="1697077245">
          <w:marLeft w:val="0"/>
          <w:marRight w:val="0"/>
          <w:marTop w:val="0"/>
          <w:marBottom w:val="0"/>
          <w:divBdr>
            <w:top w:val="none" w:sz="0" w:space="0" w:color="auto"/>
            <w:left w:val="none" w:sz="0" w:space="0" w:color="auto"/>
            <w:bottom w:val="none" w:sz="0" w:space="0" w:color="auto"/>
            <w:right w:val="none" w:sz="0" w:space="0" w:color="auto"/>
          </w:divBdr>
        </w:div>
        <w:div w:id="1854493933">
          <w:marLeft w:val="0"/>
          <w:marRight w:val="0"/>
          <w:marTop w:val="0"/>
          <w:marBottom w:val="0"/>
          <w:divBdr>
            <w:top w:val="none" w:sz="0" w:space="0" w:color="auto"/>
            <w:left w:val="none" w:sz="0" w:space="0" w:color="auto"/>
            <w:bottom w:val="none" w:sz="0" w:space="0" w:color="auto"/>
            <w:right w:val="none" w:sz="0" w:space="0" w:color="auto"/>
          </w:divBdr>
        </w:div>
      </w:divsChild>
    </w:div>
    <w:div w:id="1057245901">
      <w:bodyDiv w:val="1"/>
      <w:marLeft w:val="0"/>
      <w:marRight w:val="0"/>
      <w:marTop w:val="0"/>
      <w:marBottom w:val="0"/>
      <w:divBdr>
        <w:top w:val="none" w:sz="0" w:space="0" w:color="auto"/>
        <w:left w:val="none" w:sz="0" w:space="0" w:color="auto"/>
        <w:bottom w:val="none" w:sz="0" w:space="0" w:color="auto"/>
        <w:right w:val="none" w:sz="0" w:space="0" w:color="auto"/>
      </w:divBdr>
    </w:div>
    <w:div w:id="112022494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7210470">
      <w:bodyDiv w:val="1"/>
      <w:marLeft w:val="0"/>
      <w:marRight w:val="0"/>
      <w:marTop w:val="0"/>
      <w:marBottom w:val="0"/>
      <w:divBdr>
        <w:top w:val="none" w:sz="0" w:space="0" w:color="auto"/>
        <w:left w:val="none" w:sz="0" w:space="0" w:color="auto"/>
        <w:bottom w:val="none" w:sz="0" w:space="0" w:color="auto"/>
        <w:right w:val="none" w:sz="0" w:space="0" w:color="auto"/>
      </w:divBdr>
      <w:divsChild>
        <w:div w:id="722601463">
          <w:marLeft w:val="144"/>
          <w:marRight w:val="0"/>
          <w:marTop w:val="240"/>
          <w:marBottom w:val="40"/>
          <w:divBdr>
            <w:top w:val="none" w:sz="0" w:space="0" w:color="auto"/>
            <w:left w:val="none" w:sz="0" w:space="0" w:color="auto"/>
            <w:bottom w:val="none" w:sz="0" w:space="0" w:color="auto"/>
            <w:right w:val="none" w:sz="0" w:space="0" w:color="auto"/>
          </w:divBdr>
        </w:div>
        <w:div w:id="1201085772">
          <w:marLeft w:val="605"/>
          <w:marRight w:val="0"/>
          <w:marTop w:val="40"/>
          <w:marBottom w:val="80"/>
          <w:divBdr>
            <w:top w:val="none" w:sz="0" w:space="0" w:color="auto"/>
            <w:left w:val="none" w:sz="0" w:space="0" w:color="auto"/>
            <w:bottom w:val="none" w:sz="0" w:space="0" w:color="auto"/>
            <w:right w:val="none" w:sz="0" w:space="0" w:color="auto"/>
          </w:divBdr>
        </w:div>
        <w:div w:id="2018535708">
          <w:marLeft w:val="605"/>
          <w:marRight w:val="0"/>
          <w:marTop w:val="40"/>
          <w:marBottom w:val="80"/>
          <w:divBdr>
            <w:top w:val="none" w:sz="0" w:space="0" w:color="auto"/>
            <w:left w:val="none" w:sz="0" w:space="0" w:color="auto"/>
            <w:bottom w:val="none" w:sz="0" w:space="0" w:color="auto"/>
            <w:right w:val="none" w:sz="0" w:space="0" w:color="auto"/>
          </w:divBdr>
        </w:div>
        <w:div w:id="1738434837">
          <w:marLeft w:val="605"/>
          <w:marRight w:val="0"/>
          <w:marTop w:val="40"/>
          <w:marBottom w:val="80"/>
          <w:divBdr>
            <w:top w:val="none" w:sz="0" w:space="0" w:color="auto"/>
            <w:left w:val="none" w:sz="0" w:space="0" w:color="auto"/>
            <w:bottom w:val="none" w:sz="0" w:space="0" w:color="auto"/>
            <w:right w:val="none" w:sz="0" w:space="0" w:color="auto"/>
          </w:divBdr>
        </w:div>
        <w:div w:id="884172669">
          <w:marLeft w:val="605"/>
          <w:marRight w:val="0"/>
          <w:marTop w:val="40"/>
          <w:marBottom w:val="80"/>
          <w:divBdr>
            <w:top w:val="none" w:sz="0" w:space="0" w:color="auto"/>
            <w:left w:val="none" w:sz="0" w:space="0" w:color="auto"/>
            <w:bottom w:val="none" w:sz="0" w:space="0" w:color="auto"/>
            <w:right w:val="none" w:sz="0" w:space="0" w:color="auto"/>
          </w:divBdr>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29944162">
      <w:bodyDiv w:val="1"/>
      <w:marLeft w:val="0"/>
      <w:marRight w:val="0"/>
      <w:marTop w:val="0"/>
      <w:marBottom w:val="0"/>
      <w:divBdr>
        <w:top w:val="none" w:sz="0" w:space="0" w:color="auto"/>
        <w:left w:val="none" w:sz="0" w:space="0" w:color="auto"/>
        <w:bottom w:val="none" w:sz="0" w:space="0" w:color="auto"/>
        <w:right w:val="none" w:sz="0" w:space="0" w:color="auto"/>
      </w:divBdr>
      <w:divsChild>
        <w:div w:id="1474560416">
          <w:marLeft w:val="144"/>
          <w:marRight w:val="0"/>
          <w:marTop w:val="240"/>
          <w:marBottom w:val="40"/>
          <w:divBdr>
            <w:top w:val="none" w:sz="0" w:space="0" w:color="auto"/>
            <w:left w:val="none" w:sz="0" w:space="0" w:color="auto"/>
            <w:bottom w:val="none" w:sz="0" w:space="0" w:color="auto"/>
            <w:right w:val="none" w:sz="0" w:space="0" w:color="auto"/>
          </w:divBdr>
        </w:div>
        <w:div w:id="1674796940">
          <w:marLeft w:val="144"/>
          <w:marRight w:val="0"/>
          <w:marTop w:val="240"/>
          <w:marBottom w:val="40"/>
          <w:divBdr>
            <w:top w:val="none" w:sz="0" w:space="0" w:color="auto"/>
            <w:left w:val="none" w:sz="0" w:space="0" w:color="auto"/>
            <w:bottom w:val="none" w:sz="0" w:space="0" w:color="auto"/>
            <w:right w:val="none" w:sz="0" w:space="0" w:color="auto"/>
          </w:divBdr>
        </w:div>
        <w:div w:id="875506488">
          <w:marLeft w:val="144"/>
          <w:marRight w:val="0"/>
          <w:marTop w:val="240"/>
          <w:marBottom w:val="40"/>
          <w:divBdr>
            <w:top w:val="none" w:sz="0" w:space="0" w:color="auto"/>
            <w:left w:val="none" w:sz="0" w:space="0" w:color="auto"/>
            <w:bottom w:val="none" w:sz="0" w:space="0" w:color="auto"/>
            <w:right w:val="none" w:sz="0" w:space="0" w:color="auto"/>
          </w:divBdr>
        </w:div>
        <w:div w:id="2057656501">
          <w:marLeft w:val="605"/>
          <w:marRight w:val="0"/>
          <w:marTop w:val="40"/>
          <w:marBottom w:val="80"/>
          <w:divBdr>
            <w:top w:val="none" w:sz="0" w:space="0" w:color="auto"/>
            <w:left w:val="none" w:sz="0" w:space="0" w:color="auto"/>
            <w:bottom w:val="none" w:sz="0" w:space="0" w:color="auto"/>
            <w:right w:val="none" w:sz="0" w:space="0" w:color="auto"/>
          </w:divBdr>
        </w:div>
        <w:div w:id="243758454">
          <w:marLeft w:val="605"/>
          <w:marRight w:val="0"/>
          <w:marTop w:val="40"/>
          <w:marBottom w:val="80"/>
          <w:divBdr>
            <w:top w:val="none" w:sz="0" w:space="0" w:color="auto"/>
            <w:left w:val="none" w:sz="0" w:space="0" w:color="auto"/>
            <w:bottom w:val="none" w:sz="0" w:space="0" w:color="auto"/>
            <w:right w:val="none" w:sz="0" w:space="0" w:color="auto"/>
          </w:divBdr>
        </w:div>
        <w:div w:id="1966154275">
          <w:marLeft w:val="605"/>
          <w:marRight w:val="0"/>
          <w:marTop w:val="40"/>
          <w:marBottom w:val="80"/>
          <w:divBdr>
            <w:top w:val="none" w:sz="0" w:space="0" w:color="auto"/>
            <w:left w:val="none" w:sz="0" w:space="0" w:color="auto"/>
            <w:bottom w:val="none" w:sz="0" w:space="0" w:color="auto"/>
            <w:right w:val="none" w:sz="0" w:space="0" w:color="auto"/>
          </w:divBdr>
        </w:div>
        <w:div w:id="47385300">
          <w:marLeft w:val="605"/>
          <w:marRight w:val="0"/>
          <w:marTop w:val="40"/>
          <w:marBottom w:val="80"/>
          <w:divBdr>
            <w:top w:val="none" w:sz="0" w:space="0" w:color="auto"/>
            <w:left w:val="none" w:sz="0" w:space="0" w:color="auto"/>
            <w:bottom w:val="none" w:sz="0" w:space="0" w:color="auto"/>
            <w:right w:val="none" w:sz="0" w:space="0" w:color="auto"/>
          </w:divBdr>
        </w:div>
        <w:div w:id="1065688776">
          <w:marLeft w:val="605"/>
          <w:marRight w:val="0"/>
          <w:marTop w:val="40"/>
          <w:marBottom w:val="80"/>
          <w:divBdr>
            <w:top w:val="none" w:sz="0" w:space="0" w:color="auto"/>
            <w:left w:val="none" w:sz="0" w:space="0" w:color="auto"/>
            <w:bottom w:val="none" w:sz="0" w:space="0" w:color="auto"/>
            <w:right w:val="none" w:sz="0" w:space="0" w:color="auto"/>
          </w:divBdr>
        </w:div>
        <w:div w:id="1549368173">
          <w:marLeft w:val="144"/>
          <w:marRight w:val="0"/>
          <w:marTop w:val="240"/>
          <w:marBottom w:val="40"/>
          <w:divBdr>
            <w:top w:val="none" w:sz="0" w:space="0" w:color="auto"/>
            <w:left w:val="none" w:sz="0" w:space="0" w:color="auto"/>
            <w:bottom w:val="none" w:sz="0" w:space="0" w:color="auto"/>
            <w:right w:val="none" w:sz="0" w:space="0" w:color="auto"/>
          </w:divBdr>
        </w:div>
        <w:div w:id="755983065">
          <w:marLeft w:val="605"/>
          <w:marRight w:val="0"/>
          <w:marTop w:val="40"/>
          <w:marBottom w:val="80"/>
          <w:divBdr>
            <w:top w:val="none" w:sz="0" w:space="0" w:color="auto"/>
            <w:left w:val="none" w:sz="0" w:space="0" w:color="auto"/>
            <w:bottom w:val="none" w:sz="0" w:space="0" w:color="auto"/>
            <w:right w:val="none" w:sz="0" w:space="0" w:color="auto"/>
          </w:divBdr>
        </w:div>
        <w:div w:id="2027055269">
          <w:marLeft w:val="605"/>
          <w:marRight w:val="0"/>
          <w:marTop w:val="40"/>
          <w:marBottom w:val="80"/>
          <w:divBdr>
            <w:top w:val="none" w:sz="0" w:space="0" w:color="auto"/>
            <w:left w:val="none" w:sz="0" w:space="0" w:color="auto"/>
            <w:bottom w:val="none" w:sz="0" w:space="0" w:color="auto"/>
            <w:right w:val="none" w:sz="0" w:space="0" w:color="auto"/>
          </w:divBdr>
        </w:div>
        <w:div w:id="26571090">
          <w:marLeft w:val="893"/>
          <w:marRight w:val="0"/>
          <w:marTop w:val="40"/>
          <w:marBottom w:val="80"/>
          <w:divBdr>
            <w:top w:val="none" w:sz="0" w:space="0" w:color="auto"/>
            <w:left w:val="none" w:sz="0" w:space="0" w:color="auto"/>
            <w:bottom w:val="none" w:sz="0" w:space="0" w:color="auto"/>
            <w:right w:val="none" w:sz="0" w:space="0" w:color="auto"/>
          </w:divBdr>
        </w:div>
        <w:div w:id="407270723">
          <w:marLeft w:val="893"/>
          <w:marRight w:val="0"/>
          <w:marTop w:val="40"/>
          <w:marBottom w:val="80"/>
          <w:divBdr>
            <w:top w:val="none" w:sz="0" w:space="0" w:color="auto"/>
            <w:left w:val="none" w:sz="0" w:space="0" w:color="auto"/>
            <w:bottom w:val="none" w:sz="0" w:space="0" w:color="auto"/>
            <w:right w:val="none" w:sz="0" w:space="0" w:color="auto"/>
          </w:divBdr>
        </w:div>
        <w:div w:id="1607349260">
          <w:marLeft w:val="893"/>
          <w:marRight w:val="0"/>
          <w:marTop w:val="40"/>
          <w:marBottom w:val="80"/>
          <w:divBdr>
            <w:top w:val="none" w:sz="0" w:space="0" w:color="auto"/>
            <w:left w:val="none" w:sz="0" w:space="0" w:color="auto"/>
            <w:bottom w:val="none" w:sz="0" w:space="0" w:color="auto"/>
            <w:right w:val="none" w:sz="0" w:space="0" w:color="auto"/>
          </w:divBdr>
        </w:div>
      </w:divsChild>
    </w:div>
    <w:div w:id="1581523641">
      <w:bodyDiv w:val="1"/>
      <w:marLeft w:val="0"/>
      <w:marRight w:val="0"/>
      <w:marTop w:val="0"/>
      <w:marBottom w:val="0"/>
      <w:divBdr>
        <w:top w:val="none" w:sz="0" w:space="0" w:color="auto"/>
        <w:left w:val="none" w:sz="0" w:space="0" w:color="auto"/>
        <w:bottom w:val="none" w:sz="0" w:space="0" w:color="auto"/>
        <w:right w:val="none" w:sz="0" w:space="0" w:color="auto"/>
      </w:divBdr>
      <w:divsChild>
        <w:div w:id="41757474">
          <w:marLeft w:val="0"/>
          <w:marRight w:val="0"/>
          <w:marTop w:val="0"/>
          <w:marBottom w:val="0"/>
          <w:divBdr>
            <w:top w:val="none" w:sz="0" w:space="0" w:color="auto"/>
            <w:left w:val="none" w:sz="0" w:space="0" w:color="auto"/>
            <w:bottom w:val="none" w:sz="0" w:space="0" w:color="auto"/>
            <w:right w:val="none" w:sz="0" w:space="0" w:color="auto"/>
          </w:divBdr>
        </w:div>
        <w:div w:id="86775540">
          <w:marLeft w:val="0"/>
          <w:marRight w:val="0"/>
          <w:marTop w:val="0"/>
          <w:marBottom w:val="0"/>
          <w:divBdr>
            <w:top w:val="none" w:sz="0" w:space="0" w:color="auto"/>
            <w:left w:val="none" w:sz="0" w:space="0" w:color="auto"/>
            <w:bottom w:val="none" w:sz="0" w:space="0" w:color="auto"/>
            <w:right w:val="none" w:sz="0" w:space="0" w:color="auto"/>
          </w:divBdr>
        </w:div>
        <w:div w:id="179197324">
          <w:marLeft w:val="0"/>
          <w:marRight w:val="0"/>
          <w:marTop w:val="0"/>
          <w:marBottom w:val="0"/>
          <w:divBdr>
            <w:top w:val="none" w:sz="0" w:space="0" w:color="auto"/>
            <w:left w:val="none" w:sz="0" w:space="0" w:color="auto"/>
            <w:bottom w:val="none" w:sz="0" w:space="0" w:color="auto"/>
            <w:right w:val="none" w:sz="0" w:space="0" w:color="auto"/>
          </w:divBdr>
        </w:div>
        <w:div w:id="729958648">
          <w:marLeft w:val="0"/>
          <w:marRight w:val="0"/>
          <w:marTop w:val="0"/>
          <w:marBottom w:val="0"/>
          <w:divBdr>
            <w:top w:val="none" w:sz="0" w:space="0" w:color="auto"/>
            <w:left w:val="none" w:sz="0" w:space="0" w:color="auto"/>
            <w:bottom w:val="none" w:sz="0" w:space="0" w:color="auto"/>
            <w:right w:val="none" w:sz="0" w:space="0" w:color="auto"/>
          </w:divBdr>
        </w:div>
        <w:div w:id="859049328">
          <w:marLeft w:val="0"/>
          <w:marRight w:val="0"/>
          <w:marTop w:val="0"/>
          <w:marBottom w:val="0"/>
          <w:divBdr>
            <w:top w:val="none" w:sz="0" w:space="0" w:color="auto"/>
            <w:left w:val="none" w:sz="0" w:space="0" w:color="auto"/>
            <w:bottom w:val="none" w:sz="0" w:space="0" w:color="auto"/>
            <w:right w:val="none" w:sz="0" w:space="0" w:color="auto"/>
          </w:divBdr>
        </w:div>
        <w:div w:id="1101101805">
          <w:marLeft w:val="0"/>
          <w:marRight w:val="0"/>
          <w:marTop w:val="0"/>
          <w:marBottom w:val="0"/>
          <w:divBdr>
            <w:top w:val="none" w:sz="0" w:space="0" w:color="auto"/>
            <w:left w:val="none" w:sz="0" w:space="0" w:color="auto"/>
            <w:bottom w:val="none" w:sz="0" w:space="0" w:color="auto"/>
            <w:right w:val="none" w:sz="0" w:space="0" w:color="auto"/>
          </w:divBdr>
        </w:div>
        <w:div w:id="1365053640">
          <w:marLeft w:val="0"/>
          <w:marRight w:val="0"/>
          <w:marTop w:val="0"/>
          <w:marBottom w:val="0"/>
          <w:divBdr>
            <w:top w:val="none" w:sz="0" w:space="0" w:color="auto"/>
            <w:left w:val="none" w:sz="0" w:space="0" w:color="auto"/>
            <w:bottom w:val="none" w:sz="0" w:space="0" w:color="auto"/>
            <w:right w:val="none" w:sz="0" w:space="0" w:color="auto"/>
          </w:divBdr>
        </w:div>
        <w:div w:id="1851483798">
          <w:marLeft w:val="0"/>
          <w:marRight w:val="0"/>
          <w:marTop w:val="0"/>
          <w:marBottom w:val="0"/>
          <w:divBdr>
            <w:top w:val="none" w:sz="0" w:space="0" w:color="auto"/>
            <w:left w:val="none" w:sz="0" w:space="0" w:color="auto"/>
            <w:bottom w:val="none" w:sz="0" w:space="0" w:color="auto"/>
            <w:right w:val="none" w:sz="0" w:space="0" w:color="auto"/>
          </w:divBdr>
        </w:div>
        <w:div w:id="2110344590">
          <w:marLeft w:val="0"/>
          <w:marRight w:val="0"/>
          <w:marTop w:val="0"/>
          <w:marBottom w:val="0"/>
          <w:divBdr>
            <w:top w:val="none" w:sz="0" w:space="0" w:color="auto"/>
            <w:left w:val="none" w:sz="0" w:space="0" w:color="auto"/>
            <w:bottom w:val="none" w:sz="0" w:space="0" w:color="auto"/>
            <w:right w:val="none" w:sz="0" w:space="0" w:color="auto"/>
          </w:divBdr>
        </w:div>
      </w:divsChild>
    </w:div>
    <w:div w:id="1677001998">
      <w:bodyDiv w:val="1"/>
      <w:marLeft w:val="0"/>
      <w:marRight w:val="0"/>
      <w:marTop w:val="0"/>
      <w:marBottom w:val="0"/>
      <w:divBdr>
        <w:top w:val="none" w:sz="0" w:space="0" w:color="auto"/>
        <w:left w:val="none" w:sz="0" w:space="0" w:color="auto"/>
        <w:bottom w:val="none" w:sz="0" w:space="0" w:color="auto"/>
        <w:right w:val="none" w:sz="0" w:space="0" w:color="auto"/>
      </w:divBdr>
      <w:divsChild>
        <w:div w:id="156961805">
          <w:marLeft w:val="0"/>
          <w:marRight w:val="0"/>
          <w:marTop w:val="0"/>
          <w:marBottom w:val="0"/>
          <w:divBdr>
            <w:top w:val="none" w:sz="0" w:space="0" w:color="auto"/>
            <w:left w:val="none" w:sz="0" w:space="0" w:color="auto"/>
            <w:bottom w:val="none" w:sz="0" w:space="0" w:color="auto"/>
            <w:right w:val="none" w:sz="0" w:space="0" w:color="auto"/>
          </w:divBdr>
        </w:div>
        <w:div w:id="593054109">
          <w:marLeft w:val="0"/>
          <w:marRight w:val="0"/>
          <w:marTop w:val="0"/>
          <w:marBottom w:val="0"/>
          <w:divBdr>
            <w:top w:val="none" w:sz="0" w:space="0" w:color="auto"/>
            <w:left w:val="none" w:sz="0" w:space="0" w:color="auto"/>
            <w:bottom w:val="none" w:sz="0" w:space="0" w:color="auto"/>
            <w:right w:val="none" w:sz="0" w:space="0" w:color="auto"/>
          </w:divBdr>
        </w:div>
        <w:div w:id="640621825">
          <w:marLeft w:val="0"/>
          <w:marRight w:val="0"/>
          <w:marTop w:val="0"/>
          <w:marBottom w:val="0"/>
          <w:divBdr>
            <w:top w:val="none" w:sz="0" w:space="0" w:color="auto"/>
            <w:left w:val="none" w:sz="0" w:space="0" w:color="auto"/>
            <w:bottom w:val="none" w:sz="0" w:space="0" w:color="auto"/>
            <w:right w:val="none" w:sz="0" w:space="0" w:color="auto"/>
          </w:divBdr>
        </w:div>
        <w:div w:id="925990892">
          <w:marLeft w:val="0"/>
          <w:marRight w:val="0"/>
          <w:marTop w:val="0"/>
          <w:marBottom w:val="0"/>
          <w:divBdr>
            <w:top w:val="none" w:sz="0" w:space="0" w:color="auto"/>
            <w:left w:val="none" w:sz="0" w:space="0" w:color="auto"/>
            <w:bottom w:val="none" w:sz="0" w:space="0" w:color="auto"/>
            <w:right w:val="none" w:sz="0" w:space="0" w:color="auto"/>
          </w:divBdr>
        </w:div>
        <w:div w:id="1038966901">
          <w:marLeft w:val="0"/>
          <w:marRight w:val="0"/>
          <w:marTop w:val="0"/>
          <w:marBottom w:val="0"/>
          <w:divBdr>
            <w:top w:val="none" w:sz="0" w:space="0" w:color="auto"/>
            <w:left w:val="none" w:sz="0" w:space="0" w:color="auto"/>
            <w:bottom w:val="none" w:sz="0" w:space="0" w:color="auto"/>
            <w:right w:val="none" w:sz="0" w:space="0" w:color="auto"/>
          </w:divBdr>
        </w:div>
        <w:div w:id="1441531884">
          <w:marLeft w:val="0"/>
          <w:marRight w:val="0"/>
          <w:marTop w:val="0"/>
          <w:marBottom w:val="0"/>
          <w:divBdr>
            <w:top w:val="none" w:sz="0" w:space="0" w:color="auto"/>
            <w:left w:val="none" w:sz="0" w:space="0" w:color="auto"/>
            <w:bottom w:val="none" w:sz="0" w:space="0" w:color="auto"/>
            <w:right w:val="none" w:sz="0" w:space="0" w:color="auto"/>
          </w:divBdr>
        </w:div>
      </w:divsChild>
    </w:div>
    <w:div w:id="170381924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6306855">
      <w:bodyDiv w:val="1"/>
      <w:marLeft w:val="0"/>
      <w:marRight w:val="0"/>
      <w:marTop w:val="0"/>
      <w:marBottom w:val="0"/>
      <w:divBdr>
        <w:top w:val="none" w:sz="0" w:space="0" w:color="auto"/>
        <w:left w:val="none" w:sz="0" w:space="0" w:color="auto"/>
        <w:bottom w:val="none" w:sz="0" w:space="0" w:color="auto"/>
        <w:right w:val="none" w:sz="0" w:space="0" w:color="auto"/>
      </w:divBdr>
    </w:div>
    <w:div w:id="20606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yumpu.com/en/document/read/4702016/modified-pouchitis-disease-activity-index-a-cleveland-clin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ps.org.au/bdmards/gastroenterology/resources/faecal-calprotectin-in-inflammatory-bowel-diseas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[Checks.xlsx]Sheet6!$F$94</c:f>
              <c:strCache>
                <c:ptCount val="1"/>
                <c:pt idx="0">
                  <c:v>Remission</c:v>
                </c:pt>
              </c:strCache>
            </c:strRef>
          </c:tx>
          <c:spPr>
            <a:ln w="19050" cap="rnd">
              <a:solidFill>
                <a:schemeClr val="tx2">
                  <a:lumMod val="75000"/>
                  <a:lumOff val="25000"/>
                </a:schemeClr>
              </a:solidFill>
              <a:prstDash val="solid"/>
              <a:round/>
            </a:ln>
            <a:effectLst/>
          </c:spPr>
          <c:marker>
            <c:symbol val="none"/>
          </c:marker>
          <c:xVal>
            <c:numRef>
              <c:f>[Checks.xlsx]Sheet6!$E$95:$E$119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[Checks.xlsx]Sheet6!$F$95:$F$119</c:f>
              <c:numCache>
                <c:formatCode>0%</c:formatCode>
                <c:ptCount val="25"/>
                <c:pt idx="0">
                  <c:v>0</c:v>
                </c:pt>
                <c:pt idx="1">
                  <c:v>0.31372549019607843</c:v>
                </c:pt>
                <c:pt idx="2">
                  <c:v>0.27450980392156865</c:v>
                </c:pt>
                <c:pt idx="3">
                  <c:v>0.34740223024247546</c:v>
                </c:pt>
                <c:pt idx="4">
                  <c:v>0.34673327338094084</c:v>
                </c:pt>
                <c:pt idx="5">
                  <c:v>0.32660868961782924</c:v>
                </c:pt>
                <c:pt idx="6">
                  <c:v>0.30414086461270612</c:v>
                </c:pt>
                <c:pt idx="7">
                  <c:v>0.2840046328134041</c:v>
                </c:pt>
                <c:pt idx="8">
                  <c:v>0.26692875468036081</c:v>
                </c:pt>
                <c:pt idx="9">
                  <c:v>0.25262090033777496</c:v>
                </c:pt>
                <c:pt idx="10">
                  <c:v>0.24059584914409968</c:v>
                </c:pt>
                <c:pt idx="11">
                  <c:v>0.23040854614864462</c:v>
                </c:pt>
                <c:pt idx="12">
                  <c:v>0.22173396909069015</c:v>
                </c:pt>
                <c:pt idx="13">
                  <c:v>0.21429131422522868</c:v>
                </c:pt>
                <c:pt idx="14">
                  <c:v>0.20788778788495121</c:v>
                </c:pt>
                <c:pt idx="15">
                  <c:v>0.20234038798293411</c:v>
                </c:pt>
                <c:pt idx="16">
                  <c:v>0.19752707107807813</c:v>
                </c:pt>
                <c:pt idx="17">
                  <c:v>0.19331830605541026</c:v>
                </c:pt>
                <c:pt idx="18">
                  <c:v>0.18963463979270659</c:v>
                </c:pt>
                <c:pt idx="19">
                  <c:v>0.1863797739398555</c:v>
                </c:pt>
                <c:pt idx="20">
                  <c:v>0.1835024218497964</c:v>
                </c:pt>
                <c:pt idx="21">
                  <c:v>0.18092885301053735</c:v>
                </c:pt>
                <c:pt idx="22">
                  <c:v>0.17862739178211975</c:v>
                </c:pt>
                <c:pt idx="23">
                  <c:v>0.17655693184132679</c:v>
                </c:pt>
                <c:pt idx="24">
                  <c:v>0.17466633420897462</c:v>
                </c:pt>
              </c:numCache>
            </c:numRef>
          </c:yVal>
          <c:smooth val="1"/>
          <c:extLst>
            <c:ext xmlns:c16="http://schemas.microsoft.com/office/drawing/2014/chart" uri="{C3380CC4-5D6E-409C-BE32-E72D297353CC}">
              <c16:uniqueId val="{00000000-97DC-4EC1-B411-3C34BF2ADABB}"/>
            </c:ext>
          </c:extLst>
        </c:ser>
        <c:ser>
          <c:idx val="1"/>
          <c:order val="1"/>
          <c:tx>
            <c:strRef>
              <c:f>[Checks.xlsx]Sheet6!$G$94</c:f>
              <c:strCache>
                <c:ptCount val="1"/>
                <c:pt idx="0">
                  <c:v>Response (w/o remission)</c:v>
                </c:pt>
              </c:strCache>
            </c:strRef>
          </c:tx>
          <c:spPr>
            <a:ln w="19050" cap="rnd">
              <a:solidFill>
                <a:schemeClr val="accent6">
                  <a:lumMod val="75000"/>
                </a:schemeClr>
              </a:solidFill>
              <a:prstDash val="solid"/>
              <a:round/>
            </a:ln>
            <a:effectLst/>
          </c:spPr>
          <c:marker>
            <c:symbol val="none"/>
          </c:marker>
          <c:xVal>
            <c:numRef>
              <c:f>[Checks.xlsx]Sheet6!$E$95:$E$119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[Checks.xlsx]Sheet6!$G$95:$G$119</c:f>
              <c:numCache>
                <c:formatCode>0%</c:formatCode>
                <c:ptCount val="25"/>
                <c:pt idx="0">
                  <c:v>0</c:v>
                </c:pt>
                <c:pt idx="1">
                  <c:v>0.31372549019607843</c:v>
                </c:pt>
                <c:pt idx="2">
                  <c:v>0.20925490196078428</c:v>
                </c:pt>
                <c:pt idx="3">
                  <c:v>0.10708861112859132</c:v>
                </c:pt>
                <c:pt idx="4">
                  <c:v>6.1638825340667419E-2</c:v>
                </c:pt>
                <c:pt idx="5">
                  <c:v>4.0170480620711858E-2</c:v>
                </c:pt>
                <c:pt idx="6">
                  <c:v>2.9040128516121401E-2</c:v>
                </c:pt>
                <c:pt idx="7">
                  <c:v>2.2535805864161505E-2</c:v>
                </c:pt>
                <c:pt idx="8">
                  <c:v>1.8236145910444035E-2</c:v>
                </c:pt>
                <c:pt idx="9">
                  <c:v>1.5095627586317354E-2</c:v>
                </c:pt>
                <c:pt idx="10">
                  <c:v>1.2642931233587496E-2</c:v>
                </c:pt>
                <c:pt idx="11">
                  <c:v>1.0650394793185256E-2</c:v>
                </c:pt>
                <c:pt idx="12">
                  <c:v>8.9980082513272421E-3</c:v>
                </c:pt>
                <c:pt idx="13">
                  <c:v>7.6123253470998893E-3</c:v>
                </c:pt>
                <c:pt idx="14">
                  <c:v>6.4445580415035814E-3</c:v>
                </c:pt>
                <c:pt idx="15">
                  <c:v>5.4574082679264739E-3</c:v>
                </c:pt>
                <c:pt idx="16">
                  <c:v>4.6222434435142703E-3</c:v>
                </c:pt>
                <c:pt idx="17">
                  <c:v>3.9148971544205663E-3</c:v>
                </c:pt>
                <c:pt idx="18">
                  <c:v>3.3159302154780273E-3</c:v>
                </c:pt>
                <c:pt idx="19">
                  <c:v>2.8084179937536832E-3</c:v>
                </c:pt>
                <c:pt idx="20">
                  <c:v>2.3786048108624183E-3</c:v>
                </c:pt>
                <c:pt idx="21">
                  <c:v>2.0143990901019268E-3</c:v>
                </c:pt>
                <c:pt idx="22">
                  <c:v>1.7059635204539003E-3</c:v>
                </c:pt>
                <c:pt idx="23">
                  <c:v>1.4447558203341364E-3</c:v>
                </c:pt>
                <c:pt idx="24">
                  <c:v>1.2234290354356967E-3</c:v>
                </c:pt>
              </c:numCache>
            </c:numRef>
          </c:yVal>
          <c:smooth val="1"/>
          <c:extLst>
            <c:ext xmlns:c16="http://schemas.microsoft.com/office/drawing/2014/chart" uri="{C3380CC4-5D6E-409C-BE32-E72D297353CC}">
              <c16:uniqueId val="{00000001-97DC-4EC1-B411-3C34BF2ADABB}"/>
            </c:ext>
          </c:extLst>
        </c:ser>
        <c:ser>
          <c:idx val="2"/>
          <c:order val="2"/>
          <c:tx>
            <c:strRef>
              <c:f>[Checks.xlsx]Sheet6!$H$94</c:f>
              <c:strCache>
                <c:ptCount val="1"/>
                <c:pt idx="0">
                  <c:v>No response</c:v>
                </c:pt>
              </c:strCache>
            </c:strRef>
          </c:tx>
          <c:spPr>
            <a:ln w="19050" cap="rnd">
              <a:solidFill>
                <a:srgbClr val="FF0000"/>
              </a:solidFill>
              <a:round/>
            </a:ln>
            <a:effectLst/>
          </c:spPr>
          <c:marker>
            <c:symbol val="none"/>
          </c:marker>
          <c:xVal>
            <c:numRef>
              <c:f>[Checks.xlsx]Sheet6!$E$95:$E$119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[Checks.xlsx]Sheet6!$H$95:$H$119</c:f>
              <c:numCache>
                <c:formatCode>0%</c:formatCode>
                <c:ptCount val="25"/>
                <c:pt idx="0">
                  <c:v>1</c:v>
                </c:pt>
                <c:pt idx="1">
                  <c:v>0.37254901960784315</c:v>
                </c:pt>
                <c:pt idx="2">
                  <c:v>0.51623529411764713</c:v>
                </c:pt>
                <c:pt idx="3">
                  <c:v>0.54135935974621952</c:v>
                </c:pt>
                <c:pt idx="4">
                  <c:v>0.58329336820126576</c:v>
                </c:pt>
                <c:pt idx="5">
                  <c:v>0.62071914746430557</c:v>
                </c:pt>
                <c:pt idx="6">
                  <c:v>0.65011282839449658</c:v>
                </c:pt>
                <c:pt idx="7">
                  <c:v>0.67256678825432648</c:v>
                </c:pt>
                <c:pt idx="8">
                  <c:v>0.68971573650176532</c:v>
                </c:pt>
                <c:pt idx="9">
                  <c:v>0.70295576458481168</c:v>
                </c:pt>
                <c:pt idx="10">
                  <c:v>0.71324333404246409</c:v>
                </c:pt>
                <c:pt idx="11">
                  <c:v>0.72118955543143304</c:v>
                </c:pt>
                <c:pt idx="12">
                  <c:v>0.72730144609916014</c:v>
                </c:pt>
                <c:pt idx="13">
                  <c:v>0.73186472634004218</c:v>
                </c:pt>
                <c:pt idx="14">
                  <c:v>0.73518995001566279</c:v>
                </c:pt>
                <c:pt idx="15">
                  <c:v>0.73742813145553043</c:v>
                </c:pt>
                <c:pt idx="16">
                  <c:v>0.73879968501919557</c:v>
                </c:pt>
                <c:pt idx="17">
                  <c:v>0.73938365891740976</c:v>
                </c:pt>
                <c:pt idx="18">
                  <c:v>0.73935409990400414</c:v>
                </c:pt>
                <c:pt idx="19">
                  <c:v>0.73874463173294014</c:v>
                </c:pt>
                <c:pt idx="20">
                  <c:v>0.73770045161175624</c:v>
                </c:pt>
                <c:pt idx="21">
                  <c:v>0.73622396285179315</c:v>
                </c:pt>
                <c:pt idx="22">
                  <c:v>0.73444069432839243</c:v>
                </c:pt>
                <c:pt idx="23">
                  <c:v>0.73240019380834209</c:v>
                </c:pt>
                <c:pt idx="24">
                  <c:v>0.73007610471368833</c:v>
                </c:pt>
              </c:numCache>
            </c:numRef>
          </c:yVal>
          <c:smooth val="1"/>
          <c:extLst>
            <c:ext xmlns:c16="http://schemas.microsoft.com/office/drawing/2014/chart" uri="{C3380CC4-5D6E-409C-BE32-E72D297353CC}">
              <c16:uniqueId val="{00000002-97DC-4EC1-B411-3C34BF2ADABB}"/>
            </c:ext>
          </c:extLst>
        </c:ser>
        <c:ser>
          <c:idx val="3"/>
          <c:order val="3"/>
          <c:tx>
            <c:strRef>
              <c:f>[Checks.xlsx]Sheet6!$I$94</c:f>
              <c:strCache>
                <c:ptCount val="1"/>
                <c:pt idx="0">
                  <c:v>Pouch failure</c:v>
                </c:pt>
              </c:strCache>
            </c:strRef>
          </c:tx>
          <c:spPr>
            <a:ln w="19050" cap="rnd">
              <a:solidFill>
                <a:schemeClr val="accent5">
                  <a:lumMod val="75000"/>
                </a:schemeClr>
              </a:solidFill>
              <a:prstDash val="solid"/>
              <a:round/>
            </a:ln>
            <a:effectLst/>
          </c:spPr>
          <c:marker>
            <c:symbol val="none"/>
          </c:marker>
          <c:xVal>
            <c:numRef>
              <c:f>[Checks.xlsx]Sheet6!$E$95:$E$119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[Checks.xlsx]Sheet6!$I$95:$I$119</c:f>
              <c:numCache>
                <c:formatCode>0%</c:formatCode>
                <c:ptCount val="25"/>
                <c:pt idx="0">
                  <c:v>0</c:v>
                </c:pt>
                <c:pt idx="1">
                  <c:v>0</c:v>
                </c:pt>
                <c:pt idx="2">
                  <c:v>0</c:v>
                </c:pt>
                <c:pt idx="3">
                  <c:v>3.5612737680080398E-3</c:v>
                </c:pt>
                <c:pt idx="4">
                  <c:v>7.1052993674418519E-3</c:v>
                </c:pt>
                <c:pt idx="5">
                  <c:v>1.0632150741730649E-2</c:v>
                </c:pt>
                <c:pt idx="6">
                  <c:v>1.4141112588871003E-2</c:v>
                </c:pt>
                <c:pt idx="7">
                  <c:v>1.7632657522041902E-2</c:v>
                </c:pt>
                <c:pt idx="8">
                  <c:v>2.1105609640192376E-2</c:v>
                </c:pt>
                <c:pt idx="9">
                  <c:v>2.4560886330205329E-2</c:v>
                </c:pt>
                <c:pt idx="10">
                  <c:v>2.7998565921975117E-2</c:v>
                </c:pt>
                <c:pt idx="11">
                  <c:v>3.1416717559968346E-2</c:v>
                </c:pt>
                <c:pt idx="12">
                  <c:v>3.4816992759259792E-2</c:v>
                </c:pt>
                <c:pt idx="13">
                  <c:v>3.8196730967306254E-2</c:v>
                </c:pt>
                <c:pt idx="14">
                  <c:v>4.1558271051226281E-2</c:v>
                </c:pt>
                <c:pt idx="15">
                  <c:v>4.4898409763080772E-2</c:v>
                </c:pt>
                <c:pt idx="16">
                  <c:v>4.8220031008818699E-2</c:v>
                </c:pt>
                <c:pt idx="17">
                  <c:v>5.1519120572082924E-2</c:v>
                </c:pt>
                <c:pt idx="18">
                  <c:v>5.4799343809954368E-2</c:v>
                </c:pt>
                <c:pt idx="19">
                  <c:v>5.8055817068721462E-2</c:v>
                </c:pt>
                <c:pt idx="20">
                  <c:v>6.1293049785821535E-2</c:v>
                </c:pt>
                <c:pt idx="21">
                  <c:v>6.4505289257658305E-2</c:v>
                </c:pt>
                <c:pt idx="22">
                  <c:v>6.7697897782151795E-2</c:v>
                </c:pt>
                <c:pt idx="23">
                  <c:v>7.0870974406801984E-2</c:v>
                </c:pt>
                <c:pt idx="24">
                  <c:v>7.4017694238788095E-2</c:v>
                </c:pt>
              </c:numCache>
            </c:numRef>
          </c:yVal>
          <c:smooth val="1"/>
          <c:extLst>
            <c:ext xmlns:c16="http://schemas.microsoft.com/office/drawing/2014/chart" uri="{C3380CC4-5D6E-409C-BE32-E72D297353CC}">
              <c16:uniqueId val="{00000003-97DC-4EC1-B411-3C34BF2ADABB}"/>
            </c:ext>
          </c:extLst>
        </c:ser>
        <c:ser>
          <c:idx val="4"/>
          <c:order val="4"/>
          <c:tx>
            <c:strRef>
              <c:f>[Checks.xlsx]Sheet6!$J$94</c:f>
              <c:strCache>
                <c:ptCount val="1"/>
                <c:pt idx="0">
                  <c:v>Death</c:v>
                </c:pt>
              </c:strCache>
            </c:strRef>
          </c:tx>
          <c:spPr>
            <a:ln w="19050" cap="rnd">
              <a:solidFill>
                <a:schemeClr val="accent2">
                  <a:lumMod val="60000"/>
                  <a:lumOff val="40000"/>
                </a:schemeClr>
              </a:solidFill>
              <a:prstDash val="solid"/>
              <a:round/>
            </a:ln>
            <a:effectLst/>
          </c:spPr>
          <c:marker>
            <c:symbol val="none"/>
          </c:marker>
          <c:xVal>
            <c:numRef>
              <c:f>[Checks.xlsx]Sheet6!$E$95:$E$119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[Checks.xlsx]Sheet6!$J$95:$J$119</c:f>
              <c:numCache>
                <c:formatCode>0%</c:formatCode>
                <c:ptCount val="25"/>
                <c:pt idx="0">
                  <c:v>0</c:v>
                </c:pt>
                <c:pt idx="1">
                  <c:v>0</c:v>
                </c:pt>
                <c:pt idx="2">
                  <c:v>0</c:v>
                </c:pt>
                <c:pt idx="3">
                  <c:v>5.8852511470575131E-4</c:v>
                </c:pt>
                <c:pt idx="4">
                  <c:v>1.2292337096841881E-3</c:v>
                </c:pt>
                <c:pt idx="5">
                  <c:v>1.869531555422702E-3</c:v>
                </c:pt>
                <c:pt idx="6">
                  <c:v>2.5650658878049095E-3</c:v>
                </c:pt>
                <c:pt idx="7">
                  <c:v>3.2601155460660314E-3</c:v>
                </c:pt>
                <c:pt idx="8">
                  <c:v>4.0137532672375577E-3</c:v>
                </c:pt>
                <c:pt idx="9">
                  <c:v>4.7668211608907609E-3</c:v>
                </c:pt>
                <c:pt idx="10">
                  <c:v>5.5193196578737667E-3</c:v>
                </c:pt>
                <c:pt idx="11">
                  <c:v>6.3347860667689066E-3</c:v>
                </c:pt>
                <c:pt idx="12">
                  <c:v>7.1495837995628605E-3</c:v>
                </c:pt>
                <c:pt idx="13">
                  <c:v>8.0349031203232734E-3</c:v>
                </c:pt>
                <c:pt idx="14">
                  <c:v>8.919433006656383E-3</c:v>
                </c:pt>
                <c:pt idx="15">
                  <c:v>9.8756625305284878E-3</c:v>
                </c:pt>
                <c:pt idx="16">
                  <c:v>1.0830969450393637E-2</c:v>
                </c:pt>
                <c:pt idx="17">
                  <c:v>1.1864017300676681E-2</c:v>
                </c:pt>
                <c:pt idx="18">
                  <c:v>1.2895986277857135E-2</c:v>
                </c:pt>
                <c:pt idx="19">
                  <c:v>1.4011359264729533E-2</c:v>
                </c:pt>
                <c:pt idx="20">
                  <c:v>1.5125471941763707E-2</c:v>
                </c:pt>
                <c:pt idx="21">
                  <c:v>1.6327495789909541E-2</c:v>
                </c:pt>
                <c:pt idx="22">
                  <c:v>1.752805258688251E-2</c:v>
                </c:pt>
                <c:pt idx="23">
                  <c:v>1.8727144123195465E-2</c:v>
                </c:pt>
                <c:pt idx="24">
                  <c:v>2.0016437803113716E-2</c:v>
                </c:pt>
              </c:numCache>
            </c:numRef>
          </c:yVal>
          <c:smooth val="1"/>
          <c:extLst>
            <c:ext xmlns:c16="http://schemas.microsoft.com/office/drawing/2014/chart" uri="{C3380CC4-5D6E-409C-BE32-E72D297353CC}">
              <c16:uniqueId val="{00000004-97DC-4EC1-B411-3C34BF2ADABB}"/>
            </c:ext>
          </c:extLst>
        </c:ser>
        <c:ser>
          <c:idx val="5"/>
          <c:order val="5"/>
          <c:tx>
            <c:strRef>
              <c:f>[Checks.xlsx]Sheet6!$R$94</c:f>
              <c:strCache>
                <c:ptCount val="1"/>
                <c:pt idx="0">
                  <c:v>Remission</c:v>
                </c:pt>
              </c:strCache>
            </c:strRef>
          </c:tx>
          <c:spPr>
            <a:ln w="19050" cap="rnd">
              <a:solidFill>
                <a:schemeClr val="tx2">
                  <a:lumMod val="75000"/>
                  <a:lumOff val="25000"/>
                </a:schemeClr>
              </a:solidFill>
              <a:prstDash val="sysDash"/>
              <a:round/>
            </a:ln>
            <a:effectLst/>
          </c:spPr>
          <c:marker>
            <c:symbol val="none"/>
          </c:marker>
          <c:xVal>
            <c:numRef>
              <c:f>[Checks.xlsx]Sheet6!$Q$95:$Q$119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[Checks.xlsx]Sheet6!$R$95:$R$119</c:f>
              <c:numCache>
                <c:formatCode>0%</c:formatCode>
                <c:ptCount val="25"/>
                <c:pt idx="0">
                  <c:v>0</c:v>
                </c:pt>
                <c:pt idx="1">
                  <c:v>9.8039215686274508E-2</c:v>
                </c:pt>
                <c:pt idx="2">
                  <c:v>0.1764705882352941</c:v>
                </c:pt>
                <c:pt idx="3">
                  <c:v>0.20316257332601886</c:v>
                </c:pt>
                <c:pt idx="4">
                  <c:v>0.20149885214679156</c:v>
                </c:pt>
                <c:pt idx="5">
                  <c:v>0.19502110982257037</c:v>
                </c:pt>
                <c:pt idx="6">
                  <c:v>0.18955431976506318</c:v>
                </c:pt>
                <c:pt idx="7">
                  <c:v>0.18582434171916157</c:v>
                </c:pt>
                <c:pt idx="8">
                  <c:v>0.18337543616325089</c:v>
                </c:pt>
                <c:pt idx="9">
                  <c:v>0.1817120569089847</c:v>
                </c:pt>
                <c:pt idx="10">
                  <c:v>0.18048402357210111</c:v>
                </c:pt>
                <c:pt idx="11">
                  <c:v>0.17947378800431055</c:v>
                </c:pt>
                <c:pt idx="12">
                  <c:v>0.17858103044220608</c:v>
                </c:pt>
                <c:pt idx="13">
                  <c:v>0.1777350747628588</c:v>
                </c:pt>
                <c:pt idx="14">
                  <c:v>0.17691977030833803</c:v>
                </c:pt>
                <c:pt idx="15">
                  <c:v>0.17610800600704252</c:v>
                </c:pt>
                <c:pt idx="16">
                  <c:v>0.17530594329510663</c:v>
                </c:pt>
                <c:pt idx="17">
                  <c:v>0.17449643084569777</c:v>
                </c:pt>
                <c:pt idx="18">
                  <c:v>0.17369194731217086</c:v>
                </c:pt>
                <c:pt idx="19">
                  <c:v>0.172876953952846</c:v>
                </c:pt>
                <c:pt idx="20">
                  <c:v>0.17206605625760052</c:v>
                </c:pt>
                <c:pt idx="21">
                  <c:v>0.17124356255141668</c:v>
                </c:pt>
                <c:pt idx="22">
                  <c:v>0.17042505650338968</c:v>
                </c:pt>
                <c:pt idx="23">
                  <c:v>0.16961048805462259</c:v>
                </c:pt>
                <c:pt idx="24">
                  <c:v>0.16878403663821775</c:v>
                </c:pt>
              </c:numCache>
            </c:numRef>
          </c:yVal>
          <c:smooth val="1"/>
          <c:extLst>
            <c:ext xmlns:c16="http://schemas.microsoft.com/office/drawing/2014/chart" uri="{C3380CC4-5D6E-409C-BE32-E72D297353CC}">
              <c16:uniqueId val="{00000005-97DC-4EC1-B411-3C34BF2ADABB}"/>
            </c:ext>
          </c:extLst>
        </c:ser>
        <c:ser>
          <c:idx val="6"/>
          <c:order val="6"/>
          <c:tx>
            <c:strRef>
              <c:f>[Checks.xlsx]Sheet6!$S$94</c:f>
              <c:strCache>
                <c:ptCount val="1"/>
                <c:pt idx="0">
                  <c:v>Response (w/o remission)</c:v>
                </c:pt>
              </c:strCache>
            </c:strRef>
          </c:tx>
          <c:spPr>
            <a:ln w="19050" cap="rnd">
              <a:solidFill>
                <a:schemeClr val="accent6">
                  <a:lumMod val="75000"/>
                </a:schemeClr>
              </a:solidFill>
              <a:prstDash val="sysDash"/>
              <a:round/>
            </a:ln>
            <a:effectLst/>
          </c:spPr>
          <c:marker>
            <c:symbol val="none"/>
          </c:marker>
          <c:xVal>
            <c:numRef>
              <c:f>[Checks.xlsx]Sheet6!$Q$95:$Q$119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[Checks.xlsx]Sheet6!$S$95:$S$119</c:f>
              <c:numCache>
                <c:formatCode>0%</c:formatCode>
                <c:ptCount val="25"/>
                <c:pt idx="0">
                  <c:v>0</c:v>
                </c:pt>
                <c:pt idx="1">
                  <c:v>0.23529411764705882</c:v>
                </c:pt>
                <c:pt idx="2">
                  <c:v>0.11764705882352941</c:v>
                </c:pt>
                <c:pt idx="3">
                  <c:v>4.8753459514792145E-2</c:v>
                </c:pt>
                <c:pt idx="4">
                  <c:v>2.0202585879852273E-2</c:v>
                </c:pt>
                <c:pt idx="5">
                  <c:v>8.371600298620295E-3</c:v>
                </c:pt>
                <c:pt idx="6">
                  <c:v>3.4688520677578728E-3</c:v>
                </c:pt>
                <c:pt idx="7">
                  <c:v>1.4373517892357079E-3</c:v>
                </c:pt>
                <c:pt idx="8">
                  <c:v>5.9554503873497709E-4</c:v>
                </c:pt>
                <c:pt idx="9">
                  <c:v>2.467551060345765E-4</c:v>
                </c:pt>
                <c:pt idx="10">
                  <c:v>1.0223925714076989E-4</c:v>
                </c:pt>
                <c:pt idx="11">
                  <c:v>4.23585859475225E-5</c:v>
                </c:pt>
                <c:pt idx="12">
                  <c:v>1.7549519173473714E-5</c:v>
                </c:pt>
                <c:pt idx="13">
                  <c:v>7.2703919385627586E-6</c:v>
                </c:pt>
                <c:pt idx="14">
                  <c:v>3.0119684999811664E-6</c:v>
                </c:pt>
                <c:pt idx="15">
                  <c:v>1.2477030399290544E-6</c:v>
                </c:pt>
                <c:pt idx="16">
                  <c:v>5.1685894983893016E-7</c:v>
                </c:pt>
                <c:pt idx="17">
                  <c:v>2.1409093404316356E-7</c:v>
                </c:pt>
                <c:pt idx="18">
                  <c:v>8.8679760800810068E-8</c:v>
                </c:pt>
                <c:pt idx="19">
                  <c:v>3.6729375087906775E-8</c:v>
                </c:pt>
                <c:pt idx="20">
                  <c:v>1.5212569160829574E-8</c:v>
                </c:pt>
                <c:pt idx="21">
                  <c:v>6.3001693701253709E-9</c:v>
                </c:pt>
                <c:pt idx="22">
                  <c:v>2.6091670428995059E-9</c:v>
                </c:pt>
                <c:pt idx="23">
                  <c:v>1.0805666098493286E-9</c:v>
                </c:pt>
                <c:pt idx="24">
                  <c:v>4.4746655626526282E-10</c:v>
                </c:pt>
              </c:numCache>
            </c:numRef>
          </c:yVal>
          <c:smooth val="1"/>
          <c:extLst>
            <c:ext xmlns:c16="http://schemas.microsoft.com/office/drawing/2014/chart" uri="{C3380CC4-5D6E-409C-BE32-E72D297353CC}">
              <c16:uniqueId val="{00000006-97DC-4EC1-B411-3C34BF2ADABB}"/>
            </c:ext>
          </c:extLst>
        </c:ser>
        <c:ser>
          <c:idx val="7"/>
          <c:order val="7"/>
          <c:tx>
            <c:strRef>
              <c:f>[Checks.xlsx]Sheet6!$T$94</c:f>
              <c:strCache>
                <c:ptCount val="1"/>
                <c:pt idx="0">
                  <c:v>No response</c:v>
                </c:pt>
              </c:strCache>
            </c:strRef>
          </c:tx>
          <c:spPr>
            <a:ln w="19050" cap="rnd">
              <a:solidFill>
                <a:srgbClr val="FF0000"/>
              </a:solidFill>
              <a:prstDash val="sysDash"/>
              <a:round/>
            </a:ln>
            <a:effectLst/>
          </c:spPr>
          <c:marker>
            <c:symbol val="none"/>
          </c:marker>
          <c:xVal>
            <c:numRef>
              <c:f>[Checks.xlsx]Sheet6!$Q$95:$Q$119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[Checks.xlsx]Sheet6!$T$95:$T$119</c:f>
              <c:numCache>
                <c:formatCode>0%</c:formatCode>
                <c:ptCount val="25"/>
                <c:pt idx="0">
                  <c:v>1</c:v>
                </c:pt>
                <c:pt idx="1">
                  <c:v>0.66666666666666663</c:v>
                </c:pt>
                <c:pt idx="2">
                  <c:v>0.70588235294117641</c:v>
                </c:pt>
                <c:pt idx="3">
                  <c:v>0.74393416827647518</c:v>
                </c:pt>
                <c:pt idx="4">
                  <c:v>0.76996402889623006</c:v>
                </c:pt>
                <c:pt idx="5">
                  <c:v>0.78410560758165593</c:v>
                </c:pt>
                <c:pt idx="6">
                  <c:v>0.79027064969050287</c:v>
                </c:pt>
                <c:pt idx="7">
                  <c:v>0.79184553342349462</c:v>
                </c:pt>
                <c:pt idx="8">
                  <c:v>0.79090965589058404</c:v>
                </c:pt>
                <c:pt idx="9">
                  <c:v>0.78871348049388434</c:v>
                </c:pt>
                <c:pt idx="10">
                  <c:v>0.78589585159090902</c:v>
                </c:pt>
                <c:pt idx="11">
                  <c:v>0.78273234978300443</c:v>
                </c:pt>
                <c:pt idx="12">
                  <c:v>0.77943484347979763</c:v>
                </c:pt>
                <c:pt idx="13">
                  <c:v>0.77602602075757288</c:v>
                </c:pt>
                <c:pt idx="14">
                  <c:v>0.77259951366527913</c:v>
                </c:pt>
                <c:pt idx="15">
                  <c:v>0.76911667399630812</c:v>
                </c:pt>
                <c:pt idx="16">
                  <c:v>0.76564253938673099</c:v>
                </c:pt>
                <c:pt idx="17">
                  <c:v>0.76212021719060841</c:v>
                </c:pt>
                <c:pt idx="18">
                  <c:v>0.75861263392025668</c:v>
                </c:pt>
                <c:pt idx="19">
                  <c:v>0.75505583298432777</c:v>
                </c:pt>
                <c:pt idx="20">
                  <c:v>0.75151540680224493</c:v>
                </c:pt>
                <c:pt idx="21">
                  <c:v>0.74792364610084594</c:v>
                </c:pt>
                <c:pt idx="22">
                  <c:v>0.74434899051840886</c:v>
                </c:pt>
                <c:pt idx="23">
                  <c:v>0.74079139233481317</c:v>
                </c:pt>
                <c:pt idx="24">
                  <c:v>0.73718183087241373</c:v>
                </c:pt>
              </c:numCache>
            </c:numRef>
          </c:yVal>
          <c:smooth val="1"/>
          <c:extLst>
            <c:ext xmlns:c16="http://schemas.microsoft.com/office/drawing/2014/chart" uri="{C3380CC4-5D6E-409C-BE32-E72D297353CC}">
              <c16:uniqueId val="{00000007-97DC-4EC1-B411-3C34BF2ADABB}"/>
            </c:ext>
          </c:extLst>
        </c:ser>
        <c:ser>
          <c:idx val="8"/>
          <c:order val="8"/>
          <c:tx>
            <c:strRef>
              <c:f>[Checks.xlsx]Sheet6!$U$94</c:f>
              <c:strCache>
                <c:ptCount val="1"/>
                <c:pt idx="0">
                  <c:v>Pouch failure</c:v>
                </c:pt>
              </c:strCache>
            </c:strRef>
          </c:tx>
          <c:spPr>
            <a:ln w="19050" cap="rnd">
              <a:solidFill>
                <a:schemeClr val="accent5">
                  <a:lumMod val="75000"/>
                </a:schemeClr>
              </a:solidFill>
              <a:prstDash val="sysDash"/>
              <a:round/>
            </a:ln>
            <a:effectLst/>
          </c:spPr>
          <c:marker>
            <c:symbol val="none"/>
          </c:marker>
          <c:xVal>
            <c:numRef>
              <c:f>[Checks.xlsx]Sheet6!$Q$95:$Q$119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[Checks.xlsx]Sheet6!$U$95:$U$119</c:f>
              <c:numCache>
                <c:formatCode>0%</c:formatCode>
                <c:ptCount val="25"/>
                <c:pt idx="0">
                  <c:v>0</c:v>
                </c:pt>
                <c:pt idx="1">
                  <c:v>0</c:v>
                </c:pt>
                <c:pt idx="2">
                  <c:v>0</c:v>
                </c:pt>
                <c:pt idx="3">
                  <c:v>3.5612737680080393E-3</c:v>
                </c:pt>
                <c:pt idx="4">
                  <c:v>7.1052993674418519E-3</c:v>
                </c:pt>
                <c:pt idx="5">
                  <c:v>1.0632150741730649E-2</c:v>
                </c:pt>
                <c:pt idx="6">
                  <c:v>1.4141112588871001E-2</c:v>
                </c:pt>
                <c:pt idx="7">
                  <c:v>1.7632657522041899E-2</c:v>
                </c:pt>
                <c:pt idx="8">
                  <c:v>2.1105609640192372E-2</c:v>
                </c:pt>
                <c:pt idx="9">
                  <c:v>2.4560886330205325E-2</c:v>
                </c:pt>
                <c:pt idx="10">
                  <c:v>2.7998565921975114E-2</c:v>
                </c:pt>
                <c:pt idx="11">
                  <c:v>3.1416717559968339E-2</c:v>
                </c:pt>
                <c:pt idx="12">
                  <c:v>3.4816992759259778E-2</c:v>
                </c:pt>
                <c:pt idx="13">
                  <c:v>3.819673096730624E-2</c:v>
                </c:pt>
                <c:pt idx="14">
                  <c:v>4.1558271051226267E-2</c:v>
                </c:pt>
                <c:pt idx="15">
                  <c:v>4.4898409763080759E-2</c:v>
                </c:pt>
                <c:pt idx="16">
                  <c:v>4.8220031008818685E-2</c:v>
                </c:pt>
                <c:pt idx="17">
                  <c:v>5.151912057208291E-2</c:v>
                </c:pt>
                <c:pt idx="18">
                  <c:v>5.4799343809954354E-2</c:v>
                </c:pt>
                <c:pt idx="19">
                  <c:v>5.8055817068721448E-2</c:v>
                </c:pt>
                <c:pt idx="20">
                  <c:v>6.1293049785821521E-2</c:v>
                </c:pt>
                <c:pt idx="21">
                  <c:v>6.4505289257658291E-2</c:v>
                </c:pt>
                <c:pt idx="22">
                  <c:v>6.7697897782151781E-2</c:v>
                </c:pt>
                <c:pt idx="23">
                  <c:v>7.087097440680197E-2</c:v>
                </c:pt>
                <c:pt idx="24">
                  <c:v>7.4017694238788082E-2</c:v>
                </c:pt>
              </c:numCache>
            </c:numRef>
          </c:yVal>
          <c:smooth val="1"/>
          <c:extLst>
            <c:ext xmlns:c16="http://schemas.microsoft.com/office/drawing/2014/chart" uri="{C3380CC4-5D6E-409C-BE32-E72D297353CC}">
              <c16:uniqueId val="{00000008-97DC-4EC1-B411-3C34BF2ADABB}"/>
            </c:ext>
          </c:extLst>
        </c:ser>
        <c:ser>
          <c:idx val="9"/>
          <c:order val="9"/>
          <c:tx>
            <c:strRef>
              <c:f>[Checks.xlsx]Sheet6!$V$94</c:f>
              <c:strCache>
                <c:ptCount val="1"/>
                <c:pt idx="0">
                  <c:v>Death</c:v>
                </c:pt>
              </c:strCache>
            </c:strRef>
          </c:tx>
          <c:spPr>
            <a:ln w="19050" cap="rnd">
              <a:solidFill>
                <a:schemeClr val="accent2">
                  <a:lumMod val="60000"/>
                  <a:lumOff val="40000"/>
                </a:schemeClr>
              </a:solidFill>
              <a:prstDash val="sysDash"/>
              <a:round/>
            </a:ln>
            <a:effectLst/>
          </c:spPr>
          <c:marker>
            <c:symbol val="none"/>
          </c:marker>
          <c:xVal>
            <c:numRef>
              <c:f>[Checks.xlsx]Sheet6!$Q$95:$Q$119</c:f>
              <c:numCache>
                <c:formatCode>0.00</c:formatCode>
                <c:ptCount val="25"/>
                <c:pt idx="0">
                  <c:v>0</c:v>
                </c:pt>
                <c:pt idx="1">
                  <c:v>0.26830937713894593</c:v>
                </c:pt>
                <c:pt idx="2">
                  <c:v>0.72826830937713893</c:v>
                </c:pt>
                <c:pt idx="3">
                  <c:v>1.1882272416153319</c:v>
                </c:pt>
                <c:pt idx="4">
                  <c:v>1.6481861738535251</c:v>
                </c:pt>
                <c:pt idx="5">
                  <c:v>2.108145106091718</c:v>
                </c:pt>
                <c:pt idx="6">
                  <c:v>2.5681040383299112</c:v>
                </c:pt>
                <c:pt idx="7">
                  <c:v>3.0280629705681039</c:v>
                </c:pt>
                <c:pt idx="8">
                  <c:v>3.4880219028062971</c:v>
                </c:pt>
                <c:pt idx="9">
                  <c:v>3.9479808350444903</c:v>
                </c:pt>
                <c:pt idx="10">
                  <c:v>4.4079397672826834</c:v>
                </c:pt>
                <c:pt idx="11">
                  <c:v>4.8678986995208762</c:v>
                </c:pt>
                <c:pt idx="12">
                  <c:v>5.3278576317590689</c:v>
                </c:pt>
                <c:pt idx="13">
                  <c:v>5.7878165639972625</c:v>
                </c:pt>
                <c:pt idx="14">
                  <c:v>6.2477754962354553</c:v>
                </c:pt>
                <c:pt idx="15">
                  <c:v>6.707734428473648</c:v>
                </c:pt>
                <c:pt idx="16">
                  <c:v>7.1676933607118416</c:v>
                </c:pt>
                <c:pt idx="17">
                  <c:v>7.6276522929500343</c:v>
                </c:pt>
                <c:pt idx="18">
                  <c:v>8.0876112251882279</c:v>
                </c:pt>
                <c:pt idx="19">
                  <c:v>8.5475701574264207</c:v>
                </c:pt>
                <c:pt idx="20">
                  <c:v>9.0075290896646134</c:v>
                </c:pt>
                <c:pt idx="21">
                  <c:v>9.4674880219028061</c:v>
                </c:pt>
                <c:pt idx="22">
                  <c:v>9.9274469541409989</c:v>
                </c:pt>
                <c:pt idx="23">
                  <c:v>10.387405886379192</c:v>
                </c:pt>
                <c:pt idx="24">
                  <c:v>10.847364818617386</c:v>
                </c:pt>
              </c:numCache>
            </c:numRef>
          </c:xVal>
          <c:yVal>
            <c:numRef>
              <c:f>[Checks.xlsx]Sheet6!$V$95:$V$119</c:f>
              <c:numCache>
                <c:formatCode>0%</c:formatCode>
                <c:ptCount val="25"/>
                <c:pt idx="0">
                  <c:v>0</c:v>
                </c:pt>
                <c:pt idx="1">
                  <c:v>0</c:v>
                </c:pt>
                <c:pt idx="2">
                  <c:v>0</c:v>
                </c:pt>
                <c:pt idx="3">
                  <c:v>5.885251147057512E-4</c:v>
                </c:pt>
                <c:pt idx="4">
                  <c:v>1.2292337096841879E-3</c:v>
                </c:pt>
                <c:pt idx="5">
                  <c:v>1.8695315554227018E-3</c:v>
                </c:pt>
                <c:pt idx="6">
                  <c:v>2.5650658878049095E-3</c:v>
                </c:pt>
                <c:pt idx="7">
                  <c:v>3.260115546066031E-3</c:v>
                </c:pt>
                <c:pt idx="8">
                  <c:v>4.0137532672375568E-3</c:v>
                </c:pt>
                <c:pt idx="9">
                  <c:v>4.7668211608907591E-3</c:v>
                </c:pt>
                <c:pt idx="10">
                  <c:v>5.519319657873765E-3</c:v>
                </c:pt>
                <c:pt idx="11">
                  <c:v>6.3347860667689049E-3</c:v>
                </c:pt>
                <c:pt idx="12">
                  <c:v>7.1495837995628579E-3</c:v>
                </c:pt>
                <c:pt idx="13">
                  <c:v>8.0349031203232699E-3</c:v>
                </c:pt>
                <c:pt idx="14">
                  <c:v>8.9194330066563778E-3</c:v>
                </c:pt>
                <c:pt idx="15">
                  <c:v>9.8756625305284826E-3</c:v>
                </c:pt>
                <c:pt idx="16">
                  <c:v>1.0830969450393631E-2</c:v>
                </c:pt>
                <c:pt idx="17">
                  <c:v>1.1864017300676674E-2</c:v>
                </c:pt>
                <c:pt idx="18">
                  <c:v>1.2895986277857128E-2</c:v>
                </c:pt>
                <c:pt idx="19">
                  <c:v>1.4011359264729524E-2</c:v>
                </c:pt>
                <c:pt idx="20">
                  <c:v>1.5125471941763696E-2</c:v>
                </c:pt>
                <c:pt idx="21">
                  <c:v>1.6327495789909528E-2</c:v>
                </c:pt>
                <c:pt idx="22">
                  <c:v>1.7528052586882496E-2</c:v>
                </c:pt>
                <c:pt idx="23">
                  <c:v>1.8727144123195451E-2</c:v>
                </c:pt>
                <c:pt idx="24">
                  <c:v>2.0016437803113699E-2</c:v>
                </c:pt>
              </c:numCache>
            </c:numRef>
          </c:yVal>
          <c:smooth val="1"/>
          <c:extLst>
            <c:ext xmlns:c16="http://schemas.microsoft.com/office/drawing/2014/chart" uri="{C3380CC4-5D6E-409C-BE32-E72D297353CC}">
              <c16:uniqueId val="{00000009-97DC-4EC1-B411-3C34BF2ADABB}"/>
            </c:ext>
          </c:extLst>
        </c:ser>
        <c:dLbls>
          <c:showLegendKey val="0"/>
          <c:showVal val="0"/>
          <c:showCatName val="0"/>
          <c:showSerName val="0"/>
          <c:showPercent val="0"/>
          <c:showBubbleSize val="0"/>
        </c:dLbls>
        <c:axId val="843982216"/>
        <c:axId val="843980776"/>
      </c:scatterChart>
      <c:valAx>
        <c:axId val="843982216"/>
        <c:scaling>
          <c:orientation val="minMax"/>
          <c:max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horizon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3980776"/>
        <c:crosses val="autoZero"/>
        <c:crossBetween val="midCat"/>
      </c:valAx>
      <c:valAx>
        <c:axId val="843980776"/>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r>
                  <a:rPr lang="en-AU" baseline="0"/>
                  <a:t> of cohort</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3982216"/>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51</Pages>
  <Words>20439</Words>
  <Characters>115239</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135408</CharactersWithSpaces>
  <SharedDoc>false</SharedDoc>
  <HLinks>
    <vt:vector size="390" baseType="variant">
      <vt:variant>
        <vt:i4>1245241</vt:i4>
      </vt:variant>
      <vt:variant>
        <vt:i4>368</vt:i4>
      </vt:variant>
      <vt:variant>
        <vt:i4>0</vt:i4>
      </vt:variant>
      <vt:variant>
        <vt:i4>5</vt:i4>
      </vt:variant>
      <vt:variant>
        <vt:lpwstr/>
      </vt:variant>
      <vt:variant>
        <vt:lpwstr>_Toc164681454</vt:lpwstr>
      </vt:variant>
      <vt:variant>
        <vt:i4>1245241</vt:i4>
      </vt:variant>
      <vt:variant>
        <vt:i4>362</vt:i4>
      </vt:variant>
      <vt:variant>
        <vt:i4>0</vt:i4>
      </vt:variant>
      <vt:variant>
        <vt:i4>5</vt:i4>
      </vt:variant>
      <vt:variant>
        <vt:lpwstr/>
      </vt:variant>
      <vt:variant>
        <vt:lpwstr>_Toc164681453</vt:lpwstr>
      </vt:variant>
      <vt:variant>
        <vt:i4>1245241</vt:i4>
      </vt:variant>
      <vt:variant>
        <vt:i4>356</vt:i4>
      </vt:variant>
      <vt:variant>
        <vt:i4>0</vt:i4>
      </vt:variant>
      <vt:variant>
        <vt:i4>5</vt:i4>
      </vt:variant>
      <vt:variant>
        <vt:lpwstr/>
      </vt:variant>
      <vt:variant>
        <vt:lpwstr>_Toc164681452</vt:lpwstr>
      </vt:variant>
      <vt:variant>
        <vt:i4>1245241</vt:i4>
      </vt:variant>
      <vt:variant>
        <vt:i4>350</vt:i4>
      </vt:variant>
      <vt:variant>
        <vt:i4>0</vt:i4>
      </vt:variant>
      <vt:variant>
        <vt:i4>5</vt:i4>
      </vt:variant>
      <vt:variant>
        <vt:lpwstr/>
      </vt:variant>
      <vt:variant>
        <vt:lpwstr>_Toc164681451</vt:lpwstr>
      </vt:variant>
      <vt:variant>
        <vt:i4>1245241</vt:i4>
      </vt:variant>
      <vt:variant>
        <vt:i4>344</vt:i4>
      </vt:variant>
      <vt:variant>
        <vt:i4>0</vt:i4>
      </vt:variant>
      <vt:variant>
        <vt:i4>5</vt:i4>
      </vt:variant>
      <vt:variant>
        <vt:lpwstr/>
      </vt:variant>
      <vt:variant>
        <vt:lpwstr>_Toc164681450</vt:lpwstr>
      </vt:variant>
      <vt:variant>
        <vt:i4>1179705</vt:i4>
      </vt:variant>
      <vt:variant>
        <vt:i4>338</vt:i4>
      </vt:variant>
      <vt:variant>
        <vt:i4>0</vt:i4>
      </vt:variant>
      <vt:variant>
        <vt:i4>5</vt:i4>
      </vt:variant>
      <vt:variant>
        <vt:lpwstr/>
      </vt:variant>
      <vt:variant>
        <vt:lpwstr>_Toc164681449</vt:lpwstr>
      </vt:variant>
      <vt:variant>
        <vt:i4>1179705</vt:i4>
      </vt:variant>
      <vt:variant>
        <vt:i4>332</vt:i4>
      </vt:variant>
      <vt:variant>
        <vt:i4>0</vt:i4>
      </vt:variant>
      <vt:variant>
        <vt:i4>5</vt:i4>
      </vt:variant>
      <vt:variant>
        <vt:lpwstr/>
      </vt:variant>
      <vt:variant>
        <vt:lpwstr>_Toc164681448</vt:lpwstr>
      </vt:variant>
      <vt:variant>
        <vt:i4>1179705</vt:i4>
      </vt:variant>
      <vt:variant>
        <vt:i4>326</vt:i4>
      </vt:variant>
      <vt:variant>
        <vt:i4>0</vt:i4>
      </vt:variant>
      <vt:variant>
        <vt:i4>5</vt:i4>
      </vt:variant>
      <vt:variant>
        <vt:lpwstr/>
      </vt:variant>
      <vt:variant>
        <vt:lpwstr>_Toc164681447</vt:lpwstr>
      </vt:variant>
      <vt:variant>
        <vt:i4>1179705</vt:i4>
      </vt:variant>
      <vt:variant>
        <vt:i4>320</vt:i4>
      </vt:variant>
      <vt:variant>
        <vt:i4>0</vt:i4>
      </vt:variant>
      <vt:variant>
        <vt:i4>5</vt:i4>
      </vt:variant>
      <vt:variant>
        <vt:lpwstr/>
      </vt:variant>
      <vt:variant>
        <vt:lpwstr>_Toc164681446</vt:lpwstr>
      </vt:variant>
      <vt:variant>
        <vt:i4>1179705</vt:i4>
      </vt:variant>
      <vt:variant>
        <vt:i4>314</vt:i4>
      </vt:variant>
      <vt:variant>
        <vt:i4>0</vt:i4>
      </vt:variant>
      <vt:variant>
        <vt:i4>5</vt:i4>
      </vt:variant>
      <vt:variant>
        <vt:lpwstr/>
      </vt:variant>
      <vt:variant>
        <vt:lpwstr>_Toc164681445</vt:lpwstr>
      </vt:variant>
      <vt:variant>
        <vt:i4>1179705</vt:i4>
      </vt:variant>
      <vt:variant>
        <vt:i4>308</vt:i4>
      </vt:variant>
      <vt:variant>
        <vt:i4>0</vt:i4>
      </vt:variant>
      <vt:variant>
        <vt:i4>5</vt:i4>
      </vt:variant>
      <vt:variant>
        <vt:lpwstr/>
      </vt:variant>
      <vt:variant>
        <vt:lpwstr>_Toc164681444</vt:lpwstr>
      </vt:variant>
      <vt:variant>
        <vt:i4>1179705</vt:i4>
      </vt:variant>
      <vt:variant>
        <vt:i4>302</vt:i4>
      </vt:variant>
      <vt:variant>
        <vt:i4>0</vt:i4>
      </vt:variant>
      <vt:variant>
        <vt:i4>5</vt:i4>
      </vt:variant>
      <vt:variant>
        <vt:lpwstr/>
      </vt:variant>
      <vt:variant>
        <vt:lpwstr>_Toc164681443</vt:lpwstr>
      </vt:variant>
      <vt:variant>
        <vt:i4>1179705</vt:i4>
      </vt:variant>
      <vt:variant>
        <vt:i4>296</vt:i4>
      </vt:variant>
      <vt:variant>
        <vt:i4>0</vt:i4>
      </vt:variant>
      <vt:variant>
        <vt:i4>5</vt:i4>
      </vt:variant>
      <vt:variant>
        <vt:lpwstr/>
      </vt:variant>
      <vt:variant>
        <vt:lpwstr>_Toc164681442</vt:lpwstr>
      </vt:variant>
      <vt:variant>
        <vt:i4>1179705</vt:i4>
      </vt:variant>
      <vt:variant>
        <vt:i4>290</vt:i4>
      </vt:variant>
      <vt:variant>
        <vt:i4>0</vt:i4>
      </vt:variant>
      <vt:variant>
        <vt:i4>5</vt:i4>
      </vt:variant>
      <vt:variant>
        <vt:lpwstr/>
      </vt:variant>
      <vt:variant>
        <vt:lpwstr>_Toc164681441</vt:lpwstr>
      </vt:variant>
      <vt:variant>
        <vt:i4>1179705</vt:i4>
      </vt:variant>
      <vt:variant>
        <vt:i4>284</vt:i4>
      </vt:variant>
      <vt:variant>
        <vt:i4>0</vt:i4>
      </vt:variant>
      <vt:variant>
        <vt:i4>5</vt:i4>
      </vt:variant>
      <vt:variant>
        <vt:lpwstr/>
      </vt:variant>
      <vt:variant>
        <vt:lpwstr>_Toc164681440</vt:lpwstr>
      </vt:variant>
      <vt:variant>
        <vt:i4>1376313</vt:i4>
      </vt:variant>
      <vt:variant>
        <vt:i4>278</vt:i4>
      </vt:variant>
      <vt:variant>
        <vt:i4>0</vt:i4>
      </vt:variant>
      <vt:variant>
        <vt:i4>5</vt:i4>
      </vt:variant>
      <vt:variant>
        <vt:lpwstr/>
      </vt:variant>
      <vt:variant>
        <vt:lpwstr>_Toc164681439</vt:lpwstr>
      </vt:variant>
      <vt:variant>
        <vt:i4>1376313</vt:i4>
      </vt:variant>
      <vt:variant>
        <vt:i4>272</vt:i4>
      </vt:variant>
      <vt:variant>
        <vt:i4>0</vt:i4>
      </vt:variant>
      <vt:variant>
        <vt:i4>5</vt:i4>
      </vt:variant>
      <vt:variant>
        <vt:lpwstr/>
      </vt:variant>
      <vt:variant>
        <vt:lpwstr>_Toc164681438</vt:lpwstr>
      </vt:variant>
      <vt:variant>
        <vt:i4>1376313</vt:i4>
      </vt:variant>
      <vt:variant>
        <vt:i4>266</vt:i4>
      </vt:variant>
      <vt:variant>
        <vt:i4>0</vt:i4>
      </vt:variant>
      <vt:variant>
        <vt:i4>5</vt:i4>
      </vt:variant>
      <vt:variant>
        <vt:lpwstr/>
      </vt:variant>
      <vt:variant>
        <vt:lpwstr>_Toc164681437</vt:lpwstr>
      </vt:variant>
      <vt:variant>
        <vt:i4>1376313</vt:i4>
      </vt:variant>
      <vt:variant>
        <vt:i4>260</vt:i4>
      </vt:variant>
      <vt:variant>
        <vt:i4>0</vt:i4>
      </vt:variant>
      <vt:variant>
        <vt:i4>5</vt:i4>
      </vt:variant>
      <vt:variant>
        <vt:lpwstr/>
      </vt:variant>
      <vt:variant>
        <vt:lpwstr>_Toc164681436</vt:lpwstr>
      </vt:variant>
      <vt:variant>
        <vt:i4>1376313</vt:i4>
      </vt:variant>
      <vt:variant>
        <vt:i4>254</vt:i4>
      </vt:variant>
      <vt:variant>
        <vt:i4>0</vt:i4>
      </vt:variant>
      <vt:variant>
        <vt:i4>5</vt:i4>
      </vt:variant>
      <vt:variant>
        <vt:lpwstr/>
      </vt:variant>
      <vt:variant>
        <vt:lpwstr>_Toc164681435</vt:lpwstr>
      </vt:variant>
      <vt:variant>
        <vt:i4>1376313</vt:i4>
      </vt:variant>
      <vt:variant>
        <vt:i4>248</vt:i4>
      </vt:variant>
      <vt:variant>
        <vt:i4>0</vt:i4>
      </vt:variant>
      <vt:variant>
        <vt:i4>5</vt:i4>
      </vt:variant>
      <vt:variant>
        <vt:lpwstr/>
      </vt:variant>
      <vt:variant>
        <vt:lpwstr>_Toc164681434</vt:lpwstr>
      </vt:variant>
      <vt:variant>
        <vt:i4>1376313</vt:i4>
      </vt:variant>
      <vt:variant>
        <vt:i4>242</vt:i4>
      </vt:variant>
      <vt:variant>
        <vt:i4>0</vt:i4>
      </vt:variant>
      <vt:variant>
        <vt:i4>5</vt:i4>
      </vt:variant>
      <vt:variant>
        <vt:lpwstr/>
      </vt:variant>
      <vt:variant>
        <vt:lpwstr>_Toc164681433</vt:lpwstr>
      </vt:variant>
      <vt:variant>
        <vt:i4>1376313</vt:i4>
      </vt:variant>
      <vt:variant>
        <vt:i4>236</vt:i4>
      </vt:variant>
      <vt:variant>
        <vt:i4>0</vt:i4>
      </vt:variant>
      <vt:variant>
        <vt:i4>5</vt:i4>
      </vt:variant>
      <vt:variant>
        <vt:lpwstr/>
      </vt:variant>
      <vt:variant>
        <vt:lpwstr>_Toc164681432</vt:lpwstr>
      </vt:variant>
      <vt:variant>
        <vt:i4>1376313</vt:i4>
      </vt:variant>
      <vt:variant>
        <vt:i4>230</vt:i4>
      </vt:variant>
      <vt:variant>
        <vt:i4>0</vt:i4>
      </vt:variant>
      <vt:variant>
        <vt:i4>5</vt:i4>
      </vt:variant>
      <vt:variant>
        <vt:lpwstr/>
      </vt:variant>
      <vt:variant>
        <vt:lpwstr>_Toc164681431</vt:lpwstr>
      </vt:variant>
      <vt:variant>
        <vt:i4>1376313</vt:i4>
      </vt:variant>
      <vt:variant>
        <vt:i4>224</vt:i4>
      </vt:variant>
      <vt:variant>
        <vt:i4>0</vt:i4>
      </vt:variant>
      <vt:variant>
        <vt:i4>5</vt:i4>
      </vt:variant>
      <vt:variant>
        <vt:lpwstr/>
      </vt:variant>
      <vt:variant>
        <vt:lpwstr>_Toc164681430</vt:lpwstr>
      </vt:variant>
      <vt:variant>
        <vt:i4>1310777</vt:i4>
      </vt:variant>
      <vt:variant>
        <vt:i4>218</vt:i4>
      </vt:variant>
      <vt:variant>
        <vt:i4>0</vt:i4>
      </vt:variant>
      <vt:variant>
        <vt:i4>5</vt:i4>
      </vt:variant>
      <vt:variant>
        <vt:lpwstr/>
      </vt:variant>
      <vt:variant>
        <vt:lpwstr>_Toc164681429</vt:lpwstr>
      </vt:variant>
      <vt:variant>
        <vt:i4>1310777</vt:i4>
      </vt:variant>
      <vt:variant>
        <vt:i4>212</vt:i4>
      </vt:variant>
      <vt:variant>
        <vt:i4>0</vt:i4>
      </vt:variant>
      <vt:variant>
        <vt:i4>5</vt:i4>
      </vt:variant>
      <vt:variant>
        <vt:lpwstr/>
      </vt:variant>
      <vt:variant>
        <vt:lpwstr>_Toc164681428</vt:lpwstr>
      </vt:variant>
      <vt:variant>
        <vt:i4>1310777</vt:i4>
      </vt:variant>
      <vt:variant>
        <vt:i4>206</vt:i4>
      </vt:variant>
      <vt:variant>
        <vt:i4>0</vt:i4>
      </vt:variant>
      <vt:variant>
        <vt:i4>5</vt:i4>
      </vt:variant>
      <vt:variant>
        <vt:lpwstr/>
      </vt:variant>
      <vt:variant>
        <vt:lpwstr>_Toc164681427</vt:lpwstr>
      </vt:variant>
      <vt:variant>
        <vt:i4>1310777</vt:i4>
      </vt:variant>
      <vt:variant>
        <vt:i4>200</vt:i4>
      </vt:variant>
      <vt:variant>
        <vt:i4>0</vt:i4>
      </vt:variant>
      <vt:variant>
        <vt:i4>5</vt:i4>
      </vt:variant>
      <vt:variant>
        <vt:lpwstr/>
      </vt:variant>
      <vt:variant>
        <vt:lpwstr>_Toc164681426</vt:lpwstr>
      </vt:variant>
      <vt:variant>
        <vt:i4>1310777</vt:i4>
      </vt:variant>
      <vt:variant>
        <vt:i4>194</vt:i4>
      </vt:variant>
      <vt:variant>
        <vt:i4>0</vt:i4>
      </vt:variant>
      <vt:variant>
        <vt:i4>5</vt:i4>
      </vt:variant>
      <vt:variant>
        <vt:lpwstr/>
      </vt:variant>
      <vt:variant>
        <vt:lpwstr>_Toc164681425</vt:lpwstr>
      </vt:variant>
      <vt:variant>
        <vt:i4>1310777</vt:i4>
      </vt:variant>
      <vt:variant>
        <vt:i4>188</vt:i4>
      </vt:variant>
      <vt:variant>
        <vt:i4>0</vt:i4>
      </vt:variant>
      <vt:variant>
        <vt:i4>5</vt:i4>
      </vt:variant>
      <vt:variant>
        <vt:lpwstr/>
      </vt:variant>
      <vt:variant>
        <vt:lpwstr>_Toc164681424</vt:lpwstr>
      </vt:variant>
      <vt:variant>
        <vt:i4>1310777</vt:i4>
      </vt:variant>
      <vt:variant>
        <vt:i4>182</vt:i4>
      </vt:variant>
      <vt:variant>
        <vt:i4>0</vt:i4>
      </vt:variant>
      <vt:variant>
        <vt:i4>5</vt:i4>
      </vt:variant>
      <vt:variant>
        <vt:lpwstr/>
      </vt:variant>
      <vt:variant>
        <vt:lpwstr>_Toc164681423</vt:lpwstr>
      </vt:variant>
      <vt:variant>
        <vt:i4>1310777</vt:i4>
      </vt:variant>
      <vt:variant>
        <vt:i4>176</vt:i4>
      </vt:variant>
      <vt:variant>
        <vt:i4>0</vt:i4>
      </vt:variant>
      <vt:variant>
        <vt:i4>5</vt:i4>
      </vt:variant>
      <vt:variant>
        <vt:lpwstr/>
      </vt:variant>
      <vt:variant>
        <vt:lpwstr>_Toc164681422</vt:lpwstr>
      </vt:variant>
      <vt:variant>
        <vt:i4>1310777</vt:i4>
      </vt:variant>
      <vt:variant>
        <vt:i4>170</vt:i4>
      </vt:variant>
      <vt:variant>
        <vt:i4>0</vt:i4>
      </vt:variant>
      <vt:variant>
        <vt:i4>5</vt:i4>
      </vt:variant>
      <vt:variant>
        <vt:lpwstr/>
      </vt:variant>
      <vt:variant>
        <vt:lpwstr>_Toc164681421</vt:lpwstr>
      </vt:variant>
      <vt:variant>
        <vt:i4>1310777</vt:i4>
      </vt:variant>
      <vt:variant>
        <vt:i4>164</vt:i4>
      </vt:variant>
      <vt:variant>
        <vt:i4>0</vt:i4>
      </vt:variant>
      <vt:variant>
        <vt:i4>5</vt:i4>
      </vt:variant>
      <vt:variant>
        <vt:lpwstr/>
      </vt:variant>
      <vt:variant>
        <vt:lpwstr>_Toc164681420</vt:lpwstr>
      </vt:variant>
      <vt:variant>
        <vt:i4>1507385</vt:i4>
      </vt:variant>
      <vt:variant>
        <vt:i4>158</vt:i4>
      </vt:variant>
      <vt:variant>
        <vt:i4>0</vt:i4>
      </vt:variant>
      <vt:variant>
        <vt:i4>5</vt:i4>
      </vt:variant>
      <vt:variant>
        <vt:lpwstr/>
      </vt:variant>
      <vt:variant>
        <vt:lpwstr>_Toc164681419</vt:lpwstr>
      </vt:variant>
      <vt:variant>
        <vt:i4>1507385</vt:i4>
      </vt:variant>
      <vt:variant>
        <vt:i4>152</vt:i4>
      </vt:variant>
      <vt:variant>
        <vt:i4>0</vt:i4>
      </vt:variant>
      <vt:variant>
        <vt:i4>5</vt:i4>
      </vt:variant>
      <vt:variant>
        <vt:lpwstr/>
      </vt:variant>
      <vt:variant>
        <vt:lpwstr>_Toc164681418</vt:lpwstr>
      </vt:variant>
      <vt:variant>
        <vt:i4>1507385</vt:i4>
      </vt:variant>
      <vt:variant>
        <vt:i4>146</vt:i4>
      </vt:variant>
      <vt:variant>
        <vt:i4>0</vt:i4>
      </vt:variant>
      <vt:variant>
        <vt:i4>5</vt:i4>
      </vt:variant>
      <vt:variant>
        <vt:lpwstr/>
      </vt:variant>
      <vt:variant>
        <vt:lpwstr>_Toc164681417</vt:lpwstr>
      </vt:variant>
      <vt:variant>
        <vt:i4>1507385</vt:i4>
      </vt:variant>
      <vt:variant>
        <vt:i4>140</vt:i4>
      </vt:variant>
      <vt:variant>
        <vt:i4>0</vt:i4>
      </vt:variant>
      <vt:variant>
        <vt:i4>5</vt:i4>
      </vt:variant>
      <vt:variant>
        <vt:lpwstr/>
      </vt:variant>
      <vt:variant>
        <vt:lpwstr>_Toc164681416</vt:lpwstr>
      </vt:variant>
      <vt:variant>
        <vt:i4>1507385</vt:i4>
      </vt:variant>
      <vt:variant>
        <vt:i4>134</vt:i4>
      </vt:variant>
      <vt:variant>
        <vt:i4>0</vt:i4>
      </vt:variant>
      <vt:variant>
        <vt:i4>5</vt:i4>
      </vt:variant>
      <vt:variant>
        <vt:lpwstr/>
      </vt:variant>
      <vt:variant>
        <vt:lpwstr>_Toc164681415</vt:lpwstr>
      </vt:variant>
      <vt:variant>
        <vt:i4>1507385</vt:i4>
      </vt:variant>
      <vt:variant>
        <vt:i4>128</vt:i4>
      </vt:variant>
      <vt:variant>
        <vt:i4>0</vt:i4>
      </vt:variant>
      <vt:variant>
        <vt:i4>5</vt:i4>
      </vt:variant>
      <vt:variant>
        <vt:lpwstr/>
      </vt:variant>
      <vt:variant>
        <vt:lpwstr>_Toc164681414</vt:lpwstr>
      </vt:variant>
      <vt:variant>
        <vt:i4>1507385</vt:i4>
      </vt:variant>
      <vt:variant>
        <vt:i4>122</vt:i4>
      </vt:variant>
      <vt:variant>
        <vt:i4>0</vt:i4>
      </vt:variant>
      <vt:variant>
        <vt:i4>5</vt:i4>
      </vt:variant>
      <vt:variant>
        <vt:lpwstr/>
      </vt:variant>
      <vt:variant>
        <vt:lpwstr>_Toc164681413</vt:lpwstr>
      </vt:variant>
      <vt:variant>
        <vt:i4>1507385</vt:i4>
      </vt:variant>
      <vt:variant>
        <vt:i4>116</vt:i4>
      </vt:variant>
      <vt:variant>
        <vt:i4>0</vt:i4>
      </vt:variant>
      <vt:variant>
        <vt:i4>5</vt:i4>
      </vt:variant>
      <vt:variant>
        <vt:lpwstr/>
      </vt:variant>
      <vt:variant>
        <vt:lpwstr>_Toc164681412</vt:lpwstr>
      </vt:variant>
      <vt:variant>
        <vt:i4>1507385</vt:i4>
      </vt:variant>
      <vt:variant>
        <vt:i4>110</vt:i4>
      </vt:variant>
      <vt:variant>
        <vt:i4>0</vt:i4>
      </vt:variant>
      <vt:variant>
        <vt:i4>5</vt:i4>
      </vt:variant>
      <vt:variant>
        <vt:lpwstr/>
      </vt:variant>
      <vt:variant>
        <vt:lpwstr>_Toc164681411</vt:lpwstr>
      </vt:variant>
      <vt:variant>
        <vt:i4>1507385</vt:i4>
      </vt:variant>
      <vt:variant>
        <vt:i4>104</vt:i4>
      </vt:variant>
      <vt:variant>
        <vt:i4>0</vt:i4>
      </vt:variant>
      <vt:variant>
        <vt:i4>5</vt:i4>
      </vt:variant>
      <vt:variant>
        <vt:lpwstr/>
      </vt:variant>
      <vt:variant>
        <vt:lpwstr>_Toc164681410</vt:lpwstr>
      </vt:variant>
      <vt:variant>
        <vt:i4>1441849</vt:i4>
      </vt:variant>
      <vt:variant>
        <vt:i4>98</vt:i4>
      </vt:variant>
      <vt:variant>
        <vt:i4>0</vt:i4>
      </vt:variant>
      <vt:variant>
        <vt:i4>5</vt:i4>
      </vt:variant>
      <vt:variant>
        <vt:lpwstr/>
      </vt:variant>
      <vt:variant>
        <vt:lpwstr>_Toc164681409</vt:lpwstr>
      </vt:variant>
      <vt:variant>
        <vt:i4>1441849</vt:i4>
      </vt:variant>
      <vt:variant>
        <vt:i4>92</vt:i4>
      </vt:variant>
      <vt:variant>
        <vt:i4>0</vt:i4>
      </vt:variant>
      <vt:variant>
        <vt:i4>5</vt:i4>
      </vt:variant>
      <vt:variant>
        <vt:lpwstr/>
      </vt:variant>
      <vt:variant>
        <vt:lpwstr>_Toc164681408</vt:lpwstr>
      </vt:variant>
      <vt:variant>
        <vt:i4>1441849</vt:i4>
      </vt:variant>
      <vt:variant>
        <vt:i4>86</vt:i4>
      </vt:variant>
      <vt:variant>
        <vt:i4>0</vt:i4>
      </vt:variant>
      <vt:variant>
        <vt:i4>5</vt:i4>
      </vt:variant>
      <vt:variant>
        <vt:lpwstr/>
      </vt:variant>
      <vt:variant>
        <vt:lpwstr>_Toc164681407</vt:lpwstr>
      </vt:variant>
      <vt:variant>
        <vt:i4>1441849</vt:i4>
      </vt:variant>
      <vt:variant>
        <vt:i4>80</vt:i4>
      </vt:variant>
      <vt:variant>
        <vt:i4>0</vt:i4>
      </vt:variant>
      <vt:variant>
        <vt:i4>5</vt:i4>
      </vt:variant>
      <vt:variant>
        <vt:lpwstr/>
      </vt:variant>
      <vt:variant>
        <vt:lpwstr>_Toc164681406</vt:lpwstr>
      </vt:variant>
      <vt:variant>
        <vt:i4>1441849</vt:i4>
      </vt:variant>
      <vt:variant>
        <vt:i4>74</vt:i4>
      </vt:variant>
      <vt:variant>
        <vt:i4>0</vt:i4>
      </vt:variant>
      <vt:variant>
        <vt:i4>5</vt:i4>
      </vt:variant>
      <vt:variant>
        <vt:lpwstr/>
      </vt:variant>
      <vt:variant>
        <vt:lpwstr>_Toc164681405</vt:lpwstr>
      </vt:variant>
      <vt:variant>
        <vt:i4>1441849</vt:i4>
      </vt:variant>
      <vt:variant>
        <vt:i4>68</vt:i4>
      </vt:variant>
      <vt:variant>
        <vt:i4>0</vt:i4>
      </vt:variant>
      <vt:variant>
        <vt:i4>5</vt:i4>
      </vt:variant>
      <vt:variant>
        <vt:lpwstr/>
      </vt:variant>
      <vt:variant>
        <vt:lpwstr>_Toc164681404</vt:lpwstr>
      </vt:variant>
      <vt:variant>
        <vt:i4>1441849</vt:i4>
      </vt:variant>
      <vt:variant>
        <vt:i4>62</vt:i4>
      </vt:variant>
      <vt:variant>
        <vt:i4>0</vt:i4>
      </vt:variant>
      <vt:variant>
        <vt:i4>5</vt:i4>
      </vt:variant>
      <vt:variant>
        <vt:lpwstr/>
      </vt:variant>
      <vt:variant>
        <vt:lpwstr>_Toc164681403</vt:lpwstr>
      </vt:variant>
      <vt:variant>
        <vt:i4>1441849</vt:i4>
      </vt:variant>
      <vt:variant>
        <vt:i4>56</vt:i4>
      </vt:variant>
      <vt:variant>
        <vt:i4>0</vt:i4>
      </vt:variant>
      <vt:variant>
        <vt:i4>5</vt:i4>
      </vt:variant>
      <vt:variant>
        <vt:lpwstr/>
      </vt:variant>
      <vt:variant>
        <vt:lpwstr>_Toc164681402</vt:lpwstr>
      </vt:variant>
      <vt:variant>
        <vt:i4>1441849</vt:i4>
      </vt:variant>
      <vt:variant>
        <vt:i4>50</vt:i4>
      </vt:variant>
      <vt:variant>
        <vt:i4>0</vt:i4>
      </vt:variant>
      <vt:variant>
        <vt:i4>5</vt:i4>
      </vt:variant>
      <vt:variant>
        <vt:lpwstr/>
      </vt:variant>
      <vt:variant>
        <vt:lpwstr>_Toc164681401</vt:lpwstr>
      </vt:variant>
      <vt:variant>
        <vt:i4>1441849</vt:i4>
      </vt:variant>
      <vt:variant>
        <vt:i4>44</vt:i4>
      </vt:variant>
      <vt:variant>
        <vt:i4>0</vt:i4>
      </vt:variant>
      <vt:variant>
        <vt:i4>5</vt:i4>
      </vt:variant>
      <vt:variant>
        <vt:lpwstr/>
      </vt:variant>
      <vt:variant>
        <vt:lpwstr>_Toc164681400</vt:lpwstr>
      </vt:variant>
      <vt:variant>
        <vt:i4>2031678</vt:i4>
      </vt:variant>
      <vt:variant>
        <vt:i4>38</vt:i4>
      </vt:variant>
      <vt:variant>
        <vt:i4>0</vt:i4>
      </vt:variant>
      <vt:variant>
        <vt:i4>5</vt:i4>
      </vt:variant>
      <vt:variant>
        <vt:lpwstr/>
      </vt:variant>
      <vt:variant>
        <vt:lpwstr>_Toc164681399</vt:lpwstr>
      </vt:variant>
      <vt:variant>
        <vt:i4>2031678</vt:i4>
      </vt:variant>
      <vt:variant>
        <vt:i4>32</vt:i4>
      </vt:variant>
      <vt:variant>
        <vt:i4>0</vt:i4>
      </vt:variant>
      <vt:variant>
        <vt:i4>5</vt:i4>
      </vt:variant>
      <vt:variant>
        <vt:lpwstr/>
      </vt:variant>
      <vt:variant>
        <vt:lpwstr>_Toc164681398</vt:lpwstr>
      </vt:variant>
      <vt:variant>
        <vt:i4>2031678</vt:i4>
      </vt:variant>
      <vt:variant>
        <vt:i4>26</vt:i4>
      </vt:variant>
      <vt:variant>
        <vt:i4>0</vt:i4>
      </vt:variant>
      <vt:variant>
        <vt:i4>5</vt:i4>
      </vt:variant>
      <vt:variant>
        <vt:lpwstr/>
      </vt:variant>
      <vt:variant>
        <vt:lpwstr>_Toc164681397</vt:lpwstr>
      </vt:variant>
      <vt:variant>
        <vt:i4>2031678</vt:i4>
      </vt:variant>
      <vt:variant>
        <vt:i4>20</vt:i4>
      </vt:variant>
      <vt:variant>
        <vt:i4>0</vt:i4>
      </vt:variant>
      <vt:variant>
        <vt:i4>5</vt:i4>
      </vt:variant>
      <vt:variant>
        <vt:lpwstr/>
      </vt:variant>
      <vt:variant>
        <vt:lpwstr>_Toc164681396</vt:lpwstr>
      </vt:variant>
      <vt:variant>
        <vt:i4>2031678</vt:i4>
      </vt:variant>
      <vt:variant>
        <vt:i4>14</vt:i4>
      </vt:variant>
      <vt:variant>
        <vt:i4>0</vt:i4>
      </vt:variant>
      <vt:variant>
        <vt:i4>5</vt:i4>
      </vt:variant>
      <vt:variant>
        <vt:lpwstr/>
      </vt:variant>
      <vt:variant>
        <vt:lpwstr>_Toc164681395</vt:lpwstr>
      </vt:variant>
      <vt:variant>
        <vt:i4>2031678</vt:i4>
      </vt:variant>
      <vt:variant>
        <vt:i4>8</vt:i4>
      </vt:variant>
      <vt:variant>
        <vt:i4>0</vt:i4>
      </vt:variant>
      <vt:variant>
        <vt:i4>5</vt:i4>
      </vt:variant>
      <vt:variant>
        <vt:lpwstr/>
      </vt:variant>
      <vt:variant>
        <vt:lpwstr>_Toc164681394</vt:lpwstr>
      </vt:variant>
      <vt:variant>
        <vt:i4>2031678</vt:i4>
      </vt:variant>
      <vt:variant>
        <vt:i4>2</vt:i4>
      </vt:variant>
      <vt:variant>
        <vt:i4>0</vt:i4>
      </vt:variant>
      <vt:variant>
        <vt:i4>5</vt:i4>
      </vt:variant>
      <vt:variant>
        <vt:lpwstr/>
      </vt:variant>
      <vt:variant>
        <vt:lpwstr>_Toc164681393</vt:lpwstr>
      </vt:variant>
      <vt:variant>
        <vt:i4>8126500</vt:i4>
      </vt:variant>
      <vt:variant>
        <vt:i4>3</vt:i4>
      </vt:variant>
      <vt:variant>
        <vt:i4>0</vt:i4>
      </vt:variant>
      <vt:variant>
        <vt:i4>5</vt:i4>
      </vt:variant>
      <vt:variant>
        <vt:lpwstr>https://www.nps.org.au/bdmards/gastroenterology/resources/faecal-calprotectin-in-inflammatory-bowel-disease</vt:lpwstr>
      </vt:variant>
      <vt:variant>
        <vt:lpwstr/>
      </vt:variant>
      <vt:variant>
        <vt:i4>8126500</vt:i4>
      </vt:variant>
      <vt:variant>
        <vt:i4>0</vt:i4>
      </vt:variant>
      <vt:variant>
        <vt:i4>0</vt:i4>
      </vt:variant>
      <vt:variant>
        <vt:i4>5</vt:i4>
      </vt:variant>
      <vt:variant>
        <vt:lpwstr>https://www.nps.org.au/bdmards/gastroenterology/resources/faecal-calprotectin-in-inflammatory-bowel-disease</vt:lpwstr>
      </vt:variant>
      <vt:variant>
        <vt:lpwstr/>
      </vt:variant>
      <vt:variant>
        <vt:i4>4784192</vt:i4>
      </vt:variant>
      <vt:variant>
        <vt:i4>0</vt:i4>
      </vt:variant>
      <vt:variant>
        <vt:i4>0</vt:i4>
      </vt:variant>
      <vt:variant>
        <vt:i4>5</vt:i4>
      </vt:variant>
      <vt:variant>
        <vt:lpwstr>https://www/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2024-10-25T08:32:00Z</dcterms:created>
  <dcterms:modified xsi:type="dcterms:W3CDTF">2024-11-01T01:49:00Z</dcterms:modified>
</cp:coreProperties>
</file>