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6701A" w14:textId="0906678E" w:rsidR="00B60939" w:rsidRPr="00250A3D" w:rsidRDefault="00443E43" w:rsidP="00477312">
      <w:pPr>
        <w:pStyle w:val="1-MainHeading"/>
      </w:pPr>
      <w:bookmarkStart w:id="0" w:name="_Toc156986092"/>
      <w:r>
        <w:t>6.0</w:t>
      </w:r>
      <w:r w:rsidR="007A727A">
        <w:t>7</w:t>
      </w:r>
      <w:r w:rsidR="00163F66" w:rsidRPr="00250A3D">
        <w:tab/>
      </w:r>
      <w:r w:rsidR="00C34054" w:rsidRPr="00250A3D">
        <w:t>RAVULIZUMAB</w:t>
      </w:r>
      <w:r w:rsidR="00163F66" w:rsidRPr="00250A3D">
        <w:t>,</w:t>
      </w:r>
      <w:r w:rsidR="00163F66" w:rsidRPr="00250A3D">
        <w:br/>
      </w:r>
      <w:r w:rsidR="00C34054" w:rsidRPr="00250A3D">
        <w:t>Solution concentrate for I.V. infusion 300 mg in 3</w:t>
      </w:r>
      <w:r w:rsidR="00477312">
        <w:t> </w:t>
      </w:r>
      <w:r w:rsidR="00C34054" w:rsidRPr="00250A3D">
        <w:t>mL, Solution</w:t>
      </w:r>
      <w:r w:rsidR="00EB20E6" w:rsidRPr="00250A3D">
        <w:t xml:space="preserve"> concentrate for I.V. infusion </w:t>
      </w:r>
      <w:r w:rsidR="00C34054" w:rsidRPr="00250A3D">
        <w:t>1,100 mg in</w:t>
      </w:r>
      <w:r w:rsidR="00477312">
        <w:t xml:space="preserve"> </w:t>
      </w:r>
      <w:r w:rsidR="00C34054" w:rsidRPr="00250A3D">
        <w:t>11</w:t>
      </w:r>
      <w:r w:rsidR="00477312">
        <w:t> </w:t>
      </w:r>
      <w:r w:rsidR="00C34054" w:rsidRPr="00250A3D">
        <w:t>mL</w:t>
      </w:r>
      <w:r w:rsidR="00163F66" w:rsidRPr="00250A3D">
        <w:t>,</w:t>
      </w:r>
      <w:r w:rsidR="00163F66" w:rsidRPr="00250A3D">
        <w:br/>
      </w:r>
      <w:r w:rsidR="00C34054" w:rsidRPr="00250A3D">
        <w:t>Ultomiris</w:t>
      </w:r>
      <w:r w:rsidR="00B60939" w:rsidRPr="00477312">
        <w:t>®</w:t>
      </w:r>
      <w:r w:rsidR="004A6040" w:rsidRPr="00250A3D">
        <w:t>,</w:t>
      </w:r>
      <w:r w:rsidR="004A6040" w:rsidRPr="00250A3D">
        <w:br/>
      </w:r>
      <w:r w:rsidR="00C34054" w:rsidRPr="00250A3D">
        <w:t>ALEXION PHARMACEUTICALS AUSTRALASIA PTY LTD</w:t>
      </w:r>
      <w:bookmarkEnd w:id="0"/>
      <w:r w:rsidR="00C34054" w:rsidRPr="00250A3D">
        <w:t xml:space="preserve"> </w:t>
      </w:r>
    </w:p>
    <w:p w14:paraId="11C00795" w14:textId="0FD2F334" w:rsidR="00B50DB8" w:rsidRPr="008B3A69" w:rsidRDefault="00B50DB8" w:rsidP="004A6040">
      <w:pPr>
        <w:pStyle w:val="COMH1numbered"/>
      </w:pPr>
      <w:bookmarkStart w:id="1" w:name="_Toc156986094"/>
      <w:r w:rsidRPr="008B3A69">
        <w:t xml:space="preserve">Purpose of </w:t>
      </w:r>
      <w:r w:rsidR="00CD7193" w:rsidRPr="008B3A69">
        <w:t>s</w:t>
      </w:r>
      <w:r w:rsidR="00BB3A45" w:rsidRPr="008B3A69">
        <w:t>ubmission</w:t>
      </w:r>
      <w:bookmarkEnd w:id="1"/>
    </w:p>
    <w:p w14:paraId="275FE948" w14:textId="3B0C5823" w:rsidR="00616694" w:rsidRPr="008B3A69" w:rsidRDefault="00616694" w:rsidP="004E18E9">
      <w:pPr>
        <w:pStyle w:val="COMexecsumnumberedpara"/>
      </w:pPr>
      <w:r w:rsidRPr="008B3A69">
        <w:t xml:space="preserve">The Category 2 submission requested a Section 100 (Highly Specialised Drugs Program) Authority Required (Written) listing for the treatment of adult patients with generalised myasthenia gravis </w:t>
      </w:r>
      <w:r w:rsidR="004C0A2F">
        <w:t xml:space="preserve">(gMG) </w:t>
      </w:r>
      <w:r w:rsidRPr="008B3A69">
        <w:t>who are anti-acetylcholine receptor (AChR) antibody positive.</w:t>
      </w:r>
    </w:p>
    <w:p w14:paraId="2D64EA83" w14:textId="7C787685" w:rsidR="00616694" w:rsidRPr="008B3A69" w:rsidRDefault="00616694" w:rsidP="004E18E9">
      <w:pPr>
        <w:pStyle w:val="COMexecsumnumberedpara"/>
      </w:pPr>
      <w:r w:rsidRPr="008B3A69">
        <w:t>The submission claimed that there is an unmet clinical need for additional treatment options for the management of myasthenia gravis given the limitations of current treatments including inadequate symptom control, slow onset of action, high treatment burden as well as significant side effects and risk of developing comorbidities.</w:t>
      </w:r>
    </w:p>
    <w:p w14:paraId="08E5620F" w14:textId="64200842" w:rsidR="00616694" w:rsidRPr="008B3A69" w:rsidRDefault="00616694" w:rsidP="00616694">
      <w:pPr>
        <w:pStyle w:val="COMexecsumnumberedpara"/>
      </w:pPr>
      <w:r w:rsidRPr="008B3A69">
        <w:t xml:space="preserve">Listing was requested on the basis of a cost-effectiveness analysis versus placebo. </w:t>
      </w:r>
    </w:p>
    <w:p w14:paraId="4A607674" w14:textId="2894B302" w:rsidR="00616694" w:rsidRPr="008B3A69" w:rsidRDefault="00616694" w:rsidP="00FE7FE7">
      <w:pPr>
        <w:pStyle w:val="COMtablefigcaption"/>
      </w:pPr>
      <w:r w:rsidRPr="008B3A69">
        <w:lastRenderedPageBreak/>
        <w:t xml:space="preserve">Table </w:t>
      </w:r>
      <w:r w:rsidR="0065138C">
        <w:fldChar w:fldCharType="begin" w:fldLock="1"/>
      </w:r>
      <w:r w:rsidR="0065138C">
        <w:instrText xml:space="preserve"> SEQ Table \* ARABIC </w:instrText>
      </w:r>
      <w:r w:rsidR="0065138C">
        <w:fldChar w:fldCharType="separate"/>
      </w:r>
      <w:r w:rsidR="0081771C">
        <w:rPr>
          <w:noProof/>
        </w:rPr>
        <w:t>1</w:t>
      </w:r>
      <w:r w:rsidR="0065138C">
        <w:rPr>
          <w:noProof/>
        </w:rPr>
        <w:fldChar w:fldCharType="end"/>
      </w:r>
      <w:r w:rsidRPr="008B3A69">
        <w:t>: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607"/>
      </w:tblGrid>
      <w:tr w:rsidR="00616694" w:rsidRPr="008B3A69" w14:paraId="305C6179" w14:textId="77777777" w:rsidTr="00547381">
        <w:tc>
          <w:tcPr>
            <w:tcW w:w="1549" w:type="dxa"/>
            <w:vAlign w:val="center"/>
          </w:tcPr>
          <w:p w14:paraId="71AD10C3" w14:textId="77777777" w:rsidR="00616694" w:rsidRPr="008B3A69" w:rsidRDefault="00616694" w:rsidP="00FE7FE7">
            <w:pPr>
              <w:pStyle w:val="COMTableheadingrow"/>
              <w:rPr>
                <w:lang w:val="en-AU"/>
              </w:rPr>
            </w:pPr>
            <w:r w:rsidRPr="008B3A69">
              <w:rPr>
                <w:lang w:val="en-AU"/>
              </w:rPr>
              <w:t>Component</w:t>
            </w:r>
          </w:p>
        </w:tc>
        <w:tc>
          <w:tcPr>
            <w:tcW w:w="7607" w:type="dxa"/>
            <w:vAlign w:val="center"/>
          </w:tcPr>
          <w:p w14:paraId="1768F3C4" w14:textId="77777777" w:rsidR="00616694" w:rsidRPr="008B3A69" w:rsidRDefault="00616694" w:rsidP="00FE7FE7">
            <w:pPr>
              <w:pStyle w:val="COMTableheadingrow"/>
              <w:rPr>
                <w:lang w:val="en-AU"/>
              </w:rPr>
            </w:pPr>
            <w:r w:rsidRPr="008B3A69">
              <w:rPr>
                <w:lang w:val="en-AU"/>
              </w:rPr>
              <w:t>Description</w:t>
            </w:r>
          </w:p>
        </w:tc>
      </w:tr>
      <w:tr w:rsidR="00616694" w:rsidRPr="008B3A69" w14:paraId="57758116" w14:textId="77777777" w:rsidTr="00547381">
        <w:tc>
          <w:tcPr>
            <w:tcW w:w="1549" w:type="dxa"/>
            <w:vAlign w:val="center"/>
          </w:tcPr>
          <w:p w14:paraId="63142C6E" w14:textId="77777777" w:rsidR="00616694" w:rsidRPr="008B3A69" w:rsidRDefault="00616694" w:rsidP="00FE7FE7">
            <w:pPr>
              <w:pStyle w:val="COMTabletext"/>
            </w:pPr>
            <w:r w:rsidRPr="008B3A69">
              <w:t>Population</w:t>
            </w:r>
          </w:p>
        </w:tc>
        <w:tc>
          <w:tcPr>
            <w:tcW w:w="7607" w:type="dxa"/>
            <w:vAlign w:val="center"/>
          </w:tcPr>
          <w:p w14:paraId="17F9711F" w14:textId="77777777" w:rsidR="00616694" w:rsidRPr="008B3A69" w:rsidRDefault="00616694" w:rsidP="00FE7FE7">
            <w:pPr>
              <w:pStyle w:val="COMTabletext"/>
            </w:pPr>
            <w:r w:rsidRPr="008B3A69">
              <w:t>Adult patients with generalised myasthenia gravis who are AChR-positive and remain symptomatic despite standard therapy.</w:t>
            </w:r>
          </w:p>
        </w:tc>
      </w:tr>
      <w:tr w:rsidR="00616694" w:rsidRPr="008B3A69" w14:paraId="2D893A4E" w14:textId="77777777" w:rsidTr="00547381">
        <w:tc>
          <w:tcPr>
            <w:tcW w:w="1549" w:type="dxa"/>
            <w:vAlign w:val="center"/>
          </w:tcPr>
          <w:p w14:paraId="51E60621" w14:textId="77777777" w:rsidR="00616694" w:rsidRPr="008B3A69" w:rsidRDefault="00616694" w:rsidP="00FE7FE7">
            <w:pPr>
              <w:pStyle w:val="COMTabletext"/>
            </w:pPr>
            <w:r w:rsidRPr="008B3A69">
              <w:t>Intervention</w:t>
            </w:r>
          </w:p>
        </w:tc>
        <w:tc>
          <w:tcPr>
            <w:tcW w:w="7607" w:type="dxa"/>
            <w:vAlign w:val="center"/>
          </w:tcPr>
          <w:p w14:paraId="0085F15D" w14:textId="77777777" w:rsidR="00616694" w:rsidRPr="008B3A69" w:rsidRDefault="00616694" w:rsidP="00FE7FE7">
            <w:pPr>
              <w:pStyle w:val="COMTabletext"/>
            </w:pPr>
            <w:r w:rsidRPr="008B3A69">
              <w:t>Ravulizumab intravenous infusion on Day 1 (weight-based dosing 2,400-3,000 mg) followed by a second dose on Day 15 and then every 8 weeks (weight-based dosing 3,000-3,600 mg). In combination with standard therapy (including anticholinesterases, corticosteroids and other immunosuppressive agents such as mycophenolate mofetil, azathioprine, methotrexate, tacrolimus, ciclosporin)</w:t>
            </w:r>
          </w:p>
        </w:tc>
      </w:tr>
      <w:tr w:rsidR="00616694" w:rsidRPr="008B3A69" w14:paraId="0E73BC3B" w14:textId="77777777" w:rsidTr="00547381">
        <w:tc>
          <w:tcPr>
            <w:tcW w:w="1549" w:type="dxa"/>
            <w:vAlign w:val="center"/>
          </w:tcPr>
          <w:p w14:paraId="048E7AB0" w14:textId="77777777" w:rsidR="00616694" w:rsidRPr="008B3A69" w:rsidRDefault="00616694" w:rsidP="00FE7FE7">
            <w:pPr>
              <w:pStyle w:val="COMTabletext"/>
            </w:pPr>
            <w:r w:rsidRPr="008B3A69">
              <w:t>Comparator</w:t>
            </w:r>
          </w:p>
        </w:tc>
        <w:tc>
          <w:tcPr>
            <w:tcW w:w="7607" w:type="dxa"/>
            <w:vAlign w:val="center"/>
          </w:tcPr>
          <w:p w14:paraId="69056154" w14:textId="77777777" w:rsidR="00616694" w:rsidRPr="008B3A69" w:rsidRDefault="00616694" w:rsidP="00FE7FE7">
            <w:pPr>
              <w:pStyle w:val="COMTabletext"/>
            </w:pPr>
            <w:r w:rsidRPr="008B3A69">
              <w:t>Placebo in combination with standard therapy (including anticholinesterases, corticosteroids and other immunosuppressive agents such as mycophenolate mofetil, azathioprine, methotrexate, tacrolimus, ciclosporin)</w:t>
            </w:r>
          </w:p>
        </w:tc>
      </w:tr>
      <w:tr w:rsidR="00616694" w:rsidRPr="008B3A69" w14:paraId="3B68B1AF" w14:textId="77777777" w:rsidTr="00547381">
        <w:tc>
          <w:tcPr>
            <w:tcW w:w="1549" w:type="dxa"/>
            <w:vAlign w:val="center"/>
          </w:tcPr>
          <w:p w14:paraId="0908E407" w14:textId="77777777" w:rsidR="00616694" w:rsidRPr="008B3A69" w:rsidRDefault="00616694" w:rsidP="00FE7FE7">
            <w:pPr>
              <w:pStyle w:val="COMTabletext"/>
            </w:pPr>
            <w:r w:rsidRPr="008B3A69">
              <w:t>Outcomes</w:t>
            </w:r>
          </w:p>
        </w:tc>
        <w:tc>
          <w:tcPr>
            <w:tcW w:w="7607" w:type="dxa"/>
            <w:vAlign w:val="center"/>
          </w:tcPr>
          <w:p w14:paraId="352083AF" w14:textId="77777777" w:rsidR="00616694" w:rsidRPr="008B3A69" w:rsidRDefault="00616694" w:rsidP="00FE7FE7">
            <w:pPr>
              <w:pStyle w:val="COMTabletext"/>
            </w:pPr>
            <w:r w:rsidRPr="008B3A69">
              <w:t xml:space="preserve">Reduction in functional impairments, reduction in clinical exacerbations and myasthenic crisis events, improvements in quality of life </w:t>
            </w:r>
          </w:p>
        </w:tc>
      </w:tr>
      <w:tr w:rsidR="00616694" w:rsidRPr="008B3A69" w14:paraId="71A3C356" w14:textId="77777777" w:rsidTr="00547381">
        <w:tc>
          <w:tcPr>
            <w:tcW w:w="1549" w:type="dxa"/>
            <w:vAlign w:val="center"/>
          </w:tcPr>
          <w:p w14:paraId="3A7549A3" w14:textId="77777777" w:rsidR="00616694" w:rsidRPr="008B3A69" w:rsidRDefault="00616694" w:rsidP="00FE7FE7">
            <w:pPr>
              <w:pStyle w:val="COMTabletext"/>
            </w:pPr>
            <w:r w:rsidRPr="008B3A69">
              <w:t>Clinical claim</w:t>
            </w:r>
          </w:p>
        </w:tc>
        <w:tc>
          <w:tcPr>
            <w:tcW w:w="7607" w:type="dxa"/>
            <w:vAlign w:val="center"/>
          </w:tcPr>
          <w:p w14:paraId="4096BB7F" w14:textId="77777777" w:rsidR="00616694" w:rsidRPr="008B3A69" w:rsidRDefault="00616694" w:rsidP="00FE7FE7">
            <w:pPr>
              <w:pStyle w:val="COMTabletext"/>
            </w:pPr>
            <w:r w:rsidRPr="008B3A69">
              <w:t>Ravulizumab in combination with standard therapy is superior in terms of efficacy and inferior in terms of safety compared to placebo in combination with standard therapy</w:t>
            </w:r>
          </w:p>
        </w:tc>
      </w:tr>
    </w:tbl>
    <w:p w14:paraId="3289B008" w14:textId="77777777" w:rsidR="00616694" w:rsidRPr="008B3A69" w:rsidRDefault="00616694" w:rsidP="00FE7FE7">
      <w:pPr>
        <w:pStyle w:val="COMTablefooter"/>
        <w:keepNext/>
      </w:pPr>
      <w:r w:rsidRPr="008B3A69">
        <w:t>Source: Table 1-1, p25 of the submission</w:t>
      </w:r>
    </w:p>
    <w:p w14:paraId="19EA3E30" w14:textId="3B641995" w:rsidR="00616694" w:rsidRPr="008B3A69" w:rsidRDefault="00616694" w:rsidP="00FE7FE7">
      <w:pPr>
        <w:pStyle w:val="COMTablefooter"/>
        <w:keepNext/>
      </w:pPr>
      <w:r w:rsidRPr="008B3A69">
        <w:t>Abbreviations: AChR, acetylcholine receptor antibody</w:t>
      </w:r>
    </w:p>
    <w:p w14:paraId="6B4AB6C2" w14:textId="483817F5" w:rsidR="005C25FF" w:rsidRPr="008B3A69" w:rsidRDefault="005C25FF" w:rsidP="004B4250">
      <w:pPr>
        <w:pStyle w:val="COMH1numbered"/>
      </w:pPr>
      <w:bookmarkStart w:id="2" w:name="_Toc156986095"/>
      <w:r w:rsidRPr="008B3A69">
        <w:t>Background</w:t>
      </w:r>
      <w:bookmarkEnd w:id="2"/>
    </w:p>
    <w:p w14:paraId="2C521D6D" w14:textId="53DB3792" w:rsidR="005C25FF" w:rsidRPr="000A35FA" w:rsidRDefault="005C25FF" w:rsidP="0045707B">
      <w:pPr>
        <w:pStyle w:val="COMH2-non-numbered"/>
        <w:rPr>
          <w:iCs/>
        </w:rPr>
      </w:pPr>
      <w:bookmarkStart w:id="3" w:name="_Toc22897638"/>
      <w:bookmarkStart w:id="4" w:name="_Toc156986096"/>
      <w:r w:rsidRPr="000A35FA">
        <w:rPr>
          <w:iCs/>
        </w:rPr>
        <w:t>Registration status</w:t>
      </w:r>
      <w:bookmarkEnd w:id="3"/>
      <w:bookmarkEnd w:id="4"/>
    </w:p>
    <w:p w14:paraId="6280FCA7" w14:textId="43CC5C7E" w:rsidR="00616694" w:rsidRPr="008B3A69" w:rsidRDefault="00616694" w:rsidP="00616694">
      <w:pPr>
        <w:pStyle w:val="COMexecsumnumberedpara"/>
      </w:pPr>
      <w:r w:rsidRPr="008B3A69">
        <w:t>Ravulizumab was approved by the TGA on 22 May 2023 ‘as an add-on to standard therapy for the treatment of adult patients with generalised myasthenia gravis who are anti-acetylcholine receptor (AChR) antibody-positive’.</w:t>
      </w:r>
    </w:p>
    <w:p w14:paraId="3D0A4B8B" w14:textId="6FB7E489" w:rsidR="00616694" w:rsidRDefault="6CBCDA44" w:rsidP="00616694">
      <w:pPr>
        <w:pStyle w:val="COMexecsumnumberedpara"/>
      </w:pPr>
      <w:r>
        <w:t>Ravulizumab is also currently TGA approved and PBS listed for the treatment of paroxysmal nocturnal haemoglobinuria and atypical haemolytic uraemic syndrome.</w:t>
      </w:r>
    </w:p>
    <w:p w14:paraId="1C2A9737" w14:textId="77777777" w:rsidR="00461F4A" w:rsidRPr="00EB6518" w:rsidRDefault="00461F4A" w:rsidP="00461F4A">
      <w:pPr>
        <w:pStyle w:val="COMH2-non-numbered"/>
      </w:pPr>
      <w:r w:rsidRPr="00EB6518">
        <w:t>Stakeholder meeting for generalised Myasthenia Gravis (AChR+)</w:t>
      </w:r>
    </w:p>
    <w:p w14:paraId="28F7C75D" w14:textId="77777777" w:rsidR="00461F4A" w:rsidRPr="007F52A5" w:rsidRDefault="00461F4A" w:rsidP="00461F4A">
      <w:pPr>
        <w:pStyle w:val="COMexecsumnumberedpara"/>
        <w:numPr>
          <w:ilvl w:val="1"/>
          <w:numId w:val="1"/>
        </w:numPr>
        <w:rPr>
          <w:iCs/>
        </w:rPr>
      </w:pPr>
      <w:bookmarkStart w:id="5" w:name="_Ref172801116"/>
      <w:r w:rsidRPr="007F52A5">
        <w:rPr>
          <w:iCs/>
        </w:rPr>
        <w:t>A stakeholder meeting was held on 3 May 2024 to discuss the current clinical management of gMG and the role of emerging new treatments.</w:t>
      </w:r>
      <w:bookmarkEnd w:id="5"/>
      <w:r w:rsidRPr="007F52A5">
        <w:rPr>
          <w:iCs/>
        </w:rPr>
        <w:t xml:space="preserve"> </w:t>
      </w:r>
    </w:p>
    <w:p w14:paraId="44A7FEF8" w14:textId="1FA00D9E" w:rsidR="00461F4A" w:rsidRPr="007F52A5" w:rsidRDefault="00461F4A" w:rsidP="004A30DC">
      <w:pPr>
        <w:pStyle w:val="COMexecsumnumberedpara"/>
        <w:numPr>
          <w:ilvl w:val="1"/>
          <w:numId w:val="1"/>
        </w:numPr>
        <w:rPr>
          <w:iCs/>
        </w:rPr>
      </w:pPr>
      <w:bookmarkStart w:id="6" w:name="_Ref169170181"/>
      <w:r>
        <w:rPr>
          <w:iCs/>
        </w:rPr>
        <w:t>A</w:t>
      </w:r>
      <w:r w:rsidRPr="007F52A5">
        <w:rPr>
          <w:iCs/>
        </w:rPr>
        <w:t>t the stakeholder meeting:</w:t>
      </w:r>
      <w:bookmarkEnd w:id="6"/>
    </w:p>
    <w:p w14:paraId="7BED552B" w14:textId="77777777" w:rsidR="00461F4A" w:rsidRPr="007F52A5" w:rsidRDefault="00461F4A" w:rsidP="004A30DC">
      <w:pPr>
        <w:pStyle w:val="ListParagraph"/>
        <w:numPr>
          <w:ilvl w:val="0"/>
          <w:numId w:val="21"/>
        </w:numPr>
        <w:rPr>
          <w:iCs/>
        </w:rPr>
      </w:pPr>
      <w:r w:rsidRPr="007F52A5">
        <w:rPr>
          <w:iCs/>
        </w:rPr>
        <w:t>the consumer representatives outlined that gMG places a substantial burden on patients particularly when symptoms are not well-controlled e.g. during disease fluctuations. Current treatment regimens can be intrusive, time-consuming, and can have a range of adverse events. Quality of life and participation in the workforce and society can be significantly impacted and this impact can extend to a patient’s family.</w:t>
      </w:r>
    </w:p>
    <w:p w14:paraId="5AE95419" w14:textId="77777777" w:rsidR="00461F4A" w:rsidRPr="007F52A5" w:rsidRDefault="00461F4A" w:rsidP="004A30DC">
      <w:pPr>
        <w:pStyle w:val="ListParagraph"/>
        <w:numPr>
          <w:ilvl w:val="0"/>
          <w:numId w:val="21"/>
        </w:numPr>
        <w:rPr>
          <w:iCs/>
        </w:rPr>
      </w:pPr>
      <w:r w:rsidRPr="007F52A5">
        <w:rPr>
          <w:iCs/>
        </w:rPr>
        <w:t>The consumer representatives highlighted that ideally clinicians would be able to offer access to newer medications based on individual patient needs and benefits, for all disease severities and for all disease settings.</w:t>
      </w:r>
    </w:p>
    <w:p w14:paraId="444C1820" w14:textId="77777777" w:rsidR="00461F4A" w:rsidRPr="007F52A5" w:rsidRDefault="00461F4A" w:rsidP="004A30DC">
      <w:pPr>
        <w:pStyle w:val="ListParagraph"/>
        <w:numPr>
          <w:ilvl w:val="0"/>
          <w:numId w:val="21"/>
        </w:numPr>
        <w:rPr>
          <w:iCs/>
        </w:rPr>
      </w:pPr>
      <w:r w:rsidRPr="007F52A5">
        <w:rPr>
          <w:iCs/>
        </w:rPr>
        <w:t>Although there are ongoing complexities for patients, the clinicians present at the stakeholder meeting noted that at present approximately 70% of patients experience on-treatment remission, while 30% are treatment refractory. The clinicians outlined that the majority of patients will respond/achieve remission with the classic treatment options (i.e. pyridostigmine and/or corticosteroids and/or non-steroid immunosuppressants), although some patients require high doses of steroids to achieve remission.</w:t>
      </w:r>
    </w:p>
    <w:p w14:paraId="364663AF" w14:textId="77777777" w:rsidR="00461F4A" w:rsidRPr="007F52A5" w:rsidRDefault="00461F4A" w:rsidP="004A30DC">
      <w:pPr>
        <w:pStyle w:val="ListParagraph"/>
        <w:numPr>
          <w:ilvl w:val="0"/>
          <w:numId w:val="21"/>
        </w:numPr>
        <w:rPr>
          <w:iCs/>
        </w:rPr>
      </w:pPr>
      <w:r w:rsidRPr="007F52A5">
        <w:rPr>
          <w:iCs/>
        </w:rPr>
        <w:t>Some patients require combination therapy with the classic treatment options from early on and, often, bridging therapies to provide relief from symptoms whilst remission induction occurs. It was stated that it can take up to two years for the non-steroid immunosuppressants to induce remission.</w:t>
      </w:r>
    </w:p>
    <w:p w14:paraId="456B052B" w14:textId="77777777" w:rsidR="00461F4A" w:rsidRPr="007F52A5" w:rsidRDefault="00461F4A" w:rsidP="004A30DC">
      <w:pPr>
        <w:pStyle w:val="ListParagraph"/>
        <w:numPr>
          <w:ilvl w:val="0"/>
          <w:numId w:val="21"/>
        </w:numPr>
        <w:rPr>
          <w:iCs/>
        </w:rPr>
      </w:pPr>
      <w:r w:rsidRPr="007F52A5">
        <w:rPr>
          <w:iCs/>
        </w:rPr>
        <w:t>It was noted that at present, the only bridging therapies available are intravenous immunoglobulin (IVIg) and plasma exchange (PLEX). The evidence for rituximab in this setting is poor. Clinicians advised that the availability of PLEX was not equitable as it is available mostly in metropolitan hospitals across Australia. In addition, PLEX treatment is very intensive. For IVIg, there is only limited long-term evidence of its benefit, the dosing schedule is demanding, it is expensive, and it is associated with safety issues and side effects.</w:t>
      </w:r>
    </w:p>
    <w:p w14:paraId="35B21F3C" w14:textId="77777777" w:rsidR="00461F4A" w:rsidRPr="007F52A5" w:rsidRDefault="00461F4A" w:rsidP="004A30DC">
      <w:pPr>
        <w:pStyle w:val="ListParagraph"/>
        <w:numPr>
          <w:ilvl w:val="0"/>
          <w:numId w:val="21"/>
        </w:numPr>
        <w:rPr>
          <w:iCs/>
        </w:rPr>
      </w:pPr>
      <w:r w:rsidRPr="007F52A5">
        <w:rPr>
          <w:iCs/>
        </w:rPr>
        <w:t>The newer agents (ravulizumab and zilucoplan, also known as complement inhibitors, along with the FcRn-targeted immunosuppressive therapies, efgartigimod and rosanolixizumb) have not yet been incorporated into key treatment guidelines.</w:t>
      </w:r>
    </w:p>
    <w:p w14:paraId="0D6507C2" w14:textId="77777777" w:rsidR="00461F4A" w:rsidRPr="007F52A5" w:rsidRDefault="00461F4A" w:rsidP="004A30DC">
      <w:pPr>
        <w:pStyle w:val="ListParagraph"/>
        <w:numPr>
          <w:ilvl w:val="0"/>
          <w:numId w:val="21"/>
        </w:numPr>
        <w:rPr>
          <w:iCs/>
        </w:rPr>
      </w:pPr>
      <w:r w:rsidRPr="007F52A5">
        <w:rPr>
          <w:iCs/>
        </w:rPr>
        <w:t xml:space="preserve">The clinicians present at the meeting stated that the new treatments have rapid onsets of action and considered that complement inhibitors should be available to be used early in combination with standard therapy i.e. as a bridging therapy with </w:t>
      </w:r>
      <w:bookmarkStart w:id="7" w:name="_Hlk167351175"/>
      <w:r w:rsidRPr="007F52A5">
        <w:rPr>
          <w:iCs/>
        </w:rPr>
        <w:t>specific patient criteria to be determined</w:t>
      </w:r>
      <w:bookmarkEnd w:id="7"/>
      <w:r w:rsidRPr="007F52A5">
        <w:rPr>
          <w:iCs/>
        </w:rPr>
        <w:t xml:space="preserve"> (e.g. a hypothetical case study of a typical patient who could benefit from the new therapies was discussed which took into account the patient’s response to standard therapy). The clinicians noted that there is also a role for complement inhibitors later in the disease course in refractory patients and in patients requiring rescue therapy for myasthenic crisis.</w:t>
      </w:r>
    </w:p>
    <w:p w14:paraId="77E75179" w14:textId="77777777" w:rsidR="00461F4A" w:rsidRPr="007F52A5" w:rsidRDefault="00461F4A" w:rsidP="004A30DC">
      <w:pPr>
        <w:pStyle w:val="ListParagraph"/>
        <w:numPr>
          <w:ilvl w:val="0"/>
          <w:numId w:val="21"/>
        </w:numPr>
        <w:ind w:left="1077" w:hanging="357"/>
        <w:rPr>
          <w:iCs/>
        </w:rPr>
      </w:pPr>
      <w:r w:rsidRPr="007F52A5">
        <w:rPr>
          <w:iCs/>
        </w:rPr>
        <w:t>The clinicians considered there should be robust stopping rules to prevent ongoing use. It was noted that it would be harder to cease treatment in refractory patients.</w:t>
      </w:r>
    </w:p>
    <w:p w14:paraId="002D9169" w14:textId="77777777" w:rsidR="00461F4A" w:rsidRPr="007F52A5" w:rsidRDefault="00461F4A" w:rsidP="004A30DC">
      <w:pPr>
        <w:pStyle w:val="ListParagraph"/>
        <w:numPr>
          <w:ilvl w:val="0"/>
          <w:numId w:val="21"/>
        </w:numPr>
        <w:rPr>
          <w:iCs/>
        </w:rPr>
      </w:pPr>
      <w:r w:rsidRPr="007F52A5">
        <w:rPr>
          <w:iCs/>
        </w:rPr>
        <w:t>The clinicians outlined the following potential stopping rules when used early in disease:</w:t>
      </w:r>
    </w:p>
    <w:p w14:paraId="6F3025C2" w14:textId="77777777" w:rsidR="00461F4A" w:rsidRPr="007F52A5" w:rsidRDefault="00461F4A" w:rsidP="004A30DC">
      <w:pPr>
        <w:pStyle w:val="ListParagraph"/>
        <w:numPr>
          <w:ilvl w:val="1"/>
          <w:numId w:val="21"/>
        </w:numPr>
        <w:ind w:left="1440"/>
        <w:rPr>
          <w:iCs/>
        </w:rPr>
      </w:pPr>
      <w:r w:rsidRPr="007F52A5">
        <w:rPr>
          <w:iCs/>
        </w:rPr>
        <w:t>Given that it appears that these agents work quickly, it was stated that it would be possible to determine whether they were having an effect within 12 weeks.</w:t>
      </w:r>
    </w:p>
    <w:p w14:paraId="252581A9" w14:textId="77777777" w:rsidR="00461F4A" w:rsidRPr="007F52A5" w:rsidRDefault="00461F4A" w:rsidP="004A30DC">
      <w:pPr>
        <w:pStyle w:val="ListParagraph"/>
        <w:numPr>
          <w:ilvl w:val="1"/>
          <w:numId w:val="21"/>
        </w:numPr>
        <w:ind w:left="1440"/>
        <w:rPr>
          <w:iCs/>
        </w:rPr>
      </w:pPr>
      <w:r w:rsidRPr="007F52A5">
        <w:rPr>
          <w:iCs/>
        </w:rPr>
        <w:t xml:space="preserve">If it was established that an agent was effective in improving symptoms, patients could remain on treatment for 12 months, as it usually takes at least 12 to 24 months for the standard disease modifying agents to have an effect. </w:t>
      </w:r>
    </w:p>
    <w:p w14:paraId="2AEBEDC3" w14:textId="77777777" w:rsidR="00461F4A" w:rsidRPr="007F52A5" w:rsidRDefault="00461F4A" w:rsidP="004A30DC">
      <w:pPr>
        <w:pStyle w:val="ListParagraph"/>
        <w:numPr>
          <w:ilvl w:val="1"/>
          <w:numId w:val="21"/>
        </w:numPr>
        <w:ind w:left="1440"/>
        <w:rPr>
          <w:iCs/>
        </w:rPr>
      </w:pPr>
      <w:r w:rsidRPr="007F52A5">
        <w:rPr>
          <w:iCs/>
        </w:rPr>
        <w:t>At 12 months, treatment with the complement inhibitor should be ceased. If the patient deteriorated, the complement inhibitor could be restarted, with 6-monthly rechallenges up to 2 years of total treatment. At that point treatment with the complement inhibitor would cease.</w:t>
      </w:r>
    </w:p>
    <w:p w14:paraId="380D229D" w14:textId="77777777" w:rsidR="00461F4A" w:rsidRDefault="00461F4A" w:rsidP="004A30DC">
      <w:pPr>
        <w:pStyle w:val="ListParagraph"/>
        <w:numPr>
          <w:ilvl w:val="0"/>
          <w:numId w:val="21"/>
        </w:numPr>
        <w:rPr>
          <w:iCs/>
        </w:rPr>
      </w:pPr>
      <w:r w:rsidRPr="007F52A5">
        <w:rPr>
          <w:iCs/>
        </w:rPr>
        <w:t>The clinicians proposed that patients may access re-treatment with a complement inhibitor if the disease is refractory, or if the patient experiences an exacerbation or is at risk of a myasthenia crisis.</w:t>
      </w:r>
    </w:p>
    <w:p w14:paraId="4F91C9A3" w14:textId="754ADAA6" w:rsidR="00620F64" w:rsidRPr="007F52A5" w:rsidRDefault="00477BBC" w:rsidP="00832900">
      <w:pPr>
        <w:pStyle w:val="ListBullet"/>
        <w:tabs>
          <w:tab w:val="clear" w:pos="360"/>
          <w:tab w:val="num" w:pos="1080"/>
        </w:tabs>
        <w:spacing w:after="120"/>
        <w:ind w:left="1077" w:hanging="357"/>
        <w:contextualSpacing w:val="0"/>
      </w:pPr>
      <w:r>
        <w:t>In all disease settings, the clinicians and consumer representatives stated that patients would have to be assessed for treatment response via measures that provided a robust, yet wholistic reflection, of the disease state. It was suggested that this would likely consist of the Myasthenia Gravis-Activities of Daily Living (MG-ADL) and/or Myasthenia Gravis Composite (MGC) score tools.</w:t>
      </w:r>
    </w:p>
    <w:p w14:paraId="26F14670" w14:textId="77777777" w:rsidR="00620F64" w:rsidRPr="007F52A5" w:rsidRDefault="00620F64" w:rsidP="00620F64">
      <w:pPr>
        <w:pStyle w:val="ListBullet"/>
        <w:numPr>
          <w:ilvl w:val="0"/>
          <w:numId w:val="0"/>
        </w:numPr>
        <w:ind w:left="720"/>
        <w:rPr>
          <w:i/>
          <w:iCs/>
        </w:rPr>
      </w:pPr>
      <w:r w:rsidRPr="007F52A5">
        <w:rPr>
          <w:i/>
          <w:iCs/>
        </w:rPr>
        <w:t>For more detail on PBAC’s view, see section 7 PBAC outcome.</w:t>
      </w:r>
    </w:p>
    <w:p w14:paraId="76E4EF3C" w14:textId="66B1CEE0" w:rsidR="00B60939" w:rsidRPr="008B3A69" w:rsidRDefault="00B50DB8" w:rsidP="004E18E9">
      <w:pPr>
        <w:pStyle w:val="COMH1numbered"/>
      </w:pPr>
      <w:bookmarkStart w:id="8" w:name="_Toc107902078"/>
      <w:bookmarkStart w:id="9" w:name="_Toc156986097"/>
      <w:bookmarkEnd w:id="8"/>
      <w:r w:rsidRPr="008B3A69">
        <w:t>Requested listing</w:t>
      </w:r>
      <w:bookmarkEnd w:id="9"/>
    </w:p>
    <w:p w14:paraId="0E212305" w14:textId="77777777" w:rsidR="0031493B" w:rsidRPr="00C6452A" w:rsidRDefault="0031493B" w:rsidP="0031493B">
      <w:pPr>
        <w:pStyle w:val="COMexecsumnumberedpara"/>
        <w:rPr>
          <w:iCs/>
        </w:rPr>
      </w:pPr>
      <w:r w:rsidRPr="00C6452A">
        <w:rPr>
          <w:iCs/>
        </w:rPr>
        <w:t xml:space="preserve">The restriction </w:t>
      </w:r>
      <w:r>
        <w:rPr>
          <w:iCs/>
        </w:rPr>
        <w:t xml:space="preserve">requested in the submission is outlined below. </w:t>
      </w:r>
      <w:r w:rsidRPr="002421D1">
        <w:t>Suggestions and additions proposed by the Secretariat are added in italics and suggested deletions are crossed out with strikethrough</w:t>
      </w:r>
      <w:r>
        <w:t xml:space="preserve"> (noting these changes are administrative in nature only)</w:t>
      </w:r>
      <w:r w:rsidRPr="002421D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14"/>
        <w:gridCol w:w="2118"/>
        <w:gridCol w:w="1700"/>
        <w:gridCol w:w="712"/>
        <w:gridCol w:w="712"/>
        <w:gridCol w:w="711"/>
        <w:gridCol w:w="1650"/>
      </w:tblGrid>
      <w:tr w:rsidR="0031493B" w14:paraId="26C1898F" w14:textId="77777777" w:rsidTr="00221F00">
        <w:trPr>
          <w:cantSplit/>
          <w:trHeight w:val="20"/>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E565F9A" w14:textId="77777777" w:rsidR="0031493B" w:rsidRDefault="0031493B" w:rsidP="00221F00">
            <w:pPr>
              <w:keepLines/>
              <w:rPr>
                <w:rFonts w:ascii="Arial Narrow" w:hAnsi="Arial Narrow"/>
                <w:b/>
                <w:bCs/>
                <w:sz w:val="20"/>
                <w:szCs w:val="20"/>
              </w:rPr>
            </w:pPr>
            <w:r>
              <w:rPr>
                <w:rFonts w:ascii="Arial Narrow" w:hAnsi="Arial Narrow"/>
                <w:b/>
                <w:bCs/>
                <w:sz w:val="20"/>
                <w:szCs w:val="20"/>
              </w:rPr>
              <w:t>MEDICINAL PRODUCT</w:t>
            </w:r>
          </w:p>
          <w:p w14:paraId="729E6162" w14:textId="77777777" w:rsidR="0031493B" w:rsidRDefault="0031493B" w:rsidP="00221F00">
            <w:pPr>
              <w:keepLines/>
              <w:rPr>
                <w:rFonts w:ascii="Arial Narrow" w:hAnsi="Arial Narrow"/>
                <w:b/>
                <w:sz w:val="20"/>
                <w:szCs w:val="20"/>
              </w:rPr>
            </w:pPr>
            <w:r>
              <w:rPr>
                <w:rFonts w:ascii="Arial Narrow" w:hAnsi="Arial Narrow"/>
                <w:b/>
                <w:bCs/>
                <w:sz w:val="20"/>
                <w:szCs w:val="20"/>
              </w:rPr>
              <w:t>medicinal product pack</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10AEB45" w14:textId="77777777" w:rsidR="0031493B" w:rsidRDefault="0031493B" w:rsidP="00221F00">
            <w:pPr>
              <w:keepLines/>
              <w:jc w:val="center"/>
              <w:rPr>
                <w:rFonts w:ascii="Arial Narrow" w:hAnsi="Arial Narrow"/>
                <w:b/>
                <w:sz w:val="20"/>
                <w:szCs w:val="20"/>
              </w:rPr>
            </w:pPr>
            <w:r>
              <w:rPr>
                <w:rFonts w:ascii="Arial Narrow" w:hAnsi="Arial Narrow"/>
                <w:b/>
                <w:sz w:val="20"/>
                <w:szCs w:val="20"/>
              </w:rPr>
              <w:t>PBS item code</w:t>
            </w:r>
          </w:p>
        </w:tc>
        <w:tc>
          <w:tcPr>
            <w:tcW w:w="727" w:type="dxa"/>
            <w:tcBorders>
              <w:top w:val="single" w:sz="4" w:space="0" w:color="auto"/>
              <w:left w:val="single" w:sz="4" w:space="0" w:color="auto"/>
              <w:bottom w:val="single" w:sz="4" w:space="0" w:color="auto"/>
              <w:right w:val="single" w:sz="4" w:space="0" w:color="auto"/>
            </w:tcBorders>
            <w:vAlign w:val="center"/>
            <w:hideMark/>
          </w:tcPr>
          <w:p w14:paraId="5AF07F45" w14:textId="77777777" w:rsidR="0031493B" w:rsidRDefault="0031493B" w:rsidP="00221F00">
            <w:pPr>
              <w:keepLines/>
              <w:jc w:val="center"/>
              <w:rPr>
                <w:rFonts w:ascii="Arial Narrow" w:hAnsi="Arial Narrow"/>
                <w:b/>
                <w:sz w:val="20"/>
                <w:szCs w:val="20"/>
              </w:rPr>
            </w:pPr>
            <w:r>
              <w:rPr>
                <w:rFonts w:ascii="Arial Narrow" w:hAnsi="Arial Narrow"/>
                <w:b/>
                <w:sz w:val="20"/>
                <w:szCs w:val="20"/>
              </w:rPr>
              <w:t>Max. qty packs</w:t>
            </w:r>
          </w:p>
        </w:tc>
        <w:tc>
          <w:tcPr>
            <w:tcW w:w="727" w:type="dxa"/>
            <w:tcBorders>
              <w:top w:val="single" w:sz="4" w:space="0" w:color="auto"/>
              <w:left w:val="single" w:sz="4" w:space="0" w:color="auto"/>
              <w:bottom w:val="single" w:sz="4" w:space="0" w:color="auto"/>
              <w:right w:val="single" w:sz="4" w:space="0" w:color="auto"/>
            </w:tcBorders>
            <w:vAlign w:val="center"/>
            <w:hideMark/>
          </w:tcPr>
          <w:p w14:paraId="574F65AA" w14:textId="77777777" w:rsidR="0031493B" w:rsidRDefault="0031493B" w:rsidP="00221F00">
            <w:pPr>
              <w:keepLines/>
              <w:jc w:val="center"/>
              <w:rPr>
                <w:rFonts w:ascii="Arial Narrow" w:hAnsi="Arial Narrow"/>
                <w:b/>
                <w:sz w:val="20"/>
                <w:szCs w:val="20"/>
              </w:rPr>
            </w:pPr>
            <w:r>
              <w:rPr>
                <w:rFonts w:ascii="Arial Narrow" w:hAnsi="Arial Narrow"/>
                <w:b/>
                <w:sz w:val="20"/>
                <w:szCs w:val="20"/>
              </w:rPr>
              <w:t>Max. qty units</w:t>
            </w:r>
          </w:p>
        </w:tc>
        <w:tc>
          <w:tcPr>
            <w:tcW w:w="726" w:type="dxa"/>
            <w:tcBorders>
              <w:top w:val="single" w:sz="4" w:space="0" w:color="auto"/>
              <w:left w:val="single" w:sz="4" w:space="0" w:color="auto"/>
              <w:bottom w:val="single" w:sz="4" w:space="0" w:color="auto"/>
              <w:right w:val="single" w:sz="4" w:space="0" w:color="auto"/>
            </w:tcBorders>
            <w:vAlign w:val="center"/>
            <w:hideMark/>
          </w:tcPr>
          <w:p w14:paraId="1BFBFE4E" w14:textId="77777777" w:rsidR="0031493B" w:rsidRDefault="0031493B" w:rsidP="00221F00">
            <w:pPr>
              <w:keepLines/>
              <w:jc w:val="center"/>
              <w:rPr>
                <w:rFonts w:ascii="Arial Narrow" w:hAnsi="Arial Narrow"/>
                <w:b/>
                <w:sz w:val="20"/>
                <w:szCs w:val="20"/>
              </w:rPr>
            </w:pPr>
            <w:r>
              <w:rPr>
                <w:rFonts w:ascii="Arial Narrow" w:hAnsi="Arial Narrow"/>
                <w:b/>
                <w:sz w:val="20"/>
                <w:szCs w:val="20"/>
              </w:rPr>
              <w:t>№.of</w:t>
            </w:r>
          </w:p>
          <w:p w14:paraId="2D57BE1E" w14:textId="77777777" w:rsidR="0031493B" w:rsidRDefault="0031493B" w:rsidP="00221F00">
            <w:pPr>
              <w:keepLines/>
              <w:jc w:val="center"/>
              <w:rPr>
                <w:rFonts w:ascii="Arial Narrow" w:hAnsi="Arial Narrow"/>
                <w:b/>
                <w:sz w:val="20"/>
                <w:szCs w:val="20"/>
              </w:rPr>
            </w:pPr>
            <w:r>
              <w:rPr>
                <w:rFonts w:ascii="Arial Narrow" w:hAnsi="Arial Narrow"/>
                <w:b/>
                <w:sz w:val="20"/>
                <w:szCs w:val="20"/>
              </w:rPr>
              <w:t>Rpts</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A255F31" w14:textId="77777777" w:rsidR="0031493B" w:rsidRDefault="0031493B" w:rsidP="00221F00">
            <w:pPr>
              <w:keepLines/>
              <w:rPr>
                <w:rFonts w:ascii="Arial Narrow" w:hAnsi="Arial Narrow"/>
                <w:b/>
                <w:sz w:val="20"/>
                <w:szCs w:val="20"/>
                <w:lang w:val="fr-FR"/>
              </w:rPr>
            </w:pPr>
            <w:r>
              <w:rPr>
                <w:rFonts w:ascii="Arial Narrow" w:hAnsi="Arial Narrow"/>
                <w:b/>
                <w:sz w:val="20"/>
                <w:szCs w:val="20"/>
              </w:rPr>
              <w:t>Available brands</w:t>
            </w:r>
          </w:p>
        </w:tc>
      </w:tr>
      <w:tr w:rsidR="0031493B" w14:paraId="107C9E83" w14:textId="77777777" w:rsidTr="00221F00">
        <w:trPr>
          <w:cantSplit/>
          <w:trHeight w:val="20"/>
        </w:trPr>
        <w:tc>
          <w:tcPr>
            <w:tcW w:w="9243" w:type="dxa"/>
            <w:gridSpan w:val="7"/>
            <w:tcBorders>
              <w:top w:val="single" w:sz="4" w:space="0" w:color="auto"/>
              <w:left w:val="single" w:sz="4" w:space="0" w:color="auto"/>
              <w:bottom w:val="single" w:sz="4" w:space="0" w:color="auto"/>
              <w:right w:val="single" w:sz="4" w:space="0" w:color="auto"/>
            </w:tcBorders>
            <w:vAlign w:val="center"/>
            <w:hideMark/>
          </w:tcPr>
          <w:p w14:paraId="69C6F39C" w14:textId="77777777" w:rsidR="0031493B" w:rsidRDefault="0031493B" w:rsidP="00221F00">
            <w:pPr>
              <w:keepLines/>
              <w:rPr>
                <w:rFonts w:ascii="Arial Narrow" w:hAnsi="Arial Narrow"/>
                <w:sz w:val="20"/>
                <w:szCs w:val="20"/>
              </w:rPr>
            </w:pPr>
            <w:r>
              <w:rPr>
                <w:rFonts w:ascii="Arial Narrow" w:hAnsi="Arial Narrow"/>
                <w:sz w:val="20"/>
                <w:szCs w:val="20"/>
              </w:rPr>
              <w:t>RAVULIZUMAB</w:t>
            </w:r>
          </w:p>
        </w:tc>
      </w:tr>
      <w:tr w:rsidR="0031493B" w14:paraId="7FDF8D75" w14:textId="77777777" w:rsidTr="00221F00">
        <w:trPr>
          <w:cantSplit/>
          <w:trHeight w:val="20"/>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7D9BE37" w14:textId="77777777" w:rsidR="0031493B" w:rsidRDefault="0031493B" w:rsidP="00221F00">
            <w:pPr>
              <w:keepLines/>
              <w:rPr>
                <w:rFonts w:ascii="Arial Narrow" w:hAnsi="Arial Narrow"/>
                <w:sz w:val="20"/>
                <w:szCs w:val="20"/>
              </w:rPr>
            </w:pPr>
            <w:r>
              <w:rPr>
                <w:rFonts w:ascii="Arial Narrow" w:hAnsi="Arial Narrow"/>
                <w:sz w:val="20"/>
                <w:szCs w:val="20"/>
              </w:rPr>
              <w:t>ravulizumab 1.1 g/11 mL injection, 11 mL vial</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763076B" w14:textId="77777777" w:rsidR="0031493B" w:rsidRDefault="0031493B" w:rsidP="00221F00">
            <w:pPr>
              <w:keepLines/>
              <w:jc w:val="center"/>
              <w:rPr>
                <w:rFonts w:ascii="Arial Narrow" w:hAnsi="Arial Narrow"/>
                <w:sz w:val="20"/>
                <w:szCs w:val="20"/>
              </w:rPr>
            </w:pPr>
            <w:r>
              <w:rPr>
                <w:rFonts w:ascii="Arial Narrow" w:hAnsi="Arial Narrow"/>
                <w:sz w:val="20"/>
                <w:szCs w:val="20"/>
              </w:rPr>
              <w:t>NEW HSD (Public)</w:t>
            </w:r>
          </w:p>
          <w:p w14:paraId="4D2059A1" w14:textId="77777777" w:rsidR="0031493B" w:rsidRDefault="0031493B" w:rsidP="00221F00">
            <w:pPr>
              <w:keepLines/>
              <w:jc w:val="center"/>
              <w:rPr>
                <w:rFonts w:ascii="Arial Narrow" w:hAnsi="Arial Narrow"/>
                <w:sz w:val="20"/>
                <w:szCs w:val="20"/>
              </w:rPr>
            </w:pPr>
            <w:r>
              <w:rPr>
                <w:rFonts w:ascii="Arial Narrow" w:hAnsi="Arial Narrow"/>
                <w:sz w:val="20"/>
                <w:szCs w:val="20"/>
              </w:rPr>
              <w:t>NEW HSD (Private)</w:t>
            </w:r>
          </w:p>
        </w:tc>
        <w:tc>
          <w:tcPr>
            <w:tcW w:w="727" w:type="dxa"/>
            <w:tcBorders>
              <w:top w:val="single" w:sz="4" w:space="0" w:color="auto"/>
              <w:left w:val="single" w:sz="4" w:space="0" w:color="auto"/>
              <w:bottom w:val="single" w:sz="4" w:space="0" w:color="auto"/>
              <w:right w:val="single" w:sz="4" w:space="0" w:color="auto"/>
            </w:tcBorders>
            <w:vAlign w:val="center"/>
            <w:hideMark/>
          </w:tcPr>
          <w:p w14:paraId="6D1B5372" w14:textId="77777777" w:rsidR="0031493B" w:rsidRDefault="0031493B" w:rsidP="00221F00">
            <w:pPr>
              <w:keepLines/>
              <w:jc w:val="center"/>
              <w:rPr>
                <w:rFonts w:ascii="Arial Narrow" w:hAnsi="Arial Narrow"/>
                <w:sz w:val="20"/>
                <w:szCs w:val="20"/>
              </w:rPr>
            </w:pPr>
            <w:r>
              <w:rPr>
                <w:rFonts w:ascii="Arial Narrow" w:hAnsi="Arial Narrow"/>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14:paraId="4C5D3413" w14:textId="77777777" w:rsidR="0031493B" w:rsidRDefault="0031493B" w:rsidP="00221F00">
            <w:pPr>
              <w:keepLines/>
              <w:jc w:val="center"/>
              <w:rPr>
                <w:rFonts w:ascii="Arial Narrow" w:hAnsi="Arial Narrow"/>
                <w:sz w:val="20"/>
                <w:szCs w:val="20"/>
              </w:rPr>
            </w:pPr>
            <w:r>
              <w:rPr>
                <w:rFonts w:ascii="Arial Narrow" w:hAnsi="Arial Narrow"/>
                <w:sz w:val="20"/>
                <w:szCs w:val="20"/>
              </w:rPr>
              <w:t>1</w:t>
            </w:r>
          </w:p>
        </w:tc>
        <w:tc>
          <w:tcPr>
            <w:tcW w:w="726" w:type="dxa"/>
            <w:tcBorders>
              <w:top w:val="single" w:sz="4" w:space="0" w:color="auto"/>
              <w:left w:val="single" w:sz="4" w:space="0" w:color="auto"/>
              <w:bottom w:val="single" w:sz="4" w:space="0" w:color="auto"/>
              <w:right w:val="single" w:sz="4" w:space="0" w:color="auto"/>
            </w:tcBorders>
            <w:vAlign w:val="center"/>
            <w:hideMark/>
          </w:tcPr>
          <w:p w14:paraId="2EA399E4" w14:textId="77777777" w:rsidR="0031493B" w:rsidRDefault="0031493B" w:rsidP="00221F00">
            <w:pPr>
              <w:keepLines/>
              <w:jc w:val="center"/>
              <w:rPr>
                <w:rFonts w:ascii="Arial Narrow" w:hAnsi="Arial Narrow"/>
                <w:sz w:val="20"/>
                <w:szCs w:val="20"/>
              </w:rPr>
            </w:pPr>
            <w:r>
              <w:rPr>
                <w:rFonts w:ascii="Arial Narrow" w:hAnsi="Arial Narrow"/>
                <w:sz w:val="20"/>
                <w:szCs w:val="20"/>
              </w:rPr>
              <w:t>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5538343" w14:textId="77777777" w:rsidR="0031493B" w:rsidRDefault="0031493B" w:rsidP="00221F00">
            <w:pPr>
              <w:keepLines/>
              <w:rPr>
                <w:rFonts w:ascii="Arial Narrow" w:hAnsi="Arial Narrow"/>
                <w:sz w:val="20"/>
                <w:szCs w:val="20"/>
              </w:rPr>
            </w:pPr>
            <w:r>
              <w:rPr>
                <w:rFonts w:ascii="Arial Narrow" w:hAnsi="Arial Narrow"/>
                <w:sz w:val="20"/>
                <w:szCs w:val="20"/>
              </w:rPr>
              <w:t>Ultomiris</w:t>
            </w:r>
          </w:p>
        </w:tc>
      </w:tr>
      <w:tr w:rsidR="0031493B" w14:paraId="7D389354" w14:textId="77777777" w:rsidTr="00221F00">
        <w:trPr>
          <w:cantSplit/>
          <w:trHeight w:val="20"/>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3E42C5D4" w14:textId="77777777" w:rsidR="0031493B" w:rsidRDefault="0031493B" w:rsidP="00221F00">
            <w:pPr>
              <w:keepLines/>
              <w:rPr>
                <w:rFonts w:ascii="Arial Narrow" w:hAnsi="Arial Narrow"/>
                <w:sz w:val="20"/>
                <w:szCs w:val="20"/>
              </w:rPr>
            </w:pPr>
            <w:r>
              <w:rPr>
                <w:rFonts w:ascii="Arial Narrow" w:hAnsi="Arial Narrow"/>
                <w:sz w:val="20"/>
                <w:szCs w:val="20"/>
              </w:rPr>
              <w:t>ravulizumab 300 mg/3 mL injection, 3 mL vial</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2AC2777" w14:textId="77777777" w:rsidR="0031493B" w:rsidRDefault="0031493B" w:rsidP="00221F00">
            <w:pPr>
              <w:keepLines/>
              <w:jc w:val="center"/>
              <w:rPr>
                <w:rFonts w:ascii="Arial Narrow" w:hAnsi="Arial Narrow"/>
                <w:sz w:val="20"/>
                <w:szCs w:val="20"/>
              </w:rPr>
            </w:pPr>
            <w:r>
              <w:rPr>
                <w:rFonts w:ascii="Arial Narrow" w:hAnsi="Arial Narrow"/>
                <w:sz w:val="20"/>
                <w:szCs w:val="20"/>
              </w:rPr>
              <w:t>NEW HSD (Public)</w:t>
            </w:r>
          </w:p>
          <w:p w14:paraId="4172C4B7" w14:textId="77777777" w:rsidR="0031493B" w:rsidRDefault="0031493B" w:rsidP="00221F00">
            <w:pPr>
              <w:keepLines/>
              <w:jc w:val="center"/>
              <w:rPr>
                <w:rFonts w:ascii="Arial Narrow" w:hAnsi="Arial Narrow"/>
                <w:sz w:val="20"/>
                <w:szCs w:val="20"/>
              </w:rPr>
            </w:pPr>
            <w:r>
              <w:rPr>
                <w:rFonts w:ascii="Arial Narrow" w:hAnsi="Arial Narrow"/>
                <w:sz w:val="20"/>
                <w:szCs w:val="20"/>
              </w:rPr>
              <w:t>NEW HSD (Private)</w:t>
            </w:r>
          </w:p>
        </w:tc>
        <w:tc>
          <w:tcPr>
            <w:tcW w:w="727" w:type="dxa"/>
            <w:tcBorders>
              <w:top w:val="single" w:sz="4" w:space="0" w:color="auto"/>
              <w:left w:val="single" w:sz="4" w:space="0" w:color="auto"/>
              <w:bottom w:val="single" w:sz="4" w:space="0" w:color="auto"/>
              <w:right w:val="single" w:sz="4" w:space="0" w:color="auto"/>
            </w:tcBorders>
            <w:vAlign w:val="center"/>
            <w:hideMark/>
          </w:tcPr>
          <w:p w14:paraId="6AF17B11" w14:textId="77777777" w:rsidR="0031493B" w:rsidRDefault="0031493B" w:rsidP="00221F00">
            <w:pPr>
              <w:keepLines/>
              <w:jc w:val="center"/>
              <w:rPr>
                <w:rFonts w:ascii="Arial Narrow" w:hAnsi="Arial Narrow"/>
                <w:sz w:val="20"/>
                <w:szCs w:val="20"/>
              </w:rPr>
            </w:pPr>
            <w:r>
              <w:rPr>
                <w:rFonts w:ascii="Arial Narrow" w:hAnsi="Arial Narrow"/>
                <w:sz w:val="20"/>
                <w:szCs w:val="20"/>
              </w:rPr>
              <w:t>1</w:t>
            </w:r>
          </w:p>
        </w:tc>
        <w:tc>
          <w:tcPr>
            <w:tcW w:w="727" w:type="dxa"/>
            <w:tcBorders>
              <w:top w:val="single" w:sz="4" w:space="0" w:color="auto"/>
              <w:left w:val="single" w:sz="4" w:space="0" w:color="auto"/>
              <w:bottom w:val="single" w:sz="4" w:space="0" w:color="auto"/>
              <w:right w:val="single" w:sz="4" w:space="0" w:color="auto"/>
            </w:tcBorders>
            <w:vAlign w:val="center"/>
            <w:hideMark/>
          </w:tcPr>
          <w:p w14:paraId="4D0B2C2B" w14:textId="77777777" w:rsidR="0031493B" w:rsidRDefault="0031493B" w:rsidP="00221F00">
            <w:pPr>
              <w:keepLines/>
              <w:jc w:val="center"/>
              <w:rPr>
                <w:rFonts w:ascii="Arial Narrow" w:hAnsi="Arial Narrow"/>
                <w:sz w:val="20"/>
                <w:szCs w:val="20"/>
              </w:rPr>
            </w:pPr>
            <w:r>
              <w:rPr>
                <w:rFonts w:ascii="Arial Narrow" w:hAnsi="Arial Narrow"/>
                <w:sz w:val="20"/>
                <w:szCs w:val="20"/>
              </w:rPr>
              <w:t>1</w:t>
            </w:r>
          </w:p>
        </w:tc>
        <w:tc>
          <w:tcPr>
            <w:tcW w:w="726" w:type="dxa"/>
            <w:tcBorders>
              <w:top w:val="single" w:sz="4" w:space="0" w:color="auto"/>
              <w:left w:val="single" w:sz="4" w:space="0" w:color="auto"/>
              <w:bottom w:val="single" w:sz="4" w:space="0" w:color="auto"/>
              <w:right w:val="single" w:sz="4" w:space="0" w:color="auto"/>
            </w:tcBorders>
            <w:vAlign w:val="center"/>
            <w:hideMark/>
          </w:tcPr>
          <w:p w14:paraId="40AA442A" w14:textId="77777777" w:rsidR="0031493B" w:rsidRDefault="0031493B" w:rsidP="00221F00">
            <w:pPr>
              <w:keepLines/>
              <w:jc w:val="center"/>
              <w:rPr>
                <w:rFonts w:ascii="Arial Narrow" w:hAnsi="Arial Narrow"/>
                <w:sz w:val="20"/>
                <w:szCs w:val="20"/>
              </w:rPr>
            </w:pPr>
            <w:r>
              <w:rPr>
                <w:rFonts w:ascii="Arial Narrow" w:hAnsi="Arial Narrow"/>
                <w:sz w:val="20"/>
                <w:szCs w:val="20"/>
              </w:rPr>
              <w:t>0</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F05D13A" w14:textId="77777777" w:rsidR="0031493B" w:rsidRDefault="0031493B" w:rsidP="00221F00">
            <w:pPr>
              <w:keepLines/>
              <w:rPr>
                <w:rFonts w:ascii="Arial Narrow" w:hAnsi="Arial Narrow"/>
                <w:sz w:val="20"/>
                <w:szCs w:val="20"/>
              </w:rPr>
            </w:pPr>
            <w:r>
              <w:rPr>
                <w:rFonts w:ascii="Arial Narrow" w:hAnsi="Arial Narrow"/>
                <w:sz w:val="20"/>
                <w:szCs w:val="20"/>
              </w:rPr>
              <w:t>Ultomiris</w:t>
            </w:r>
          </w:p>
        </w:tc>
      </w:tr>
      <w:tr w:rsidR="0031493B" w14:paraId="04341BCD" w14:textId="77777777" w:rsidTr="00221F00">
        <w:trPr>
          <w:trHeight w:val="20"/>
        </w:trPr>
        <w:tc>
          <w:tcPr>
            <w:tcW w:w="9243"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7907FB" w14:textId="77777777" w:rsidR="0031493B" w:rsidRDefault="0031493B" w:rsidP="00221F00">
            <w:pPr>
              <w:rPr>
                <w:rFonts w:ascii="Arial Narrow" w:hAnsi="Arial Narrow"/>
                <w:sz w:val="20"/>
                <w:szCs w:val="20"/>
              </w:rPr>
            </w:pPr>
          </w:p>
        </w:tc>
      </w:tr>
      <w:tr w:rsidR="0031493B" w14:paraId="5743BBD8" w14:textId="77777777" w:rsidTr="00221F00">
        <w:trPr>
          <w:trHeight w:val="20"/>
        </w:trPr>
        <w:tc>
          <w:tcPr>
            <w:tcW w:w="9243"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E1B4570" w14:textId="7458D449" w:rsidR="0031493B" w:rsidRDefault="0031493B" w:rsidP="00221F00">
            <w:pPr>
              <w:keepLines/>
              <w:rPr>
                <w:rFonts w:ascii="Arial Narrow" w:hAnsi="Arial Narrow"/>
                <w:b/>
                <w:sz w:val="20"/>
                <w:szCs w:val="20"/>
              </w:rPr>
            </w:pPr>
            <w:r>
              <w:rPr>
                <w:rFonts w:ascii="Arial Narrow" w:hAnsi="Arial Narrow"/>
                <w:b/>
                <w:sz w:val="20"/>
                <w:szCs w:val="20"/>
              </w:rPr>
              <w:t xml:space="preserve">Restriction Summary / Treatment of Concept: </w:t>
            </w:r>
          </w:p>
        </w:tc>
      </w:tr>
      <w:tr w:rsidR="0031493B" w:rsidRPr="00485311" w14:paraId="291CFBBF" w14:textId="77777777" w:rsidTr="00221F00">
        <w:trPr>
          <w:trHeight w:val="20"/>
        </w:trPr>
        <w:tc>
          <w:tcPr>
            <w:tcW w:w="1448"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C8A255C" w14:textId="0ED4E0A5" w:rsidR="0031493B" w:rsidRPr="00485311" w:rsidRDefault="0031493B" w:rsidP="00221F00">
            <w:pPr>
              <w:jc w:val="center"/>
              <w:rPr>
                <w:rFonts w:ascii="Arial Narrow" w:hAnsi="Arial Narrow"/>
                <w:b/>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C816BC" w14:textId="77777777" w:rsidR="0031493B" w:rsidRPr="00485311" w:rsidRDefault="0031493B" w:rsidP="00221F00">
            <w:pPr>
              <w:keepLines/>
              <w:rPr>
                <w:rFonts w:ascii="Arial Narrow" w:hAnsi="Arial Narrow"/>
                <w:sz w:val="20"/>
                <w:szCs w:val="20"/>
              </w:rPr>
            </w:pPr>
            <w:r w:rsidRPr="00485311">
              <w:rPr>
                <w:rFonts w:ascii="Arial Narrow" w:hAnsi="Arial Narrow"/>
                <w:b/>
                <w:sz w:val="20"/>
                <w:szCs w:val="20"/>
              </w:rPr>
              <w:t xml:space="preserve">Category / Program: </w:t>
            </w:r>
            <w:r w:rsidRPr="00485311">
              <w:rPr>
                <w:rFonts w:ascii="Arial Narrow" w:hAnsi="Arial Narrow"/>
                <w:sz w:val="20"/>
                <w:szCs w:val="20"/>
              </w:rPr>
              <w:t xml:space="preserve">Section 100 – Highly Specialised Drugs Program </w:t>
            </w:r>
          </w:p>
        </w:tc>
      </w:tr>
      <w:tr w:rsidR="0031493B" w:rsidRPr="00485311" w14:paraId="6A6F9192" w14:textId="77777777" w:rsidTr="00221F00">
        <w:trPr>
          <w:trHeight w:val="20"/>
        </w:trPr>
        <w:tc>
          <w:tcPr>
            <w:tcW w:w="1448" w:type="dxa"/>
            <w:vMerge/>
            <w:vAlign w:val="center"/>
          </w:tcPr>
          <w:p w14:paraId="57F292DF" w14:textId="77777777" w:rsidR="0031493B" w:rsidRPr="00485311" w:rsidRDefault="0031493B" w:rsidP="00221F00">
            <w:pPr>
              <w:rPr>
                <w:rFonts w:ascii="Arial Narrow" w:hAnsi="Arial Narrow"/>
                <w:b/>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F94F9A" w14:textId="77777777" w:rsidR="0031493B" w:rsidRPr="00485311" w:rsidRDefault="0031493B" w:rsidP="00221F00">
            <w:pPr>
              <w:keepLines/>
              <w:rPr>
                <w:rFonts w:ascii="Arial Narrow" w:hAnsi="Arial Narrow"/>
                <w:b/>
                <w:sz w:val="20"/>
                <w:szCs w:val="20"/>
              </w:rPr>
            </w:pPr>
            <w:r w:rsidRPr="00485311">
              <w:rPr>
                <w:rFonts w:ascii="Arial Narrow" w:hAnsi="Arial Narrow"/>
                <w:b/>
                <w:sz w:val="20"/>
                <w:szCs w:val="20"/>
              </w:rPr>
              <w:t xml:space="preserve">Prescriber type: </w:t>
            </w:r>
            <w:r w:rsidRPr="00485311">
              <w:rPr>
                <w:rFonts w:ascii="Arial Narrow" w:hAnsi="Arial Narrow"/>
                <w:sz w:val="20"/>
                <w:szCs w:val="20"/>
              </w:rPr>
              <w:fldChar w:fldCharType="begin" w:fldLock="1">
                <w:ffData>
                  <w:name w:val=""/>
                  <w:enabled/>
                  <w:calcOnExit w:val="0"/>
                  <w:checkBox>
                    <w:sizeAuto/>
                    <w:default w:val="1"/>
                  </w:checkBox>
                </w:ffData>
              </w:fldChar>
            </w:r>
            <w:r w:rsidRPr="00485311">
              <w:rPr>
                <w:rFonts w:ascii="Arial Narrow" w:hAnsi="Arial Narrow"/>
                <w:sz w:val="20"/>
                <w:szCs w:val="20"/>
              </w:rPr>
              <w:instrText xml:space="preserve"> FORMCHECKBOX </w:instrText>
            </w:r>
            <w:r w:rsidR="0081453B">
              <w:rPr>
                <w:rFonts w:ascii="Arial Narrow" w:hAnsi="Arial Narrow"/>
                <w:sz w:val="20"/>
                <w:szCs w:val="20"/>
              </w:rPr>
            </w:r>
            <w:r w:rsidR="0081453B">
              <w:rPr>
                <w:rFonts w:ascii="Arial Narrow" w:hAnsi="Arial Narrow"/>
                <w:sz w:val="20"/>
                <w:szCs w:val="20"/>
              </w:rPr>
              <w:fldChar w:fldCharType="separate"/>
            </w:r>
            <w:r w:rsidRPr="00485311">
              <w:rPr>
                <w:rFonts w:ascii="Arial Narrow" w:hAnsi="Arial Narrow"/>
                <w:sz w:val="20"/>
                <w:szCs w:val="20"/>
              </w:rPr>
              <w:fldChar w:fldCharType="end"/>
            </w:r>
            <w:r w:rsidRPr="00485311">
              <w:rPr>
                <w:rFonts w:ascii="Arial Narrow" w:hAnsi="Arial Narrow"/>
                <w:sz w:val="20"/>
                <w:szCs w:val="20"/>
              </w:rPr>
              <w:t xml:space="preserve">Medical Practitioners </w:t>
            </w:r>
          </w:p>
        </w:tc>
      </w:tr>
      <w:tr w:rsidR="0031493B" w:rsidRPr="00485311" w14:paraId="741FCE5D" w14:textId="77777777" w:rsidTr="00221F00">
        <w:trPr>
          <w:trHeight w:val="20"/>
        </w:trPr>
        <w:tc>
          <w:tcPr>
            <w:tcW w:w="1448" w:type="dxa"/>
            <w:vMerge/>
            <w:vAlign w:val="center"/>
          </w:tcPr>
          <w:p w14:paraId="55308AF2" w14:textId="77777777" w:rsidR="0031493B" w:rsidRPr="00485311" w:rsidRDefault="0031493B" w:rsidP="00221F00">
            <w:pPr>
              <w:rPr>
                <w:rFonts w:ascii="Arial Narrow" w:hAnsi="Arial Narrow"/>
                <w:b/>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24F37E3" w14:textId="77777777" w:rsidR="0031493B" w:rsidRPr="00485311" w:rsidRDefault="0031493B" w:rsidP="00221F00">
            <w:pPr>
              <w:keepLines/>
              <w:rPr>
                <w:rFonts w:ascii="Arial Narrow" w:eastAsia="Calibri" w:hAnsi="Arial Narrow"/>
                <w:color w:val="FF0000"/>
                <w:sz w:val="20"/>
                <w:szCs w:val="20"/>
              </w:rPr>
            </w:pPr>
            <w:r w:rsidRPr="00485311">
              <w:rPr>
                <w:rFonts w:ascii="Arial Narrow" w:hAnsi="Arial Narrow"/>
                <w:b/>
                <w:sz w:val="20"/>
                <w:szCs w:val="20"/>
              </w:rPr>
              <w:t xml:space="preserve">Restriction type: </w:t>
            </w:r>
            <w:r w:rsidRPr="00485311">
              <w:rPr>
                <w:rFonts w:ascii="Arial Narrow" w:eastAsia="Calibri" w:hAnsi="Arial Narrow"/>
                <w:sz w:val="20"/>
                <w:szCs w:val="20"/>
              </w:rPr>
              <w:fldChar w:fldCharType="begin" w:fldLock="1">
                <w:ffData>
                  <w:name w:val=""/>
                  <w:enabled/>
                  <w:calcOnExit w:val="0"/>
                  <w:checkBox>
                    <w:sizeAuto/>
                    <w:default w:val="1"/>
                  </w:checkBox>
                </w:ffData>
              </w:fldChar>
            </w:r>
            <w:r w:rsidRPr="00485311">
              <w:rPr>
                <w:rFonts w:ascii="Arial Narrow" w:eastAsia="Calibri" w:hAnsi="Arial Narrow"/>
                <w:sz w:val="20"/>
                <w:szCs w:val="20"/>
              </w:rPr>
              <w:instrText xml:space="preserve"> FORMCHECKBOX </w:instrText>
            </w:r>
            <w:r w:rsidR="0081453B">
              <w:rPr>
                <w:rFonts w:ascii="Arial Narrow" w:eastAsia="Calibri" w:hAnsi="Arial Narrow"/>
                <w:sz w:val="20"/>
                <w:szCs w:val="20"/>
              </w:rPr>
            </w:r>
            <w:r w:rsidR="0081453B">
              <w:rPr>
                <w:rFonts w:ascii="Arial Narrow" w:eastAsia="Calibri" w:hAnsi="Arial Narrow"/>
                <w:sz w:val="20"/>
                <w:szCs w:val="20"/>
              </w:rPr>
              <w:fldChar w:fldCharType="separate"/>
            </w:r>
            <w:r w:rsidRPr="00485311">
              <w:rPr>
                <w:rFonts w:ascii="Arial Narrow" w:eastAsia="Calibri" w:hAnsi="Arial Narrow"/>
                <w:sz w:val="20"/>
                <w:szCs w:val="20"/>
              </w:rPr>
              <w:fldChar w:fldCharType="end"/>
            </w:r>
            <w:r w:rsidRPr="00485311">
              <w:rPr>
                <w:rFonts w:ascii="Arial Narrow" w:eastAsia="Calibri" w:hAnsi="Arial Narrow"/>
                <w:sz w:val="20"/>
                <w:szCs w:val="20"/>
              </w:rPr>
              <w:t xml:space="preserve"> </w:t>
            </w:r>
            <w:r w:rsidRPr="004D07B4">
              <w:rPr>
                <w:rFonts w:ascii="Arial Narrow" w:eastAsia="Calibri" w:hAnsi="Arial Narrow"/>
                <w:sz w:val="20"/>
                <w:szCs w:val="20"/>
              </w:rPr>
              <w:t>Authority Required – non-immediate/delayed assessment by Services Australia (in-writing only via mail/postal service or electronic upload to Hobart; requires at least one concept ID to be marked as ‘FULL’ for full assessment by Services Australia)</w:t>
            </w:r>
          </w:p>
        </w:tc>
      </w:tr>
      <w:tr w:rsidR="0031493B" w:rsidRPr="00A50A4F" w14:paraId="5E55AC85"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33CA9E5" w14:textId="17BAD19E" w:rsidR="0031493B" w:rsidRPr="004D07B4"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94E5D14" w14:textId="77777777" w:rsidR="0031493B" w:rsidRPr="00487392" w:rsidRDefault="0031493B" w:rsidP="00221F00">
            <w:pPr>
              <w:rPr>
                <w:rFonts w:ascii="Arial Narrow" w:hAnsi="Arial Narrow"/>
                <w:b/>
                <w:bCs/>
                <w:i/>
                <w:iCs/>
                <w:color w:val="333333"/>
                <w:sz w:val="20"/>
                <w:szCs w:val="20"/>
              </w:rPr>
            </w:pPr>
            <w:r w:rsidRPr="00487392">
              <w:rPr>
                <w:rFonts w:ascii="Arial Narrow" w:hAnsi="Arial Narrow"/>
                <w:b/>
                <w:bCs/>
                <w:i/>
                <w:iCs/>
                <w:color w:val="333333"/>
                <w:sz w:val="20"/>
                <w:szCs w:val="20"/>
              </w:rPr>
              <w:t xml:space="preserve">Caution: </w:t>
            </w:r>
            <w:r w:rsidRPr="00487392">
              <w:rPr>
                <w:rFonts w:ascii="Arial Narrow" w:hAnsi="Arial Narrow"/>
                <w:i/>
                <w:iCs/>
                <w:color w:val="333333"/>
                <w:sz w:val="20"/>
                <w:szCs w:val="20"/>
              </w:rPr>
              <w:t>C5 inhibitors increase the risk of meningococcal infections (septicaemia and/or meningitis). Please consult the approved PI for information about vaccination against meningococcal infection.</w:t>
            </w:r>
          </w:p>
        </w:tc>
      </w:tr>
      <w:tr w:rsidR="0031493B" w:rsidRPr="00A50A4F" w14:paraId="7DA006BE"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7C85C83" w14:textId="77777777" w:rsidR="0031493B" w:rsidRPr="004D07B4"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C91BA2B" w14:textId="77777777" w:rsidR="0031493B" w:rsidRPr="004D07B4" w:rsidRDefault="0031493B" w:rsidP="00221F00">
            <w:pPr>
              <w:rPr>
                <w:rFonts w:ascii="Arial Narrow" w:hAnsi="Arial Narrow"/>
                <w:b/>
                <w:bCs/>
                <w:color w:val="333333"/>
                <w:sz w:val="20"/>
                <w:szCs w:val="20"/>
              </w:rPr>
            </w:pPr>
            <w:r w:rsidRPr="004D07B4">
              <w:rPr>
                <w:rFonts w:ascii="Arial Narrow" w:hAnsi="Arial Narrow"/>
                <w:b/>
                <w:bCs/>
                <w:color w:val="333333"/>
                <w:sz w:val="20"/>
                <w:szCs w:val="20"/>
              </w:rPr>
              <w:t xml:space="preserve">Episodicity: </w:t>
            </w:r>
            <w:r w:rsidRPr="004D07B4">
              <w:rPr>
                <w:rFonts w:ascii="Arial Narrow" w:hAnsi="Arial Narrow"/>
                <w:bCs/>
                <w:color w:val="333333"/>
                <w:sz w:val="20"/>
                <w:szCs w:val="20"/>
              </w:rPr>
              <w:t>blank</w:t>
            </w:r>
          </w:p>
        </w:tc>
      </w:tr>
      <w:tr w:rsidR="0031493B" w:rsidRPr="00A50A4F" w14:paraId="3563125B"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F2FA26D" w14:textId="77777777" w:rsidR="0031493B" w:rsidRPr="004D07B4"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1773618" w14:textId="77777777" w:rsidR="0031493B" w:rsidRPr="004D07B4" w:rsidRDefault="0031493B" w:rsidP="00221F00">
            <w:pPr>
              <w:rPr>
                <w:rFonts w:ascii="Arial Narrow" w:hAnsi="Arial Narrow"/>
                <w:b/>
                <w:bCs/>
                <w:color w:val="333333"/>
                <w:sz w:val="20"/>
                <w:szCs w:val="20"/>
              </w:rPr>
            </w:pPr>
            <w:r w:rsidRPr="004D07B4">
              <w:rPr>
                <w:rFonts w:ascii="Arial Narrow" w:hAnsi="Arial Narrow"/>
                <w:b/>
                <w:bCs/>
                <w:color w:val="333333"/>
                <w:sz w:val="20"/>
                <w:szCs w:val="20"/>
              </w:rPr>
              <w:t xml:space="preserve">Severity: </w:t>
            </w:r>
            <w:r w:rsidRPr="004D07B4">
              <w:rPr>
                <w:rFonts w:ascii="Arial Narrow" w:hAnsi="Arial Narrow"/>
                <w:bCs/>
                <w:color w:val="333333"/>
                <w:sz w:val="20"/>
                <w:szCs w:val="20"/>
              </w:rPr>
              <w:t>blank</w:t>
            </w:r>
          </w:p>
        </w:tc>
      </w:tr>
      <w:tr w:rsidR="0031493B" w:rsidRPr="00A50A4F" w14:paraId="6F10CB42"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4C40C85" w14:textId="77777777" w:rsidR="0031493B" w:rsidRPr="004D07B4"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0210D87" w14:textId="77777777" w:rsidR="0031493B" w:rsidRPr="004D07B4" w:rsidRDefault="0031493B" w:rsidP="00221F00">
            <w:pPr>
              <w:rPr>
                <w:rFonts w:ascii="Arial Narrow" w:hAnsi="Arial Narrow"/>
                <w:b/>
                <w:bCs/>
                <w:color w:val="333333"/>
                <w:sz w:val="20"/>
                <w:szCs w:val="20"/>
              </w:rPr>
            </w:pPr>
            <w:r w:rsidRPr="004D07B4">
              <w:rPr>
                <w:rFonts w:ascii="Arial Narrow" w:hAnsi="Arial Narrow"/>
                <w:b/>
                <w:bCs/>
                <w:color w:val="333333"/>
                <w:sz w:val="20"/>
                <w:szCs w:val="20"/>
              </w:rPr>
              <w:t xml:space="preserve">Condition: </w:t>
            </w:r>
            <w:r w:rsidRPr="004D07B4">
              <w:rPr>
                <w:rFonts w:ascii="Arial Narrow" w:hAnsi="Arial Narrow"/>
                <w:bCs/>
                <w:color w:val="333333"/>
                <w:sz w:val="20"/>
                <w:szCs w:val="20"/>
              </w:rPr>
              <w:t>generalised myasthenia gravis (gMG)</w:t>
            </w:r>
          </w:p>
        </w:tc>
      </w:tr>
      <w:tr w:rsidR="0031493B" w:rsidRPr="00A50A4F" w14:paraId="7833B9DC"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2528D4C" w14:textId="75084C4C" w:rsidR="0031493B" w:rsidRPr="004D07B4"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4039338" w14:textId="77777777" w:rsidR="0031493B" w:rsidRPr="004D07B4" w:rsidRDefault="0031493B" w:rsidP="00221F00">
            <w:pPr>
              <w:rPr>
                <w:rFonts w:ascii="Arial Narrow" w:hAnsi="Arial Narrow"/>
                <w:b/>
                <w:bCs/>
                <w:color w:val="333333"/>
                <w:sz w:val="20"/>
                <w:szCs w:val="20"/>
              </w:rPr>
            </w:pPr>
            <w:r w:rsidRPr="004D07B4">
              <w:rPr>
                <w:rFonts w:ascii="Arial Narrow" w:hAnsi="Arial Narrow"/>
                <w:b/>
                <w:bCs/>
                <w:color w:val="333333"/>
                <w:sz w:val="20"/>
                <w:szCs w:val="20"/>
              </w:rPr>
              <w:t>Indication:</w:t>
            </w:r>
            <w:r w:rsidRPr="004D07B4">
              <w:rPr>
                <w:rFonts w:ascii="Arial Narrow" w:hAnsi="Arial Narrow"/>
                <w:color w:val="333333"/>
                <w:sz w:val="20"/>
                <w:szCs w:val="20"/>
              </w:rPr>
              <w:t xml:space="preserve"> </w:t>
            </w:r>
            <w:r w:rsidRPr="004D07B4">
              <w:rPr>
                <w:rFonts w:ascii="Arial Narrow" w:hAnsi="Arial Narrow"/>
                <w:bCs/>
                <w:color w:val="333333"/>
                <w:sz w:val="20"/>
                <w:szCs w:val="20"/>
              </w:rPr>
              <w:t>generalised myasthenia gravis (gMG)</w:t>
            </w:r>
          </w:p>
        </w:tc>
      </w:tr>
      <w:tr w:rsidR="0031493B" w:rsidRPr="00A50A4F" w14:paraId="7045654C"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36E2A0D" w14:textId="77777777" w:rsidR="0031493B" w:rsidRPr="004D07B4"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4501BBF" w14:textId="77777777" w:rsidR="0031493B" w:rsidRPr="004D07B4" w:rsidRDefault="0031493B" w:rsidP="00221F00">
            <w:pPr>
              <w:rPr>
                <w:rFonts w:ascii="Arial Narrow" w:hAnsi="Arial Narrow"/>
                <w:b/>
                <w:bCs/>
                <w:color w:val="333333"/>
                <w:sz w:val="20"/>
                <w:szCs w:val="20"/>
              </w:rPr>
            </w:pPr>
            <w:r>
              <w:rPr>
                <w:rFonts w:ascii="Arial Narrow" w:hAnsi="Arial Narrow"/>
                <w:b/>
                <w:bCs/>
                <w:color w:val="333333"/>
                <w:sz w:val="20"/>
                <w:szCs w:val="20"/>
              </w:rPr>
              <w:t xml:space="preserve">Treatment phase: </w:t>
            </w:r>
            <w:r w:rsidRPr="00B84551">
              <w:rPr>
                <w:rFonts w:ascii="Arial Narrow" w:hAnsi="Arial Narrow"/>
                <w:color w:val="333333"/>
                <w:sz w:val="20"/>
                <w:szCs w:val="20"/>
              </w:rPr>
              <w:t xml:space="preserve">Initial treatment </w:t>
            </w:r>
            <w:r w:rsidRPr="008D0DE3">
              <w:rPr>
                <w:rFonts w:ascii="Arial Narrow" w:hAnsi="Arial Narrow"/>
                <w:i/>
                <w:iCs/>
                <w:color w:val="333333"/>
                <w:sz w:val="20"/>
                <w:szCs w:val="20"/>
              </w:rPr>
              <w:t>- loading dose</w:t>
            </w:r>
          </w:p>
        </w:tc>
      </w:tr>
      <w:tr w:rsidR="0031493B" w:rsidRPr="00A50A4F" w14:paraId="67724325"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14BF891" w14:textId="77777777"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A8B9224" w14:textId="77777777" w:rsidR="0031493B" w:rsidRPr="004D07B4" w:rsidRDefault="0031493B" w:rsidP="00221F00">
            <w:pPr>
              <w:rPr>
                <w:rFonts w:ascii="Arial Narrow" w:hAnsi="Arial Narrow"/>
                <w:b/>
                <w:color w:val="333333"/>
                <w:sz w:val="20"/>
                <w:szCs w:val="20"/>
              </w:rPr>
            </w:pPr>
            <w:r w:rsidRPr="004D07B4">
              <w:rPr>
                <w:rFonts w:ascii="Arial Narrow" w:hAnsi="Arial Narrow"/>
                <w:b/>
                <w:color w:val="333333"/>
                <w:sz w:val="20"/>
                <w:szCs w:val="20"/>
              </w:rPr>
              <w:t>Clinical criteria:</w:t>
            </w:r>
          </w:p>
        </w:tc>
      </w:tr>
      <w:tr w:rsidR="0031493B" w:rsidRPr="00A50A4F" w14:paraId="441D2094"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586DB01" w14:textId="5A63FEC3"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18C72CE" w14:textId="77777777" w:rsidR="0031493B" w:rsidRPr="004D07B4" w:rsidRDefault="0031493B" w:rsidP="00221F00">
            <w:pPr>
              <w:rPr>
                <w:rFonts w:ascii="Arial Narrow" w:hAnsi="Arial Narrow"/>
                <w:bCs/>
                <w:color w:val="333333"/>
                <w:sz w:val="20"/>
                <w:szCs w:val="20"/>
              </w:rPr>
            </w:pPr>
            <w:r w:rsidRPr="004D07B4">
              <w:rPr>
                <w:rFonts w:ascii="Arial Narrow" w:hAnsi="Arial Narrow"/>
                <w:bCs/>
                <w:color w:val="333333"/>
                <w:sz w:val="20"/>
                <w:szCs w:val="20"/>
              </w:rPr>
              <w:t>Patient must have a diagnosis of generalised myasthenia gravis</w:t>
            </w:r>
            <w:r w:rsidRPr="00722FCA">
              <w:rPr>
                <w:rFonts w:ascii="Arial Narrow" w:hAnsi="Arial Narrow"/>
                <w:bCs/>
                <w:i/>
                <w:iCs/>
                <w:color w:val="333333"/>
                <w:sz w:val="20"/>
                <w:szCs w:val="20"/>
              </w:rPr>
              <w:t xml:space="preserve"> </w:t>
            </w:r>
            <w:r w:rsidRPr="00722FCA">
              <w:rPr>
                <w:rFonts w:ascii="Arial Narrow" w:hAnsi="Arial Narrow"/>
                <w:bCs/>
                <w:i/>
                <w:iCs/>
                <w:sz w:val="20"/>
                <w:szCs w:val="20"/>
              </w:rPr>
              <w:t>that is not pure ocular myasthenia gravis</w:t>
            </w:r>
            <w:r w:rsidRPr="004D07B4">
              <w:rPr>
                <w:rFonts w:ascii="Arial Narrow" w:hAnsi="Arial Narrow"/>
                <w:bCs/>
                <w:color w:val="333333"/>
                <w:sz w:val="20"/>
                <w:szCs w:val="20"/>
              </w:rPr>
              <w:t xml:space="preserve"> </w:t>
            </w:r>
            <w:r w:rsidRPr="009D0EF6">
              <w:rPr>
                <w:rFonts w:ascii="Arial Narrow" w:hAnsi="Arial Narrow"/>
                <w:bCs/>
                <w:strike/>
                <w:color w:val="333333"/>
                <w:sz w:val="20"/>
                <w:szCs w:val="20"/>
              </w:rPr>
              <w:t>made by or in consultation with a neurologist.</w:t>
            </w:r>
          </w:p>
        </w:tc>
      </w:tr>
      <w:tr w:rsidR="0031493B" w:rsidRPr="00A50A4F" w14:paraId="42144B4D"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C779C24" w14:textId="77777777"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ADEAC5" w14:textId="77777777" w:rsidR="0031493B" w:rsidRPr="004D07B4" w:rsidRDefault="0031493B" w:rsidP="00221F00">
            <w:pPr>
              <w:rPr>
                <w:rFonts w:ascii="Arial Narrow" w:hAnsi="Arial Narrow"/>
                <w:bCs/>
                <w:color w:val="333333"/>
                <w:sz w:val="20"/>
                <w:szCs w:val="20"/>
              </w:rPr>
            </w:pPr>
            <w:r w:rsidRPr="00A50A4F">
              <w:rPr>
                <w:rFonts w:ascii="Arial Narrow" w:hAnsi="Arial Narrow"/>
                <w:b/>
                <w:bCs/>
                <w:color w:val="333333"/>
                <w:sz w:val="20"/>
                <w:szCs w:val="20"/>
              </w:rPr>
              <w:t>AND</w:t>
            </w:r>
          </w:p>
        </w:tc>
      </w:tr>
      <w:tr w:rsidR="0031493B" w:rsidRPr="00A50A4F" w14:paraId="6873F6D0"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F99AA9B" w14:textId="77777777"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32C9C8" w14:textId="77777777" w:rsidR="0031493B" w:rsidRPr="004D07B4" w:rsidRDefault="0031493B" w:rsidP="00221F00">
            <w:pPr>
              <w:rPr>
                <w:rFonts w:ascii="Arial Narrow" w:hAnsi="Arial Narrow"/>
                <w:bCs/>
                <w:color w:val="333333"/>
                <w:sz w:val="20"/>
                <w:szCs w:val="20"/>
              </w:rPr>
            </w:pPr>
            <w:r w:rsidRPr="00A50A4F">
              <w:rPr>
                <w:rFonts w:ascii="Arial Narrow" w:hAnsi="Arial Narrow"/>
                <w:b/>
                <w:bCs/>
                <w:color w:val="333333"/>
                <w:sz w:val="20"/>
                <w:szCs w:val="20"/>
              </w:rPr>
              <w:t>Clinical criteria:</w:t>
            </w:r>
          </w:p>
        </w:tc>
      </w:tr>
      <w:tr w:rsidR="0031493B" w:rsidRPr="00A50A4F" w14:paraId="55139DD6"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3D07EC0" w14:textId="4931621F" w:rsidR="0031493B" w:rsidRPr="00722FCA" w:rsidRDefault="0031493B" w:rsidP="00221F00">
            <w:pPr>
              <w:jc w:val="center"/>
              <w:rPr>
                <w:rFonts w:ascii="Arial Narrow" w:hAnsi="Arial Narrow"/>
                <w:strike/>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09B68E3" w14:textId="77777777" w:rsidR="0031493B" w:rsidRPr="00722FCA" w:rsidRDefault="0031493B" w:rsidP="00221F00">
            <w:pPr>
              <w:rPr>
                <w:rFonts w:ascii="Arial Narrow" w:hAnsi="Arial Narrow"/>
                <w:bCs/>
                <w:strike/>
                <w:color w:val="333333"/>
                <w:sz w:val="20"/>
                <w:szCs w:val="20"/>
              </w:rPr>
            </w:pPr>
            <w:r w:rsidRPr="00722FCA">
              <w:rPr>
                <w:rFonts w:ascii="Arial Narrow" w:hAnsi="Arial Narrow"/>
                <w:bCs/>
                <w:strike/>
                <w:color w:val="333333"/>
                <w:sz w:val="20"/>
                <w:szCs w:val="20"/>
              </w:rPr>
              <w:t>The condition must not be pure ocular myasthenia gravis</w:t>
            </w:r>
          </w:p>
        </w:tc>
      </w:tr>
      <w:tr w:rsidR="0031493B" w:rsidRPr="00A50A4F" w14:paraId="1F170437"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C9AFE9F" w14:textId="77777777" w:rsidR="0031493B" w:rsidRPr="00722FCA" w:rsidRDefault="0031493B" w:rsidP="00221F00">
            <w:pPr>
              <w:jc w:val="center"/>
              <w:rPr>
                <w:rFonts w:ascii="Arial Narrow" w:hAnsi="Arial Narrow"/>
                <w:strike/>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26F879" w14:textId="77777777" w:rsidR="0031493B" w:rsidRPr="00722FCA" w:rsidRDefault="0031493B" w:rsidP="00221F00">
            <w:pPr>
              <w:rPr>
                <w:rFonts w:ascii="Arial Narrow" w:hAnsi="Arial Narrow"/>
                <w:bCs/>
                <w:strike/>
                <w:color w:val="333333"/>
                <w:sz w:val="20"/>
                <w:szCs w:val="20"/>
              </w:rPr>
            </w:pPr>
            <w:r w:rsidRPr="00722FCA">
              <w:rPr>
                <w:rFonts w:ascii="Arial Narrow" w:hAnsi="Arial Narrow"/>
                <w:b/>
                <w:bCs/>
                <w:strike/>
                <w:color w:val="333333"/>
                <w:sz w:val="20"/>
                <w:szCs w:val="20"/>
              </w:rPr>
              <w:t>AND</w:t>
            </w:r>
          </w:p>
        </w:tc>
      </w:tr>
      <w:tr w:rsidR="0031493B" w:rsidRPr="00A50A4F" w14:paraId="2C3AD469"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10965AE" w14:textId="77777777" w:rsidR="0031493B" w:rsidRPr="00722FCA" w:rsidRDefault="0031493B" w:rsidP="00221F00">
            <w:pPr>
              <w:jc w:val="center"/>
              <w:rPr>
                <w:rFonts w:ascii="Arial Narrow" w:hAnsi="Arial Narrow"/>
                <w:strike/>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8EAAC9" w14:textId="77777777" w:rsidR="0031493B" w:rsidRPr="00722FCA" w:rsidRDefault="0031493B" w:rsidP="00221F00">
            <w:pPr>
              <w:rPr>
                <w:rFonts w:ascii="Arial Narrow" w:hAnsi="Arial Narrow"/>
                <w:bCs/>
                <w:strike/>
                <w:color w:val="333333"/>
                <w:sz w:val="20"/>
                <w:szCs w:val="20"/>
              </w:rPr>
            </w:pPr>
            <w:r w:rsidRPr="00722FCA">
              <w:rPr>
                <w:rFonts w:ascii="Arial Narrow" w:hAnsi="Arial Narrow"/>
                <w:b/>
                <w:bCs/>
                <w:strike/>
                <w:color w:val="333333"/>
                <w:sz w:val="20"/>
                <w:szCs w:val="20"/>
              </w:rPr>
              <w:t>Clinical criteria:</w:t>
            </w:r>
          </w:p>
        </w:tc>
      </w:tr>
      <w:tr w:rsidR="0031493B" w:rsidRPr="00A50A4F" w14:paraId="4D49970A"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F38F7E" w14:textId="068E0C97"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5D4BC54" w14:textId="77777777" w:rsidR="0031493B" w:rsidRPr="004D07B4" w:rsidRDefault="0031493B" w:rsidP="00221F00">
            <w:pPr>
              <w:rPr>
                <w:rFonts w:ascii="Arial Narrow" w:hAnsi="Arial Narrow"/>
                <w:bCs/>
                <w:color w:val="333333"/>
                <w:sz w:val="20"/>
                <w:szCs w:val="20"/>
              </w:rPr>
            </w:pPr>
            <w:r w:rsidRPr="009D0EF6">
              <w:rPr>
                <w:rFonts w:ascii="Arial Narrow" w:hAnsi="Arial Narrow"/>
                <w:bCs/>
                <w:color w:val="333333"/>
                <w:sz w:val="20"/>
                <w:szCs w:val="20"/>
              </w:rPr>
              <w:t>Patient must have been confirmed positive by serologic testing for anti-acetylcholine receptor antibodies (anti-AChR antibodies)</w:t>
            </w:r>
          </w:p>
        </w:tc>
      </w:tr>
      <w:tr w:rsidR="0031493B" w:rsidRPr="00A50A4F" w14:paraId="0C51FC67"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B344123" w14:textId="77777777"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B3A1C6" w14:textId="77777777" w:rsidR="0031493B" w:rsidRPr="004D07B4" w:rsidRDefault="0031493B" w:rsidP="00221F00">
            <w:pPr>
              <w:rPr>
                <w:rFonts w:ascii="Arial Narrow" w:hAnsi="Arial Narrow"/>
                <w:bCs/>
                <w:color w:val="333333"/>
                <w:sz w:val="20"/>
                <w:szCs w:val="20"/>
              </w:rPr>
            </w:pPr>
            <w:r w:rsidRPr="00A50A4F">
              <w:rPr>
                <w:rFonts w:ascii="Arial Narrow" w:hAnsi="Arial Narrow"/>
                <w:b/>
                <w:bCs/>
                <w:color w:val="333333"/>
                <w:sz w:val="20"/>
                <w:szCs w:val="20"/>
              </w:rPr>
              <w:t>AND</w:t>
            </w:r>
          </w:p>
        </w:tc>
      </w:tr>
      <w:tr w:rsidR="0031493B" w:rsidRPr="00A50A4F" w14:paraId="11F99037"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04CBC3B" w14:textId="77777777"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DE01D8" w14:textId="77777777" w:rsidR="0031493B" w:rsidRPr="004D07B4" w:rsidRDefault="0031493B" w:rsidP="00221F00">
            <w:pPr>
              <w:rPr>
                <w:rFonts w:ascii="Arial Narrow" w:hAnsi="Arial Narrow"/>
                <w:bCs/>
                <w:color w:val="333333"/>
                <w:sz w:val="20"/>
                <w:szCs w:val="20"/>
              </w:rPr>
            </w:pPr>
            <w:r w:rsidRPr="00A50A4F">
              <w:rPr>
                <w:rFonts w:ascii="Arial Narrow" w:hAnsi="Arial Narrow"/>
                <w:b/>
                <w:bCs/>
                <w:color w:val="333333"/>
                <w:sz w:val="20"/>
                <w:szCs w:val="20"/>
              </w:rPr>
              <w:t>Clinical criteria:</w:t>
            </w:r>
          </w:p>
        </w:tc>
      </w:tr>
      <w:tr w:rsidR="0031493B" w:rsidRPr="00A50A4F" w14:paraId="108A905C"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E1E522B" w14:textId="1285C1B8"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C42FA56" w14:textId="77777777" w:rsidR="0031493B" w:rsidRPr="004D07B4" w:rsidRDefault="0031493B" w:rsidP="00221F00">
            <w:pPr>
              <w:rPr>
                <w:rFonts w:ascii="Arial Narrow" w:hAnsi="Arial Narrow"/>
                <w:bCs/>
                <w:color w:val="333333"/>
                <w:sz w:val="20"/>
                <w:szCs w:val="20"/>
              </w:rPr>
            </w:pPr>
            <w:r w:rsidRPr="009D0EF6">
              <w:rPr>
                <w:rFonts w:ascii="Arial Narrow" w:hAnsi="Arial Narrow"/>
                <w:bCs/>
                <w:color w:val="333333"/>
                <w:sz w:val="20"/>
                <w:szCs w:val="20"/>
              </w:rPr>
              <w:t>Patient must be experiencing symptoms consistent with a Myasthenia Gravis-Activities of Daily Living (MG-ADL) profile of at least 6 points despite treatment with standard therapy</w:t>
            </w:r>
          </w:p>
        </w:tc>
      </w:tr>
      <w:tr w:rsidR="0031493B" w:rsidRPr="00A50A4F" w14:paraId="0B0AC276"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ED0C81B" w14:textId="77777777"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A996D82" w14:textId="77777777" w:rsidR="0031493B" w:rsidRPr="009D0EF6" w:rsidRDefault="0031493B" w:rsidP="00221F00">
            <w:pPr>
              <w:rPr>
                <w:rFonts w:ascii="Arial Narrow" w:hAnsi="Arial Narrow"/>
                <w:bCs/>
                <w:color w:val="333333"/>
                <w:sz w:val="20"/>
                <w:szCs w:val="20"/>
              </w:rPr>
            </w:pPr>
            <w:r w:rsidRPr="00A50A4F">
              <w:rPr>
                <w:rFonts w:ascii="Arial Narrow" w:hAnsi="Arial Narrow"/>
                <w:b/>
                <w:bCs/>
                <w:color w:val="333333"/>
                <w:sz w:val="20"/>
                <w:szCs w:val="20"/>
              </w:rPr>
              <w:t>AND</w:t>
            </w:r>
          </w:p>
        </w:tc>
      </w:tr>
      <w:tr w:rsidR="0031493B" w:rsidRPr="00A50A4F" w14:paraId="1BE5D3ED"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6D2DF1E" w14:textId="77777777"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2C648DB" w14:textId="77777777" w:rsidR="0031493B" w:rsidRPr="00A50A4F" w:rsidRDefault="0031493B" w:rsidP="00221F00">
            <w:pPr>
              <w:rPr>
                <w:rFonts w:ascii="Arial Narrow" w:hAnsi="Arial Narrow"/>
                <w:b/>
                <w:bCs/>
                <w:color w:val="333333"/>
                <w:sz w:val="20"/>
                <w:szCs w:val="20"/>
              </w:rPr>
            </w:pPr>
            <w:r w:rsidRPr="00A50A4F">
              <w:rPr>
                <w:rFonts w:ascii="Arial Narrow" w:hAnsi="Arial Narrow"/>
                <w:b/>
                <w:bCs/>
                <w:color w:val="333333"/>
                <w:sz w:val="20"/>
                <w:szCs w:val="20"/>
              </w:rPr>
              <w:t>Clinical criteria:</w:t>
            </w:r>
          </w:p>
        </w:tc>
      </w:tr>
      <w:tr w:rsidR="0031493B" w:rsidRPr="00A50A4F" w14:paraId="0AFA3E04"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AFFE0D2" w14:textId="3065608C"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560BB32" w14:textId="77777777" w:rsidR="0031493B" w:rsidRPr="00535ECD" w:rsidRDefault="0031493B" w:rsidP="00221F00">
            <w:pPr>
              <w:rPr>
                <w:rFonts w:ascii="Arial Narrow" w:hAnsi="Arial Narrow"/>
                <w:i/>
                <w:iCs/>
                <w:color w:val="333333"/>
                <w:sz w:val="20"/>
                <w:szCs w:val="20"/>
              </w:rPr>
            </w:pPr>
            <w:r w:rsidRPr="00535ECD">
              <w:rPr>
                <w:rFonts w:ascii="Arial Narrow" w:hAnsi="Arial Narrow"/>
                <w:i/>
                <w:iCs/>
                <w:color w:val="333333"/>
                <w:sz w:val="20"/>
                <w:szCs w:val="20"/>
              </w:rPr>
              <w:t>Patient must not receive more than 2 weeks of treatment under this restriction</w:t>
            </w:r>
          </w:p>
        </w:tc>
      </w:tr>
      <w:tr w:rsidR="0031493B" w:rsidRPr="00A50A4F" w14:paraId="1A96CE4A"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D29D28E" w14:textId="77777777"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87F66C8" w14:textId="77777777" w:rsidR="0031493B" w:rsidRPr="00A50A4F" w:rsidRDefault="0031493B" w:rsidP="00221F00">
            <w:pPr>
              <w:rPr>
                <w:rFonts w:ascii="Arial Narrow" w:hAnsi="Arial Narrow"/>
                <w:b/>
                <w:bCs/>
                <w:color w:val="333333"/>
                <w:sz w:val="20"/>
                <w:szCs w:val="20"/>
              </w:rPr>
            </w:pPr>
            <w:r w:rsidRPr="00A50A4F">
              <w:rPr>
                <w:rFonts w:ascii="Arial Narrow" w:hAnsi="Arial Narrow"/>
                <w:b/>
                <w:bCs/>
                <w:color w:val="333333"/>
                <w:sz w:val="20"/>
                <w:szCs w:val="20"/>
              </w:rPr>
              <w:t>AND</w:t>
            </w:r>
          </w:p>
        </w:tc>
      </w:tr>
      <w:tr w:rsidR="0031493B" w:rsidRPr="00A50A4F" w14:paraId="15BFB4D0"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74B93D" w14:textId="3C35B73F"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F31028" w14:textId="77777777" w:rsidR="0031493B" w:rsidRPr="009D0EF6" w:rsidRDefault="0031493B" w:rsidP="00221F00">
            <w:pPr>
              <w:rPr>
                <w:rFonts w:ascii="Arial Narrow" w:hAnsi="Arial Narrow"/>
                <w:bCs/>
                <w:color w:val="333333"/>
                <w:sz w:val="20"/>
                <w:szCs w:val="20"/>
              </w:rPr>
            </w:pPr>
            <w:r w:rsidRPr="00A50A4F">
              <w:rPr>
                <w:rFonts w:ascii="Arial Narrow" w:hAnsi="Arial Narrow"/>
                <w:b/>
                <w:bCs/>
                <w:color w:val="333333"/>
                <w:sz w:val="20"/>
                <w:szCs w:val="20"/>
              </w:rPr>
              <w:t>Treatment criteria:</w:t>
            </w:r>
          </w:p>
        </w:tc>
      </w:tr>
      <w:tr w:rsidR="0031493B" w:rsidRPr="00A50A4F" w14:paraId="5C3EBF30"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8840B6" w14:textId="73C3C44D" w:rsidR="0031493B" w:rsidRPr="00B06C77"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278C50" w14:textId="77777777" w:rsidR="0031493B" w:rsidRPr="00533171" w:rsidRDefault="0031493B" w:rsidP="00221F00">
            <w:pPr>
              <w:rPr>
                <w:rFonts w:ascii="Arial Narrow" w:hAnsi="Arial Narrow" w:cs="Arial Narrow"/>
                <w:sz w:val="20"/>
                <w:szCs w:val="20"/>
              </w:rPr>
            </w:pPr>
            <w:r w:rsidRPr="00533171">
              <w:rPr>
                <w:rFonts w:ascii="Arial Narrow" w:hAnsi="Arial Narrow" w:cs="Arial Narrow"/>
                <w:sz w:val="20"/>
                <w:szCs w:val="20"/>
              </w:rPr>
              <w:t>Must be treated by a neurologist</w:t>
            </w:r>
            <w:r>
              <w:rPr>
                <w:rFonts w:ascii="Arial Narrow" w:hAnsi="Arial Narrow" w:cs="Arial Narrow"/>
                <w:sz w:val="20"/>
                <w:szCs w:val="20"/>
              </w:rPr>
              <w:t>,</w:t>
            </w:r>
            <w:r w:rsidRPr="00533171">
              <w:rPr>
                <w:rFonts w:ascii="Arial Narrow" w:hAnsi="Arial Narrow" w:cs="Arial Narrow"/>
                <w:sz w:val="20"/>
                <w:szCs w:val="20"/>
              </w:rPr>
              <w:t xml:space="preserve"> or </w:t>
            </w:r>
            <w:r w:rsidRPr="00533171">
              <w:rPr>
                <w:rFonts w:ascii="Arial Narrow" w:hAnsi="Arial Narrow" w:cs="Arial Narrow"/>
                <w:strike/>
                <w:sz w:val="20"/>
                <w:szCs w:val="20"/>
              </w:rPr>
              <w:t xml:space="preserve">a non-specialist medical physician who has consulted a neurologist on the patient’s drug treatment details </w:t>
            </w:r>
          </w:p>
        </w:tc>
      </w:tr>
      <w:tr w:rsidR="0031493B" w:rsidRPr="00A50A4F" w14:paraId="04739372"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398461" w14:textId="384EA4B3" w:rsidR="0031493B" w:rsidRPr="00533171" w:rsidRDefault="0031493B" w:rsidP="00221F00">
            <w:pPr>
              <w:jc w:val="center"/>
              <w:rPr>
                <w:rFonts w:ascii="Arial Narrow" w:hAnsi="Arial Narrow"/>
                <w:i/>
                <w:iCs/>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986551" w14:textId="77777777" w:rsidR="0031493B" w:rsidRPr="00533171" w:rsidRDefault="0031493B" w:rsidP="00221F00">
            <w:pPr>
              <w:rPr>
                <w:rFonts w:ascii="Arial Narrow" w:hAnsi="Arial Narrow"/>
                <w:bCs/>
                <w:i/>
                <w:iCs/>
                <w:color w:val="333333"/>
                <w:sz w:val="20"/>
                <w:szCs w:val="20"/>
              </w:rPr>
            </w:pPr>
            <w:r w:rsidRPr="00533171">
              <w:rPr>
                <w:rFonts w:ascii="Arial Narrow" w:hAnsi="Arial Narrow" w:cs="Arial Narrow"/>
                <w:i/>
                <w:iCs/>
                <w:sz w:val="20"/>
                <w:szCs w:val="20"/>
              </w:rPr>
              <w:t>Must be treated by a medical practitioner who has consulted a neurologist, with agreement reached that the patient should be treated with this pharmaceutical benefit on this occasion.</w:t>
            </w:r>
          </w:p>
        </w:tc>
      </w:tr>
      <w:tr w:rsidR="0031493B" w:rsidRPr="00A50A4F" w14:paraId="01E89A58"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EC26AC" w14:textId="77777777" w:rsidR="0031493B" w:rsidRPr="00533171" w:rsidRDefault="0031493B" w:rsidP="00221F00">
            <w:pPr>
              <w:jc w:val="center"/>
              <w:rPr>
                <w:rFonts w:ascii="Arial Narrow" w:hAnsi="Arial Narrow"/>
                <w:i/>
                <w:iCs/>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E947F68" w14:textId="77777777" w:rsidR="0031493B" w:rsidRPr="00533171" w:rsidRDefault="0031493B" w:rsidP="00221F00">
            <w:pPr>
              <w:rPr>
                <w:rFonts w:ascii="Arial Narrow" w:hAnsi="Arial Narrow" w:cs="Arial Narrow"/>
                <w:i/>
                <w:iCs/>
                <w:sz w:val="20"/>
                <w:szCs w:val="20"/>
              </w:rPr>
            </w:pPr>
            <w:r w:rsidRPr="00A50A4F">
              <w:rPr>
                <w:rFonts w:ascii="Arial Narrow" w:hAnsi="Arial Narrow"/>
                <w:b/>
                <w:bCs/>
                <w:color w:val="333333"/>
                <w:sz w:val="20"/>
                <w:szCs w:val="20"/>
              </w:rPr>
              <w:t>AND</w:t>
            </w:r>
          </w:p>
        </w:tc>
      </w:tr>
      <w:tr w:rsidR="0031493B" w:rsidRPr="00A50A4F" w14:paraId="7BBB1ACE"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A4A974" w14:textId="77777777" w:rsidR="0031493B" w:rsidRPr="00533171" w:rsidRDefault="0031493B" w:rsidP="00221F00">
            <w:pPr>
              <w:jc w:val="center"/>
              <w:rPr>
                <w:rFonts w:ascii="Arial Narrow" w:hAnsi="Arial Narrow"/>
                <w:i/>
                <w:iCs/>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05AC98" w14:textId="77777777" w:rsidR="0031493B" w:rsidRPr="00533171" w:rsidRDefault="0031493B" w:rsidP="00221F00">
            <w:pPr>
              <w:rPr>
                <w:rFonts w:ascii="Arial Narrow" w:hAnsi="Arial Narrow" w:cs="Arial Narrow"/>
                <w:i/>
                <w:iCs/>
                <w:sz w:val="20"/>
                <w:szCs w:val="20"/>
              </w:rPr>
            </w:pPr>
            <w:r>
              <w:rPr>
                <w:rFonts w:ascii="Arial Narrow" w:hAnsi="Arial Narrow"/>
                <w:b/>
                <w:bCs/>
                <w:color w:val="333333"/>
                <w:sz w:val="20"/>
                <w:szCs w:val="20"/>
              </w:rPr>
              <w:t>Population</w:t>
            </w:r>
            <w:r w:rsidRPr="00A50A4F">
              <w:rPr>
                <w:rFonts w:ascii="Arial Narrow" w:hAnsi="Arial Narrow"/>
                <w:b/>
                <w:bCs/>
                <w:color w:val="333333"/>
                <w:sz w:val="20"/>
                <w:szCs w:val="20"/>
              </w:rPr>
              <w:t xml:space="preserve"> criteria:</w:t>
            </w:r>
          </w:p>
        </w:tc>
      </w:tr>
      <w:tr w:rsidR="0031493B" w:rsidRPr="00A50A4F" w14:paraId="33F41ED0"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005E00" w14:textId="3C114211" w:rsidR="0031493B" w:rsidRPr="00533171" w:rsidRDefault="0031493B" w:rsidP="00221F00">
            <w:pPr>
              <w:jc w:val="center"/>
              <w:rPr>
                <w:rFonts w:ascii="Arial Narrow" w:hAnsi="Arial Narrow"/>
                <w:i/>
                <w:iCs/>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2307EF" w14:textId="77777777" w:rsidR="0031493B" w:rsidRPr="00FE6847" w:rsidRDefault="0031493B" w:rsidP="00221F00">
            <w:pPr>
              <w:rPr>
                <w:rFonts w:ascii="Arial Narrow" w:hAnsi="Arial Narrow"/>
                <w:color w:val="333333"/>
                <w:sz w:val="20"/>
                <w:szCs w:val="20"/>
              </w:rPr>
            </w:pPr>
            <w:r w:rsidRPr="00FE6847">
              <w:rPr>
                <w:rFonts w:ascii="Arial Narrow" w:hAnsi="Arial Narrow"/>
                <w:color w:val="333333"/>
                <w:sz w:val="20"/>
                <w:szCs w:val="20"/>
              </w:rPr>
              <w:t>Patient</w:t>
            </w:r>
            <w:r w:rsidRPr="00FE6847">
              <w:rPr>
                <w:rFonts w:ascii="Arial Narrow" w:hAnsi="Arial Narrow"/>
                <w:strike/>
                <w:color w:val="333333"/>
                <w:sz w:val="20"/>
                <w:szCs w:val="20"/>
              </w:rPr>
              <w:t>s</w:t>
            </w:r>
            <w:r w:rsidRPr="00FE6847">
              <w:rPr>
                <w:rFonts w:ascii="Arial Narrow" w:hAnsi="Arial Narrow"/>
                <w:color w:val="333333"/>
                <w:sz w:val="20"/>
                <w:szCs w:val="20"/>
              </w:rPr>
              <w:t xml:space="preserve"> must be aged 18 years or older</w:t>
            </w:r>
          </w:p>
        </w:tc>
      </w:tr>
      <w:tr w:rsidR="0031493B" w:rsidRPr="00A50A4F" w14:paraId="69118A13"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4ED3E0" w14:textId="77777777" w:rsidR="0031493B" w:rsidRDefault="0031493B" w:rsidP="00221F00">
            <w:pPr>
              <w:jc w:val="center"/>
              <w:rPr>
                <w:rFonts w:ascii="Arial Narrow" w:hAnsi="Arial Narrow"/>
                <w:i/>
                <w:iCs/>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2308B2" w14:textId="77777777" w:rsidR="0031493B" w:rsidRPr="00FE6847" w:rsidRDefault="0031493B" w:rsidP="00221F00">
            <w:pPr>
              <w:rPr>
                <w:rFonts w:ascii="Arial Narrow" w:hAnsi="Arial Narrow"/>
                <w:color w:val="333333"/>
                <w:sz w:val="20"/>
                <w:szCs w:val="20"/>
              </w:rPr>
            </w:pPr>
          </w:p>
        </w:tc>
      </w:tr>
      <w:tr w:rsidR="0031493B" w:rsidRPr="00A50A4F" w14:paraId="5FDF76BC"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EAECF1" w14:textId="7D20543F" w:rsidR="0031493B" w:rsidRDefault="0031493B" w:rsidP="00221F00">
            <w:pPr>
              <w:jc w:val="center"/>
              <w:rPr>
                <w:rFonts w:ascii="Arial Narrow" w:hAnsi="Arial Narrow"/>
                <w:i/>
                <w:iCs/>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90C4ED" w14:textId="77777777" w:rsidR="0031493B" w:rsidRPr="00000EE5" w:rsidRDefault="0031493B" w:rsidP="00221F00">
            <w:pPr>
              <w:rPr>
                <w:rFonts w:ascii="Arial Narrow" w:hAnsi="Arial Narrow"/>
                <w:bCs/>
                <w:color w:val="333333"/>
                <w:sz w:val="20"/>
                <w:szCs w:val="20"/>
              </w:rPr>
            </w:pPr>
            <w:bookmarkStart w:id="10" w:name="_Hlk134094270"/>
            <w:r w:rsidRPr="00000EE5">
              <w:rPr>
                <w:rFonts w:ascii="Arial Narrow" w:hAnsi="Arial Narrow"/>
                <w:b/>
                <w:color w:val="333333"/>
                <w:sz w:val="20"/>
                <w:szCs w:val="20"/>
              </w:rPr>
              <w:t>Prescribing Instructions</w:t>
            </w:r>
            <w:r w:rsidRPr="00000EE5">
              <w:rPr>
                <w:rFonts w:ascii="Arial Narrow" w:hAnsi="Arial Narrow"/>
                <w:bCs/>
                <w:color w:val="333333"/>
                <w:sz w:val="20"/>
                <w:szCs w:val="20"/>
              </w:rPr>
              <w:t>: Standard therapy is defined as any of: pyridostigmine, oral corticosteroids, mycophenolate mofetil, azathioprine, methotrexate, tacrolimus, cyclosporin.</w:t>
            </w:r>
            <w:bookmarkEnd w:id="10"/>
          </w:p>
        </w:tc>
      </w:tr>
      <w:tr w:rsidR="0031493B" w:rsidRPr="00A50A4F" w14:paraId="2E160302"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DB04CF" w14:textId="5C4CFF6D" w:rsidR="0031493B" w:rsidRDefault="0031493B" w:rsidP="00221F00">
            <w:pPr>
              <w:jc w:val="center"/>
              <w:rPr>
                <w:rFonts w:ascii="Arial Narrow" w:hAnsi="Arial Narrow"/>
                <w:i/>
                <w:iCs/>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542C00" w14:textId="77777777" w:rsidR="0031493B" w:rsidRDefault="0031493B" w:rsidP="00221F00">
            <w:pPr>
              <w:rPr>
                <w:rFonts w:ascii="Arial Narrow" w:hAnsi="Arial Narrow"/>
                <w:bCs/>
                <w:color w:val="333333"/>
                <w:sz w:val="20"/>
                <w:szCs w:val="20"/>
              </w:rPr>
            </w:pPr>
            <w:r w:rsidRPr="00000EE5">
              <w:rPr>
                <w:rFonts w:ascii="Arial Narrow" w:hAnsi="Arial Narrow"/>
                <w:b/>
                <w:color w:val="333333"/>
                <w:sz w:val="20"/>
                <w:szCs w:val="20"/>
              </w:rPr>
              <w:t>Prescribing Instructions</w:t>
            </w:r>
            <w:r w:rsidRPr="00000EE5">
              <w:rPr>
                <w:rFonts w:ascii="Arial Narrow" w:hAnsi="Arial Narrow"/>
                <w:bCs/>
                <w:color w:val="333333"/>
                <w:sz w:val="20"/>
                <w:szCs w:val="20"/>
              </w:rPr>
              <w:t xml:space="preserve">: </w:t>
            </w:r>
          </w:p>
          <w:p w14:paraId="3B28DBAF" w14:textId="77777777" w:rsidR="0031493B" w:rsidRPr="00544468" w:rsidRDefault="0031493B" w:rsidP="00221F00">
            <w:pPr>
              <w:rPr>
                <w:rFonts w:ascii="Arial Narrow" w:hAnsi="Arial Narrow"/>
                <w:strike/>
                <w:color w:val="333333"/>
                <w:sz w:val="20"/>
                <w:szCs w:val="20"/>
              </w:rPr>
            </w:pPr>
            <w:r w:rsidRPr="00544468">
              <w:rPr>
                <w:rFonts w:ascii="Arial Narrow" w:hAnsi="Arial Narrow"/>
                <w:strike/>
                <w:color w:val="333333"/>
                <w:sz w:val="20"/>
                <w:szCs w:val="20"/>
              </w:rPr>
              <w:t>At the time of the authority application, medical practitioners should request the appropriate number of vials to cover the loading dose and 3 maintenance doses based on the patient’s weight and as per the Product Information. Refer to the Product information for patient weight ranges for the 100mg/mL doses (consisting of 300 mg in 3 mL and 1.1 g in 11 mL vials).</w:t>
            </w:r>
          </w:p>
          <w:p w14:paraId="2980A0B1" w14:textId="77777777" w:rsidR="0031493B" w:rsidRPr="002640E9" w:rsidRDefault="0031493B" w:rsidP="00221F00">
            <w:pPr>
              <w:rPr>
                <w:rFonts w:ascii="Arial Narrow" w:hAnsi="Arial Narrow"/>
                <w:i/>
                <w:iCs/>
                <w:color w:val="333333"/>
                <w:sz w:val="20"/>
                <w:szCs w:val="20"/>
              </w:rPr>
            </w:pPr>
            <w:r w:rsidRPr="002640E9">
              <w:rPr>
                <w:rFonts w:ascii="Arial Narrow" w:hAnsi="Arial Narrow"/>
                <w:i/>
                <w:iCs/>
                <w:color w:val="333333"/>
                <w:sz w:val="20"/>
                <w:szCs w:val="20"/>
              </w:rPr>
              <w:t>At the time of authority application, medical practitioners must request the appropriate number of vials to provide sufficient drug for 2 weeks of treatment, according to the specified dosage in the approved Product Information (PI).</w:t>
            </w:r>
          </w:p>
          <w:p w14:paraId="46A17127" w14:textId="77777777" w:rsidR="0031493B" w:rsidRPr="002640E9" w:rsidRDefault="0031493B" w:rsidP="00221F00">
            <w:pPr>
              <w:rPr>
                <w:rFonts w:ascii="Arial Narrow" w:hAnsi="Arial Narrow"/>
                <w:i/>
                <w:iCs/>
                <w:color w:val="333333"/>
                <w:sz w:val="20"/>
                <w:szCs w:val="20"/>
              </w:rPr>
            </w:pPr>
            <w:r w:rsidRPr="002640E9">
              <w:rPr>
                <w:rFonts w:ascii="Arial Narrow" w:hAnsi="Arial Narrow"/>
                <w:i/>
                <w:iCs/>
                <w:color w:val="333333"/>
                <w:sz w:val="20"/>
                <w:szCs w:val="20"/>
              </w:rPr>
              <w:t>An appropriate amount of drug (maximum quantity in units) may require prescribing both strengths. Consider strengths and combinations that minimise drug wastage. A separate authority prescription form must be completed for each strength requested.</w:t>
            </w:r>
          </w:p>
          <w:p w14:paraId="3A7ED09E" w14:textId="77777777" w:rsidR="0031493B" w:rsidRPr="00FE6847" w:rsidRDefault="0031493B" w:rsidP="00221F00">
            <w:pPr>
              <w:rPr>
                <w:rFonts w:ascii="Arial Narrow" w:hAnsi="Arial Narrow"/>
                <w:color w:val="333333"/>
                <w:sz w:val="20"/>
                <w:szCs w:val="20"/>
              </w:rPr>
            </w:pPr>
            <w:r w:rsidRPr="002640E9">
              <w:rPr>
                <w:rFonts w:ascii="Arial Narrow" w:hAnsi="Arial Narrow"/>
                <w:i/>
                <w:iCs/>
                <w:color w:val="333333"/>
                <w:sz w:val="20"/>
                <w:szCs w:val="20"/>
              </w:rPr>
              <w:t>Applications for treatment with this drug where the dose and dosing frequency exceeds that specified in the approved PI will not be approved.</w:t>
            </w:r>
          </w:p>
        </w:tc>
      </w:tr>
      <w:tr w:rsidR="0031493B" w:rsidRPr="00A50A4F" w14:paraId="6433ACDE"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7E33C1" w14:textId="10EFF342" w:rsidR="0031493B" w:rsidRDefault="0031493B" w:rsidP="00221F00">
            <w:pPr>
              <w:jc w:val="center"/>
              <w:rPr>
                <w:rFonts w:ascii="Arial Narrow" w:hAnsi="Arial Narrow"/>
                <w:i/>
                <w:iCs/>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94264B" w14:textId="77777777" w:rsidR="0031493B" w:rsidRDefault="0031493B" w:rsidP="00221F00">
            <w:pPr>
              <w:rPr>
                <w:rFonts w:ascii="Arial Narrow" w:hAnsi="Arial Narrow"/>
                <w:bCs/>
                <w:color w:val="333333"/>
                <w:sz w:val="20"/>
                <w:szCs w:val="20"/>
              </w:rPr>
            </w:pPr>
            <w:r w:rsidRPr="00000EE5">
              <w:rPr>
                <w:rFonts w:ascii="Arial Narrow" w:hAnsi="Arial Narrow"/>
                <w:b/>
                <w:color w:val="333333"/>
                <w:sz w:val="20"/>
                <w:szCs w:val="20"/>
              </w:rPr>
              <w:t>Prescribing Instructions</w:t>
            </w:r>
            <w:r w:rsidRPr="00000EE5">
              <w:rPr>
                <w:rFonts w:ascii="Arial Narrow" w:hAnsi="Arial Narrow"/>
                <w:bCs/>
                <w:color w:val="333333"/>
                <w:sz w:val="20"/>
                <w:szCs w:val="20"/>
              </w:rPr>
              <w:t xml:space="preserve">: </w:t>
            </w:r>
          </w:p>
          <w:p w14:paraId="078DC10C" w14:textId="77777777" w:rsidR="0031493B" w:rsidRPr="00A844E5" w:rsidRDefault="0031493B" w:rsidP="00221F00">
            <w:pPr>
              <w:rPr>
                <w:rFonts w:ascii="Arial Narrow" w:hAnsi="Arial Narrow"/>
                <w:i/>
                <w:iCs/>
                <w:color w:val="333333"/>
                <w:sz w:val="20"/>
                <w:szCs w:val="20"/>
              </w:rPr>
            </w:pPr>
            <w:r w:rsidRPr="00A844E5">
              <w:rPr>
                <w:rFonts w:ascii="Arial Narrow" w:hAnsi="Arial Narrow"/>
                <w:i/>
                <w:iCs/>
                <w:color w:val="333333"/>
                <w:sz w:val="20"/>
                <w:szCs w:val="20"/>
              </w:rPr>
              <w:t>Two authority prescription forms will be required to cover for the 26 weeks of initial therapy with ravulizumab, one for the loading dose and one for the 24 week balance which can be sought under the Balance of Supply.</w:t>
            </w:r>
          </w:p>
        </w:tc>
      </w:tr>
      <w:tr w:rsidR="0031493B" w:rsidRPr="00A50A4F" w14:paraId="275EADFB" w14:textId="77777777" w:rsidTr="00221F00">
        <w:trPr>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7BB3BD" w14:textId="6053EBB7" w:rsidR="0031493B" w:rsidRPr="00A844E5" w:rsidRDefault="0031493B" w:rsidP="00221F00">
            <w:pPr>
              <w:jc w:val="center"/>
              <w:rPr>
                <w:rFonts w:ascii="Arial Narrow" w:hAnsi="Arial Narrow"/>
                <w:i/>
                <w:iCs/>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AB337F" w14:textId="77777777" w:rsidR="0031493B" w:rsidRPr="00D512A8" w:rsidRDefault="0031493B" w:rsidP="00221F00">
            <w:pPr>
              <w:rPr>
                <w:rFonts w:ascii="Arial Narrow" w:hAnsi="Arial Narrow"/>
                <w:bCs/>
                <w:i/>
                <w:iCs/>
                <w:color w:val="333333"/>
                <w:sz w:val="20"/>
                <w:szCs w:val="20"/>
              </w:rPr>
            </w:pPr>
            <w:r w:rsidRPr="00D512A8">
              <w:rPr>
                <w:rFonts w:ascii="Arial Narrow" w:hAnsi="Arial Narrow"/>
                <w:bCs/>
                <w:i/>
                <w:iCs/>
                <w:color w:val="333333"/>
                <w:sz w:val="20"/>
                <w:szCs w:val="20"/>
              </w:rPr>
              <w:t>The authority application must be in writing and must include all of the following:</w:t>
            </w:r>
          </w:p>
          <w:p w14:paraId="2BE3872C" w14:textId="77777777" w:rsidR="0031493B" w:rsidRPr="00D512A8" w:rsidRDefault="0031493B" w:rsidP="00221F00">
            <w:pPr>
              <w:rPr>
                <w:rFonts w:ascii="Arial Narrow" w:hAnsi="Arial Narrow"/>
                <w:bCs/>
                <w:i/>
                <w:iCs/>
                <w:color w:val="333333"/>
                <w:sz w:val="20"/>
                <w:szCs w:val="20"/>
              </w:rPr>
            </w:pPr>
            <w:r w:rsidRPr="00D512A8">
              <w:rPr>
                <w:rFonts w:ascii="Arial Narrow" w:hAnsi="Arial Narrow"/>
                <w:bCs/>
                <w:i/>
                <w:iCs/>
                <w:color w:val="333333"/>
                <w:sz w:val="20"/>
                <w:szCs w:val="20"/>
              </w:rPr>
              <w:t>(1) A completed authority prescription form(s);</w:t>
            </w:r>
          </w:p>
          <w:p w14:paraId="52C57C86" w14:textId="77777777" w:rsidR="0031493B" w:rsidRPr="00D512A8" w:rsidRDefault="0031493B" w:rsidP="00221F00">
            <w:pPr>
              <w:rPr>
                <w:rFonts w:ascii="Arial Narrow" w:hAnsi="Arial Narrow"/>
                <w:bCs/>
                <w:i/>
                <w:iCs/>
                <w:color w:val="333333"/>
                <w:sz w:val="20"/>
                <w:szCs w:val="20"/>
              </w:rPr>
            </w:pPr>
            <w:r w:rsidRPr="00D512A8">
              <w:rPr>
                <w:rFonts w:ascii="Arial Narrow" w:hAnsi="Arial Narrow"/>
                <w:bCs/>
                <w:i/>
                <w:iCs/>
                <w:color w:val="333333"/>
                <w:sz w:val="20"/>
                <w:szCs w:val="20"/>
              </w:rPr>
              <w:t>(2) A completed authority application form relevant to the indication and treatment phase (the latest version is located on the website specified in the Administrative Advice);</w:t>
            </w:r>
          </w:p>
          <w:p w14:paraId="7D46FCD7" w14:textId="77777777" w:rsidR="0031493B" w:rsidRPr="0058526D" w:rsidRDefault="0031493B" w:rsidP="00221F00">
            <w:pPr>
              <w:rPr>
                <w:rFonts w:ascii="Arial Narrow" w:hAnsi="Arial Narrow"/>
                <w:bCs/>
                <w:color w:val="333333"/>
                <w:sz w:val="20"/>
                <w:szCs w:val="20"/>
              </w:rPr>
            </w:pPr>
            <w:r w:rsidRPr="00D512A8">
              <w:rPr>
                <w:rFonts w:ascii="Arial Narrow" w:hAnsi="Arial Narrow"/>
                <w:bCs/>
                <w:i/>
                <w:iCs/>
                <w:color w:val="333333"/>
                <w:sz w:val="20"/>
                <w:szCs w:val="20"/>
              </w:rPr>
              <w:t>(3) The baseline MG-ADL profile score</w:t>
            </w:r>
          </w:p>
        </w:tc>
      </w:tr>
      <w:tr w:rsidR="0031493B" w:rsidRPr="00485311" w14:paraId="57A38862" w14:textId="77777777" w:rsidTr="00221F00">
        <w:trPr>
          <w:cantSplit/>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279E5A" w14:textId="77777777" w:rsidR="0031493B" w:rsidRPr="00B06C77" w:rsidRDefault="0031493B" w:rsidP="00221F00">
            <w:pPr>
              <w:jc w:val="center"/>
              <w:rPr>
                <w:rFonts w:ascii="Arial Narrow" w:hAnsi="Arial Narrow" w:cs="Open Sans"/>
                <w:strike/>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F2D69C" w14:textId="77777777" w:rsidR="0031493B" w:rsidRPr="00485311" w:rsidRDefault="0031493B" w:rsidP="00221F00">
            <w:pPr>
              <w:rPr>
                <w:rFonts w:ascii="Arial Narrow" w:hAnsi="Arial Narrow"/>
                <w:b/>
                <w:bCs/>
                <w:color w:val="333333"/>
                <w:sz w:val="20"/>
                <w:szCs w:val="20"/>
              </w:rPr>
            </w:pPr>
            <w:r w:rsidRPr="00485311">
              <w:rPr>
                <w:rFonts w:ascii="Arial Narrow" w:hAnsi="Arial Narrow"/>
                <w:b/>
                <w:bCs/>
                <w:color w:val="333333"/>
                <w:sz w:val="20"/>
                <w:szCs w:val="20"/>
              </w:rPr>
              <w:t>Administrative Advice:</w:t>
            </w:r>
          </w:p>
          <w:p w14:paraId="4B1FF870" w14:textId="77777777" w:rsidR="0031493B" w:rsidRPr="00485311" w:rsidRDefault="0031493B" w:rsidP="00221F00">
            <w:pPr>
              <w:rPr>
                <w:rFonts w:ascii="Arial Narrow" w:hAnsi="Arial Narrow"/>
                <w:color w:val="333333"/>
                <w:sz w:val="20"/>
                <w:szCs w:val="20"/>
              </w:rPr>
            </w:pPr>
            <w:r w:rsidRPr="00485311">
              <w:rPr>
                <w:rFonts w:ascii="Arial Narrow" w:hAnsi="Arial Narrow"/>
                <w:color w:val="333333"/>
                <w:sz w:val="20"/>
                <w:szCs w:val="20"/>
              </w:rPr>
              <w:t>Any queries concerning the arrangements to prescribe may be directed to Services Australia on 1800 700 270 (hours of operation 8 a.m. to 5 p.m. Monday to Friday).</w:t>
            </w:r>
          </w:p>
          <w:p w14:paraId="248AAB65" w14:textId="77777777" w:rsidR="0031493B" w:rsidRPr="00485311" w:rsidRDefault="0031493B" w:rsidP="00221F00">
            <w:pPr>
              <w:rPr>
                <w:rFonts w:ascii="Arial Narrow" w:hAnsi="Arial Narrow"/>
                <w:color w:val="333333"/>
                <w:sz w:val="20"/>
                <w:szCs w:val="20"/>
              </w:rPr>
            </w:pPr>
            <w:r w:rsidRPr="00485311">
              <w:rPr>
                <w:rFonts w:ascii="Arial Narrow" w:hAnsi="Arial Narrow"/>
                <w:color w:val="333333"/>
                <w:sz w:val="20"/>
                <w:szCs w:val="20"/>
              </w:rPr>
              <w:t>Prescribing information (including Authority Application forms and other relevant documentation as applicable) is available on the Services Australia website at www.servicesaustralia.gov.au</w:t>
            </w:r>
          </w:p>
          <w:p w14:paraId="76DDF8D6" w14:textId="77777777" w:rsidR="0031493B" w:rsidRPr="00485311" w:rsidRDefault="0031493B" w:rsidP="00221F00">
            <w:pPr>
              <w:rPr>
                <w:rFonts w:ascii="Arial Narrow" w:hAnsi="Arial Narrow"/>
                <w:color w:val="333333"/>
                <w:sz w:val="20"/>
                <w:szCs w:val="20"/>
              </w:rPr>
            </w:pPr>
            <w:r w:rsidRPr="00485311">
              <w:rPr>
                <w:rFonts w:ascii="Arial Narrow" w:hAnsi="Arial Narrow"/>
                <w:color w:val="333333"/>
                <w:sz w:val="20"/>
                <w:szCs w:val="20"/>
              </w:rPr>
              <w:t>Applications for authority to prescribe should be submitted online using the form upload facility in Health Professional Online Services (HPOS) at www.servicesaustralia.gov.au/hpos</w:t>
            </w:r>
          </w:p>
          <w:p w14:paraId="3CA01DF5" w14:textId="77777777" w:rsidR="0031493B" w:rsidRPr="00485311" w:rsidRDefault="0031493B" w:rsidP="00221F00">
            <w:pPr>
              <w:rPr>
                <w:rFonts w:ascii="Arial Narrow" w:hAnsi="Arial Narrow"/>
                <w:color w:val="333333"/>
                <w:sz w:val="20"/>
                <w:szCs w:val="20"/>
              </w:rPr>
            </w:pPr>
            <w:r w:rsidRPr="00485311">
              <w:rPr>
                <w:rFonts w:ascii="Arial Narrow" w:hAnsi="Arial Narrow"/>
                <w:color w:val="333333"/>
                <w:sz w:val="20"/>
                <w:szCs w:val="20"/>
              </w:rPr>
              <w:t>Or mailed to:</w:t>
            </w:r>
          </w:p>
          <w:p w14:paraId="65AA0F5A" w14:textId="77777777" w:rsidR="0031493B" w:rsidRPr="00485311" w:rsidRDefault="0031493B" w:rsidP="00221F00">
            <w:pPr>
              <w:rPr>
                <w:rFonts w:ascii="Arial Narrow" w:hAnsi="Arial Narrow"/>
                <w:color w:val="333333"/>
                <w:sz w:val="20"/>
                <w:szCs w:val="20"/>
              </w:rPr>
            </w:pPr>
            <w:r w:rsidRPr="00485311">
              <w:rPr>
                <w:rFonts w:ascii="Arial Narrow" w:hAnsi="Arial Narrow"/>
                <w:color w:val="333333"/>
                <w:sz w:val="20"/>
                <w:szCs w:val="20"/>
              </w:rPr>
              <w:t>Services Australia</w:t>
            </w:r>
          </w:p>
          <w:p w14:paraId="481BD73F" w14:textId="77777777" w:rsidR="0031493B" w:rsidRPr="00485311" w:rsidRDefault="0031493B" w:rsidP="00221F00">
            <w:pPr>
              <w:rPr>
                <w:rFonts w:ascii="Arial Narrow" w:hAnsi="Arial Narrow"/>
                <w:color w:val="333333"/>
                <w:sz w:val="20"/>
                <w:szCs w:val="20"/>
              </w:rPr>
            </w:pPr>
            <w:r w:rsidRPr="00485311">
              <w:rPr>
                <w:rFonts w:ascii="Arial Narrow" w:hAnsi="Arial Narrow"/>
                <w:color w:val="333333"/>
                <w:sz w:val="20"/>
                <w:szCs w:val="20"/>
              </w:rPr>
              <w:t>Complex Drugs</w:t>
            </w:r>
          </w:p>
          <w:p w14:paraId="6F1D66C6" w14:textId="77777777" w:rsidR="0031493B" w:rsidRPr="00485311" w:rsidRDefault="0031493B" w:rsidP="00221F00">
            <w:pPr>
              <w:rPr>
                <w:rFonts w:ascii="Arial Narrow" w:hAnsi="Arial Narrow"/>
                <w:color w:val="333333"/>
                <w:sz w:val="20"/>
                <w:szCs w:val="20"/>
              </w:rPr>
            </w:pPr>
            <w:r w:rsidRPr="00485311">
              <w:rPr>
                <w:rFonts w:ascii="Arial Narrow" w:hAnsi="Arial Narrow"/>
                <w:color w:val="333333"/>
                <w:sz w:val="20"/>
                <w:szCs w:val="20"/>
              </w:rPr>
              <w:t>Reply Paid 9826</w:t>
            </w:r>
          </w:p>
          <w:p w14:paraId="55FCA06E" w14:textId="77777777" w:rsidR="0031493B" w:rsidRPr="00485311" w:rsidRDefault="0031493B" w:rsidP="00221F00">
            <w:pPr>
              <w:textAlignment w:val="baseline"/>
              <w:rPr>
                <w:rFonts w:ascii="Arial Narrow" w:hAnsi="Arial Narrow" w:cs="Open Sans"/>
                <w:b/>
                <w:bCs/>
                <w:color w:val="333333"/>
                <w:sz w:val="20"/>
                <w:szCs w:val="20"/>
                <w:bdr w:val="none" w:sz="0" w:space="0" w:color="auto" w:frame="1"/>
              </w:rPr>
            </w:pPr>
            <w:r w:rsidRPr="00485311">
              <w:rPr>
                <w:rFonts w:ascii="Arial Narrow" w:hAnsi="Arial Narrow"/>
                <w:color w:val="333333"/>
                <w:sz w:val="20"/>
                <w:szCs w:val="20"/>
              </w:rPr>
              <w:t>HOBART TAS 7001</w:t>
            </w:r>
          </w:p>
        </w:tc>
      </w:tr>
      <w:tr w:rsidR="0031493B" w14:paraId="264B62E4" w14:textId="77777777" w:rsidTr="00221F00">
        <w:trPr>
          <w:cantSplit/>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7B3EB13" w14:textId="57EA58D6" w:rsidR="0031493B"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C4DF8B8" w14:textId="77777777" w:rsidR="0031493B" w:rsidRDefault="0031493B" w:rsidP="00221F00">
            <w:pPr>
              <w:rPr>
                <w:rFonts w:ascii="Arial Narrow" w:hAnsi="Arial Narrow"/>
                <w:b/>
                <w:bCs/>
                <w:color w:val="333333"/>
                <w:sz w:val="20"/>
                <w:szCs w:val="20"/>
              </w:rPr>
            </w:pPr>
            <w:r w:rsidRPr="00485311">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527B10">
              <w:rPr>
                <w:rFonts w:ascii="Arial Narrow" w:hAnsi="Arial Narrow"/>
                <w:color w:val="333333"/>
                <w:sz w:val="20"/>
                <w:szCs w:val="20"/>
              </w:rPr>
              <w:t>No increase in the maximum number of repeats may be authorised.</w:t>
            </w:r>
          </w:p>
        </w:tc>
      </w:tr>
      <w:tr w:rsidR="0031493B" w14:paraId="58807036" w14:textId="77777777" w:rsidTr="00221F00">
        <w:trPr>
          <w:cantSplit/>
          <w:trHeight w:val="20"/>
        </w:trPr>
        <w:tc>
          <w:tcPr>
            <w:tcW w:w="144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51D9993" w14:textId="545EDCEA" w:rsidR="0031493B" w:rsidRPr="00527B10" w:rsidRDefault="0031493B" w:rsidP="00221F00">
            <w:pPr>
              <w:jc w:val="center"/>
              <w:rPr>
                <w:rFonts w:ascii="Arial Narrow" w:hAnsi="Arial Narrow"/>
                <w:color w:val="333333"/>
                <w:sz w:val="20"/>
                <w:szCs w:val="20"/>
              </w:rPr>
            </w:pPr>
          </w:p>
        </w:tc>
        <w:tc>
          <w:tcPr>
            <w:tcW w:w="779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B996096" w14:textId="77777777" w:rsidR="0031493B" w:rsidRDefault="0031493B" w:rsidP="00221F00">
            <w:pPr>
              <w:rPr>
                <w:rFonts w:ascii="Arial Narrow" w:hAnsi="Arial Narrow"/>
                <w:b/>
                <w:bCs/>
                <w:color w:val="333333"/>
                <w:sz w:val="20"/>
                <w:szCs w:val="20"/>
              </w:rPr>
            </w:pPr>
            <w:r>
              <w:rPr>
                <w:rFonts w:ascii="Arial Narrow" w:hAnsi="Arial Narrow"/>
                <w:b/>
                <w:bCs/>
                <w:color w:val="333333"/>
                <w:sz w:val="20"/>
                <w:szCs w:val="20"/>
              </w:rPr>
              <w:t>NOTE:</w:t>
            </w:r>
          </w:p>
          <w:p w14:paraId="561B3F92" w14:textId="1463A620" w:rsidR="0031493B" w:rsidRDefault="0031493B" w:rsidP="00221F00">
            <w:pPr>
              <w:pStyle w:val="CommentText"/>
              <w:jc w:val="left"/>
              <w:rPr>
                <w:rFonts w:ascii="Arial Narrow" w:hAnsi="Arial Narrow"/>
                <w:i/>
                <w:iCs/>
                <w:color w:val="333333"/>
              </w:rPr>
            </w:pPr>
            <w:r w:rsidRPr="009641B2">
              <w:rPr>
                <w:rFonts w:ascii="Arial Narrow" w:hAnsi="Arial Narrow"/>
                <w:bCs/>
                <w:i/>
                <w:iCs/>
                <w:color w:val="333333"/>
              </w:rPr>
              <w:t>The Myasthenia Gravis-Activities of Daily Living (MG-ADL) can be calculated here [sponsor advise</w:t>
            </w:r>
            <w:r>
              <w:rPr>
                <w:rFonts w:ascii="Arial Narrow" w:hAnsi="Arial Narrow"/>
                <w:bCs/>
                <w:i/>
                <w:iCs/>
                <w:color w:val="333333"/>
              </w:rPr>
              <w:t xml:space="preserve">d: </w:t>
            </w:r>
            <w:r w:rsidRPr="00362E1D">
              <w:rPr>
                <w:rFonts w:ascii="Arial Narrow" w:hAnsi="Arial Narrow"/>
                <w:bCs/>
                <w:i/>
                <w:iCs/>
                <w:color w:val="333333"/>
              </w:rPr>
              <w:t>Muppidi 2022</w:t>
            </w:r>
            <w:r>
              <w:rPr>
                <w:rFonts w:ascii="Arial Narrow" w:hAnsi="Arial Narrow"/>
                <w:bCs/>
                <w:i/>
                <w:iCs/>
                <w:color w:val="333333"/>
              </w:rPr>
              <w:t xml:space="preserve"> available at </w:t>
            </w:r>
            <w:hyperlink r:id="rId8" w:history="1">
              <w:r w:rsidRPr="00362E1D">
                <w:rPr>
                  <w:rFonts w:ascii="Arial Narrow" w:hAnsi="Arial Narrow"/>
                  <w:bCs/>
                  <w:i/>
                  <w:iCs/>
                  <w:color w:val="333333"/>
                </w:rPr>
                <w:t>https://onlinelibrary.wiley.com/doi/10.1002/mus.22140</w:t>
              </w:r>
            </w:hyperlink>
            <w:r w:rsidRPr="009641B2">
              <w:rPr>
                <w:rFonts w:ascii="Arial Narrow" w:hAnsi="Arial Narrow"/>
                <w:bCs/>
                <w:i/>
                <w:iCs/>
                <w:color w:val="333333"/>
              </w:rPr>
              <w:t xml:space="preserve">]. </w:t>
            </w:r>
            <w:r w:rsidRPr="00362E1D">
              <w:rPr>
                <w:rFonts w:ascii="Arial Narrow" w:hAnsi="Arial Narrow"/>
                <w:i/>
                <w:iCs/>
                <w:color w:val="333333"/>
              </w:rPr>
              <w:t>The MG-ADL scale assesses the impact of MG on daily functions, based on the patient’s recall of symptoms during the prior week</w:t>
            </w:r>
            <w:r>
              <w:rPr>
                <w:rFonts w:ascii="Arial Narrow" w:hAnsi="Arial Narrow"/>
                <w:i/>
                <w:iCs/>
                <w:color w:val="333333"/>
              </w:rPr>
              <w:t xml:space="preserve">. </w:t>
            </w:r>
            <w:r w:rsidRPr="009641B2">
              <w:rPr>
                <w:rFonts w:ascii="Arial Narrow" w:hAnsi="Arial Narrow"/>
                <w:i/>
                <w:iCs/>
                <w:color w:val="333333"/>
              </w:rPr>
              <w:t>The</w:t>
            </w:r>
            <w:r w:rsidRPr="005911F2">
              <w:rPr>
                <w:rFonts w:ascii="Arial Narrow" w:hAnsi="Arial Narrow"/>
                <w:i/>
                <w:iCs/>
                <w:color w:val="333333"/>
              </w:rPr>
              <w:t xml:space="preserve"> MG-ADL is an </w:t>
            </w:r>
            <w:r>
              <w:rPr>
                <w:rFonts w:ascii="Arial Narrow" w:hAnsi="Arial Narrow"/>
                <w:i/>
                <w:iCs/>
                <w:color w:val="333333"/>
              </w:rPr>
              <w:t>eight</w:t>
            </w:r>
            <w:r w:rsidRPr="009867A9">
              <w:rPr>
                <w:rFonts w:ascii="Arial Narrow" w:hAnsi="Arial Narrow"/>
                <w:i/>
                <w:iCs/>
                <w:color w:val="333333"/>
              </w:rPr>
              <w:t>-item patient-reported outcome measure assessing</w:t>
            </w:r>
            <w:r>
              <w:rPr>
                <w:rFonts w:ascii="Arial Narrow" w:hAnsi="Arial Narrow"/>
                <w:i/>
                <w:iCs/>
                <w:color w:val="333333"/>
              </w:rPr>
              <w:t xml:space="preserve"> </w:t>
            </w:r>
            <w:r w:rsidRPr="005911F2">
              <w:rPr>
                <w:rFonts w:ascii="Arial Narrow" w:hAnsi="Arial Narrow"/>
                <w:i/>
                <w:iCs/>
                <w:color w:val="333333"/>
              </w:rPr>
              <w:t>symptom severity, with each response graded from 0 (normal) to 3 (most severe).</w:t>
            </w:r>
            <w:r>
              <w:rPr>
                <w:rFonts w:ascii="Arial Narrow" w:hAnsi="Arial Narrow"/>
                <w:i/>
                <w:iCs/>
                <w:color w:val="333333"/>
              </w:rPr>
              <w:t xml:space="preserve"> The eight components are: talking; chewing; swallowing; breathing; i</w:t>
            </w:r>
            <w:r w:rsidRPr="005911F2">
              <w:rPr>
                <w:rFonts w:ascii="Arial Narrow" w:hAnsi="Arial Narrow"/>
                <w:i/>
                <w:iCs/>
                <w:color w:val="333333"/>
              </w:rPr>
              <w:t>mpairment of ability to brush teeth or comb hair</w:t>
            </w:r>
            <w:r>
              <w:rPr>
                <w:rFonts w:ascii="Arial Narrow" w:hAnsi="Arial Narrow"/>
                <w:i/>
                <w:iCs/>
                <w:color w:val="333333"/>
              </w:rPr>
              <w:t>; i</w:t>
            </w:r>
            <w:r w:rsidRPr="005911F2">
              <w:rPr>
                <w:rFonts w:ascii="Arial Narrow" w:hAnsi="Arial Narrow"/>
                <w:i/>
                <w:iCs/>
                <w:color w:val="333333"/>
              </w:rPr>
              <w:t>mpairment of ability to arise from a chair</w:t>
            </w:r>
            <w:r>
              <w:rPr>
                <w:rFonts w:ascii="Arial Narrow" w:hAnsi="Arial Narrow"/>
                <w:i/>
                <w:iCs/>
                <w:color w:val="333333"/>
              </w:rPr>
              <w:t>; d</w:t>
            </w:r>
            <w:r w:rsidRPr="005911F2">
              <w:rPr>
                <w:rFonts w:ascii="Arial Narrow" w:hAnsi="Arial Narrow"/>
                <w:i/>
                <w:iCs/>
                <w:color w:val="333333"/>
              </w:rPr>
              <w:t>ouble vision</w:t>
            </w:r>
            <w:r>
              <w:rPr>
                <w:rFonts w:ascii="Arial Narrow" w:hAnsi="Arial Narrow"/>
                <w:i/>
                <w:iCs/>
                <w:color w:val="333333"/>
              </w:rPr>
              <w:t>; and e</w:t>
            </w:r>
            <w:r w:rsidRPr="005911F2">
              <w:rPr>
                <w:rFonts w:ascii="Arial Narrow" w:hAnsi="Arial Narrow"/>
                <w:i/>
                <w:iCs/>
                <w:color w:val="333333"/>
              </w:rPr>
              <w:t>yelid droop</w:t>
            </w:r>
            <w:r>
              <w:rPr>
                <w:rFonts w:ascii="Arial Narrow" w:hAnsi="Arial Narrow"/>
                <w:i/>
                <w:iCs/>
                <w:color w:val="333333"/>
              </w:rPr>
              <w:t>.</w:t>
            </w:r>
            <w:r w:rsidRPr="005911F2">
              <w:rPr>
                <w:rFonts w:ascii="Arial Narrow" w:hAnsi="Arial Narrow"/>
                <w:i/>
                <w:iCs/>
                <w:color w:val="333333"/>
              </w:rPr>
              <w:t xml:space="preserve"> </w:t>
            </w:r>
            <w:r w:rsidRPr="00362E1D">
              <w:rPr>
                <w:rFonts w:ascii="Arial Narrow" w:hAnsi="Arial Narrow"/>
                <w:i/>
                <w:iCs/>
                <w:color w:val="333333"/>
              </w:rPr>
              <w:t>MG-ADL Items are linearly scored and not weighted</w:t>
            </w:r>
            <w:r>
              <w:rPr>
                <w:rFonts w:ascii="Arial Narrow" w:hAnsi="Arial Narrow"/>
                <w:i/>
                <w:iCs/>
                <w:color w:val="333333"/>
              </w:rPr>
              <w:t>.</w:t>
            </w:r>
            <w:r w:rsidRPr="005911F2">
              <w:rPr>
                <w:rFonts w:ascii="Arial Narrow" w:hAnsi="Arial Narrow"/>
                <w:i/>
                <w:iCs/>
                <w:color w:val="333333"/>
              </w:rPr>
              <w:t xml:space="preserve"> Cumulative MG-ADL scores range from 0 to 24, with higher scores indicating greater severity.</w:t>
            </w:r>
            <w:r>
              <w:rPr>
                <w:rFonts w:ascii="Arial Narrow" w:hAnsi="Arial Narrow"/>
                <w:i/>
                <w:iCs/>
                <w:color w:val="333333"/>
              </w:rPr>
              <w:t xml:space="preserve"> </w:t>
            </w:r>
          </w:p>
          <w:p w14:paraId="6E629F26" w14:textId="77777777" w:rsidR="0031493B" w:rsidRPr="005911F2" w:rsidRDefault="0031493B" w:rsidP="00221F00">
            <w:pPr>
              <w:rPr>
                <w:rFonts w:ascii="Arial Narrow" w:hAnsi="Arial Narrow"/>
                <w:b/>
                <w:bCs/>
                <w:i/>
                <w:iCs/>
                <w:color w:val="333333"/>
                <w:sz w:val="20"/>
                <w:szCs w:val="20"/>
              </w:rPr>
            </w:pPr>
            <w:r>
              <w:rPr>
                <w:rFonts w:ascii="Arial Narrow" w:hAnsi="Arial Narrow"/>
                <w:i/>
                <w:iCs/>
                <w:color w:val="333333"/>
                <w:sz w:val="20"/>
                <w:szCs w:val="20"/>
              </w:rPr>
              <w:t>Document the MG-ADL in the patient’s medical records.</w:t>
            </w:r>
          </w:p>
        </w:tc>
      </w:tr>
    </w:tbl>
    <w:p w14:paraId="6DF94C4F" w14:textId="77777777" w:rsidR="0031493B" w:rsidRDefault="0031493B" w:rsidP="003149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14"/>
        <w:gridCol w:w="2126"/>
        <w:gridCol w:w="1701"/>
        <w:gridCol w:w="709"/>
        <w:gridCol w:w="709"/>
        <w:gridCol w:w="708"/>
        <w:gridCol w:w="1650"/>
      </w:tblGrid>
      <w:tr w:rsidR="0031493B" w14:paraId="6C1E70B2" w14:textId="77777777" w:rsidTr="00EF3B77">
        <w:trPr>
          <w:cantSplit/>
          <w:trHeight w:val="20"/>
        </w:trPr>
        <w:tc>
          <w:tcPr>
            <w:tcW w:w="3540" w:type="dxa"/>
            <w:gridSpan w:val="2"/>
            <w:tcBorders>
              <w:top w:val="single" w:sz="4" w:space="0" w:color="auto"/>
              <w:left w:val="single" w:sz="4" w:space="0" w:color="auto"/>
              <w:bottom w:val="single" w:sz="4" w:space="0" w:color="auto"/>
              <w:right w:val="single" w:sz="4" w:space="0" w:color="auto"/>
            </w:tcBorders>
            <w:vAlign w:val="center"/>
            <w:hideMark/>
          </w:tcPr>
          <w:p w14:paraId="0FF1718E" w14:textId="77777777" w:rsidR="0031493B" w:rsidRDefault="0031493B" w:rsidP="00EF3B77">
            <w:pPr>
              <w:keepLines/>
              <w:rPr>
                <w:rFonts w:ascii="Arial Narrow" w:hAnsi="Arial Narrow"/>
                <w:b/>
                <w:bCs/>
                <w:sz w:val="20"/>
                <w:szCs w:val="20"/>
              </w:rPr>
            </w:pPr>
            <w:r>
              <w:rPr>
                <w:rFonts w:ascii="Arial Narrow" w:hAnsi="Arial Narrow"/>
                <w:b/>
                <w:bCs/>
                <w:sz w:val="20"/>
                <w:szCs w:val="20"/>
              </w:rPr>
              <w:t>MEDICINAL PRODUCT</w:t>
            </w:r>
          </w:p>
          <w:p w14:paraId="3C9E1BFE" w14:textId="77777777" w:rsidR="0031493B" w:rsidRDefault="0031493B" w:rsidP="00EF3B77">
            <w:pPr>
              <w:keepLines/>
              <w:rPr>
                <w:rFonts w:ascii="Arial Narrow" w:hAnsi="Arial Narrow"/>
                <w:b/>
                <w:sz w:val="20"/>
                <w:szCs w:val="20"/>
              </w:rPr>
            </w:pPr>
            <w:r>
              <w:rPr>
                <w:rFonts w:ascii="Arial Narrow" w:hAnsi="Arial Narrow"/>
                <w:b/>
                <w:bCs/>
                <w:sz w:val="20"/>
                <w:szCs w:val="20"/>
              </w:rPr>
              <w:t>medicinal product pack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A4BD16" w14:textId="77777777" w:rsidR="0031493B" w:rsidRDefault="0031493B" w:rsidP="00EF3B77">
            <w:pPr>
              <w:keepLines/>
              <w:jc w:val="center"/>
              <w:rPr>
                <w:rFonts w:ascii="Arial Narrow" w:hAnsi="Arial Narrow"/>
                <w:b/>
                <w:sz w:val="20"/>
                <w:szCs w:val="20"/>
              </w:rPr>
            </w:pPr>
            <w:r>
              <w:rPr>
                <w:rFonts w:ascii="Arial Narrow" w:hAnsi="Arial Narrow"/>
                <w:b/>
                <w:sz w:val="20"/>
                <w:szCs w:val="20"/>
              </w:rPr>
              <w:t>PBS item 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F6B85B" w14:textId="77777777" w:rsidR="0031493B" w:rsidRDefault="0031493B" w:rsidP="00EF3B77">
            <w:pPr>
              <w:keepLines/>
              <w:jc w:val="center"/>
              <w:rPr>
                <w:rFonts w:ascii="Arial Narrow" w:hAnsi="Arial Narrow"/>
                <w:b/>
                <w:sz w:val="20"/>
                <w:szCs w:val="20"/>
              </w:rPr>
            </w:pPr>
            <w:r>
              <w:rPr>
                <w:rFonts w:ascii="Arial Narrow" w:hAnsi="Arial Narrow"/>
                <w:b/>
                <w:sz w:val="20"/>
                <w:szCs w:val="20"/>
              </w:rPr>
              <w:t>Max. qty packs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B39D9" w14:textId="77777777" w:rsidR="0031493B" w:rsidRDefault="0031493B" w:rsidP="00EF3B77">
            <w:pPr>
              <w:keepLines/>
              <w:jc w:val="center"/>
              <w:rPr>
                <w:rFonts w:ascii="Arial Narrow" w:hAnsi="Arial Narrow"/>
                <w:b/>
                <w:sz w:val="20"/>
                <w:szCs w:val="20"/>
              </w:rPr>
            </w:pPr>
            <w:r>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B71BEB" w14:textId="77777777" w:rsidR="0031493B" w:rsidRDefault="0031493B" w:rsidP="00EF3B77">
            <w:pPr>
              <w:keepLines/>
              <w:jc w:val="center"/>
              <w:rPr>
                <w:rFonts w:ascii="Arial Narrow" w:hAnsi="Arial Narrow"/>
                <w:b/>
                <w:sz w:val="20"/>
                <w:szCs w:val="20"/>
              </w:rPr>
            </w:pPr>
            <w:r>
              <w:rPr>
                <w:rFonts w:ascii="Arial Narrow" w:hAnsi="Arial Narrow"/>
                <w:b/>
                <w:sz w:val="20"/>
                <w:szCs w:val="20"/>
              </w:rPr>
              <w:t>№.of</w:t>
            </w:r>
          </w:p>
          <w:p w14:paraId="4EB6C7EF" w14:textId="77777777" w:rsidR="0031493B" w:rsidRDefault="0031493B" w:rsidP="00EF3B77">
            <w:pPr>
              <w:keepLines/>
              <w:jc w:val="center"/>
              <w:rPr>
                <w:rFonts w:ascii="Arial Narrow" w:hAnsi="Arial Narrow"/>
                <w:b/>
                <w:sz w:val="20"/>
                <w:szCs w:val="20"/>
              </w:rPr>
            </w:pPr>
            <w:r>
              <w:rPr>
                <w:rFonts w:ascii="Arial Narrow" w:hAnsi="Arial Narrow"/>
                <w:b/>
                <w:sz w:val="20"/>
                <w:szCs w:val="20"/>
              </w:rPr>
              <w:t>Rpts</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520F331" w14:textId="77777777" w:rsidR="0031493B" w:rsidRDefault="0031493B" w:rsidP="00EF3B77">
            <w:pPr>
              <w:keepLines/>
              <w:rPr>
                <w:rFonts w:ascii="Arial Narrow" w:hAnsi="Arial Narrow"/>
                <w:b/>
                <w:sz w:val="20"/>
                <w:szCs w:val="20"/>
                <w:lang w:val="fr-FR"/>
              </w:rPr>
            </w:pPr>
            <w:r>
              <w:rPr>
                <w:rFonts w:ascii="Arial Narrow" w:hAnsi="Arial Narrow"/>
                <w:b/>
                <w:sz w:val="20"/>
                <w:szCs w:val="20"/>
              </w:rPr>
              <w:t>Available brands</w:t>
            </w:r>
          </w:p>
        </w:tc>
      </w:tr>
      <w:tr w:rsidR="0031493B" w14:paraId="4606813B" w14:textId="77777777" w:rsidTr="00EF3B77">
        <w:trPr>
          <w:cantSplit/>
          <w:trHeight w:val="20"/>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66D64AF5" w14:textId="77777777" w:rsidR="0031493B" w:rsidRDefault="0031493B" w:rsidP="00EF3B77">
            <w:pPr>
              <w:keepLines/>
              <w:rPr>
                <w:rFonts w:ascii="Arial Narrow" w:hAnsi="Arial Narrow"/>
                <w:sz w:val="20"/>
                <w:szCs w:val="20"/>
              </w:rPr>
            </w:pPr>
            <w:r>
              <w:rPr>
                <w:rFonts w:ascii="Arial Narrow" w:hAnsi="Arial Narrow"/>
                <w:sz w:val="20"/>
                <w:szCs w:val="20"/>
              </w:rPr>
              <w:t>RAVULIZUMAB</w:t>
            </w:r>
          </w:p>
        </w:tc>
      </w:tr>
      <w:tr w:rsidR="0031493B" w14:paraId="3D3E7E24" w14:textId="77777777" w:rsidTr="00EF3B77">
        <w:trPr>
          <w:cantSplit/>
          <w:trHeight w:val="20"/>
        </w:trPr>
        <w:tc>
          <w:tcPr>
            <w:tcW w:w="3540" w:type="dxa"/>
            <w:gridSpan w:val="2"/>
            <w:tcBorders>
              <w:top w:val="single" w:sz="4" w:space="0" w:color="auto"/>
              <w:left w:val="single" w:sz="4" w:space="0" w:color="auto"/>
              <w:bottom w:val="single" w:sz="4" w:space="0" w:color="auto"/>
              <w:right w:val="single" w:sz="4" w:space="0" w:color="auto"/>
            </w:tcBorders>
            <w:vAlign w:val="center"/>
            <w:hideMark/>
          </w:tcPr>
          <w:p w14:paraId="02988150" w14:textId="77777777" w:rsidR="0031493B" w:rsidRDefault="0031493B" w:rsidP="00EF3B77">
            <w:pPr>
              <w:keepLines/>
              <w:rPr>
                <w:rFonts w:ascii="Arial Narrow" w:hAnsi="Arial Narrow"/>
                <w:sz w:val="20"/>
                <w:szCs w:val="20"/>
              </w:rPr>
            </w:pPr>
            <w:r>
              <w:rPr>
                <w:rFonts w:ascii="Arial Narrow" w:hAnsi="Arial Narrow"/>
                <w:sz w:val="20"/>
                <w:szCs w:val="20"/>
              </w:rPr>
              <w:t>ravulizumab 1.1 g/11 mL injection, 11 mL vial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A59B7A" w14:textId="77777777" w:rsidR="0031493B" w:rsidRDefault="0031493B" w:rsidP="00EF3B77">
            <w:pPr>
              <w:keepLines/>
              <w:jc w:val="center"/>
              <w:rPr>
                <w:rFonts w:ascii="Arial Narrow" w:hAnsi="Arial Narrow"/>
                <w:sz w:val="20"/>
                <w:szCs w:val="20"/>
              </w:rPr>
            </w:pPr>
            <w:r>
              <w:rPr>
                <w:rFonts w:ascii="Arial Narrow" w:hAnsi="Arial Narrow"/>
                <w:sz w:val="20"/>
                <w:szCs w:val="20"/>
              </w:rPr>
              <w:t>NEW HSD (Public)</w:t>
            </w:r>
          </w:p>
          <w:p w14:paraId="7F4A60C0" w14:textId="77777777" w:rsidR="0031493B" w:rsidRDefault="0031493B" w:rsidP="00EF3B77">
            <w:pPr>
              <w:keepLines/>
              <w:jc w:val="center"/>
              <w:rPr>
                <w:rFonts w:ascii="Arial Narrow" w:hAnsi="Arial Narrow"/>
                <w:sz w:val="20"/>
                <w:szCs w:val="20"/>
              </w:rPr>
            </w:pPr>
            <w:r>
              <w:rPr>
                <w:rFonts w:ascii="Arial Narrow" w:hAnsi="Arial Narrow"/>
                <w:sz w:val="20"/>
                <w:szCs w:val="20"/>
              </w:rPr>
              <w:t>NEW HSD (Private)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6E96E4" w14:textId="77777777" w:rsidR="0031493B" w:rsidRDefault="0031493B" w:rsidP="00EF3B77">
            <w:pPr>
              <w:keepLines/>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9F8D75" w14:textId="77777777" w:rsidR="0031493B" w:rsidRDefault="0031493B" w:rsidP="00EF3B77">
            <w:pPr>
              <w:keepLines/>
              <w:jc w:val="center"/>
              <w:rPr>
                <w:rFonts w:ascii="Arial Narrow" w:hAnsi="Arial Narrow"/>
                <w:sz w:val="20"/>
                <w:szCs w:val="20"/>
              </w:rPr>
            </w:pPr>
            <w:r>
              <w:rPr>
                <w:rFonts w:ascii="Arial Narrow" w:hAnsi="Arial Narrow"/>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02992C" w14:textId="77777777" w:rsidR="0031493B" w:rsidRDefault="0031493B" w:rsidP="00EF3B77">
            <w:pPr>
              <w:keepLines/>
              <w:jc w:val="center"/>
              <w:rPr>
                <w:rFonts w:ascii="Arial Narrow" w:hAnsi="Arial Narrow"/>
                <w:sz w:val="20"/>
                <w:szCs w:val="20"/>
              </w:rPr>
            </w:pPr>
            <w:r>
              <w:rPr>
                <w:rFonts w:ascii="Arial Narrow" w:hAnsi="Arial Narrow"/>
                <w:sz w:val="20"/>
                <w:szCs w:val="20"/>
              </w:rPr>
              <w:t>2</w:t>
            </w:r>
          </w:p>
        </w:tc>
        <w:tc>
          <w:tcPr>
            <w:tcW w:w="1650" w:type="dxa"/>
            <w:tcBorders>
              <w:top w:val="single" w:sz="4" w:space="0" w:color="auto"/>
              <w:left w:val="single" w:sz="4" w:space="0" w:color="auto"/>
              <w:bottom w:val="single" w:sz="4" w:space="0" w:color="auto"/>
              <w:right w:val="single" w:sz="4" w:space="0" w:color="auto"/>
            </w:tcBorders>
            <w:vAlign w:val="center"/>
            <w:hideMark/>
          </w:tcPr>
          <w:p w14:paraId="36BAF464" w14:textId="77777777" w:rsidR="0031493B" w:rsidRDefault="0031493B" w:rsidP="00EF3B77">
            <w:pPr>
              <w:keepLines/>
              <w:rPr>
                <w:rFonts w:ascii="Arial Narrow" w:hAnsi="Arial Narrow"/>
                <w:sz w:val="20"/>
                <w:szCs w:val="20"/>
              </w:rPr>
            </w:pPr>
            <w:r>
              <w:rPr>
                <w:rFonts w:ascii="Arial Narrow" w:hAnsi="Arial Narrow"/>
                <w:sz w:val="20"/>
                <w:szCs w:val="20"/>
              </w:rPr>
              <w:t>Ultomiris</w:t>
            </w:r>
          </w:p>
        </w:tc>
      </w:tr>
      <w:tr w:rsidR="0031493B" w14:paraId="629874C0" w14:textId="77777777" w:rsidTr="00EF3B77">
        <w:trPr>
          <w:cantSplit/>
          <w:trHeight w:val="20"/>
        </w:trPr>
        <w:tc>
          <w:tcPr>
            <w:tcW w:w="3540" w:type="dxa"/>
            <w:gridSpan w:val="2"/>
            <w:tcBorders>
              <w:top w:val="single" w:sz="4" w:space="0" w:color="auto"/>
              <w:left w:val="single" w:sz="4" w:space="0" w:color="auto"/>
              <w:bottom w:val="single" w:sz="4" w:space="0" w:color="auto"/>
              <w:right w:val="single" w:sz="4" w:space="0" w:color="auto"/>
            </w:tcBorders>
            <w:vAlign w:val="center"/>
            <w:hideMark/>
          </w:tcPr>
          <w:p w14:paraId="2179EE71" w14:textId="77777777" w:rsidR="0031493B" w:rsidRDefault="0031493B" w:rsidP="00EF3B77">
            <w:pPr>
              <w:keepLines/>
              <w:rPr>
                <w:rFonts w:ascii="Arial Narrow" w:hAnsi="Arial Narrow"/>
                <w:sz w:val="20"/>
                <w:szCs w:val="20"/>
              </w:rPr>
            </w:pPr>
            <w:r>
              <w:rPr>
                <w:rFonts w:ascii="Arial Narrow" w:hAnsi="Arial Narrow"/>
                <w:sz w:val="20"/>
                <w:szCs w:val="20"/>
              </w:rPr>
              <w:t>ravulizumab 300 mg/3 mL injection, 3 mL vial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BD23D7" w14:textId="77777777" w:rsidR="0031493B" w:rsidRDefault="0031493B" w:rsidP="00EF3B77">
            <w:pPr>
              <w:keepLines/>
              <w:jc w:val="center"/>
              <w:rPr>
                <w:rFonts w:ascii="Arial Narrow" w:hAnsi="Arial Narrow"/>
                <w:sz w:val="20"/>
                <w:szCs w:val="20"/>
              </w:rPr>
            </w:pPr>
            <w:r>
              <w:rPr>
                <w:rFonts w:ascii="Arial Narrow" w:hAnsi="Arial Narrow"/>
                <w:sz w:val="20"/>
                <w:szCs w:val="20"/>
              </w:rPr>
              <w:t>NEW HSD (Public)</w:t>
            </w:r>
          </w:p>
          <w:p w14:paraId="3C14D130" w14:textId="77777777" w:rsidR="0031493B" w:rsidRDefault="0031493B" w:rsidP="00EF3B77">
            <w:pPr>
              <w:keepLines/>
              <w:jc w:val="center"/>
              <w:rPr>
                <w:rFonts w:ascii="Arial Narrow" w:hAnsi="Arial Narrow"/>
                <w:sz w:val="20"/>
                <w:szCs w:val="20"/>
              </w:rPr>
            </w:pPr>
            <w:r>
              <w:rPr>
                <w:rFonts w:ascii="Arial Narrow" w:hAnsi="Arial Narrow"/>
                <w:sz w:val="20"/>
                <w:szCs w:val="20"/>
              </w:rPr>
              <w:t>NEW HSD (Private)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A9EF5D" w14:textId="77777777" w:rsidR="0031493B" w:rsidRDefault="0031493B" w:rsidP="00EF3B77">
            <w:pPr>
              <w:keepLines/>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507CDA" w14:textId="77777777" w:rsidR="0031493B" w:rsidRDefault="0031493B" w:rsidP="00EF3B77">
            <w:pPr>
              <w:keepLines/>
              <w:jc w:val="center"/>
              <w:rPr>
                <w:rFonts w:ascii="Arial Narrow" w:hAnsi="Arial Narrow"/>
                <w:sz w:val="20"/>
                <w:szCs w:val="20"/>
              </w:rPr>
            </w:pPr>
            <w:r>
              <w:rPr>
                <w:rFonts w:ascii="Arial Narrow" w:hAnsi="Arial Narrow"/>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D2AEA2" w14:textId="77777777" w:rsidR="0031493B" w:rsidRDefault="0031493B" w:rsidP="00EF3B77">
            <w:pPr>
              <w:keepLines/>
              <w:jc w:val="center"/>
              <w:rPr>
                <w:rFonts w:ascii="Arial Narrow" w:hAnsi="Arial Narrow"/>
                <w:sz w:val="20"/>
                <w:szCs w:val="20"/>
              </w:rPr>
            </w:pPr>
            <w:r>
              <w:rPr>
                <w:rFonts w:ascii="Arial Narrow" w:hAnsi="Arial Narrow"/>
                <w:sz w:val="20"/>
                <w:szCs w:val="20"/>
              </w:rPr>
              <w:t>2</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A8244DC" w14:textId="77777777" w:rsidR="0031493B" w:rsidRDefault="0031493B" w:rsidP="00EF3B77">
            <w:pPr>
              <w:keepLines/>
              <w:rPr>
                <w:rFonts w:ascii="Arial Narrow" w:hAnsi="Arial Narrow"/>
                <w:sz w:val="20"/>
                <w:szCs w:val="20"/>
              </w:rPr>
            </w:pPr>
            <w:r>
              <w:rPr>
                <w:rFonts w:ascii="Arial Narrow" w:hAnsi="Arial Narrow"/>
                <w:sz w:val="20"/>
                <w:szCs w:val="20"/>
              </w:rPr>
              <w:t>Ultomiris</w:t>
            </w:r>
          </w:p>
        </w:tc>
      </w:tr>
      <w:tr w:rsidR="0031493B" w14:paraId="2D63A4CD" w14:textId="77777777" w:rsidTr="00EF3B77">
        <w:trPr>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C3D8DF" w14:textId="77777777" w:rsidR="0031493B" w:rsidRDefault="0031493B" w:rsidP="00EF3B77">
            <w:pPr>
              <w:rPr>
                <w:rFonts w:ascii="Arial Narrow" w:hAnsi="Arial Narrow"/>
                <w:sz w:val="20"/>
                <w:szCs w:val="20"/>
              </w:rPr>
            </w:pPr>
          </w:p>
        </w:tc>
      </w:tr>
      <w:tr w:rsidR="0031493B" w14:paraId="7DEBFF22" w14:textId="77777777" w:rsidTr="00EF3B77">
        <w:trPr>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2B61261" w14:textId="0F2E1D88" w:rsidR="0031493B" w:rsidRPr="004F3548" w:rsidRDefault="0031493B" w:rsidP="00EF3B77">
            <w:pPr>
              <w:keepLines/>
              <w:rPr>
                <w:rFonts w:ascii="Arial Narrow" w:hAnsi="Arial Narrow"/>
                <w:b/>
                <w:i/>
                <w:iCs/>
                <w:sz w:val="20"/>
                <w:szCs w:val="20"/>
              </w:rPr>
            </w:pPr>
            <w:r w:rsidRPr="004F3548">
              <w:rPr>
                <w:rFonts w:ascii="Arial Narrow" w:hAnsi="Arial Narrow"/>
                <w:b/>
                <w:i/>
                <w:iCs/>
                <w:sz w:val="20"/>
                <w:szCs w:val="20"/>
              </w:rPr>
              <w:t xml:space="preserve">Restriction Summary / Treatment of Concept: </w:t>
            </w:r>
          </w:p>
        </w:tc>
      </w:tr>
      <w:tr w:rsidR="0031493B" w:rsidRPr="00485311" w14:paraId="0F56DDBB" w14:textId="77777777" w:rsidTr="00EF3B77">
        <w:trPr>
          <w:trHeight w:val="20"/>
        </w:trPr>
        <w:tc>
          <w:tcPr>
            <w:tcW w:w="1414"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1A7AAC5" w14:textId="772F9DBB" w:rsidR="0031493B" w:rsidRPr="004F3548" w:rsidRDefault="0031493B" w:rsidP="00EF3B77">
            <w:pPr>
              <w:jc w:val="center"/>
              <w:rPr>
                <w:rFonts w:ascii="Arial Narrow" w:hAnsi="Arial Narrow"/>
                <w:b/>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84F254C" w14:textId="77777777" w:rsidR="0031493B" w:rsidRPr="004F3548" w:rsidRDefault="0031493B" w:rsidP="00EF3B77">
            <w:pPr>
              <w:keepLines/>
              <w:rPr>
                <w:rFonts w:ascii="Arial Narrow" w:hAnsi="Arial Narrow"/>
                <w:i/>
                <w:iCs/>
                <w:sz w:val="20"/>
                <w:szCs w:val="20"/>
              </w:rPr>
            </w:pPr>
            <w:r w:rsidRPr="004F3548">
              <w:rPr>
                <w:rFonts w:ascii="Arial Narrow" w:hAnsi="Arial Narrow"/>
                <w:b/>
                <w:i/>
                <w:iCs/>
                <w:sz w:val="20"/>
                <w:szCs w:val="20"/>
              </w:rPr>
              <w:t xml:space="preserve">Category / Program: </w:t>
            </w:r>
            <w:r w:rsidRPr="004F3548">
              <w:rPr>
                <w:rFonts w:ascii="Arial Narrow" w:hAnsi="Arial Narrow"/>
                <w:i/>
                <w:iCs/>
                <w:sz w:val="20"/>
                <w:szCs w:val="20"/>
              </w:rPr>
              <w:t xml:space="preserve">Section 100 – Highly Specialised Drugs Program </w:t>
            </w:r>
          </w:p>
        </w:tc>
      </w:tr>
      <w:tr w:rsidR="0031493B" w:rsidRPr="00485311" w14:paraId="0597FF94" w14:textId="77777777" w:rsidTr="00EF3B77">
        <w:trPr>
          <w:trHeight w:val="20"/>
        </w:trPr>
        <w:tc>
          <w:tcPr>
            <w:tcW w:w="1414" w:type="dxa"/>
            <w:vMerge/>
            <w:vAlign w:val="center"/>
          </w:tcPr>
          <w:p w14:paraId="128511FF" w14:textId="77777777" w:rsidR="0031493B" w:rsidRPr="004F3548" w:rsidRDefault="0031493B" w:rsidP="00EF3B77">
            <w:pPr>
              <w:rPr>
                <w:rFonts w:ascii="Arial Narrow" w:hAnsi="Arial Narrow"/>
                <w:b/>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102CEB" w14:textId="77777777" w:rsidR="0031493B" w:rsidRPr="004F3548" w:rsidRDefault="0031493B" w:rsidP="00EF3B77">
            <w:pPr>
              <w:keepLines/>
              <w:rPr>
                <w:rFonts w:ascii="Arial Narrow" w:hAnsi="Arial Narrow"/>
                <w:b/>
                <w:i/>
                <w:iCs/>
                <w:sz w:val="20"/>
                <w:szCs w:val="20"/>
              </w:rPr>
            </w:pPr>
            <w:r w:rsidRPr="004F3548">
              <w:rPr>
                <w:rFonts w:ascii="Arial Narrow" w:hAnsi="Arial Narrow"/>
                <w:b/>
                <w:i/>
                <w:iCs/>
                <w:sz w:val="20"/>
                <w:szCs w:val="20"/>
              </w:rPr>
              <w:t xml:space="preserve">Prescriber type: </w:t>
            </w:r>
            <w:r w:rsidRPr="004F3548">
              <w:rPr>
                <w:rFonts w:ascii="Arial Narrow" w:hAnsi="Arial Narrow"/>
                <w:i/>
                <w:iCs/>
                <w:sz w:val="20"/>
                <w:szCs w:val="20"/>
              </w:rPr>
              <w:fldChar w:fldCharType="begin" w:fldLock="1">
                <w:ffData>
                  <w:name w:val=""/>
                  <w:enabled/>
                  <w:calcOnExit w:val="0"/>
                  <w:checkBox>
                    <w:sizeAuto/>
                    <w:default w:val="1"/>
                  </w:checkBox>
                </w:ffData>
              </w:fldChar>
            </w:r>
            <w:r w:rsidRPr="004F3548">
              <w:rPr>
                <w:rFonts w:ascii="Arial Narrow" w:hAnsi="Arial Narrow"/>
                <w:i/>
                <w:iCs/>
                <w:sz w:val="20"/>
                <w:szCs w:val="20"/>
              </w:rPr>
              <w:instrText xml:space="preserve"> FORMCHECKBOX </w:instrText>
            </w:r>
            <w:r w:rsidR="0081453B">
              <w:rPr>
                <w:rFonts w:ascii="Arial Narrow" w:hAnsi="Arial Narrow"/>
                <w:i/>
                <w:iCs/>
                <w:sz w:val="20"/>
                <w:szCs w:val="20"/>
              </w:rPr>
            </w:r>
            <w:r w:rsidR="0081453B">
              <w:rPr>
                <w:rFonts w:ascii="Arial Narrow" w:hAnsi="Arial Narrow"/>
                <w:i/>
                <w:iCs/>
                <w:sz w:val="20"/>
                <w:szCs w:val="20"/>
              </w:rPr>
              <w:fldChar w:fldCharType="separate"/>
            </w:r>
            <w:r w:rsidRPr="004F3548">
              <w:rPr>
                <w:rFonts w:ascii="Arial Narrow" w:hAnsi="Arial Narrow"/>
                <w:i/>
                <w:iCs/>
                <w:sz w:val="20"/>
                <w:szCs w:val="20"/>
              </w:rPr>
              <w:fldChar w:fldCharType="end"/>
            </w:r>
            <w:r w:rsidRPr="004F3548">
              <w:rPr>
                <w:rFonts w:ascii="Arial Narrow" w:hAnsi="Arial Narrow"/>
                <w:i/>
                <w:iCs/>
                <w:sz w:val="20"/>
                <w:szCs w:val="20"/>
              </w:rPr>
              <w:t xml:space="preserve">Medical Practitioners </w:t>
            </w:r>
          </w:p>
        </w:tc>
      </w:tr>
      <w:tr w:rsidR="0031493B" w:rsidRPr="00485311" w14:paraId="4FB8A8C0" w14:textId="77777777" w:rsidTr="00EF3B77">
        <w:trPr>
          <w:trHeight w:val="20"/>
        </w:trPr>
        <w:tc>
          <w:tcPr>
            <w:tcW w:w="1414" w:type="dxa"/>
            <w:vMerge/>
            <w:vAlign w:val="center"/>
          </w:tcPr>
          <w:p w14:paraId="333479D4" w14:textId="77777777" w:rsidR="0031493B" w:rsidRPr="004F3548" w:rsidRDefault="0031493B" w:rsidP="00EF3B77">
            <w:pPr>
              <w:rPr>
                <w:rFonts w:ascii="Arial Narrow" w:hAnsi="Arial Narrow"/>
                <w:b/>
                <w:i/>
                <w:iCs/>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32822B" w14:textId="77777777" w:rsidR="0031493B" w:rsidRPr="004F3548" w:rsidRDefault="0031493B" w:rsidP="00EF3B77">
            <w:pPr>
              <w:keepLines/>
              <w:rPr>
                <w:rFonts w:ascii="Arial Narrow" w:eastAsia="Calibri" w:hAnsi="Arial Narrow"/>
                <w:i/>
                <w:iCs/>
                <w:color w:val="FF0000"/>
                <w:sz w:val="20"/>
                <w:szCs w:val="20"/>
              </w:rPr>
            </w:pPr>
            <w:r w:rsidRPr="004F3548">
              <w:rPr>
                <w:rFonts w:ascii="Arial Narrow" w:hAnsi="Arial Narrow"/>
                <w:b/>
                <w:i/>
                <w:iCs/>
                <w:sz w:val="20"/>
                <w:szCs w:val="20"/>
              </w:rPr>
              <w:t xml:space="preserve">Restriction type: </w:t>
            </w:r>
            <w:r w:rsidRPr="004F3548">
              <w:rPr>
                <w:rFonts w:ascii="Arial Narrow" w:eastAsia="Calibri" w:hAnsi="Arial Narrow"/>
                <w:i/>
                <w:iCs/>
                <w:sz w:val="20"/>
                <w:szCs w:val="20"/>
              </w:rPr>
              <w:fldChar w:fldCharType="begin" w:fldLock="1">
                <w:ffData>
                  <w:name w:val=""/>
                  <w:enabled/>
                  <w:calcOnExit w:val="0"/>
                  <w:checkBox>
                    <w:sizeAuto/>
                    <w:default w:val="1"/>
                  </w:checkBox>
                </w:ffData>
              </w:fldChar>
            </w:r>
            <w:r w:rsidRPr="004F3548">
              <w:rPr>
                <w:rFonts w:ascii="Arial Narrow" w:eastAsia="Calibri" w:hAnsi="Arial Narrow"/>
                <w:i/>
                <w:iCs/>
                <w:sz w:val="20"/>
                <w:szCs w:val="20"/>
              </w:rPr>
              <w:instrText xml:space="preserve"> FORMCHECKBOX </w:instrText>
            </w:r>
            <w:r w:rsidR="0081453B">
              <w:rPr>
                <w:rFonts w:ascii="Arial Narrow" w:eastAsia="Calibri" w:hAnsi="Arial Narrow"/>
                <w:i/>
                <w:iCs/>
                <w:sz w:val="20"/>
                <w:szCs w:val="20"/>
              </w:rPr>
            </w:r>
            <w:r w:rsidR="0081453B">
              <w:rPr>
                <w:rFonts w:ascii="Arial Narrow" w:eastAsia="Calibri" w:hAnsi="Arial Narrow"/>
                <w:i/>
                <w:iCs/>
                <w:sz w:val="20"/>
                <w:szCs w:val="20"/>
              </w:rPr>
              <w:fldChar w:fldCharType="separate"/>
            </w:r>
            <w:r w:rsidRPr="004F3548">
              <w:rPr>
                <w:rFonts w:ascii="Arial Narrow" w:eastAsia="Calibri" w:hAnsi="Arial Narrow"/>
                <w:i/>
                <w:iCs/>
                <w:sz w:val="20"/>
                <w:szCs w:val="20"/>
              </w:rPr>
              <w:fldChar w:fldCharType="end"/>
            </w:r>
            <w:r w:rsidRPr="004F3548">
              <w:rPr>
                <w:rFonts w:ascii="Arial Narrow" w:eastAsia="Calibri" w:hAnsi="Arial Narrow"/>
                <w:i/>
                <w:iCs/>
                <w:sz w:val="20"/>
                <w:szCs w:val="20"/>
              </w:rPr>
              <w:t xml:space="preserve"> Authority Required – immediate assessment by Services Australia</w:t>
            </w:r>
          </w:p>
        </w:tc>
      </w:tr>
      <w:tr w:rsidR="0031493B" w:rsidRPr="004D07B4" w14:paraId="03426A58"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A2EB4C6" w14:textId="78C2F90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CDA06C3" w14:textId="77777777" w:rsidR="0031493B" w:rsidRPr="004F3548" w:rsidRDefault="0031493B" w:rsidP="00EF3B77">
            <w:pPr>
              <w:rPr>
                <w:rFonts w:ascii="Arial Narrow" w:hAnsi="Arial Narrow"/>
                <w:b/>
                <w:bCs/>
                <w:i/>
                <w:iCs/>
                <w:color w:val="333333"/>
                <w:sz w:val="20"/>
                <w:szCs w:val="20"/>
              </w:rPr>
            </w:pPr>
            <w:r w:rsidRPr="004F3548">
              <w:rPr>
                <w:rFonts w:ascii="Arial Narrow" w:hAnsi="Arial Narrow"/>
                <w:b/>
                <w:bCs/>
                <w:i/>
                <w:iCs/>
                <w:color w:val="333333"/>
                <w:sz w:val="20"/>
                <w:szCs w:val="20"/>
              </w:rPr>
              <w:t xml:space="preserve">Caution: </w:t>
            </w:r>
            <w:r w:rsidRPr="004F3548">
              <w:rPr>
                <w:rFonts w:ascii="Arial Narrow" w:hAnsi="Arial Narrow"/>
                <w:i/>
                <w:iCs/>
                <w:color w:val="333333"/>
                <w:sz w:val="20"/>
                <w:szCs w:val="20"/>
              </w:rPr>
              <w:t>C5 inhibitors increase the risk of meningococcal infections (septicaemia and/or meningitis). Please consult the approved PI for information about vaccination against meningococcal infection.</w:t>
            </w:r>
          </w:p>
        </w:tc>
      </w:tr>
      <w:tr w:rsidR="0031493B" w:rsidRPr="004D07B4" w14:paraId="386F20A2"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5F65D0E"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75CA692" w14:textId="77777777" w:rsidR="0031493B" w:rsidRPr="004F3548" w:rsidRDefault="0031493B" w:rsidP="00EF3B77">
            <w:pPr>
              <w:rPr>
                <w:rFonts w:ascii="Arial Narrow" w:hAnsi="Arial Narrow"/>
                <w:b/>
                <w:bCs/>
                <w:i/>
                <w:iCs/>
                <w:color w:val="333333"/>
                <w:sz w:val="20"/>
                <w:szCs w:val="20"/>
              </w:rPr>
            </w:pPr>
            <w:r w:rsidRPr="004F3548">
              <w:rPr>
                <w:rFonts w:ascii="Arial Narrow" w:hAnsi="Arial Narrow"/>
                <w:b/>
                <w:bCs/>
                <w:i/>
                <w:iCs/>
                <w:color w:val="333333"/>
                <w:sz w:val="20"/>
                <w:szCs w:val="20"/>
              </w:rPr>
              <w:t xml:space="preserve">Episodicity: </w:t>
            </w:r>
            <w:r w:rsidRPr="004F3548">
              <w:rPr>
                <w:rFonts w:ascii="Arial Narrow" w:hAnsi="Arial Narrow"/>
                <w:bCs/>
                <w:i/>
                <w:iCs/>
                <w:color w:val="333333"/>
                <w:sz w:val="20"/>
                <w:szCs w:val="20"/>
              </w:rPr>
              <w:t>blank</w:t>
            </w:r>
          </w:p>
        </w:tc>
      </w:tr>
      <w:tr w:rsidR="0031493B" w:rsidRPr="004D07B4" w14:paraId="223A8046"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A43A86B"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0A0C1E0" w14:textId="77777777" w:rsidR="0031493B" w:rsidRPr="004F3548" w:rsidRDefault="0031493B" w:rsidP="00EF3B77">
            <w:pPr>
              <w:rPr>
                <w:rFonts w:ascii="Arial Narrow" w:hAnsi="Arial Narrow"/>
                <w:b/>
                <w:bCs/>
                <w:i/>
                <w:iCs/>
                <w:color w:val="333333"/>
                <w:sz w:val="20"/>
                <w:szCs w:val="20"/>
              </w:rPr>
            </w:pPr>
            <w:r w:rsidRPr="004F3548">
              <w:rPr>
                <w:rFonts w:ascii="Arial Narrow" w:hAnsi="Arial Narrow"/>
                <w:b/>
                <w:bCs/>
                <w:i/>
                <w:iCs/>
                <w:color w:val="333333"/>
                <w:sz w:val="20"/>
                <w:szCs w:val="20"/>
              </w:rPr>
              <w:t xml:space="preserve">Severity: </w:t>
            </w:r>
            <w:r w:rsidRPr="004F3548">
              <w:rPr>
                <w:rFonts w:ascii="Arial Narrow" w:hAnsi="Arial Narrow"/>
                <w:bCs/>
                <w:i/>
                <w:iCs/>
                <w:color w:val="333333"/>
                <w:sz w:val="20"/>
                <w:szCs w:val="20"/>
              </w:rPr>
              <w:t>blank</w:t>
            </w:r>
          </w:p>
        </w:tc>
      </w:tr>
      <w:tr w:rsidR="0031493B" w:rsidRPr="004D07B4" w14:paraId="3778A72F"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957C55D"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73B42A5" w14:textId="77777777" w:rsidR="0031493B" w:rsidRPr="004F3548" w:rsidRDefault="0031493B" w:rsidP="00EF3B77">
            <w:pPr>
              <w:rPr>
                <w:rFonts w:ascii="Arial Narrow" w:hAnsi="Arial Narrow"/>
                <w:b/>
                <w:bCs/>
                <w:i/>
                <w:iCs/>
                <w:color w:val="333333"/>
                <w:sz w:val="20"/>
                <w:szCs w:val="20"/>
              </w:rPr>
            </w:pPr>
            <w:r w:rsidRPr="004F3548">
              <w:rPr>
                <w:rFonts w:ascii="Arial Narrow" w:hAnsi="Arial Narrow"/>
                <w:b/>
                <w:bCs/>
                <w:i/>
                <w:iCs/>
                <w:color w:val="333333"/>
                <w:sz w:val="20"/>
                <w:szCs w:val="20"/>
              </w:rPr>
              <w:t xml:space="preserve">Condition: </w:t>
            </w:r>
            <w:r w:rsidRPr="004F3548">
              <w:rPr>
                <w:rFonts w:ascii="Arial Narrow" w:hAnsi="Arial Narrow"/>
                <w:bCs/>
                <w:i/>
                <w:iCs/>
                <w:color w:val="333333"/>
                <w:sz w:val="20"/>
                <w:szCs w:val="20"/>
              </w:rPr>
              <w:t>generalised myasthenia gravis (gMG)</w:t>
            </w:r>
          </w:p>
        </w:tc>
      </w:tr>
      <w:tr w:rsidR="0031493B" w:rsidRPr="004D07B4" w14:paraId="10BF4907"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AB277A3" w14:textId="6AD88989"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BA47F95" w14:textId="77777777" w:rsidR="0031493B" w:rsidRPr="004F3548" w:rsidRDefault="0031493B" w:rsidP="00EF3B77">
            <w:pPr>
              <w:rPr>
                <w:rFonts w:ascii="Arial Narrow" w:hAnsi="Arial Narrow"/>
                <w:b/>
                <w:bCs/>
                <w:i/>
                <w:iCs/>
                <w:color w:val="333333"/>
                <w:sz w:val="20"/>
                <w:szCs w:val="20"/>
              </w:rPr>
            </w:pPr>
            <w:r w:rsidRPr="004F3548">
              <w:rPr>
                <w:rFonts w:ascii="Arial Narrow" w:hAnsi="Arial Narrow"/>
                <w:b/>
                <w:bCs/>
                <w:i/>
                <w:iCs/>
                <w:color w:val="333333"/>
                <w:sz w:val="20"/>
                <w:szCs w:val="20"/>
              </w:rPr>
              <w:t>Indication:</w:t>
            </w:r>
            <w:r w:rsidRPr="004F3548">
              <w:rPr>
                <w:rFonts w:ascii="Arial Narrow" w:hAnsi="Arial Narrow"/>
                <w:i/>
                <w:iCs/>
                <w:color w:val="333333"/>
                <w:sz w:val="20"/>
                <w:szCs w:val="20"/>
              </w:rPr>
              <w:t xml:space="preserve"> </w:t>
            </w:r>
            <w:r w:rsidRPr="004F3548">
              <w:rPr>
                <w:rFonts w:ascii="Arial Narrow" w:hAnsi="Arial Narrow"/>
                <w:bCs/>
                <w:i/>
                <w:iCs/>
                <w:color w:val="333333"/>
                <w:sz w:val="20"/>
                <w:szCs w:val="20"/>
              </w:rPr>
              <w:t>generalised myasthenia gravis (gMG)</w:t>
            </w:r>
          </w:p>
        </w:tc>
      </w:tr>
      <w:tr w:rsidR="0031493B" w:rsidRPr="004D07B4" w14:paraId="1FFA5AF4"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561597A"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2B25F2E" w14:textId="77777777" w:rsidR="0031493B" w:rsidRPr="004F3548" w:rsidRDefault="0031493B" w:rsidP="00EF3B77">
            <w:pPr>
              <w:rPr>
                <w:rFonts w:ascii="Arial Narrow" w:hAnsi="Arial Narrow"/>
                <w:b/>
                <w:bCs/>
                <w:i/>
                <w:iCs/>
                <w:color w:val="333333"/>
                <w:sz w:val="20"/>
                <w:szCs w:val="20"/>
              </w:rPr>
            </w:pPr>
            <w:r w:rsidRPr="004F3548">
              <w:rPr>
                <w:rFonts w:ascii="Arial Narrow" w:hAnsi="Arial Narrow"/>
                <w:b/>
                <w:bCs/>
                <w:i/>
                <w:iCs/>
                <w:color w:val="333333"/>
                <w:sz w:val="20"/>
                <w:szCs w:val="20"/>
              </w:rPr>
              <w:t xml:space="preserve">Treatment phase: </w:t>
            </w:r>
            <w:r w:rsidRPr="004F3548">
              <w:rPr>
                <w:rFonts w:ascii="Arial Narrow" w:hAnsi="Arial Narrow"/>
                <w:i/>
                <w:iCs/>
                <w:color w:val="333333"/>
                <w:sz w:val="20"/>
                <w:szCs w:val="20"/>
              </w:rPr>
              <w:t>Balance of Supply - maintenance doses</w:t>
            </w:r>
          </w:p>
        </w:tc>
      </w:tr>
      <w:tr w:rsidR="0031493B" w:rsidRPr="004D07B4" w14:paraId="7A8BE017"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280040D"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4285684" w14:textId="77777777" w:rsidR="0031493B" w:rsidRPr="004F3548" w:rsidRDefault="0031493B" w:rsidP="00EF3B77">
            <w:pPr>
              <w:rPr>
                <w:rFonts w:ascii="Arial Narrow" w:hAnsi="Arial Narrow"/>
                <w:b/>
                <w:i/>
                <w:iCs/>
                <w:color w:val="333333"/>
                <w:sz w:val="20"/>
                <w:szCs w:val="20"/>
              </w:rPr>
            </w:pPr>
            <w:r w:rsidRPr="004F3548">
              <w:rPr>
                <w:rFonts w:ascii="Arial Narrow" w:hAnsi="Arial Narrow"/>
                <w:b/>
                <w:i/>
                <w:iCs/>
                <w:color w:val="333333"/>
                <w:sz w:val="20"/>
                <w:szCs w:val="20"/>
              </w:rPr>
              <w:t>Clinical criteria:</w:t>
            </w:r>
          </w:p>
        </w:tc>
      </w:tr>
      <w:tr w:rsidR="0031493B" w:rsidRPr="004D07B4" w14:paraId="0747331F"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320BFE6" w14:textId="102140B0"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A6EC9F8" w14:textId="77777777" w:rsidR="0031493B" w:rsidRPr="004F3548" w:rsidRDefault="0031493B" w:rsidP="00EF3B77">
            <w:pPr>
              <w:rPr>
                <w:rFonts w:ascii="Arial Narrow" w:hAnsi="Arial Narrow"/>
                <w:bCs/>
                <w:i/>
                <w:iCs/>
                <w:color w:val="333333"/>
                <w:sz w:val="20"/>
                <w:szCs w:val="20"/>
              </w:rPr>
            </w:pPr>
            <w:r w:rsidRPr="004F3548">
              <w:rPr>
                <w:rFonts w:ascii="Arial Narrow" w:hAnsi="Arial Narrow"/>
                <w:bCs/>
                <w:i/>
                <w:iCs/>
                <w:color w:val="333333"/>
                <w:sz w:val="20"/>
                <w:szCs w:val="20"/>
              </w:rPr>
              <w:t>Patient must have received PBS-subsidised loading dose of ravulizumab for this condition</w:t>
            </w:r>
          </w:p>
        </w:tc>
      </w:tr>
      <w:tr w:rsidR="0031493B" w:rsidRPr="004D07B4" w14:paraId="27E95635"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180E1D6"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64A3B6" w14:textId="77777777" w:rsidR="0031493B" w:rsidRPr="004F3548" w:rsidRDefault="0031493B" w:rsidP="00EF3B77">
            <w:pPr>
              <w:rPr>
                <w:rFonts w:ascii="Arial Narrow" w:hAnsi="Arial Narrow"/>
                <w:b/>
                <w:i/>
                <w:iCs/>
                <w:color w:val="333333"/>
                <w:sz w:val="20"/>
                <w:szCs w:val="20"/>
              </w:rPr>
            </w:pPr>
            <w:r w:rsidRPr="004F3548">
              <w:rPr>
                <w:rFonts w:ascii="Arial Narrow" w:hAnsi="Arial Narrow"/>
                <w:b/>
                <w:i/>
                <w:iCs/>
                <w:color w:val="333333"/>
                <w:sz w:val="20"/>
                <w:szCs w:val="20"/>
              </w:rPr>
              <w:t>AND</w:t>
            </w:r>
          </w:p>
        </w:tc>
      </w:tr>
      <w:tr w:rsidR="0031493B" w:rsidRPr="004D07B4" w14:paraId="709F345B"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D9D07F8"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C479154" w14:textId="77777777" w:rsidR="0031493B" w:rsidRPr="004F3548" w:rsidRDefault="0031493B" w:rsidP="00EF3B77">
            <w:pPr>
              <w:rPr>
                <w:rFonts w:ascii="Arial Narrow" w:hAnsi="Arial Narrow"/>
                <w:b/>
                <w:i/>
                <w:iCs/>
                <w:color w:val="333333"/>
                <w:sz w:val="20"/>
                <w:szCs w:val="20"/>
              </w:rPr>
            </w:pPr>
            <w:r w:rsidRPr="004F3548">
              <w:rPr>
                <w:rFonts w:ascii="Arial Narrow" w:hAnsi="Arial Narrow"/>
                <w:b/>
                <w:bCs/>
                <w:i/>
                <w:iCs/>
                <w:color w:val="333333"/>
                <w:sz w:val="20"/>
                <w:szCs w:val="20"/>
              </w:rPr>
              <w:t>Clinical criteria:</w:t>
            </w:r>
          </w:p>
        </w:tc>
      </w:tr>
      <w:tr w:rsidR="0031493B" w:rsidRPr="004D07B4" w14:paraId="42BFF47F"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6A87607" w14:textId="66BB5369"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7C4C4D5" w14:textId="77777777" w:rsidR="0031493B" w:rsidRPr="004F3548" w:rsidRDefault="0031493B" w:rsidP="00EF3B77">
            <w:pPr>
              <w:rPr>
                <w:rFonts w:ascii="Arial Narrow" w:hAnsi="Arial Narrow"/>
                <w:bCs/>
                <w:i/>
                <w:iCs/>
                <w:color w:val="333333"/>
                <w:sz w:val="20"/>
                <w:szCs w:val="20"/>
              </w:rPr>
            </w:pPr>
            <w:r w:rsidRPr="004F3548">
              <w:rPr>
                <w:rFonts w:ascii="Arial Narrow" w:hAnsi="Arial Narrow"/>
                <w:bCs/>
                <w:i/>
                <w:iCs/>
                <w:color w:val="333333"/>
                <w:sz w:val="20"/>
                <w:szCs w:val="20"/>
              </w:rPr>
              <w:t>The treatment must provide no more than the balance of up to 24 weeks treatment under this restriction</w:t>
            </w:r>
          </w:p>
        </w:tc>
      </w:tr>
      <w:tr w:rsidR="0031493B" w:rsidRPr="009D0EF6" w14:paraId="58011CEB"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9139329"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F0182BB" w14:textId="77777777" w:rsidR="0031493B" w:rsidRPr="004F3548" w:rsidRDefault="0031493B" w:rsidP="00EF3B77">
            <w:pPr>
              <w:rPr>
                <w:rFonts w:ascii="Arial Narrow" w:hAnsi="Arial Narrow"/>
                <w:bCs/>
                <w:i/>
                <w:iCs/>
                <w:color w:val="333333"/>
                <w:sz w:val="20"/>
                <w:szCs w:val="20"/>
              </w:rPr>
            </w:pPr>
            <w:r w:rsidRPr="004F3548">
              <w:rPr>
                <w:rFonts w:ascii="Arial Narrow" w:hAnsi="Arial Narrow"/>
                <w:b/>
                <w:bCs/>
                <w:i/>
                <w:iCs/>
                <w:color w:val="333333"/>
                <w:sz w:val="20"/>
                <w:szCs w:val="20"/>
              </w:rPr>
              <w:t>AND</w:t>
            </w:r>
          </w:p>
        </w:tc>
      </w:tr>
      <w:tr w:rsidR="0031493B" w:rsidRPr="009D0EF6" w14:paraId="7B0C94FB"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BF4D2C" w14:textId="3B7BDB2E"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0056BD" w14:textId="77777777" w:rsidR="0031493B" w:rsidRPr="004F3548" w:rsidRDefault="0031493B" w:rsidP="00EF3B77">
            <w:pPr>
              <w:rPr>
                <w:rFonts w:ascii="Arial Narrow" w:hAnsi="Arial Narrow"/>
                <w:bCs/>
                <w:i/>
                <w:iCs/>
                <w:color w:val="333333"/>
                <w:sz w:val="20"/>
                <w:szCs w:val="20"/>
              </w:rPr>
            </w:pPr>
            <w:r w:rsidRPr="004F3548">
              <w:rPr>
                <w:rFonts w:ascii="Arial Narrow" w:hAnsi="Arial Narrow"/>
                <w:b/>
                <w:bCs/>
                <w:i/>
                <w:iCs/>
                <w:color w:val="333333"/>
                <w:sz w:val="20"/>
                <w:szCs w:val="20"/>
              </w:rPr>
              <w:t>Treatment criteria:</w:t>
            </w:r>
          </w:p>
        </w:tc>
      </w:tr>
      <w:tr w:rsidR="0031493B" w:rsidRPr="00533171" w14:paraId="62B4A6B8"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BC58FF" w14:textId="19944D1A"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AEF332" w14:textId="77777777" w:rsidR="0031493B" w:rsidRPr="004F3548" w:rsidRDefault="0031493B" w:rsidP="00EF3B77">
            <w:pPr>
              <w:rPr>
                <w:rFonts w:ascii="Arial Narrow" w:hAnsi="Arial Narrow" w:cs="Arial Narrow"/>
                <w:i/>
                <w:iCs/>
                <w:sz w:val="20"/>
                <w:szCs w:val="20"/>
              </w:rPr>
            </w:pPr>
            <w:r w:rsidRPr="004F3548">
              <w:rPr>
                <w:rFonts w:ascii="Arial Narrow" w:hAnsi="Arial Narrow" w:cs="Arial Narrow"/>
                <w:i/>
                <w:iCs/>
                <w:sz w:val="20"/>
                <w:szCs w:val="20"/>
              </w:rPr>
              <w:t xml:space="preserve">Must be treated by a neurologist, or </w:t>
            </w:r>
          </w:p>
        </w:tc>
      </w:tr>
      <w:tr w:rsidR="0031493B" w:rsidRPr="00533171" w14:paraId="4D746381"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6CCDB7" w14:textId="695EACAB"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1CBC66" w14:textId="77777777" w:rsidR="0031493B" w:rsidRPr="004F3548" w:rsidRDefault="0031493B" w:rsidP="00EF3B77">
            <w:pPr>
              <w:rPr>
                <w:rFonts w:ascii="Arial Narrow" w:hAnsi="Arial Narrow"/>
                <w:bCs/>
                <w:i/>
                <w:iCs/>
                <w:color w:val="333333"/>
                <w:sz w:val="20"/>
                <w:szCs w:val="20"/>
              </w:rPr>
            </w:pPr>
            <w:r w:rsidRPr="004F3548">
              <w:rPr>
                <w:rFonts w:ascii="Arial Narrow" w:hAnsi="Arial Narrow" w:cs="Arial Narrow"/>
                <w:i/>
                <w:iCs/>
                <w:sz w:val="20"/>
                <w:szCs w:val="20"/>
              </w:rPr>
              <w:t>Must be treated by a medical practitioner who has consulted a neurologist, with agreement reached that the patient should be treated with this pharmaceutical benefit on this occasion.</w:t>
            </w:r>
          </w:p>
        </w:tc>
      </w:tr>
      <w:tr w:rsidR="0031493B" w:rsidRPr="00533171" w14:paraId="7D85AF40"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1A2C86"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2AD04B" w14:textId="77777777" w:rsidR="0031493B" w:rsidRPr="004F3548" w:rsidRDefault="0031493B" w:rsidP="00EF3B77">
            <w:pPr>
              <w:rPr>
                <w:rFonts w:ascii="Arial Narrow" w:hAnsi="Arial Narrow" w:cs="Arial Narrow"/>
                <w:i/>
                <w:iCs/>
                <w:sz w:val="20"/>
                <w:szCs w:val="20"/>
              </w:rPr>
            </w:pPr>
            <w:r w:rsidRPr="004F3548">
              <w:rPr>
                <w:rFonts w:ascii="Arial Narrow" w:hAnsi="Arial Narrow"/>
                <w:b/>
                <w:bCs/>
                <w:i/>
                <w:iCs/>
                <w:color w:val="333333"/>
                <w:sz w:val="20"/>
                <w:szCs w:val="20"/>
              </w:rPr>
              <w:t>AND</w:t>
            </w:r>
          </w:p>
        </w:tc>
      </w:tr>
      <w:tr w:rsidR="0031493B" w:rsidRPr="00533171" w14:paraId="5AF5B500"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A11A92" w14:textId="77777777"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85114F" w14:textId="77777777" w:rsidR="0031493B" w:rsidRPr="004F3548" w:rsidRDefault="0031493B" w:rsidP="00EF3B77">
            <w:pPr>
              <w:rPr>
                <w:rFonts w:ascii="Arial Narrow" w:hAnsi="Arial Narrow" w:cs="Arial Narrow"/>
                <w:i/>
                <w:iCs/>
                <w:sz w:val="20"/>
                <w:szCs w:val="20"/>
              </w:rPr>
            </w:pPr>
            <w:r w:rsidRPr="004F3548">
              <w:rPr>
                <w:rFonts w:ascii="Arial Narrow" w:hAnsi="Arial Narrow"/>
                <w:b/>
                <w:bCs/>
                <w:i/>
                <w:iCs/>
                <w:color w:val="333333"/>
                <w:sz w:val="20"/>
                <w:szCs w:val="20"/>
              </w:rPr>
              <w:t>Population criteria:</w:t>
            </w:r>
          </w:p>
        </w:tc>
      </w:tr>
      <w:tr w:rsidR="0031493B" w:rsidRPr="00533171" w14:paraId="4A86E199"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2DAEC6" w14:textId="70130E3C"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969961" w14:textId="77777777" w:rsidR="0031493B" w:rsidRPr="004F3548" w:rsidRDefault="0031493B" w:rsidP="00EF3B77">
            <w:pPr>
              <w:rPr>
                <w:rFonts w:ascii="Arial Narrow" w:hAnsi="Arial Narrow" w:cs="Arial Narrow"/>
                <w:i/>
                <w:iCs/>
                <w:sz w:val="20"/>
                <w:szCs w:val="20"/>
              </w:rPr>
            </w:pPr>
            <w:r w:rsidRPr="004F3548">
              <w:rPr>
                <w:rFonts w:ascii="Arial Narrow" w:hAnsi="Arial Narrow"/>
                <w:i/>
                <w:iCs/>
                <w:color w:val="333333"/>
                <w:sz w:val="20"/>
                <w:szCs w:val="20"/>
              </w:rPr>
              <w:t>Patient</w:t>
            </w:r>
            <w:r w:rsidRPr="004F3548">
              <w:rPr>
                <w:rFonts w:ascii="Arial Narrow" w:hAnsi="Arial Narrow"/>
                <w:i/>
                <w:iCs/>
                <w:strike/>
                <w:color w:val="333333"/>
                <w:sz w:val="20"/>
                <w:szCs w:val="20"/>
              </w:rPr>
              <w:t>s</w:t>
            </w:r>
            <w:r w:rsidRPr="004F3548">
              <w:rPr>
                <w:rFonts w:ascii="Arial Narrow" w:hAnsi="Arial Narrow"/>
                <w:i/>
                <w:iCs/>
                <w:color w:val="333333"/>
                <w:sz w:val="20"/>
                <w:szCs w:val="20"/>
              </w:rPr>
              <w:t xml:space="preserve"> must be aged 18 years or older</w:t>
            </w:r>
          </w:p>
        </w:tc>
      </w:tr>
      <w:tr w:rsidR="0031493B" w:rsidRPr="00533171" w14:paraId="6E588053"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898FBC" w14:textId="26160624" w:rsidR="0031493B" w:rsidRPr="004F3548"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5C0161" w14:textId="77777777" w:rsidR="0031493B" w:rsidRDefault="0031493B" w:rsidP="00EF3B77">
            <w:pPr>
              <w:rPr>
                <w:rFonts w:ascii="Arial Narrow" w:hAnsi="Arial Narrow"/>
                <w:i/>
                <w:iCs/>
                <w:color w:val="333333"/>
                <w:sz w:val="20"/>
                <w:szCs w:val="20"/>
              </w:rPr>
            </w:pPr>
            <w:r w:rsidRPr="004F3548">
              <w:rPr>
                <w:rFonts w:ascii="Arial Narrow" w:hAnsi="Arial Narrow"/>
                <w:b/>
                <w:bCs/>
                <w:i/>
                <w:iCs/>
                <w:color w:val="333333"/>
                <w:sz w:val="20"/>
                <w:szCs w:val="20"/>
              </w:rPr>
              <w:t>Prescribing Instructions:</w:t>
            </w:r>
            <w:r w:rsidRPr="004F3548">
              <w:rPr>
                <w:rFonts w:ascii="Arial Narrow" w:hAnsi="Arial Narrow"/>
                <w:i/>
                <w:iCs/>
                <w:color w:val="333333"/>
                <w:sz w:val="20"/>
                <w:szCs w:val="20"/>
              </w:rPr>
              <w:t xml:space="preserve"> At the time of the authority application, medical practitioners should request the appropriate number of vials to cover 3 maintenance doses based on the patient’s weight and as per the Product Information. Refer to the Product information for patient weight ranges for the 100mg/mL doses (consisting of 300 mg in 3 mL and 1.1 g in 11 mL vials).</w:t>
            </w:r>
          </w:p>
          <w:p w14:paraId="47ADB729" w14:textId="77777777" w:rsidR="0031493B" w:rsidRPr="004F3548" w:rsidRDefault="0031493B" w:rsidP="00EF3B77">
            <w:pPr>
              <w:rPr>
                <w:rFonts w:ascii="Arial Narrow" w:hAnsi="Arial Narrow"/>
                <w:i/>
                <w:iCs/>
                <w:color w:val="333333"/>
                <w:sz w:val="20"/>
                <w:szCs w:val="20"/>
              </w:rPr>
            </w:pPr>
            <w:r w:rsidRPr="0058526D">
              <w:rPr>
                <w:rFonts w:ascii="Arial Narrow" w:hAnsi="Arial Narrow"/>
                <w:i/>
                <w:iCs/>
                <w:color w:val="333333"/>
                <w:sz w:val="20"/>
                <w:szCs w:val="20"/>
              </w:rPr>
              <w:t>Applications for treatment with this drug where the dose and dosing frequency exceeds that specified in the approved PI will not be approved.</w:t>
            </w:r>
          </w:p>
        </w:tc>
      </w:tr>
      <w:tr w:rsidR="0031493B" w:rsidRPr="00485311" w14:paraId="28E13170" w14:textId="77777777" w:rsidTr="00EF3B77">
        <w:trPr>
          <w:cantSplit/>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3FE796" w14:textId="35F64DBF" w:rsidR="0031493B" w:rsidRPr="004F3548" w:rsidRDefault="0031493B" w:rsidP="00EF3B77">
            <w:pPr>
              <w:jc w:val="center"/>
              <w:rPr>
                <w:rFonts w:ascii="Arial Narrow" w:hAnsi="Arial Narrow" w:cs="Open Sans"/>
                <w:i/>
                <w:iCs/>
                <w:strike/>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A45403" w14:textId="77777777" w:rsidR="0031493B" w:rsidRPr="004F3548" w:rsidRDefault="0031493B" w:rsidP="00EF3B77">
            <w:pPr>
              <w:rPr>
                <w:rFonts w:ascii="Arial Narrow" w:hAnsi="Arial Narrow"/>
                <w:b/>
                <w:bCs/>
                <w:i/>
                <w:iCs/>
                <w:color w:val="333333"/>
                <w:sz w:val="20"/>
                <w:szCs w:val="20"/>
              </w:rPr>
            </w:pPr>
            <w:r w:rsidRPr="004F3548">
              <w:rPr>
                <w:rFonts w:ascii="Arial Narrow" w:hAnsi="Arial Narrow"/>
                <w:b/>
                <w:bCs/>
                <w:i/>
                <w:iCs/>
                <w:color w:val="333333"/>
                <w:sz w:val="20"/>
                <w:szCs w:val="20"/>
              </w:rPr>
              <w:t>Administrative Advice:</w:t>
            </w:r>
          </w:p>
          <w:p w14:paraId="6537CDDB" w14:textId="77777777" w:rsidR="0031493B" w:rsidRPr="004F3548" w:rsidRDefault="0031493B" w:rsidP="00EF3B77">
            <w:pPr>
              <w:textAlignment w:val="baseline"/>
              <w:rPr>
                <w:rFonts w:ascii="Arial Narrow" w:hAnsi="Arial Narrow" w:cs="Open Sans"/>
                <w:b/>
                <w:bCs/>
                <w:i/>
                <w:iCs/>
                <w:color w:val="333333"/>
                <w:sz w:val="20"/>
                <w:szCs w:val="20"/>
                <w:bdr w:val="none" w:sz="0" w:space="0" w:color="auto" w:frame="1"/>
              </w:rPr>
            </w:pPr>
            <w:r w:rsidRPr="004F3548">
              <w:rPr>
                <w:rFonts w:ascii="Arial Narrow" w:hAnsi="Arial Narrow"/>
                <w:i/>
                <w:i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31493B" w14:paraId="655B0927" w14:textId="77777777" w:rsidTr="00EF3B77">
        <w:trPr>
          <w:cantSplit/>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DA722D" w14:textId="77777777" w:rsidR="0031493B" w:rsidRDefault="0031493B" w:rsidP="00EF3B77">
            <w:pPr>
              <w:rPr>
                <w:rFonts w:ascii="Arial Narrow" w:hAnsi="Arial Narrow"/>
                <w:b/>
                <w:bCs/>
                <w:color w:val="333333"/>
                <w:sz w:val="20"/>
                <w:szCs w:val="20"/>
              </w:rPr>
            </w:pPr>
          </w:p>
        </w:tc>
      </w:tr>
      <w:tr w:rsidR="0031493B" w14:paraId="3C4B2C65" w14:textId="77777777" w:rsidTr="00EF3B77">
        <w:trPr>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7B1114" w14:textId="4AA27DDF" w:rsidR="0031493B" w:rsidRDefault="0031493B" w:rsidP="00EF3B77">
            <w:pPr>
              <w:keepLines/>
              <w:rPr>
                <w:rFonts w:ascii="Arial Narrow" w:hAnsi="Arial Narrow"/>
                <w:b/>
                <w:sz w:val="20"/>
                <w:szCs w:val="20"/>
              </w:rPr>
            </w:pPr>
            <w:r>
              <w:rPr>
                <w:rFonts w:ascii="Arial Narrow" w:hAnsi="Arial Narrow"/>
                <w:b/>
                <w:sz w:val="20"/>
                <w:szCs w:val="20"/>
              </w:rPr>
              <w:t xml:space="preserve">Restriction Summary / Treatment of Concept: </w:t>
            </w:r>
          </w:p>
        </w:tc>
      </w:tr>
      <w:tr w:rsidR="0031493B" w:rsidRPr="00485311" w14:paraId="5E8B5D85" w14:textId="77777777" w:rsidTr="00EF3B77">
        <w:trPr>
          <w:trHeight w:val="20"/>
        </w:trPr>
        <w:tc>
          <w:tcPr>
            <w:tcW w:w="1414"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AF2E98C" w14:textId="56C39FD7" w:rsidR="0031493B" w:rsidRPr="00485311" w:rsidRDefault="0031493B" w:rsidP="00EF3B77">
            <w:pPr>
              <w:jc w:val="center"/>
              <w:rPr>
                <w:rFonts w:ascii="Arial Narrow" w:hAnsi="Arial Narrow"/>
                <w:b/>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3F664F1" w14:textId="77777777" w:rsidR="0031493B" w:rsidRPr="00485311" w:rsidRDefault="0031493B" w:rsidP="00EF3B77">
            <w:pPr>
              <w:keepLines/>
              <w:rPr>
                <w:rFonts w:ascii="Arial Narrow" w:hAnsi="Arial Narrow"/>
                <w:sz w:val="20"/>
                <w:szCs w:val="20"/>
              </w:rPr>
            </w:pPr>
            <w:r w:rsidRPr="00485311">
              <w:rPr>
                <w:rFonts w:ascii="Arial Narrow" w:hAnsi="Arial Narrow"/>
                <w:b/>
                <w:sz w:val="20"/>
                <w:szCs w:val="20"/>
              </w:rPr>
              <w:t xml:space="preserve">Category / Program: </w:t>
            </w:r>
            <w:r w:rsidRPr="00485311">
              <w:rPr>
                <w:rFonts w:ascii="Arial Narrow" w:hAnsi="Arial Narrow"/>
                <w:sz w:val="20"/>
                <w:szCs w:val="20"/>
              </w:rPr>
              <w:t xml:space="preserve">Section 100 – Highly Specialised Drugs Program </w:t>
            </w:r>
          </w:p>
        </w:tc>
      </w:tr>
      <w:tr w:rsidR="0031493B" w:rsidRPr="00485311" w14:paraId="735BA59F" w14:textId="77777777" w:rsidTr="00EF3B77">
        <w:trPr>
          <w:trHeight w:val="20"/>
        </w:trPr>
        <w:tc>
          <w:tcPr>
            <w:tcW w:w="1414" w:type="dxa"/>
            <w:vMerge/>
            <w:vAlign w:val="center"/>
          </w:tcPr>
          <w:p w14:paraId="238FADB5" w14:textId="77777777" w:rsidR="0031493B" w:rsidRPr="00485311" w:rsidRDefault="0031493B" w:rsidP="00EF3B77">
            <w:pPr>
              <w:rPr>
                <w:rFonts w:ascii="Arial Narrow" w:hAnsi="Arial Narrow"/>
                <w:b/>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07ABEE" w14:textId="77777777" w:rsidR="0031493B" w:rsidRPr="00485311" w:rsidRDefault="0031493B" w:rsidP="00EF3B77">
            <w:pPr>
              <w:keepLines/>
              <w:rPr>
                <w:rFonts w:ascii="Arial Narrow" w:hAnsi="Arial Narrow"/>
                <w:b/>
                <w:sz w:val="20"/>
                <w:szCs w:val="20"/>
              </w:rPr>
            </w:pPr>
            <w:r w:rsidRPr="00485311">
              <w:rPr>
                <w:rFonts w:ascii="Arial Narrow" w:hAnsi="Arial Narrow"/>
                <w:b/>
                <w:sz w:val="20"/>
                <w:szCs w:val="20"/>
              </w:rPr>
              <w:t xml:space="preserve">Prescriber type: </w:t>
            </w:r>
            <w:r w:rsidRPr="00485311">
              <w:rPr>
                <w:rFonts w:ascii="Arial Narrow" w:hAnsi="Arial Narrow"/>
                <w:sz w:val="20"/>
                <w:szCs w:val="20"/>
              </w:rPr>
              <w:fldChar w:fldCharType="begin" w:fldLock="1">
                <w:ffData>
                  <w:name w:val=""/>
                  <w:enabled/>
                  <w:calcOnExit w:val="0"/>
                  <w:checkBox>
                    <w:sizeAuto/>
                    <w:default w:val="1"/>
                  </w:checkBox>
                </w:ffData>
              </w:fldChar>
            </w:r>
            <w:r w:rsidRPr="00485311">
              <w:rPr>
                <w:rFonts w:ascii="Arial Narrow" w:hAnsi="Arial Narrow"/>
                <w:sz w:val="20"/>
                <w:szCs w:val="20"/>
              </w:rPr>
              <w:instrText xml:space="preserve"> FORMCHECKBOX </w:instrText>
            </w:r>
            <w:r w:rsidR="0081453B">
              <w:rPr>
                <w:rFonts w:ascii="Arial Narrow" w:hAnsi="Arial Narrow"/>
                <w:sz w:val="20"/>
                <w:szCs w:val="20"/>
              </w:rPr>
            </w:r>
            <w:r w:rsidR="0081453B">
              <w:rPr>
                <w:rFonts w:ascii="Arial Narrow" w:hAnsi="Arial Narrow"/>
                <w:sz w:val="20"/>
                <w:szCs w:val="20"/>
              </w:rPr>
              <w:fldChar w:fldCharType="separate"/>
            </w:r>
            <w:r w:rsidRPr="00485311">
              <w:rPr>
                <w:rFonts w:ascii="Arial Narrow" w:hAnsi="Arial Narrow"/>
                <w:sz w:val="20"/>
                <w:szCs w:val="20"/>
              </w:rPr>
              <w:fldChar w:fldCharType="end"/>
            </w:r>
            <w:r w:rsidRPr="00485311">
              <w:rPr>
                <w:rFonts w:ascii="Arial Narrow" w:hAnsi="Arial Narrow"/>
                <w:sz w:val="20"/>
                <w:szCs w:val="20"/>
              </w:rPr>
              <w:t xml:space="preserve">Medical Practitioners </w:t>
            </w:r>
          </w:p>
        </w:tc>
      </w:tr>
      <w:tr w:rsidR="0031493B" w:rsidRPr="00485311" w14:paraId="30B919E4" w14:textId="77777777" w:rsidTr="00EF3B77">
        <w:trPr>
          <w:trHeight w:val="20"/>
        </w:trPr>
        <w:tc>
          <w:tcPr>
            <w:tcW w:w="1414" w:type="dxa"/>
            <w:vMerge/>
            <w:vAlign w:val="center"/>
          </w:tcPr>
          <w:p w14:paraId="1DEDAEA3" w14:textId="77777777" w:rsidR="0031493B" w:rsidRPr="00485311" w:rsidRDefault="0031493B" w:rsidP="00EF3B77">
            <w:pPr>
              <w:rPr>
                <w:rFonts w:ascii="Arial Narrow" w:hAnsi="Arial Narrow"/>
                <w:b/>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2517004" w14:textId="77777777" w:rsidR="0031493B" w:rsidRDefault="0031493B" w:rsidP="00EF3B77">
            <w:pPr>
              <w:keepLines/>
              <w:rPr>
                <w:rFonts w:ascii="Arial Narrow" w:eastAsia="Calibri" w:hAnsi="Arial Narrow"/>
                <w:sz w:val="20"/>
                <w:szCs w:val="20"/>
              </w:rPr>
            </w:pPr>
          </w:p>
          <w:p w14:paraId="49432A43" w14:textId="77777777" w:rsidR="0031493B" w:rsidRPr="00485311" w:rsidRDefault="0031493B" w:rsidP="00EF3B77">
            <w:pPr>
              <w:keepLines/>
              <w:rPr>
                <w:rFonts w:ascii="Arial Narrow" w:eastAsia="Calibri" w:hAnsi="Arial Narrow"/>
                <w:color w:val="FF0000"/>
                <w:sz w:val="20"/>
                <w:szCs w:val="20"/>
              </w:rPr>
            </w:pPr>
            <w:r w:rsidRPr="00485311">
              <w:rPr>
                <w:rFonts w:ascii="Arial Narrow" w:hAnsi="Arial Narrow"/>
                <w:b/>
                <w:sz w:val="20"/>
                <w:szCs w:val="20"/>
              </w:rPr>
              <w:t xml:space="preserve">Restriction type: </w:t>
            </w:r>
            <w:r w:rsidRPr="00485311">
              <w:rPr>
                <w:rFonts w:ascii="Arial Narrow" w:eastAsia="Calibri" w:hAnsi="Arial Narrow"/>
                <w:sz w:val="20"/>
                <w:szCs w:val="20"/>
              </w:rPr>
              <w:fldChar w:fldCharType="begin" w:fldLock="1">
                <w:ffData>
                  <w:name w:val=""/>
                  <w:enabled/>
                  <w:calcOnExit w:val="0"/>
                  <w:checkBox>
                    <w:sizeAuto/>
                    <w:default w:val="1"/>
                  </w:checkBox>
                </w:ffData>
              </w:fldChar>
            </w:r>
            <w:r w:rsidRPr="00485311">
              <w:rPr>
                <w:rFonts w:ascii="Arial Narrow" w:eastAsia="Calibri" w:hAnsi="Arial Narrow"/>
                <w:sz w:val="20"/>
                <w:szCs w:val="20"/>
              </w:rPr>
              <w:instrText xml:space="preserve"> FORMCHECKBOX </w:instrText>
            </w:r>
            <w:r w:rsidR="0081453B">
              <w:rPr>
                <w:rFonts w:ascii="Arial Narrow" w:eastAsia="Calibri" w:hAnsi="Arial Narrow"/>
                <w:sz w:val="20"/>
                <w:szCs w:val="20"/>
              </w:rPr>
            </w:r>
            <w:r w:rsidR="0081453B">
              <w:rPr>
                <w:rFonts w:ascii="Arial Narrow" w:eastAsia="Calibri" w:hAnsi="Arial Narrow"/>
                <w:sz w:val="20"/>
                <w:szCs w:val="20"/>
              </w:rPr>
              <w:fldChar w:fldCharType="separate"/>
            </w:r>
            <w:r w:rsidRPr="00485311">
              <w:rPr>
                <w:rFonts w:ascii="Arial Narrow" w:eastAsia="Calibri" w:hAnsi="Arial Narrow"/>
                <w:sz w:val="20"/>
                <w:szCs w:val="20"/>
              </w:rPr>
              <w:fldChar w:fldCharType="end"/>
            </w:r>
            <w:r w:rsidRPr="00485311">
              <w:rPr>
                <w:rFonts w:ascii="Arial Narrow" w:eastAsia="Calibri" w:hAnsi="Arial Narrow"/>
                <w:sz w:val="20"/>
                <w:szCs w:val="20"/>
              </w:rPr>
              <w:t xml:space="preserve"> </w:t>
            </w:r>
            <w:r w:rsidRPr="004D07B4">
              <w:rPr>
                <w:rFonts w:ascii="Arial Narrow" w:eastAsia="Calibri" w:hAnsi="Arial Narrow"/>
                <w:sz w:val="20"/>
                <w:szCs w:val="20"/>
              </w:rPr>
              <w:t>Authority Required – non-immediate/delayed assessment by Services Australia (in-writing only via mail/postal service or electronic upload to Hobart; requires at least one concept ID to be marked as ‘FULL’ for full assessment by Services Australia)</w:t>
            </w:r>
          </w:p>
        </w:tc>
      </w:tr>
      <w:tr w:rsidR="0031493B" w:rsidRPr="004D07B4" w14:paraId="72A5893E"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8231998" w14:textId="29D7CE0E"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599A6ED" w14:textId="77777777" w:rsidR="0031493B" w:rsidRPr="00487392" w:rsidRDefault="0031493B" w:rsidP="00EF3B77">
            <w:pPr>
              <w:rPr>
                <w:rFonts w:ascii="Arial Narrow" w:hAnsi="Arial Narrow"/>
                <w:b/>
                <w:bCs/>
                <w:i/>
                <w:iCs/>
                <w:color w:val="333333"/>
                <w:sz w:val="20"/>
                <w:szCs w:val="20"/>
              </w:rPr>
            </w:pPr>
            <w:r w:rsidRPr="00487392">
              <w:rPr>
                <w:rFonts w:ascii="Arial Narrow" w:hAnsi="Arial Narrow"/>
                <w:b/>
                <w:bCs/>
                <w:i/>
                <w:iCs/>
                <w:color w:val="333333"/>
                <w:sz w:val="20"/>
                <w:szCs w:val="20"/>
              </w:rPr>
              <w:t xml:space="preserve">Caution: </w:t>
            </w:r>
            <w:r w:rsidRPr="00487392">
              <w:rPr>
                <w:rFonts w:ascii="Arial Narrow" w:hAnsi="Arial Narrow"/>
                <w:i/>
                <w:iCs/>
                <w:color w:val="333333"/>
                <w:sz w:val="20"/>
                <w:szCs w:val="20"/>
              </w:rPr>
              <w:t>C5 inhibitors increase the risk of meningococcal infections (septicaemia and/or meningitis). Please consult the approved PI for information about vaccination against meningococcal infection.</w:t>
            </w:r>
          </w:p>
        </w:tc>
      </w:tr>
      <w:tr w:rsidR="0031493B" w:rsidRPr="004D07B4" w14:paraId="018AE948"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38F03BD" w14:textId="77777777"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08F3903" w14:textId="77777777" w:rsidR="0031493B" w:rsidRPr="004D07B4" w:rsidRDefault="0031493B" w:rsidP="00EF3B77">
            <w:pPr>
              <w:rPr>
                <w:rFonts w:ascii="Arial Narrow" w:hAnsi="Arial Narrow"/>
                <w:b/>
                <w:bCs/>
                <w:color w:val="333333"/>
                <w:sz w:val="20"/>
                <w:szCs w:val="20"/>
              </w:rPr>
            </w:pPr>
            <w:r w:rsidRPr="004D07B4">
              <w:rPr>
                <w:rFonts w:ascii="Arial Narrow" w:hAnsi="Arial Narrow"/>
                <w:b/>
                <w:bCs/>
                <w:color w:val="333333"/>
                <w:sz w:val="20"/>
                <w:szCs w:val="20"/>
              </w:rPr>
              <w:t xml:space="preserve">Episodicity: </w:t>
            </w:r>
            <w:r w:rsidRPr="004D07B4">
              <w:rPr>
                <w:rFonts w:ascii="Arial Narrow" w:hAnsi="Arial Narrow"/>
                <w:bCs/>
                <w:color w:val="333333"/>
                <w:sz w:val="20"/>
                <w:szCs w:val="20"/>
              </w:rPr>
              <w:t>blank</w:t>
            </w:r>
          </w:p>
        </w:tc>
      </w:tr>
      <w:tr w:rsidR="0031493B" w:rsidRPr="004D07B4" w14:paraId="797D2E00"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92423AE" w14:textId="77777777"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A79B0B8" w14:textId="77777777" w:rsidR="0031493B" w:rsidRPr="004D07B4" w:rsidRDefault="0031493B" w:rsidP="00EF3B77">
            <w:pPr>
              <w:rPr>
                <w:rFonts w:ascii="Arial Narrow" w:hAnsi="Arial Narrow"/>
                <w:b/>
                <w:bCs/>
                <w:color w:val="333333"/>
                <w:sz w:val="20"/>
                <w:szCs w:val="20"/>
              </w:rPr>
            </w:pPr>
            <w:r w:rsidRPr="004D07B4">
              <w:rPr>
                <w:rFonts w:ascii="Arial Narrow" w:hAnsi="Arial Narrow"/>
                <w:b/>
                <w:bCs/>
                <w:color w:val="333333"/>
                <w:sz w:val="20"/>
                <w:szCs w:val="20"/>
              </w:rPr>
              <w:t xml:space="preserve">Severity: </w:t>
            </w:r>
            <w:r w:rsidRPr="004D07B4">
              <w:rPr>
                <w:rFonts w:ascii="Arial Narrow" w:hAnsi="Arial Narrow"/>
                <w:bCs/>
                <w:color w:val="333333"/>
                <w:sz w:val="20"/>
                <w:szCs w:val="20"/>
              </w:rPr>
              <w:t>blank</w:t>
            </w:r>
          </w:p>
        </w:tc>
      </w:tr>
      <w:tr w:rsidR="0031493B" w:rsidRPr="004D07B4" w14:paraId="37917491"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25AA7D1" w14:textId="77777777"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AE4D377" w14:textId="77777777" w:rsidR="0031493B" w:rsidRPr="004D07B4" w:rsidRDefault="0031493B" w:rsidP="00EF3B77">
            <w:pPr>
              <w:rPr>
                <w:rFonts w:ascii="Arial Narrow" w:hAnsi="Arial Narrow"/>
                <w:b/>
                <w:bCs/>
                <w:color w:val="333333"/>
                <w:sz w:val="20"/>
                <w:szCs w:val="20"/>
              </w:rPr>
            </w:pPr>
            <w:r w:rsidRPr="004D07B4">
              <w:rPr>
                <w:rFonts w:ascii="Arial Narrow" w:hAnsi="Arial Narrow"/>
                <w:b/>
                <w:bCs/>
                <w:color w:val="333333"/>
                <w:sz w:val="20"/>
                <w:szCs w:val="20"/>
              </w:rPr>
              <w:t xml:space="preserve">Condition: </w:t>
            </w:r>
            <w:r w:rsidRPr="004D07B4">
              <w:rPr>
                <w:rFonts w:ascii="Arial Narrow" w:hAnsi="Arial Narrow"/>
                <w:bCs/>
                <w:color w:val="333333"/>
                <w:sz w:val="20"/>
                <w:szCs w:val="20"/>
              </w:rPr>
              <w:t>generalised myasthenia gravis (gMG)</w:t>
            </w:r>
          </w:p>
        </w:tc>
      </w:tr>
      <w:tr w:rsidR="0031493B" w:rsidRPr="004D07B4" w14:paraId="5AF85042"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231ADB9" w14:textId="5708A57C"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6E28440" w14:textId="77777777" w:rsidR="0031493B" w:rsidRPr="004D07B4" w:rsidRDefault="0031493B" w:rsidP="00EF3B77">
            <w:pPr>
              <w:rPr>
                <w:rFonts w:ascii="Arial Narrow" w:hAnsi="Arial Narrow"/>
                <w:b/>
                <w:bCs/>
                <w:color w:val="333333"/>
                <w:sz w:val="20"/>
                <w:szCs w:val="20"/>
              </w:rPr>
            </w:pPr>
            <w:r w:rsidRPr="004D07B4">
              <w:rPr>
                <w:rFonts w:ascii="Arial Narrow" w:hAnsi="Arial Narrow"/>
                <w:b/>
                <w:bCs/>
                <w:color w:val="333333"/>
                <w:sz w:val="20"/>
                <w:szCs w:val="20"/>
              </w:rPr>
              <w:t>Indication:</w:t>
            </w:r>
            <w:r w:rsidRPr="004D07B4">
              <w:rPr>
                <w:rFonts w:ascii="Arial Narrow" w:hAnsi="Arial Narrow"/>
                <w:color w:val="333333"/>
                <w:sz w:val="20"/>
                <w:szCs w:val="20"/>
              </w:rPr>
              <w:t xml:space="preserve"> </w:t>
            </w:r>
            <w:r w:rsidRPr="004D07B4">
              <w:rPr>
                <w:rFonts w:ascii="Arial Narrow" w:hAnsi="Arial Narrow"/>
                <w:bCs/>
                <w:color w:val="333333"/>
                <w:sz w:val="20"/>
                <w:szCs w:val="20"/>
              </w:rPr>
              <w:t>generalised myasthenia gravis (gMG)</w:t>
            </w:r>
          </w:p>
        </w:tc>
      </w:tr>
      <w:tr w:rsidR="0031493B" w:rsidRPr="004D07B4" w14:paraId="7D1714AE"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32BD8FC" w14:textId="77777777"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42FE954" w14:textId="77777777" w:rsidR="0031493B" w:rsidRPr="004D07B4" w:rsidRDefault="0031493B" w:rsidP="00EF3B77">
            <w:pPr>
              <w:rPr>
                <w:rFonts w:ascii="Arial Narrow" w:hAnsi="Arial Narrow"/>
                <w:b/>
                <w:bCs/>
                <w:color w:val="333333"/>
                <w:sz w:val="20"/>
                <w:szCs w:val="20"/>
              </w:rPr>
            </w:pPr>
            <w:r>
              <w:rPr>
                <w:rFonts w:ascii="Arial Narrow" w:hAnsi="Arial Narrow"/>
                <w:b/>
                <w:bCs/>
                <w:color w:val="333333"/>
                <w:sz w:val="20"/>
                <w:szCs w:val="20"/>
              </w:rPr>
              <w:t xml:space="preserve">Treatment phase: </w:t>
            </w:r>
            <w:r>
              <w:rPr>
                <w:rFonts w:ascii="Arial Narrow" w:hAnsi="Arial Narrow"/>
                <w:color w:val="333333"/>
                <w:sz w:val="20"/>
                <w:szCs w:val="20"/>
              </w:rPr>
              <w:t>Continuing treatment</w:t>
            </w:r>
          </w:p>
        </w:tc>
      </w:tr>
      <w:tr w:rsidR="0031493B" w:rsidRPr="004D07B4" w14:paraId="4F12E90F"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9814DE5"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0963F9A" w14:textId="77777777" w:rsidR="0031493B" w:rsidRPr="004D07B4" w:rsidRDefault="0031493B" w:rsidP="00EF3B77">
            <w:pPr>
              <w:rPr>
                <w:rFonts w:ascii="Arial Narrow" w:hAnsi="Arial Narrow"/>
                <w:b/>
                <w:color w:val="333333"/>
                <w:sz w:val="20"/>
                <w:szCs w:val="20"/>
              </w:rPr>
            </w:pPr>
            <w:r w:rsidRPr="004D07B4">
              <w:rPr>
                <w:rFonts w:ascii="Arial Narrow" w:hAnsi="Arial Narrow"/>
                <w:b/>
                <w:color w:val="333333"/>
                <w:sz w:val="20"/>
                <w:szCs w:val="20"/>
              </w:rPr>
              <w:t>Clinical criteria:</w:t>
            </w:r>
          </w:p>
        </w:tc>
      </w:tr>
      <w:tr w:rsidR="0031493B" w:rsidRPr="00781825" w14:paraId="312F431D"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383D6DE" w14:textId="01C15AF2"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3D6C424" w14:textId="77777777" w:rsidR="0031493B" w:rsidRPr="00781825" w:rsidRDefault="0031493B" w:rsidP="00EF3B77">
            <w:pPr>
              <w:rPr>
                <w:rFonts w:ascii="Arial Narrow" w:hAnsi="Arial Narrow"/>
                <w:bCs/>
                <w:color w:val="333333"/>
                <w:sz w:val="20"/>
                <w:szCs w:val="20"/>
              </w:rPr>
            </w:pPr>
            <w:r w:rsidRPr="0002457D">
              <w:rPr>
                <w:rFonts w:ascii="Arial Narrow" w:hAnsi="Arial Narrow"/>
                <w:bCs/>
                <w:color w:val="333333"/>
                <w:sz w:val="20"/>
                <w:szCs w:val="20"/>
              </w:rPr>
              <w:t>Patient must have previously received PBS subsidised treatment with this drug for this condition</w:t>
            </w:r>
          </w:p>
        </w:tc>
      </w:tr>
      <w:tr w:rsidR="0031493B" w:rsidRPr="004D07B4" w14:paraId="616330E6"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D2E858D"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CC66024" w14:textId="77777777" w:rsidR="0031493B" w:rsidRPr="004D07B4" w:rsidRDefault="0031493B" w:rsidP="00EF3B77">
            <w:pPr>
              <w:rPr>
                <w:rFonts w:ascii="Arial Narrow" w:hAnsi="Arial Narrow"/>
                <w:b/>
                <w:color w:val="333333"/>
                <w:sz w:val="20"/>
                <w:szCs w:val="20"/>
              </w:rPr>
            </w:pPr>
            <w:r>
              <w:rPr>
                <w:rFonts w:ascii="Arial Narrow" w:hAnsi="Arial Narrow"/>
                <w:b/>
                <w:color w:val="333333"/>
                <w:sz w:val="20"/>
                <w:szCs w:val="20"/>
              </w:rPr>
              <w:t>AND</w:t>
            </w:r>
          </w:p>
        </w:tc>
      </w:tr>
      <w:tr w:rsidR="0031493B" w:rsidRPr="004D07B4" w14:paraId="32C708BF"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557D015"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4D67805" w14:textId="77777777" w:rsidR="0031493B" w:rsidRPr="004D07B4" w:rsidRDefault="0031493B" w:rsidP="00EF3B77">
            <w:pPr>
              <w:rPr>
                <w:rFonts w:ascii="Arial Narrow" w:hAnsi="Arial Narrow"/>
                <w:b/>
                <w:color w:val="333333"/>
                <w:sz w:val="20"/>
                <w:szCs w:val="20"/>
              </w:rPr>
            </w:pPr>
            <w:r w:rsidRPr="00A50A4F">
              <w:rPr>
                <w:rFonts w:ascii="Arial Narrow" w:hAnsi="Arial Narrow"/>
                <w:b/>
                <w:bCs/>
                <w:color w:val="333333"/>
                <w:sz w:val="20"/>
                <w:szCs w:val="20"/>
              </w:rPr>
              <w:t>Clinical criteria:</w:t>
            </w:r>
          </w:p>
        </w:tc>
      </w:tr>
      <w:tr w:rsidR="0031493B" w:rsidRPr="004D07B4" w14:paraId="3791652C"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8A75251" w14:textId="71CAA1AB"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60DB97A" w14:textId="77777777" w:rsidR="0031493B" w:rsidRPr="001F74D2" w:rsidRDefault="0031493B" w:rsidP="00EF3B77">
            <w:pPr>
              <w:rPr>
                <w:rFonts w:ascii="Arial Narrow" w:hAnsi="Arial Narrow"/>
                <w:color w:val="333333"/>
                <w:sz w:val="20"/>
                <w:szCs w:val="20"/>
              </w:rPr>
            </w:pPr>
            <w:r w:rsidRPr="001F74D2">
              <w:rPr>
                <w:rFonts w:ascii="Arial Narrow" w:hAnsi="Arial Narrow"/>
                <w:color w:val="333333"/>
                <w:sz w:val="20"/>
                <w:szCs w:val="20"/>
              </w:rPr>
              <w:t xml:space="preserve">Patient must </w:t>
            </w:r>
            <w:r w:rsidRPr="00F21E1F">
              <w:rPr>
                <w:rFonts w:ascii="Arial Narrow" w:hAnsi="Arial Narrow"/>
                <w:i/>
                <w:iCs/>
                <w:color w:val="333333"/>
                <w:sz w:val="20"/>
                <w:szCs w:val="20"/>
              </w:rPr>
              <w:t>have</w:t>
            </w:r>
            <w:r>
              <w:rPr>
                <w:rFonts w:ascii="Arial Narrow" w:hAnsi="Arial Narrow"/>
                <w:color w:val="333333"/>
                <w:sz w:val="20"/>
                <w:szCs w:val="20"/>
              </w:rPr>
              <w:t xml:space="preserve"> </w:t>
            </w:r>
            <w:r w:rsidRPr="00F21E1F">
              <w:rPr>
                <w:rFonts w:ascii="Arial Narrow" w:hAnsi="Arial Narrow"/>
                <w:strike/>
                <w:color w:val="333333"/>
                <w:sz w:val="20"/>
                <w:szCs w:val="20"/>
              </w:rPr>
              <w:t>continue to</w:t>
            </w:r>
            <w:r w:rsidRPr="001F74D2">
              <w:rPr>
                <w:rFonts w:ascii="Arial Narrow" w:hAnsi="Arial Narrow"/>
                <w:color w:val="333333"/>
                <w:sz w:val="20"/>
                <w:szCs w:val="20"/>
              </w:rPr>
              <w:t xml:space="preserve"> demonstrate</w:t>
            </w:r>
            <w:r w:rsidRPr="00F21E1F">
              <w:rPr>
                <w:rFonts w:ascii="Arial Narrow" w:hAnsi="Arial Narrow"/>
                <w:i/>
                <w:iCs/>
                <w:color w:val="333333"/>
                <w:sz w:val="20"/>
                <w:szCs w:val="20"/>
              </w:rPr>
              <w:t>d a</w:t>
            </w:r>
            <w:r w:rsidRPr="001F74D2">
              <w:rPr>
                <w:rFonts w:ascii="Arial Narrow" w:hAnsi="Arial Narrow"/>
                <w:color w:val="333333"/>
                <w:sz w:val="20"/>
                <w:szCs w:val="20"/>
              </w:rPr>
              <w:t xml:space="preserve"> clinical improvement based on a decrease in Myasthenia Gravis-Activities of Daily Living (MG-ADL) profile of at least 2 points from baseline.</w:t>
            </w:r>
            <w:r>
              <w:rPr>
                <w:rFonts w:ascii="Arial Narrow" w:hAnsi="Arial Narrow"/>
                <w:color w:val="333333"/>
                <w:sz w:val="20"/>
                <w:szCs w:val="20"/>
              </w:rPr>
              <w:t xml:space="preserve"> </w:t>
            </w:r>
          </w:p>
        </w:tc>
      </w:tr>
      <w:tr w:rsidR="0031493B" w:rsidRPr="004D07B4" w14:paraId="23A58D52"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FE31961"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6519A9F" w14:textId="77777777" w:rsidR="0031493B" w:rsidRPr="00A359DC" w:rsidRDefault="0031493B" w:rsidP="00EF3B77">
            <w:pPr>
              <w:rPr>
                <w:rFonts w:ascii="Arial Narrow" w:hAnsi="Arial Narrow"/>
                <w:b/>
                <w:bCs/>
                <w:strike/>
                <w:color w:val="333333"/>
                <w:sz w:val="20"/>
                <w:szCs w:val="20"/>
              </w:rPr>
            </w:pPr>
            <w:r w:rsidRPr="00A359DC">
              <w:rPr>
                <w:rFonts w:ascii="Arial Narrow" w:hAnsi="Arial Narrow"/>
                <w:b/>
                <w:strike/>
                <w:color w:val="333333"/>
                <w:sz w:val="20"/>
                <w:szCs w:val="20"/>
              </w:rPr>
              <w:t>AND</w:t>
            </w:r>
          </w:p>
        </w:tc>
      </w:tr>
      <w:tr w:rsidR="0031493B" w:rsidRPr="004D07B4" w14:paraId="0C4B3823"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12B482D"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47CA178" w14:textId="77777777" w:rsidR="0031493B" w:rsidRPr="00A359DC" w:rsidRDefault="0031493B" w:rsidP="00EF3B77">
            <w:pPr>
              <w:rPr>
                <w:rFonts w:ascii="Arial Narrow" w:hAnsi="Arial Narrow"/>
                <w:b/>
                <w:bCs/>
                <w:strike/>
                <w:color w:val="333333"/>
                <w:sz w:val="20"/>
                <w:szCs w:val="20"/>
              </w:rPr>
            </w:pPr>
            <w:r w:rsidRPr="00A359DC">
              <w:rPr>
                <w:rFonts w:ascii="Arial Narrow" w:hAnsi="Arial Narrow"/>
                <w:b/>
                <w:bCs/>
                <w:strike/>
                <w:color w:val="333333"/>
                <w:sz w:val="20"/>
                <w:szCs w:val="20"/>
              </w:rPr>
              <w:t>Clinical criteria:</w:t>
            </w:r>
          </w:p>
        </w:tc>
      </w:tr>
      <w:tr w:rsidR="0031493B" w:rsidRPr="004D07B4" w14:paraId="0BE7989A"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CB54B64"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21A0968" w14:textId="77777777" w:rsidR="0031493B" w:rsidRPr="00A359DC" w:rsidRDefault="0031493B" w:rsidP="00EF3B77">
            <w:pPr>
              <w:rPr>
                <w:rFonts w:ascii="Arial Narrow" w:hAnsi="Arial Narrow"/>
                <w:b/>
                <w:bCs/>
                <w:strike/>
                <w:color w:val="333333"/>
                <w:sz w:val="20"/>
                <w:szCs w:val="20"/>
              </w:rPr>
            </w:pPr>
            <w:r w:rsidRPr="00A359DC">
              <w:rPr>
                <w:rFonts w:ascii="Arial Narrow" w:hAnsi="Arial Narrow"/>
                <w:strike/>
                <w:color w:val="333333"/>
                <w:sz w:val="20"/>
                <w:szCs w:val="20"/>
              </w:rPr>
              <w:t>Patients who are clinically stable should be considered for a trial of cessation of therapy to identify disease remission.</w:t>
            </w:r>
          </w:p>
        </w:tc>
      </w:tr>
      <w:tr w:rsidR="0031493B" w:rsidRPr="004D07B4" w14:paraId="185FCEE0"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ED5F9CD"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1DD0D9C" w14:textId="77777777" w:rsidR="0031493B" w:rsidRPr="009641B2" w:rsidRDefault="0031493B" w:rsidP="00EF3B77">
            <w:pPr>
              <w:rPr>
                <w:rFonts w:ascii="Arial Narrow" w:hAnsi="Arial Narrow"/>
                <w:b/>
                <w:bCs/>
                <w:color w:val="333333"/>
                <w:sz w:val="20"/>
                <w:szCs w:val="20"/>
              </w:rPr>
            </w:pPr>
            <w:r>
              <w:rPr>
                <w:rFonts w:ascii="Arial Narrow" w:hAnsi="Arial Narrow"/>
                <w:b/>
                <w:bCs/>
                <w:color w:val="333333"/>
                <w:sz w:val="20"/>
                <w:szCs w:val="20"/>
              </w:rPr>
              <w:t>AND</w:t>
            </w:r>
          </w:p>
        </w:tc>
      </w:tr>
      <w:tr w:rsidR="0031493B" w:rsidRPr="004D07B4" w14:paraId="55F19A4D"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E901981" w14:textId="05A92054"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92F4832" w14:textId="77777777" w:rsidR="0031493B" w:rsidRPr="00A359DC" w:rsidRDefault="0031493B" w:rsidP="00EF3B77">
            <w:pPr>
              <w:rPr>
                <w:rFonts w:ascii="Arial Narrow" w:hAnsi="Arial Narrow"/>
                <w:strike/>
                <w:color w:val="333333"/>
                <w:sz w:val="20"/>
                <w:szCs w:val="20"/>
              </w:rPr>
            </w:pPr>
            <w:r w:rsidRPr="009641B2">
              <w:rPr>
                <w:rFonts w:ascii="Arial Narrow" w:hAnsi="Arial Narrow"/>
                <w:i/>
                <w:iCs/>
                <w:color w:val="333333"/>
                <w:sz w:val="20"/>
                <w:szCs w:val="20"/>
              </w:rPr>
              <w:t xml:space="preserve">Patient must not receive more than 24 weeks of treatment per continuing treatment course authorised under this restriction </w:t>
            </w:r>
          </w:p>
        </w:tc>
      </w:tr>
      <w:tr w:rsidR="0031493B" w:rsidRPr="004D07B4" w14:paraId="425A7ACA"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0B96AA5"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43CFA48" w14:textId="77777777" w:rsidR="0031493B" w:rsidRPr="00A50A4F" w:rsidRDefault="0031493B" w:rsidP="00EF3B77">
            <w:pPr>
              <w:rPr>
                <w:rFonts w:ascii="Arial Narrow" w:hAnsi="Arial Narrow"/>
                <w:b/>
                <w:bCs/>
                <w:color w:val="333333"/>
                <w:sz w:val="20"/>
                <w:szCs w:val="20"/>
              </w:rPr>
            </w:pPr>
            <w:r>
              <w:rPr>
                <w:rFonts w:ascii="Arial Narrow" w:hAnsi="Arial Narrow"/>
                <w:b/>
                <w:color w:val="333333"/>
                <w:sz w:val="20"/>
                <w:szCs w:val="20"/>
              </w:rPr>
              <w:t>AND</w:t>
            </w:r>
          </w:p>
        </w:tc>
      </w:tr>
      <w:tr w:rsidR="0031493B" w:rsidRPr="004D07B4" w14:paraId="5661CE8E"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4258109"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D3EE17" w14:textId="77777777" w:rsidR="0031493B" w:rsidRPr="00A50A4F" w:rsidRDefault="0031493B" w:rsidP="00EF3B77">
            <w:pPr>
              <w:rPr>
                <w:rFonts w:ascii="Arial Narrow" w:hAnsi="Arial Narrow"/>
                <w:b/>
                <w:bCs/>
                <w:color w:val="333333"/>
                <w:sz w:val="20"/>
                <w:szCs w:val="20"/>
              </w:rPr>
            </w:pPr>
            <w:r w:rsidRPr="00A50A4F">
              <w:rPr>
                <w:rFonts w:ascii="Arial Narrow" w:hAnsi="Arial Narrow"/>
                <w:b/>
                <w:bCs/>
                <w:color w:val="333333"/>
                <w:sz w:val="20"/>
                <w:szCs w:val="20"/>
              </w:rPr>
              <w:t>Treatment criteria:</w:t>
            </w:r>
          </w:p>
        </w:tc>
      </w:tr>
      <w:tr w:rsidR="0031493B" w:rsidRPr="004D07B4" w14:paraId="6D32C808"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3E1480" w14:textId="4449DCA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A53017" w14:textId="77777777" w:rsidR="0031493B" w:rsidRPr="00A50A4F" w:rsidRDefault="0031493B" w:rsidP="00EF3B77">
            <w:pPr>
              <w:rPr>
                <w:rFonts w:ascii="Arial Narrow" w:hAnsi="Arial Narrow"/>
                <w:b/>
                <w:bCs/>
                <w:color w:val="333333"/>
                <w:sz w:val="20"/>
                <w:szCs w:val="20"/>
              </w:rPr>
            </w:pPr>
            <w:r w:rsidRPr="00533171">
              <w:rPr>
                <w:rFonts w:ascii="Arial Narrow" w:hAnsi="Arial Narrow" w:cs="Arial Narrow"/>
                <w:sz w:val="20"/>
                <w:szCs w:val="20"/>
              </w:rPr>
              <w:t>Must be treated by a neurologist</w:t>
            </w:r>
            <w:r>
              <w:rPr>
                <w:rFonts w:ascii="Arial Narrow" w:hAnsi="Arial Narrow" w:cs="Arial Narrow"/>
                <w:sz w:val="20"/>
                <w:szCs w:val="20"/>
              </w:rPr>
              <w:t>,</w:t>
            </w:r>
            <w:r w:rsidRPr="00533171">
              <w:rPr>
                <w:rFonts w:ascii="Arial Narrow" w:hAnsi="Arial Narrow" w:cs="Arial Narrow"/>
                <w:sz w:val="20"/>
                <w:szCs w:val="20"/>
              </w:rPr>
              <w:t xml:space="preserve"> or </w:t>
            </w:r>
            <w:r w:rsidRPr="00533171">
              <w:rPr>
                <w:rFonts w:ascii="Arial Narrow" w:hAnsi="Arial Narrow" w:cs="Arial Narrow"/>
                <w:strike/>
                <w:sz w:val="20"/>
                <w:szCs w:val="20"/>
              </w:rPr>
              <w:t xml:space="preserve">a non-specialist medical physician who has consulted a neurologist on the patient’s drug treatment details </w:t>
            </w:r>
          </w:p>
        </w:tc>
      </w:tr>
      <w:tr w:rsidR="0031493B" w:rsidRPr="004D07B4" w14:paraId="0199A1C3"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30D2DE" w14:textId="60A2DDF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166124" w14:textId="77777777" w:rsidR="0031493B" w:rsidRPr="00A50A4F" w:rsidRDefault="0031493B" w:rsidP="00EF3B77">
            <w:pPr>
              <w:rPr>
                <w:rFonts w:ascii="Arial Narrow" w:hAnsi="Arial Narrow"/>
                <w:b/>
                <w:bCs/>
                <w:color w:val="333333"/>
                <w:sz w:val="20"/>
                <w:szCs w:val="20"/>
              </w:rPr>
            </w:pPr>
            <w:r w:rsidRPr="00533171">
              <w:rPr>
                <w:rFonts w:ascii="Arial Narrow" w:hAnsi="Arial Narrow" w:cs="Arial Narrow"/>
                <w:i/>
                <w:iCs/>
                <w:sz w:val="20"/>
                <w:szCs w:val="20"/>
              </w:rPr>
              <w:t>Must be treated by a medical practitioner who has consulted a neurologist, with agreement reached that the patient should be treated with this pharmaceutical benefit on this occasion.</w:t>
            </w:r>
          </w:p>
        </w:tc>
      </w:tr>
      <w:tr w:rsidR="0031493B" w:rsidRPr="004D07B4" w14:paraId="6F378120"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DF56BB"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C0F3A2B" w14:textId="77777777" w:rsidR="0031493B" w:rsidRPr="00A50A4F" w:rsidRDefault="0031493B" w:rsidP="00EF3B77">
            <w:pPr>
              <w:rPr>
                <w:rFonts w:ascii="Arial Narrow" w:hAnsi="Arial Narrow"/>
                <w:b/>
                <w:bCs/>
                <w:color w:val="333333"/>
                <w:sz w:val="20"/>
                <w:szCs w:val="20"/>
              </w:rPr>
            </w:pPr>
            <w:r w:rsidRPr="00A50A4F">
              <w:rPr>
                <w:rFonts w:ascii="Arial Narrow" w:hAnsi="Arial Narrow"/>
                <w:b/>
                <w:bCs/>
                <w:color w:val="333333"/>
                <w:sz w:val="20"/>
                <w:szCs w:val="20"/>
              </w:rPr>
              <w:t>AND</w:t>
            </w:r>
          </w:p>
        </w:tc>
      </w:tr>
      <w:tr w:rsidR="0031493B" w:rsidRPr="004D07B4" w14:paraId="63B6A92E"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618C0E"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46D06D" w14:textId="77777777" w:rsidR="0031493B" w:rsidRPr="00A50A4F" w:rsidRDefault="0031493B" w:rsidP="00EF3B77">
            <w:pPr>
              <w:rPr>
                <w:rFonts w:ascii="Arial Narrow" w:hAnsi="Arial Narrow"/>
                <w:b/>
                <w:bCs/>
                <w:color w:val="333333"/>
                <w:sz w:val="20"/>
                <w:szCs w:val="20"/>
              </w:rPr>
            </w:pPr>
            <w:r>
              <w:rPr>
                <w:rFonts w:ascii="Arial Narrow" w:hAnsi="Arial Narrow"/>
                <w:b/>
                <w:bCs/>
                <w:color w:val="333333"/>
                <w:sz w:val="20"/>
                <w:szCs w:val="20"/>
              </w:rPr>
              <w:t>Population</w:t>
            </w:r>
            <w:r w:rsidRPr="00A50A4F">
              <w:rPr>
                <w:rFonts w:ascii="Arial Narrow" w:hAnsi="Arial Narrow"/>
                <w:b/>
                <w:bCs/>
                <w:color w:val="333333"/>
                <w:sz w:val="20"/>
                <w:szCs w:val="20"/>
              </w:rPr>
              <w:t xml:space="preserve"> criteria:</w:t>
            </w:r>
          </w:p>
        </w:tc>
      </w:tr>
      <w:tr w:rsidR="0031493B" w:rsidRPr="004D07B4" w14:paraId="44156C91"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8543C4" w14:textId="632A2AC3"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85B249" w14:textId="77777777" w:rsidR="0031493B" w:rsidRPr="00A50A4F" w:rsidRDefault="0031493B" w:rsidP="00EF3B77">
            <w:pPr>
              <w:rPr>
                <w:rFonts w:ascii="Arial Narrow" w:hAnsi="Arial Narrow"/>
                <w:b/>
                <w:bCs/>
                <w:color w:val="333333"/>
                <w:sz w:val="20"/>
                <w:szCs w:val="20"/>
              </w:rPr>
            </w:pPr>
            <w:r w:rsidRPr="00FE6847">
              <w:rPr>
                <w:rFonts w:ascii="Arial Narrow" w:hAnsi="Arial Narrow"/>
                <w:color w:val="333333"/>
                <w:sz w:val="20"/>
                <w:szCs w:val="20"/>
              </w:rPr>
              <w:t>Patient</w:t>
            </w:r>
            <w:r w:rsidRPr="00FE6847">
              <w:rPr>
                <w:rFonts w:ascii="Arial Narrow" w:hAnsi="Arial Narrow"/>
                <w:strike/>
                <w:color w:val="333333"/>
                <w:sz w:val="20"/>
                <w:szCs w:val="20"/>
              </w:rPr>
              <w:t>s</w:t>
            </w:r>
            <w:r w:rsidRPr="00FE6847">
              <w:rPr>
                <w:rFonts w:ascii="Arial Narrow" w:hAnsi="Arial Narrow"/>
                <w:color w:val="333333"/>
                <w:sz w:val="20"/>
                <w:szCs w:val="20"/>
              </w:rPr>
              <w:t xml:space="preserve"> must be aged 18 years or older</w:t>
            </w:r>
          </w:p>
        </w:tc>
      </w:tr>
      <w:tr w:rsidR="0031493B" w:rsidRPr="004D07B4" w14:paraId="7FD1D36E"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4F2CC8C" w14:textId="63B77978" w:rsidR="0031493B" w:rsidRPr="00F21E1F"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19DD07A" w14:textId="77777777" w:rsidR="0031493B" w:rsidRDefault="0031493B" w:rsidP="00EF3B77">
            <w:pPr>
              <w:rPr>
                <w:rFonts w:ascii="Arial Narrow" w:hAnsi="Arial Narrow"/>
                <w:b/>
                <w:bCs/>
                <w:color w:val="333333"/>
                <w:sz w:val="20"/>
                <w:szCs w:val="20"/>
              </w:rPr>
            </w:pPr>
            <w:r>
              <w:rPr>
                <w:rFonts w:ascii="Arial Narrow" w:hAnsi="Arial Narrow"/>
                <w:b/>
                <w:bCs/>
                <w:color w:val="333333"/>
                <w:sz w:val="20"/>
                <w:szCs w:val="20"/>
              </w:rPr>
              <w:t>Prescriber instructions:</w:t>
            </w:r>
          </w:p>
          <w:p w14:paraId="4E53CC4F" w14:textId="77777777" w:rsidR="0031493B" w:rsidRPr="00A41153" w:rsidRDefault="0031493B" w:rsidP="00EF3B77">
            <w:pPr>
              <w:rPr>
                <w:rFonts w:ascii="Arial Narrow" w:hAnsi="Arial Narrow"/>
                <w:i/>
                <w:iCs/>
                <w:color w:val="333333"/>
                <w:sz w:val="20"/>
                <w:szCs w:val="20"/>
              </w:rPr>
            </w:pPr>
            <w:r w:rsidRPr="00A41153">
              <w:rPr>
                <w:rFonts w:ascii="Arial Narrow" w:hAnsi="Arial Narrow"/>
                <w:i/>
                <w:iCs/>
                <w:color w:val="333333"/>
                <w:sz w:val="20"/>
                <w:szCs w:val="20"/>
              </w:rPr>
              <w:t>Patients who are clinically stable should be considered for a trial of cessation of therapy to identify disease remission.</w:t>
            </w:r>
          </w:p>
        </w:tc>
      </w:tr>
      <w:tr w:rsidR="0031493B" w:rsidRPr="004D07B4" w14:paraId="21EBBE8B"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A90FE8" w14:textId="10BBC963" w:rsidR="0031493B" w:rsidRPr="00F21E1F"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D41552" w14:textId="77777777" w:rsidR="0031493B" w:rsidRPr="00D512A8" w:rsidRDefault="0031493B" w:rsidP="00EF3B77">
            <w:pPr>
              <w:rPr>
                <w:rFonts w:ascii="Arial Narrow" w:hAnsi="Arial Narrow"/>
                <w:bCs/>
                <w:i/>
                <w:iCs/>
                <w:color w:val="333333"/>
                <w:sz w:val="20"/>
                <w:szCs w:val="20"/>
              </w:rPr>
            </w:pPr>
            <w:r w:rsidRPr="00D512A8">
              <w:rPr>
                <w:rFonts w:ascii="Arial Narrow" w:hAnsi="Arial Narrow"/>
                <w:bCs/>
                <w:i/>
                <w:iCs/>
                <w:color w:val="333333"/>
                <w:sz w:val="20"/>
                <w:szCs w:val="20"/>
              </w:rPr>
              <w:t>The authority application must be in writing and must include all of the following:</w:t>
            </w:r>
          </w:p>
          <w:p w14:paraId="7A429CB0" w14:textId="77777777" w:rsidR="0031493B" w:rsidRPr="00D512A8" w:rsidRDefault="0031493B" w:rsidP="00EF3B77">
            <w:pPr>
              <w:rPr>
                <w:rFonts w:ascii="Arial Narrow" w:hAnsi="Arial Narrow"/>
                <w:bCs/>
                <w:i/>
                <w:iCs/>
                <w:color w:val="333333"/>
                <w:sz w:val="20"/>
                <w:szCs w:val="20"/>
              </w:rPr>
            </w:pPr>
            <w:r w:rsidRPr="00D512A8">
              <w:rPr>
                <w:rFonts w:ascii="Arial Narrow" w:hAnsi="Arial Narrow"/>
                <w:bCs/>
                <w:i/>
                <w:iCs/>
                <w:color w:val="333333"/>
                <w:sz w:val="20"/>
                <w:szCs w:val="20"/>
              </w:rPr>
              <w:t>(1) A completed authority prescription form(s);</w:t>
            </w:r>
          </w:p>
          <w:p w14:paraId="68820B17" w14:textId="77777777" w:rsidR="0031493B" w:rsidRPr="00D512A8" w:rsidRDefault="0031493B" w:rsidP="00EF3B77">
            <w:pPr>
              <w:rPr>
                <w:rFonts w:ascii="Arial Narrow" w:hAnsi="Arial Narrow"/>
                <w:bCs/>
                <w:i/>
                <w:iCs/>
                <w:color w:val="333333"/>
                <w:sz w:val="20"/>
                <w:szCs w:val="20"/>
              </w:rPr>
            </w:pPr>
            <w:r w:rsidRPr="00D512A8">
              <w:rPr>
                <w:rFonts w:ascii="Arial Narrow" w:hAnsi="Arial Narrow"/>
                <w:bCs/>
                <w:i/>
                <w:iCs/>
                <w:color w:val="333333"/>
                <w:sz w:val="20"/>
                <w:szCs w:val="20"/>
              </w:rPr>
              <w:t>(2) A completed authority application form relevant to the indication and treatment phase (the latest version is located on the website specified in the Administrative Advice);</w:t>
            </w:r>
          </w:p>
          <w:p w14:paraId="5FF054A2" w14:textId="77777777" w:rsidR="0031493B" w:rsidRDefault="0031493B" w:rsidP="00EF3B77">
            <w:pPr>
              <w:rPr>
                <w:rFonts w:ascii="Arial Narrow" w:hAnsi="Arial Narrow"/>
                <w:b/>
                <w:bCs/>
                <w:color w:val="333333"/>
                <w:sz w:val="20"/>
                <w:szCs w:val="20"/>
              </w:rPr>
            </w:pPr>
            <w:r w:rsidRPr="00D512A8">
              <w:rPr>
                <w:rFonts w:ascii="Arial Narrow" w:hAnsi="Arial Narrow"/>
                <w:bCs/>
                <w:i/>
                <w:iCs/>
                <w:color w:val="333333"/>
                <w:sz w:val="20"/>
                <w:szCs w:val="20"/>
              </w:rPr>
              <w:t>(3) The current MG-ADL profile score</w:t>
            </w:r>
          </w:p>
        </w:tc>
      </w:tr>
      <w:tr w:rsidR="0031493B" w:rsidRPr="00485311" w14:paraId="6B7F4522" w14:textId="77777777" w:rsidTr="00EF3B77">
        <w:trPr>
          <w:cantSplit/>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633D20" w14:textId="77777777" w:rsidR="0031493B" w:rsidRPr="00B06C77" w:rsidRDefault="0031493B" w:rsidP="00EF3B77">
            <w:pPr>
              <w:jc w:val="center"/>
              <w:rPr>
                <w:rFonts w:ascii="Arial Narrow" w:hAnsi="Arial Narrow" w:cs="Open Sans"/>
                <w:strike/>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2CD12A" w14:textId="77777777" w:rsidR="0031493B" w:rsidRPr="00485311" w:rsidRDefault="0031493B" w:rsidP="00EF3B77">
            <w:pPr>
              <w:rPr>
                <w:rFonts w:ascii="Arial Narrow" w:hAnsi="Arial Narrow"/>
                <w:b/>
                <w:bCs/>
                <w:color w:val="333333"/>
                <w:sz w:val="20"/>
                <w:szCs w:val="20"/>
              </w:rPr>
            </w:pPr>
            <w:r w:rsidRPr="00485311">
              <w:rPr>
                <w:rFonts w:ascii="Arial Narrow" w:hAnsi="Arial Narrow"/>
                <w:b/>
                <w:bCs/>
                <w:color w:val="333333"/>
                <w:sz w:val="20"/>
                <w:szCs w:val="20"/>
              </w:rPr>
              <w:t>Administrative Advice:</w:t>
            </w:r>
          </w:p>
          <w:p w14:paraId="1660F840"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Any queries concerning the arrangements to prescribe may be directed to Services Australia on 1800 700 270 (hours of operation 8 a.m. to 5 p.m. Monday to Friday).</w:t>
            </w:r>
          </w:p>
          <w:p w14:paraId="21206760"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Prescribing information (including Authority Application forms and other relevant documentation as applicable) is available on the Services Australia website at www.servicesaustralia.gov.au</w:t>
            </w:r>
          </w:p>
          <w:p w14:paraId="732A8339"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Applications for authority to prescribe should be submitted online using the form upload facility in Health Professional Online Services (HPOS) at www.servicesaustralia.gov.au/hpos</w:t>
            </w:r>
          </w:p>
          <w:p w14:paraId="40F90822"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Or mailed to:</w:t>
            </w:r>
          </w:p>
          <w:p w14:paraId="2CB9E5E2"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Services Australia</w:t>
            </w:r>
          </w:p>
          <w:p w14:paraId="72B4C74C"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Complex Drugs</w:t>
            </w:r>
          </w:p>
          <w:p w14:paraId="1C4E914B"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Reply Paid 9826</w:t>
            </w:r>
          </w:p>
          <w:p w14:paraId="0D28A644" w14:textId="77777777" w:rsidR="0031493B" w:rsidRPr="00485311" w:rsidRDefault="0031493B" w:rsidP="00EF3B77">
            <w:pPr>
              <w:textAlignment w:val="baseline"/>
              <w:rPr>
                <w:rFonts w:ascii="Arial Narrow" w:hAnsi="Arial Narrow" w:cs="Open Sans"/>
                <w:b/>
                <w:bCs/>
                <w:color w:val="333333"/>
                <w:sz w:val="20"/>
                <w:szCs w:val="20"/>
                <w:bdr w:val="none" w:sz="0" w:space="0" w:color="auto" w:frame="1"/>
              </w:rPr>
            </w:pPr>
            <w:r w:rsidRPr="00485311">
              <w:rPr>
                <w:rFonts w:ascii="Arial Narrow" w:hAnsi="Arial Narrow"/>
                <w:color w:val="333333"/>
                <w:sz w:val="20"/>
                <w:szCs w:val="20"/>
              </w:rPr>
              <w:t>HOBART TAS 7001</w:t>
            </w:r>
          </w:p>
        </w:tc>
      </w:tr>
      <w:tr w:rsidR="0031493B" w14:paraId="153549AC" w14:textId="77777777" w:rsidTr="00EF3B77">
        <w:trPr>
          <w:cantSplit/>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C8C1FAB" w14:textId="3F4F84EE" w:rsidR="0031493B"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6A78F67" w14:textId="77777777" w:rsidR="0031493B" w:rsidRDefault="0031493B" w:rsidP="00EF3B77">
            <w:pPr>
              <w:rPr>
                <w:rFonts w:ascii="Arial Narrow" w:hAnsi="Arial Narrow"/>
                <w:b/>
                <w:bCs/>
                <w:color w:val="333333"/>
                <w:sz w:val="20"/>
                <w:szCs w:val="20"/>
              </w:rPr>
            </w:pPr>
            <w:r w:rsidRPr="00485311">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527B10">
              <w:rPr>
                <w:rFonts w:ascii="Arial Narrow" w:hAnsi="Arial Narrow"/>
                <w:color w:val="333333"/>
                <w:sz w:val="20"/>
                <w:szCs w:val="20"/>
              </w:rPr>
              <w:t>No increase in the maximum number of repeats may be authorised.</w:t>
            </w:r>
          </w:p>
        </w:tc>
      </w:tr>
      <w:tr w:rsidR="0031493B" w14:paraId="7B83AD18" w14:textId="77777777" w:rsidTr="00EF3B77">
        <w:trPr>
          <w:cantSplit/>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8580AA6" w14:textId="68AB7527" w:rsidR="0031493B" w:rsidRPr="00527B10"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49D60DE" w14:textId="77777777" w:rsidR="0031493B" w:rsidRDefault="0031493B" w:rsidP="00EF3B77">
            <w:pPr>
              <w:rPr>
                <w:rFonts w:ascii="Arial Narrow" w:hAnsi="Arial Narrow"/>
                <w:b/>
                <w:bCs/>
                <w:color w:val="333333"/>
                <w:sz w:val="20"/>
                <w:szCs w:val="20"/>
              </w:rPr>
            </w:pPr>
            <w:r>
              <w:rPr>
                <w:rFonts w:ascii="Arial Narrow" w:hAnsi="Arial Narrow"/>
                <w:b/>
                <w:bCs/>
                <w:color w:val="333333"/>
                <w:sz w:val="20"/>
                <w:szCs w:val="20"/>
              </w:rPr>
              <w:t>NOTE:</w:t>
            </w:r>
          </w:p>
          <w:p w14:paraId="4499E0F7" w14:textId="77777777" w:rsidR="0031493B" w:rsidRDefault="0031493B" w:rsidP="00EF3B77">
            <w:pPr>
              <w:rPr>
                <w:rFonts w:ascii="Arial Narrow" w:hAnsi="Arial Narrow"/>
                <w:i/>
                <w:iCs/>
                <w:color w:val="333333"/>
                <w:sz w:val="20"/>
                <w:szCs w:val="20"/>
              </w:rPr>
            </w:pPr>
            <w:r w:rsidRPr="009641B2">
              <w:rPr>
                <w:rFonts w:ascii="Arial Narrow" w:hAnsi="Arial Narrow"/>
                <w:bCs/>
                <w:i/>
                <w:iCs/>
                <w:color w:val="333333"/>
                <w:sz w:val="20"/>
                <w:szCs w:val="20"/>
              </w:rPr>
              <w:t xml:space="preserve">The Myasthenia Gravis-Activities of Daily Living (MG-ADL) can be calculated here [sponsor to advise]. </w:t>
            </w:r>
            <w:r w:rsidRPr="009641B2">
              <w:rPr>
                <w:rFonts w:ascii="Arial Narrow" w:hAnsi="Arial Narrow"/>
                <w:i/>
                <w:iCs/>
                <w:color w:val="333333"/>
                <w:sz w:val="20"/>
                <w:szCs w:val="20"/>
              </w:rPr>
              <w:t>The</w:t>
            </w:r>
            <w:r w:rsidRPr="005911F2">
              <w:rPr>
                <w:rFonts w:ascii="Arial Narrow" w:hAnsi="Arial Narrow"/>
                <w:i/>
                <w:iCs/>
                <w:color w:val="333333"/>
                <w:sz w:val="20"/>
                <w:szCs w:val="20"/>
              </w:rPr>
              <w:t xml:space="preserve"> MG-ADL is an </w:t>
            </w:r>
            <w:r>
              <w:rPr>
                <w:rFonts w:ascii="Arial Narrow" w:hAnsi="Arial Narrow"/>
                <w:i/>
                <w:iCs/>
                <w:color w:val="333333"/>
                <w:sz w:val="20"/>
                <w:szCs w:val="20"/>
              </w:rPr>
              <w:t>eight</w:t>
            </w:r>
            <w:r w:rsidRPr="009867A9">
              <w:rPr>
                <w:rFonts w:ascii="Arial Narrow" w:hAnsi="Arial Narrow"/>
                <w:i/>
                <w:iCs/>
                <w:color w:val="333333"/>
                <w:sz w:val="20"/>
                <w:szCs w:val="20"/>
              </w:rPr>
              <w:t>-item patient-reported outcome measure assessing</w:t>
            </w:r>
            <w:r>
              <w:rPr>
                <w:rFonts w:ascii="Arial Narrow" w:hAnsi="Arial Narrow"/>
                <w:i/>
                <w:iCs/>
                <w:color w:val="333333"/>
                <w:sz w:val="20"/>
                <w:szCs w:val="20"/>
              </w:rPr>
              <w:t xml:space="preserve"> </w:t>
            </w:r>
            <w:r w:rsidRPr="005911F2">
              <w:rPr>
                <w:rFonts w:ascii="Arial Narrow" w:hAnsi="Arial Narrow"/>
                <w:i/>
                <w:iCs/>
                <w:color w:val="333333"/>
                <w:sz w:val="20"/>
                <w:szCs w:val="20"/>
              </w:rPr>
              <w:t>symptom severity, with each response graded from 0 (normal) to 3 (most severe).</w:t>
            </w:r>
            <w:r>
              <w:rPr>
                <w:rFonts w:ascii="Arial Narrow" w:hAnsi="Arial Narrow"/>
                <w:i/>
                <w:iCs/>
                <w:color w:val="333333"/>
                <w:sz w:val="20"/>
                <w:szCs w:val="20"/>
              </w:rPr>
              <w:t xml:space="preserve"> The eight components are: talking; chewing; swallowing; breathing; i</w:t>
            </w:r>
            <w:r w:rsidRPr="005911F2">
              <w:rPr>
                <w:rFonts w:ascii="Arial Narrow" w:hAnsi="Arial Narrow"/>
                <w:i/>
                <w:iCs/>
                <w:color w:val="333333"/>
                <w:sz w:val="20"/>
                <w:szCs w:val="20"/>
              </w:rPr>
              <w:t>mpairment of ability to brush teeth or comb hair</w:t>
            </w:r>
            <w:r>
              <w:rPr>
                <w:rFonts w:ascii="Arial Narrow" w:hAnsi="Arial Narrow"/>
                <w:i/>
                <w:iCs/>
                <w:color w:val="333333"/>
                <w:sz w:val="20"/>
                <w:szCs w:val="20"/>
              </w:rPr>
              <w:t>; i</w:t>
            </w:r>
            <w:r w:rsidRPr="005911F2">
              <w:rPr>
                <w:rFonts w:ascii="Arial Narrow" w:hAnsi="Arial Narrow"/>
                <w:i/>
                <w:iCs/>
                <w:color w:val="333333"/>
                <w:sz w:val="20"/>
                <w:szCs w:val="20"/>
              </w:rPr>
              <w:t>mpairment of ability to arise from a chair</w:t>
            </w:r>
            <w:r>
              <w:rPr>
                <w:rFonts w:ascii="Arial Narrow" w:hAnsi="Arial Narrow"/>
                <w:i/>
                <w:iCs/>
                <w:color w:val="333333"/>
                <w:sz w:val="20"/>
                <w:szCs w:val="20"/>
              </w:rPr>
              <w:t>;d</w:t>
            </w:r>
            <w:r w:rsidRPr="005911F2">
              <w:rPr>
                <w:rFonts w:ascii="Arial Narrow" w:hAnsi="Arial Narrow"/>
                <w:i/>
                <w:iCs/>
                <w:color w:val="333333"/>
                <w:sz w:val="20"/>
                <w:szCs w:val="20"/>
              </w:rPr>
              <w:t>ouble vision</w:t>
            </w:r>
            <w:r>
              <w:rPr>
                <w:rFonts w:ascii="Arial Narrow" w:hAnsi="Arial Narrow"/>
                <w:i/>
                <w:iCs/>
                <w:color w:val="333333"/>
                <w:sz w:val="20"/>
                <w:szCs w:val="20"/>
              </w:rPr>
              <w:t>; and e</w:t>
            </w:r>
            <w:r w:rsidRPr="005911F2">
              <w:rPr>
                <w:rFonts w:ascii="Arial Narrow" w:hAnsi="Arial Narrow"/>
                <w:i/>
                <w:iCs/>
                <w:color w:val="333333"/>
                <w:sz w:val="20"/>
                <w:szCs w:val="20"/>
              </w:rPr>
              <w:t>yelid droop</w:t>
            </w:r>
            <w:r>
              <w:rPr>
                <w:rFonts w:ascii="Arial Narrow" w:hAnsi="Arial Narrow"/>
                <w:i/>
                <w:iCs/>
                <w:color w:val="333333"/>
                <w:sz w:val="20"/>
                <w:szCs w:val="20"/>
              </w:rPr>
              <w:t>.</w:t>
            </w:r>
            <w:r w:rsidRPr="005911F2">
              <w:rPr>
                <w:rFonts w:ascii="Arial Narrow" w:hAnsi="Arial Narrow"/>
                <w:i/>
                <w:iCs/>
                <w:color w:val="333333"/>
                <w:sz w:val="20"/>
                <w:szCs w:val="20"/>
              </w:rPr>
              <w:t xml:space="preserve"> Cumulative MG-ADL scores range from 0 to 24, with higher scores indicating greater severity.</w:t>
            </w:r>
            <w:r>
              <w:rPr>
                <w:rFonts w:ascii="Arial Narrow" w:hAnsi="Arial Narrow"/>
                <w:i/>
                <w:iCs/>
                <w:color w:val="333333"/>
                <w:sz w:val="20"/>
                <w:szCs w:val="20"/>
              </w:rPr>
              <w:t xml:space="preserve"> </w:t>
            </w:r>
          </w:p>
          <w:p w14:paraId="5E584609" w14:textId="77777777" w:rsidR="0031493B" w:rsidRPr="00485311" w:rsidRDefault="0031493B" w:rsidP="00EF3B77">
            <w:pPr>
              <w:rPr>
                <w:rFonts w:ascii="Arial Narrow" w:hAnsi="Arial Narrow"/>
                <w:b/>
                <w:bCs/>
                <w:color w:val="333333"/>
                <w:sz w:val="20"/>
                <w:szCs w:val="20"/>
              </w:rPr>
            </w:pPr>
            <w:r>
              <w:rPr>
                <w:rFonts w:ascii="Arial Narrow" w:hAnsi="Arial Narrow"/>
                <w:i/>
                <w:iCs/>
                <w:color w:val="333333"/>
                <w:sz w:val="20"/>
                <w:szCs w:val="20"/>
              </w:rPr>
              <w:t>Document the MG-ADL in the patient’s medical records.</w:t>
            </w:r>
          </w:p>
        </w:tc>
      </w:tr>
      <w:tr w:rsidR="0031493B" w14:paraId="2A05E684" w14:textId="77777777" w:rsidTr="00EF3B77">
        <w:trPr>
          <w:cantSplit/>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946C28" w14:textId="77777777" w:rsidR="0031493B" w:rsidRDefault="0031493B" w:rsidP="00EF3B77">
            <w:pPr>
              <w:rPr>
                <w:rFonts w:ascii="Arial Narrow" w:hAnsi="Arial Narrow"/>
                <w:b/>
                <w:bCs/>
                <w:color w:val="333333"/>
                <w:sz w:val="20"/>
                <w:szCs w:val="20"/>
              </w:rPr>
            </w:pPr>
          </w:p>
        </w:tc>
      </w:tr>
      <w:tr w:rsidR="0031493B" w14:paraId="3F308961" w14:textId="77777777" w:rsidTr="00EF3B77">
        <w:trPr>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692155" w14:textId="60E9D147" w:rsidR="0031493B" w:rsidRDefault="0031493B" w:rsidP="00EF3B77">
            <w:pPr>
              <w:keepLines/>
              <w:rPr>
                <w:rFonts w:ascii="Arial Narrow" w:hAnsi="Arial Narrow"/>
                <w:b/>
                <w:sz w:val="20"/>
                <w:szCs w:val="20"/>
              </w:rPr>
            </w:pPr>
            <w:r>
              <w:rPr>
                <w:rFonts w:ascii="Arial Narrow" w:hAnsi="Arial Narrow"/>
                <w:b/>
                <w:sz w:val="20"/>
                <w:szCs w:val="20"/>
              </w:rPr>
              <w:t xml:space="preserve">Restriction Summary / Treatment of Concept: </w:t>
            </w:r>
          </w:p>
        </w:tc>
      </w:tr>
      <w:tr w:rsidR="0031493B" w:rsidRPr="00485311" w14:paraId="1F0CA237" w14:textId="77777777" w:rsidTr="00EF3B77">
        <w:trPr>
          <w:trHeight w:val="20"/>
        </w:trPr>
        <w:tc>
          <w:tcPr>
            <w:tcW w:w="1414" w:type="dxa"/>
            <w:vMerge w:val="restart"/>
            <w:tcBorders>
              <w:top w:val="single" w:sz="4" w:space="0" w:color="auto"/>
              <w:left w:val="single" w:sz="4" w:space="0" w:color="auto"/>
              <w:right w:val="single" w:sz="4" w:space="0" w:color="auto"/>
            </w:tcBorders>
            <w:tcMar>
              <w:top w:w="15" w:type="dxa"/>
              <w:left w:w="108" w:type="dxa"/>
              <w:bottom w:w="15" w:type="dxa"/>
              <w:right w:w="108" w:type="dxa"/>
            </w:tcMar>
          </w:tcPr>
          <w:p w14:paraId="44131D5D" w14:textId="050E6FF5" w:rsidR="0031493B" w:rsidRPr="00485311" w:rsidRDefault="0031493B" w:rsidP="00EF3B77">
            <w:pPr>
              <w:jc w:val="center"/>
              <w:rPr>
                <w:rFonts w:ascii="Arial Narrow" w:hAnsi="Arial Narrow"/>
                <w:b/>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5A4B6F" w14:textId="77777777" w:rsidR="0031493B" w:rsidRPr="00485311" w:rsidRDefault="0031493B" w:rsidP="00EF3B77">
            <w:pPr>
              <w:keepLines/>
              <w:rPr>
                <w:rFonts w:ascii="Arial Narrow" w:hAnsi="Arial Narrow"/>
                <w:sz w:val="20"/>
                <w:szCs w:val="20"/>
              </w:rPr>
            </w:pPr>
            <w:r w:rsidRPr="00485311">
              <w:rPr>
                <w:rFonts w:ascii="Arial Narrow" w:hAnsi="Arial Narrow"/>
                <w:b/>
                <w:sz w:val="20"/>
                <w:szCs w:val="20"/>
              </w:rPr>
              <w:t xml:space="preserve">Category / Program: </w:t>
            </w:r>
            <w:r w:rsidRPr="00485311">
              <w:rPr>
                <w:rFonts w:ascii="Arial Narrow" w:hAnsi="Arial Narrow"/>
                <w:sz w:val="20"/>
                <w:szCs w:val="20"/>
              </w:rPr>
              <w:t xml:space="preserve">Section 100 – Highly Specialised Drugs Program </w:t>
            </w:r>
          </w:p>
        </w:tc>
      </w:tr>
      <w:tr w:rsidR="0031493B" w:rsidRPr="00485311" w14:paraId="54FF5FE6" w14:textId="77777777" w:rsidTr="00EF3B77">
        <w:trPr>
          <w:trHeight w:val="20"/>
        </w:trPr>
        <w:tc>
          <w:tcPr>
            <w:tcW w:w="1414" w:type="dxa"/>
            <w:vMerge/>
            <w:tcBorders>
              <w:left w:val="single" w:sz="4" w:space="0" w:color="auto"/>
              <w:right w:val="single" w:sz="4" w:space="0" w:color="auto"/>
            </w:tcBorders>
            <w:vAlign w:val="center"/>
          </w:tcPr>
          <w:p w14:paraId="42B7D6FF" w14:textId="77777777" w:rsidR="0031493B" w:rsidRPr="00485311" w:rsidRDefault="0031493B" w:rsidP="00EF3B77">
            <w:pPr>
              <w:rPr>
                <w:rFonts w:ascii="Arial Narrow" w:hAnsi="Arial Narrow"/>
                <w:b/>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BFC543" w14:textId="77777777" w:rsidR="0031493B" w:rsidRPr="00485311" w:rsidRDefault="0031493B" w:rsidP="00EF3B77">
            <w:pPr>
              <w:keepLines/>
              <w:rPr>
                <w:rFonts w:ascii="Arial Narrow" w:hAnsi="Arial Narrow"/>
                <w:b/>
                <w:sz w:val="20"/>
                <w:szCs w:val="20"/>
              </w:rPr>
            </w:pPr>
            <w:r w:rsidRPr="00485311">
              <w:rPr>
                <w:rFonts w:ascii="Arial Narrow" w:hAnsi="Arial Narrow"/>
                <w:b/>
                <w:sz w:val="20"/>
                <w:szCs w:val="20"/>
              </w:rPr>
              <w:t xml:space="preserve">Prescriber type: </w:t>
            </w:r>
            <w:r w:rsidRPr="00485311">
              <w:rPr>
                <w:rFonts w:ascii="Arial Narrow" w:hAnsi="Arial Narrow"/>
                <w:sz w:val="20"/>
                <w:szCs w:val="20"/>
              </w:rPr>
              <w:fldChar w:fldCharType="begin" w:fldLock="1">
                <w:ffData>
                  <w:name w:val=""/>
                  <w:enabled/>
                  <w:calcOnExit w:val="0"/>
                  <w:checkBox>
                    <w:sizeAuto/>
                    <w:default w:val="1"/>
                  </w:checkBox>
                </w:ffData>
              </w:fldChar>
            </w:r>
            <w:r w:rsidRPr="00485311">
              <w:rPr>
                <w:rFonts w:ascii="Arial Narrow" w:hAnsi="Arial Narrow"/>
                <w:sz w:val="20"/>
                <w:szCs w:val="20"/>
              </w:rPr>
              <w:instrText xml:space="preserve"> FORMCHECKBOX </w:instrText>
            </w:r>
            <w:r w:rsidR="0081453B">
              <w:rPr>
                <w:rFonts w:ascii="Arial Narrow" w:hAnsi="Arial Narrow"/>
                <w:sz w:val="20"/>
                <w:szCs w:val="20"/>
              </w:rPr>
            </w:r>
            <w:r w:rsidR="0081453B">
              <w:rPr>
                <w:rFonts w:ascii="Arial Narrow" w:hAnsi="Arial Narrow"/>
                <w:sz w:val="20"/>
                <w:szCs w:val="20"/>
              </w:rPr>
              <w:fldChar w:fldCharType="separate"/>
            </w:r>
            <w:r w:rsidRPr="00485311">
              <w:rPr>
                <w:rFonts w:ascii="Arial Narrow" w:hAnsi="Arial Narrow"/>
                <w:sz w:val="20"/>
                <w:szCs w:val="20"/>
              </w:rPr>
              <w:fldChar w:fldCharType="end"/>
            </w:r>
            <w:r w:rsidRPr="00485311">
              <w:rPr>
                <w:rFonts w:ascii="Arial Narrow" w:hAnsi="Arial Narrow"/>
                <w:sz w:val="20"/>
                <w:szCs w:val="20"/>
              </w:rPr>
              <w:t xml:space="preserve">Medical Practitioners </w:t>
            </w:r>
          </w:p>
        </w:tc>
      </w:tr>
      <w:tr w:rsidR="0031493B" w:rsidRPr="00485311" w14:paraId="26F77BEA" w14:textId="77777777" w:rsidTr="00EF3B77">
        <w:trPr>
          <w:trHeight w:val="20"/>
        </w:trPr>
        <w:tc>
          <w:tcPr>
            <w:tcW w:w="1414" w:type="dxa"/>
            <w:vMerge/>
            <w:tcBorders>
              <w:left w:val="single" w:sz="4" w:space="0" w:color="auto"/>
              <w:right w:val="single" w:sz="4" w:space="0" w:color="auto"/>
            </w:tcBorders>
            <w:vAlign w:val="center"/>
          </w:tcPr>
          <w:p w14:paraId="640EDC1C" w14:textId="77777777" w:rsidR="0031493B" w:rsidRPr="00485311" w:rsidRDefault="0031493B" w:rsidP="00EF3B77">
            <w:pPr>
              <w:rPr>
                <w:rFonts w:ascii="Arial Narrow" w:hAnsi="Arial Narrow"/>
                <w:b/>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1F0B0B" w14:textId="77777777" w:rsidR="0031493B" w:rsidRPr="00485311" w:rsidRDefault="0031493B" w:rsidP="00EF3B77">
            <w:pPr>
              <w:keepLines/>
              <w:rPr>
                <w:rFonts w:ascii="Arial Narrow" w:eastAsia="Calibri" w:hAnsi="Arial Narrow"/>
                <w:color w:val="FF0000"/>
                <w:sz w:val="20"/>
                <w:szCs w:val="20"/>
              </w:rPr>
            </w:pPr>
            <w:r w:rsidRPr="00485311">
              <w:rPr>
                <w:rFonts w:ascii="Arial Narrow" w:hAnsi="Arial Narrow"/>
                <w:b/>
                <w:sz w:val="20"/>
                <w:szCs w:val="20"/>
              </w:rPr>
              <w:t xml:space="preserve">Restriction type: </w:t>
            </w:r>
            <w:r w:rsidRPr="00485311">
              <w:rPr>
                <w:rFonts w:ascii="Arial Narrow" w:eastAsia="Calibri" w:hAnsi="Arial Narrow"/>
                <w:sz w:val="20"/>
                <w:szCs w:val="20"/>
              </w:rPr>
              <w:fldChar w:fldCharType="begin" w:fldLock="1">
                <w:ffData>
                  <w:name w:val=""/>
                  <w:enabled/>
                  <w:calcOnExit w:val="0"/>
                  <w:checkBox>
                    <w:sizeAuto/>
                    <w:default w:val="1"/>
                  </w:checkBox>
                </w:ffData>
              </w:fldChar>
            </w:r>
            <w:r w:rsidRPr="00485311">
              <w:rPr>
                <w:rFonts w:ascii="Arial Narrow" w:eastAsia="Calibri" w:hAnsi="Arial Narrow"/>
                <w:sz w:val="20"/>
                <w:szCs w:val="20"/>
              </w:rPr>
              <w:instrText xml:space="preserve"> FORMCHECKBOX </w:instrText>
            </w:r>
            <w:r w:rsidR="0081453B">
              <w:rPr>
                <w:rFonts w:ascii="Arial Narrow" w:eastAsia="Calibri" w:hAnsi="Arial Narrow"/>
                <w:sz w:val="20"/>
                <w:szCs w:val="20"/>
              </w:rPr>
            </w:r>
            <w:r w:rsidR="0081453B">
              <w:rPr>
                <w:rFonts w:ascii="Arial Narrow" w:eastAsia="Calibri" w:hAnsi="Arial Narrow"/>
                <w:sz w:val="20"/>
                <w:szCs w:val="20"/>
              </w:rPr>
              <w:fldChar w:fldCharType="separate"/>
            </w:r>
            <w:r w:rsidRPr="00485311">
              <w:rPr>
                <w:rFonts w:ascii="Arial Narrow" w:eastAsia="Calibri" w:hAnsi="Arial Narrow"/>
                <w:sz w:val="20"/>
                <w:szCs w:val="20"/>
              </w:rPr>
              <w:fldChar w:fldCharType="end"/>
            </w:r>
            <w:r w:rsidRPr="00A0193A">
              <w:rPr>
                <w:rFonts w:ascii="Arial Narrow" w:eastAsia="Calibri" w:hAnsi="Arial Narrow"/>
                <w:sz w:val="20"/>
                <w:szCs w:val="20"/>
              </w:rPr>
              <w:t xml:space="preserve"> Authority Required – non-immediate/delayed assessment by Services Australia (in-writing only via mail/postal service or electronic upload to Hobart; requires at least one concept ID to be marked as ‘FULL’ for full assessment by Services Australia)</w:t>
            </w:r>
          </w:p>
        </w:tc>
      </w:tr>
      <w:tr w:rsidR="0031493B" w:rsidRPr="00485311" w14:paraId="29BAFF2A" w14:textId="77777777" w:rsidTr="00EF3B77">
        <w:trPr>
          <w:gridAfter w:val="6"/>
          <w:wAfter w:w="7603" w:type="dxa"/>
          <w:trHeight w:val="245"/>
        </w:trPr>
        <w:tc>
          <w:tcPr>
            <w:tcW w:w="1414" w:type="dxa"/>
            <w:vMerge/>
            <w:tcBorders>
              <w:left w:val="single" w:sz="4" w:space="0" w:color="auto"/>
              <w:right w:val="single" w:sz="4" w:space="0" w:color="auto"/>
            </w:tcBorders>
            <w:vAlign w:val="center"/>
          </w:tcPr>
          <w:p w14:paraId="7F598E74" w14:textId="77777777" w:rsidR="0031493B" w:rsidRPr="00485311" w:rsidRDefault="0031493B" w:rsidP="00EF3B77">
            <w:pPr>
              <w:rPr>
                <w:rFonts w:ascii="Arial Narrow" w:hAnsi="Arial Narrow"/>
                <w:b/>
                <w:sz w:val="20"/>
                <w:szCs w:val="20"/>
              </w:rPr>
            </w:pPr>
          </w:p>
        </w:tc>
      </w:tr>
      <w:tr w:rsidR="0031493B" w:rsidRPr="00487392" w14:paraId="120E2B8E"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5DBAE07" w14:textId="15E9B158"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7AFE5C2" w14:textId="77777777" w:rsidR="0031493B" w:rsidRPr="00487392" w:rsidRDefault="0031493B" w:rsidP="00EF3B77">
            <w:pPr>
              <w:rPr>
                <w:rFonts w:ascii="Arial Narrow" w:hAnsi="Arial Narrow"/>
                <w:b/>
                <w:bCs/>
                <w:i/>
                <w:iCs/>
                <w:color w:val="333333"/>
                <w:sz w:val="20"/>
                <w:szCs w:val="20"/>
              </w:rPr>
            </w:pPr>
            <w:r w:rsidRPr="00487392">
              <w:rPr>
                <w:rFonts w:ascii="Arial Narrow" w:hAnsi="Arial Narrow"/>
                <w:b/>
                <w:bCs/>
                <w:i/>
                <w:iCs/>
                <w:color w:val="333333"/>
                <w:sz w:val="20"/>
                <w:szCs w:val="20"/>
              </w:rPr>
              <w:t xml:space="preserve">Caution: </w:t>
            </w:r>
            <w:r w:rsidRPr="00487392">
              <w:rPr>
                <w:rFonts w:ascii="Arial Narrow" w:hAnsi="Arial Narrow"/>
                <w:i/>
                <w:iCs/>
                <w:color w:val="333333"/>
                <w:sz w:val="20"/>
                <w:szCs w:val="20"/>
              </w:rPr>
              <w:t>C5 inhibitors increase the risk of meningococcal infections (septicaemia and/or meningitis). Please consult the approved PI for information about vaccination against meningococcal infection.</w:t>
            </w:r>
          </w:p>
        </w:tc>
      </w:tr>
      <w:tr w:rsidR="0031493B" w:rsidRPr="004D07B4" w14:paraId="1FC19CB6"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4A9A587" w14:textId="77777777"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B3FF5B3" w14:textId="77777777" w:rsidR="0031493B" w:rsidRPr="004D07B4" w:rsidRDefault="0031493B" w:rsidP="00EF3B77">
            <w:pPr>
              <w:rPr>
                <w:rFonts w:ascii="Arial Narrow" w:hAnsi="Arial Narrow"/>
                <w:b/>
                <w:bCs/>
                <w:color w:val="333333"/>
                <w:sz w:val="20"/>
                <w:szCs w:val="20"/>
              </w:rPr>
            </w:pPr>
            <w:r w:rsidRPr="004D07B4">
              <w:rPr>
                <w:rFonts w:ascii="Arial Narrow" w:hAnsi="Arial Narrow"/>
                <w:b/>
                <w:bCs/>
                <w:color w:val="333333"/>
                <w:sz w:val="20"/>
                <w:szCs w:val="20"/>
              </w:rPr>
              <w:t xml:space="preserve">Episodicity: </w:t>
            </w:r>
            <w:r w:rsidRPr="004D07B4">
              <w:rPr>
                <w:rFonts w:ascii="Arial Narrow" w:hAnsi="Arial Narrow"/>
                <w:bCs/>
                <w:color w:val="333333"/>
                <w:sz w:val="20"/>
                <w:szCs w:val="20"/>
              </w:rPr>
              <w:t>blank</w:t>
            </w:r>
          </w:p>
        </w:tc>
      </w:tr>
      <w:tr w:rsidR="0031493B" w:rsidRPr="004D07B4" w14:paraId="07815282"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1A5ACEF" w14:textId="77777777"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BE83D38" w14:textId="77777777" w:rsidR="0031493B" w:rsidRPr="004D07B4" w:rsidRDefault="0031493B" w:rsidP="00EF3B77">
            <w:pPr>
              <w:rPr>
                <w:rFonts w:ascii="Arial Narrow" w:hAnsi="Arial Narrow"/>
                <w:b/>
                <w:bCs/>
                <w:color w:val="333333"/>
                <w:sz w:val="20"/>
                <w:szCs w:val="20"/>
              </w:rPr>
            </w:pPr>
            <w:r w:rsidRPr="004D07B4">
              <w:rPr>
                <w:rFonts w:ascii="Arial Narrow" w:hAnsi="Arial Narrow"/>
                <w:b/>
                <w:bCs/>
                <w:color w:val="333333"/>
                <w:sz w:val="20"/>
                <w:szCs w:val="20"/>
              </w:rPr>
              <w:t xml:space="preserve">Severity: </w:t>
            </w:r>
            <w:r w:rsidRPr="004D07B4">
              <w:rPr>
                <w:rFonts w:ascii="Arial Narrow" w:hAnsi="Arial Narrow"/>
                <w:bCs/>
                <w:color w:val="333333"/>
                <w:sz w:val="20"/>
                <w:szCs w:val="20"/>
              </w:rPr>
              <w:t>blank</w:t>
            </w:r>
          </w:p>
        </w:tc>
      </w:tr>
      <w:tr w:rsidR="0031493B" w:rsidRPr="004D07B4" w14:paraId="45C77F8E"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746EB72" w14:textId="77777777"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6C319F4" w14:textId="77777777" w:rsidR="0031493B" w:rsidRPr="004D07B4" w:rsidRDefault="0031493B" w:rsidP="00EF3B77">
            <w:pPr>
              <w:rPr>
                <w:rFonts w:ascii="Arial Narrow" w:hAnsi="Arial Narrow"/>
                <w:b/>
                <w:bCs/>
                <w:color w:val="333333"/>
                <w:sz w:val="20"/>
                <w:szCs w:val="20"/>
              </w:rPr>
            </w:pPr>
            <w:r w:rsidRPr="004D07B4">
              <w:rPr>
                <w:rFonts w:ascii="Arial Narrow" w:hAnsi="Arial Narrow"/>
                <w:b/>
                <w:bCs/>
                <w:color w:val="333333"/>
                <w:sz w:val="20"/>
                <w:szCs w:val="20"/>
              </w:rPr>
              <w:t xml:space="preserve">Condition: </w:t>
            </w:r>
            <w:r w:rsidRPr="004D07B4">
              <w:rPr>
                <w:rFonts w:ascii="Arial Narrow" w:hAnsi="Arial Narrow"/>
                <w:bCs/>
                <w:color w:val="333333"/>
                <w:sz w:val="20"/>
                <w:szCs w:val="20"/>
              </w:rPr>
              <w:t>generalised myasthenia gravis (gMG)</w:t>
            </w:r>
          </w:p>
        </w:tc>
      </w:tr>
      <w:tr w:rsidR="0031493B" w:rsidRPr="004D07B4" w14:paraId="68582134"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175433B" w14:textId="77777777"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AA0DD56" w14:textId="77777777" w:rsidR="0031493B" w:rsidRPr="004D07B4" w:rsidRDefault="0031493B" w:rsidP="00EF3B77">
            <w:pPr>
              <w:rPr>
                <w:rFonts w:ascii="Arial Narrow" w:hAnsi="Arial Narrow"/>
                <w:b/>
                <w:bCs/>
                <w:color w:val="333333"/>
                <w:sz w:val="20"/>
                <w:szCs w:val="20"/>
              </w:rPr>
            </w:pPr>
            <w:r w:rsidRPr="004D07B4">
              <w:rPr>
                <w:rFonts w:ascii="Arial Narrow" w:hAnsi="Arial Narrow"/>
                <w:b/>
                <w:bCs/>
                <w:color w:val="333333"/>
                <w:sz w:val="20"/>
                <w:szCs w:val="20"/>
              </w:rPr>
              <w:t>Indication:</w:t>
            </w:r>
            <w:r w:rsidRPr="004D07B4">
              <w:rPr>
                <w:rFonts w:ascii="Arial Narrow" w:hAnsi="Arial Narrow"/>
                <w:color w:val="333333"/>
                <w:sz w:val="20"/>
                <w:szCs w:val="20"/>
              </w:rPr>
              <w:t xml:space="preserve"> </w:t>
            </w:r>
            <w:r w:rsidRPr="004D07B4">
              <w:rPr>
                <w:rFonts w:ascii="Arial Narrow" w:hAnsi="Arial Narrow"/>
                <w:bCs/>
                <w:color w:val="333333"/>
                <w:sz w:val="20"/>
                <w:szCs w:val="20"/>
              </w:rPr>
              <w:t>generalised myasthenia gravis (gMG)</w:t>
            </w:r>
          </w:p>
        </w:tc>
      </w:tr>
      <w:tr w:rsidR="0031493B" w:rsidRPr="004D07B4" w14:paraId="4DDE2B69"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7FEB67D" w14:textId="77777777" w:rsidR="0031493B" w:rsidRPr="004D07B4"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1AB90C9" w14:textId="77777777" w:rsidR="0031493B" w:rsidRPr="004D07B4" w:rsidRDefault="0031493B" w:rsidP="00EF3B77">
            <w:pPr>
              <w:rPr>
                <w:rFonts w:ascii="Arial Narrow" w:hAnsi="Arial Narrow"/>
                <w:b/>
                <w:bCs/>
                <w:color w:val="333333"/>
                <w:sz w:val="20"/>
                <w:szCs w:val="20"/>
              </w:rPr>
            </w:pPr>
            <w:r>
              <w:rPr>
                <w:rFonts w:ascii="Arial Narrow" w:hAnsi="Arial Narrow"/>
                <w:b/>
                <w:bCs/>
                <w:color w:val="333333"/>
                <w:sz w:val="20"/>
                <w:szCs w:val="20"/>
              </w:rPr>
              <w:t xml:space="preserve">Treatment phase: </w:t>
            </w:r>
            <w:r>
              <w:rPr>
                <w:rFonts w:ascii="Arial Narrow" w:hAnsi="Arial Narrow"/>
                <w:color w:val="333333"/>
                <w:sz w:val="20"/>
                <w:szCs w:val="20"/>
              </w:rPr>
              <w:t>T</w:t>
            </w:r>
            <w:r w:rsidRPr="000C4440">
              <w:rPr>
                <w:rFonts w:ascii="Arial Narrow" w:hAnsi="Arial Narrow"/>
                <w:color w:val="333333"/>
                <w:sz w:val="20"/>
                <w:szCs w:val="20"/>
              </w:rPr>
              <w:t>ransition from non-PBS subsidised</w:t>
            </w:r>
            <w:r>
              <w:rPr>
                <w:rFonts w:ascii="Arial Narrow" w:hAnsi="Arial Narrow"/>
                <w:color w:val="333333"/>
                <w:sz w:val="20"/>
                <w:szCs w:val="20"/>
              </w:rPr>
              <w:t xml:space="preserve"> to PBS subsidised</w:t>
            </w:r>
            <w:r w:rsidRPr="000C4440">
              <w:rPr>
                <w:rFonts w:ascii="Arial Narrow" w:hAnsi="Arial Narrow"/>
                <w:color w:val="333333"/>
                <w:sz w:val="20"/>
                <w:szCs w:val="20"/>
              </w:rPr>
              <w:t xml:space="preserve"> treatment</w:t>
            </w:r>
            <w:r>
              <w:rPr>
                <w:rFonts w:ascii="Arial Narrow" w:hAnsi="Arial Narrow"/>
                <w:color w:val="333333"/>
                <w:sz w:val="20"/>
                <w:szCs w:val="20"/>
              </w:rPr>
              <w:t xml:space="preserve"> (grandfather)</w:t>
            </w:r>
          </w:p>
        </w:tc>
      </w:tr>
      <w:tr w:rsidR="0031493B" w:rsidRPr="004D07B4" w14:paraId="519D6836"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F34446B"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3319E93" w14:textId="77777777" w:rsidR="0031493B" w:rsidRPr="004D07B4" w:rsidRDefault="0031493B" w:rsidP="00EF3B77">
            <w:pPr>
              <w:rPr>
                <w:rFonts w:ascii="Arial Narrow" w:hAnsi="Arial Narrow"/>
                <w:b/>
                <w:color w:val="333333"/>
                <w:sz w:val="20"/>
                <w:szCs w:val="20"/>
              </w:rPr>
            </w:pPr>
            <w:r w:rsidRPr="004D07B4">
              <w:rPr>
                <w:rFonts w:ascii="Arial Narrow" w:hAnsi="Arial Narrow"/>
                <w:b/>
                <w:color w:val="333333"/>
                <w:sz w:val="20"/>
                <w:szCs w:val="20"/>
              </w:rPr>
              <w:t>Clinical criteria:</w:t>
            </w:r>
          </w:p>
        </w:tc>
      </w:tr>
      <w:tr w:rsidR="0031493B" w:rsidRPr="004D07B4" w14:paraId="077252EC"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EB3AE5F" w14:textId="41453E4E" w:rsidR="0031493B" w:rsidRPr="00836EC0" w:rsidRDefault="0031493B" w:rsidP="00EF3B77">
            <w:pPr>
              <w:jc w:val="center"/>
              <w:rPr>
                <w:rFonts w:ascii="Arial Narrow" w:hAnsi="Arial Narrow"/>
                <w:b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E352250" w14:textId="77777777" w:rsidR="0031493B" w:rsidRPr="00836EC0" w:rsidRDefault="0031493B" w:rsidP="00EF3B77">
            <w:pPr>
              <w:rPr>
                <w:rFonts w:ascii="Arial Narrow" w:hAnsi="Arial Narrow"/>
                <w:bCs/>
                <w:color w:val="333333"/>
                <w:sz w:val="20"/>
                <w:szCs w:val="20"/>
              </w:rPr>
            </w:pPr>
            <w:r w:rsidRPr="00836EC0">
              <w:rPr>
                <w:rFonts w:ascii="Arial Narrow" w:hAnsi="Arial Narrow"/>
                <w:bCs/>
                <w:color w:val="333333"/>
                <w:sz w:val="20"/>
                <w:szCs w:val="20"/>
              </w:rPr>
              <w:t>Patient must have received non-PBS-subsidised treatment with this drug for this condition prior [date of PBS listing]</w:t>
            </w:r>
          </w:p>
        </w:tc>
      </w:tr>
      <w:tr w:rsidR="0031493B" w:rsidRPr="004D07B4" w14:paraId="1B9E4E10"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7E3E4F3"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CD3277B" w14:textId="77777777" w:rsidR="0031493B" w:rsidRPr="004D07B4" w:rsidRDefault="0031493B" w:rsidP="00EF3B77">
            <w:pPr>
              <w:rPr>
                <w:rFonts w:ascii="Arial Narrow" w:hAnsi="Arial Narrow"/>
                <w:b/>
                <w:color w:val="333333"/>
                <w:sz w:val="20"/>
                <w:szCs w:val="20"/>
              </w:rPr>
            </w:pPr>
            <w:r>
              <w:rPr>
                <w:rFonts w:ascii="Arial Narrow" w:hAnsi="Arial Narrow"/>
                <w:b/>
                <w:color w:val="333333"/>
                <w:sz w:val="20"/>
                <w:szCs w:val="20"/>
              </w:rPr>
              <w:t>AND</w:t>
            </w:r>
          </w:p>
        </w:tc>
      </w:tr>
      <w:tr w:rsidR="0031493B" w:rsidRPr="004D07B4" w14:paraId="38EB87D6"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3256E04"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DFA5DC0" w14:textId="77777777" w:rsidR="0031493B" w:rsidRPr="004D07B4" w:rsidRDefault="0031493B" w:rsidP="00EF3B77">
            <w:pPr>
              <w:rPr>
                <w:rFonts w:ascii="Arial Narrow" w:hAnsi="Arial Narrow"/>
                <w:b/>
                <w:color w:val="333333"/>
                <w:sz w:val="20"/>
                <w:szCs w:val="20"/>
              </w:rPr>
            </w:pPr>
            <w:r w:rsidRPr="004D07B4">
              <w:rPr>
                <w:rFonts w:ascii="Arial Narrow" w:hAnsi="Arial Narrow"/>
                <w:b/>
                <w:color w:val="333333"/>
                <w:sz w:val="20"/>
                <w:szCs w:val="20"/>
              </w:rPr>
              <w:t>Clinical criteria:</w:t>
            </w:r>
          </w:p>
        </w:tc>
      </w:tr>
      <w:tr w:rsidR="0031493B" w:rsidRPr="004D07B4" w14:paraId="043FE31B"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EC6E499" w14:textId="18741F2A"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F3CA2D6" w14:textId="77777777" w:rsidR="0031493B" w:rsidRPr="004D07B4" w:rsidRDefault="0031493B" w:rsidP="00EF3B77">
            <w:pPr>
              <w:rPr>
                <w:rFonts w:ascii="Arial Narrow" w:hAnsi="Arial Narrow"/>
                <w:b/>
                <w:color w:val="333333"/>
                <w:sz w:val="20"/>
                <w:szCs w:val="20"/>
              </w:rPr>
            </w:pPr>
            <w:r w:rsidRPr="004D07B4">
              <w:rPr>
                <w:rFonts w:ascii="Arial Narrow" w:hAnsi="Arial Narrow"/>
                <w:bCs/>
                <w:color w:val="333333"/>
                <w:sz w:val="20"/>
                <w:szCs w:val="20"/>
              </w:rPr>
              <w:t xml:space="preserve">Patient must have a diagnosis of generalised myasthenia gravis </w:t>
            </w:r>
            <w:r w:rsidRPr="00722FCA">
              <w:rPr>
                <w:rFonts w:ascii="Arial Narrow" w:hAnsi="Arial Narrow"/>
                <w:bCs/>
                <w:i/>
                <w:iCs/>
                <w:sz w:val="20"/>
                <w:szCs w:val="20"/>
              </w:rPr>
              <w:t>that is not pure ocular myasthenia gravis</w:t>
            </w:r>
            <w:r w:rsidRPr="004D07B4">
              <w:rPr>
                <w:rFonts w:ascii="Arial Narrow" w:hAnsi="Arial Narrow"/>
                <w:bCs/>
                <w:color w:val="333333"/>
                <w:sz w:val="20"/>
                <w:szCs w:val="20"/>
              </w:rPr>
              <w:t xml:space="preserve"> </w:t>
            </w:r>
            <w:r w:rsidRPr="009D0EF6">
              <w:rPr>
                <w:rFonts w:ascii="Arial Narrow" w:hAnsi="Arial Narrow"/>
                <w:bCs/>
                <w:strike/>
                <w:color w:val="333333"/>
                <w:sz w:val="20"/>
                <w:szCs w:val="20"/>
              </w:rPr>
              <w:t>made by or in consultation with a neurologist.</w:t>
            </w:r>
          </w:p>
        </w:tc>
      </w:tr>
      <w:tr w:rsidR="0031493B" w:rsidRPr="004D07B4" w14:paraId="1551594B"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1F843EC" w14:textId="77777777" w:rsidR="0031493B" w:rsidRPr="006C4762" w:rsidRDefault="0031493B" w:rsidP="00EF3B77">
            <w:pPr>
              <w:jc w:val="center"/>
              <w:rPr>
                <w:rFonts w:ascii="Arial Narrow" w:hAnsi="Arial Narrow"/>
                <w:strike/>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5288A7" w14:textId="77777777" w:rsidR="0031493B" w:rsidRPr="006C4762" w:rsidRDefault="0031493B" w:rsidP="00EF3B77">
            <w:pPr>
              <w:rPr>
                <w:rFonts w:ascii="Arial Narrow" w:hAnsi="Arial Narrow"/>
                <w:b/>
                <w:strike/>
                <w:color w:val="333333"/>
                <w:sz w:val="20"/>
                <w:szCs w:val="20"/>
              </w:rPr>
            </w:pPr>
            <w:r w:rsidRPr="006C4762">
              <w:rPr>
                <w:rFonts w:ascii="Arial Narrow" w:hAnsi="Arial Narrow"/>
                <w:b/>
                <w:bCs/>
                <w:strike/>
                <w:color w:val="333333"/>
                <w:sz w:val="20"/>
                <w:szCs w:val="20"/>
              </w:rPr>
              <w:t>AND</w:t>
            </w:r>
          </w:p>
        </w:tc>
      </w:tr>
      <w:tr w:rsidR="0031493B" w:rsidRPr="004D07B4" w14:paraId="7F5563A1"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CDB57ED" w14:textId="77777777" w:rsidR="0031493B" w:rsidRPr="006C4762" w:rsidRDefault="0031493B" w:rsidP="00EF3B77">
            <w:pPr>
              <w:jc w:val="center"/>
              <w:rPr>
                <w:rFonts w:ascii="Arial Narrow" w:hAnsi="Arial Narrow"/>
                <w:strike/>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C91C74" w14:textId="77777777" w:rsidR="0031493B" w:rsidRPr="006C4762" w:rsidRDefault="0031493B" w:rsidP="00EF3B77">
            <w:pPr>
              <w:rPr>
                <w:rFonts w:ascii="Arial Narrow" w:hAnsi="Arial Narrow"/>
                <w:b/>
                <w:strike/>
                <w:color w:val="333333"/>
                <w:sz w:val="20"/>
                <w:szCs w:val="20"/>
              </w:rPr>
            </w:pPr>
            <w:r w:rsidRPr="006C4762">
              <w:rPr>
                <w:rFonts w:ascii="Arial Narrow" w:hAnsi="Arial Narrow"/>
                <w:b/>
                <w:bCs/>
                <w:strike/>
                <w:color w:val="333333"/>
                <w:sz w:val="20"/>
                <w:szCs w:val="20"/>
              </w:rPr>
              <w:t>Clinical criteria:</w:t>
            </w:r>
          </w:p>
        </w:tc>
      </w:tr>
      <w:tr w:rsidR="0031493B" w:rsidRPr="004D07B4" w14:paraId="44AB2FBE"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9DC215C" w14:textId="39DC4628" w:rsidR="0031493B" w:rsidRPr="006C4762" w:rsidRDefault="0031493B" w:rsidP="00EF3B77">
            <w:pPr>
              <w:jc w:val="center"/>
              <w:rPr>
                <w:rFonts w:ascii="Arial Narrow" w:hAnsi="Arial Narrow"/>
                <w:strike/>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CF8824A" w14:textId="77777777" w:rsidR="0031493B" w:rsidRPr="006C4762" w:rsidRDefault="0031493B" w:rsidP="00EF3B77">
            <w:pPr>
              <w:rPr>
                <w:rFonts w:ascii="Arial Narrow" w:hAnsi="Arial Narrow"/>
                <w:b/>
                <w:strike/>
                <w:color w:val="333333"/>
                <w:sz w:val="20"/>
                <w:szCs w:val="20"/>
              </w:rPr>
            </w:pPr>
            <w:r w:rsidRPr="006C4762">
              <w:rPr>
                <w:rFonts w:ascii="Arial Narrow" w:hAnsi="Arial Narrow"/>
                <w:bCs/>
                <w:strike/>
                <w:color w:val="333333"/>
                <w:sz w:val="20"/>
                <w:szCs w:val="20"/>
              </w:rPr>
              <w:t>The condition must not be pure ocular myasthenia gravis</w:t>
            </w:r>
          </w:p>
        </w:tc>
      </w:tr>
      <w:tr w:rsidR="0031493B" w:rsidRPr="004D07B4" w14:paraId="265996CD"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6536436"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3863CD" w14:textId="77777777" w:rsidR="0031493B" w:rsidRPr="004D07B4" w:rsidRDefault="0031493B" w:rsidP="00EF3B77">
            <w:pPr>
              <w:rPr>
                <w:rFonts w:ascii="Arial Narrow" w:hAnsi="Arial Narrow"/>
                <w:b/>
                <w:color w:val="333333"/>
                <w:sz w:val="20"/>
                <w:szCs w:val="20"/>
              </w:rPr>
            </w:pPr>
            <w:r w:rsidRPr="00A50A4F">
              <w:rPr>
                <w:rFonts w:ascii="Arial Narrow" w:hAnsi="Arial Narrow"/>
                <w:b/>
                <w:bCs/>
                <w:color w:val="333333"/>
                <w:sz w:val="20"/>
                <w:szCs w:val="20"/>
              </w:rPr>
              <w:t>AND</w:t>
            </w:r>
          </w:p>
        </w:tc>
      </w:tr>
      <w:tr w:rsidR="0031493B" w:rsidRPr="00781825" w14:paraId="3612388D"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5FAFC88"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B6C0E1" w14:textId="77777777" w:rsidR="0031493B" w:rsidRPr="00781825" w:rsidRDefault="0031493B" w:rsidP="00EF3B77">
            <w:pPr>
              <w:rPr>
                <w:rFonts w:ascii="Arial Narrow" w:hAnsi="Arial Narrow"/>
                <w:bCs/>
                <w:color w:val="333333"/>
                <w:sz w:val="20"/>
                <w:szCs w:val="20"/>
              </w:rPr>
            </w:pPr>
            <w:r w:rsidRPr="00A50A4F">
              <w:rPr>
                <w:rFonts w:ascii="Arial Narrow" w:hAnsi="Arial Narrow"/>
                <w:b/>
                <w:bCs/>
                <w:color w:val="333333"/>
                <w:sz w:val="20"/>
                <w:szCs w:val="20"/>
              </w:rPr>
              <w:t>Clinical criteria:</w:t>
            </w:r>
          </w:p>
        </w:tc>
      </w:tr>
      <w:tr w:rsidR="0031493B" w:rsidRPr="004D07B4" w14:paraId="13AFCFD8"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41057A1" w14:textId="527C3356"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1FEB699" w14:textId="77777777" w:rsidR="0031493B" w:rsidRPr="004D07B4" w:rsidRDefault="0031493B" w:rsidP="00EF3B77">
            <w:pPr>
              <w:rPr>
                <w:rFonts w:ascii="Arial Narrow" w:hAnsi="Arial Narrow"/>
                <w:b/>
                <w:color w:val="333333"/>
                <w:sz w:val="20"/>
                <w:szCs w:val="20"/>
              </w:rPr>
            </w:pPr>
            <w:r w:rsidRPr="009D0EF6">
              <w:rPr>
                <w:rFonts w:ascii="Arial Narrow" w:hAnsi="Arial Narrow"/>
                <w:bCs/>
                <w:color w:val="333333"/>
                <w:sz w:val="20"/>
                <w:szCs w:val="20"/>
              </w:rPr>
              <w:t>Patient must have been confirmed positive by serologic testing for anti-acetylcholine receptor antibodies (anti-AChR antibodies)</w:t>
            </w:r>
          </w:p>
        </w:tc>
      </w:tr>
      <w:tr w:rsidR="0031493B" w:rsidRPr="004D07B4" w14:paraId="1602DC51"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AC55727"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AD4A28" w14:textId="77777777" w:rsidR="0031493B" w:rsidRPr="004D07B4" w:rsidRDefault="0031493B" w:rsidP="00EF3B77">
            <w:pPr>
              <w:rPr>
                <w:rFonts w:ascii="Arial Narrow" w:hAnsi="Arial Narrow"/>
                <w:b/>
                <w:color w:val="333333"/>
                <w:sz w:val="20"/>
                <w:szCs w:val="20"/>
              </w:rPr>
            </w:pPr>
            <w:r w:rsidRPr="00A50A4F">
              <w:rPr>
                <w:rFonts w:ascii="Arial Narrow" w:hAnsi="Arial Narrow"/>
                <w:b/>
                <w:bCs/>
                <w:color w:val="333333"/>
                <w:sz w:val="20"/>
                <w:szCs w:val="20"/>
              </w:rPr>
              <w:t>AND</w:t>
            </w:r>
          </w:p>
        </w:tc>
      </w:tr>
      <w:tr w:rsidR="0031493B" w:rsidRPr="001F74D2" w14:paraId="4C2C034F"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6CAC59A"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0B64F0" w14:textId="77777777" w:rsidR="0031493B" w:rsidRPr="001F74D2" w:rsidRDefault="0031493B" w:rsidP="00EF3B77">
            <w:pPr>
              <w:rPr>
                <w:rFonts w:ascii="Arial Narrow" w:hAnsi="Arial Narrow"/>
                <w:color w:val="333333"/>
                <w:sz w:val="20"/>
                <w:szCs w:val="20"/>
              </w:rPr>
            </w:pPr>
            <w:r w:rsidRPr="00A50A4F">
              <w:rPr>
                <w:rFonts w:ascii="Arial Narrow" w:hAnsi="Arial Narrow"/>
                <w:b/>
                <w:bCs/>
                <w:color w:val="333333"/>
                <w:sz w:val="20"/>
                <w:szCs w:val="20"/>
              </w:rPr>
              <w:t>Clinical criteria:</w:t>
            </w:r>
          </w:p>
        </w:tc>
      </w:tr>
      <w:tr w:rsidR="0031493B" w:rsidRPr="00A359DC" w14:paraId="5C97717E"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F87C969" w14:textId="01CA5D09"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746A793" w14:textId="77777777" w:rsidR="0031493B" w:rsidRPr="00A359DC" w:rsidRDefault="0031493B" w:rsidP="00EF3B77">
            <w:pPr>
              <w:rPr>
                <w:rFonts w:ascii="Arial Narrow" w:hAnsi="Arial Narrow"/>
                <w:b/>
                <w:bCs/>
                <w:strike/>
                <w:color w:val="333333"/>
                <w:sz w:val="20"/>
                <w:szCs w:val="20"/>
              </w:rPr>
            </w:pPr>
            <w:r w:rsidRPr="00C97971">
              <w:rPr>
                <w:rFonts w:ascii="Arial Narrow" w:hAnsi="Arial Narrow"/>
                <w:bCs/>
                <w:color w:val="333333"/>
                <w:sz w:val="20"/>
                <w:szCs w:val="20"/>
              </w:rPr>
              <w:t>Patient must have recorded baseline symptoms consistent with a Myasthenia Gravis-Activities of Daily Living (MG-ADL) profile of at least 6 points despite treatment with standard therapy prior to initiation of ravulizumab.</w:t>
            </w:r>
          </w:p>
        </w:tc>
      </w:tr>
      <w:tr w:rsidR="0031493B" w:rsidRPr="00A359DC" w14:paraId="7061906C"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8E9C65E"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B6BC495" w14:textId="77777777" w:rsidR="0031493B" w:rsidRPr="00A359DC" w:rsidRDefault="0031493B" w:rsidP="00EF3B77">
            <w:pPr>
              <w:rPr>
                <w:rFonts w:ascii="Arial Narrow" w:hAnsi="Arial Narrow"/>
                <w:b/>
                <w:bCs/>
                <w:strike/>
                <w:color w:val="333333"/>
                <w:sz w:val="20"/>
                <w:szCs w:val="20"/>
              </w:rPr>
            </w:pPr>
            <w:r w:rsidRPr="00A50A4F">
              <w:rPr>
                <w:rFonts w:ascii="Arial Narrow" w:hAnsi="Arial Narrow"/>
                <w:b/>
                <w:bCs/>
                <w:color w:val="333333"/>
                <w:sz w:val="20"/>
                <w:szCs w:val="20"/>
              </w:rPr>
              <w:t>AND</w:t>
            </w:r>
          </w:p>
        </w:tc>
      </w:tr>
      <w:tr w:rsidR="0031493B" w:rsidRPr="00A359DC" w14:paraId="67216CEB"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9EE68A8"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A31E4BF" w14:textId="77777777" w:rsidR="0031493B" w:rsidRPr="00A50A4F" w:rsidRDefault="0031493B" w:rsidP="00EF3B77">
            <w:pPr>
              <w:rPr>
                <w:rFonts w:ascii="Arial Narrow" w:hAnsi="Arial Narrow"/>
                <w:b/>
                <w:bCs/>
                <w:color w:val="333333"/>
                <w:sz w:val="20"/>
                <w:szCs w:val="20"/>
              </w:rPr>
            </w:pPr>
            <w:r w:rsidRPr="00A50A4F">
              <w:rPr>
                <w:rFonts w:ascii="Arial Narrow" w:hAnsi="Arial Narrow"/>
                <w:b/>
                <w:bCs/>
                <w:color w:val="333333"/>
                <w:sz w:val="20"/>
                <w:szCs w:val="20"/>
              </w:rPr>
              <w:t>Clinical criteria:</w:t>
            </w:r>
          </w:p>
        </w:tc>
      </w:tr>
      <w:tr w:rsidR="0031493B" w:rsidRPr="00A359DC" w14:paraId="0C9C674A"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85C6531" w14:textId="4B5FE03C"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BA2B8E7" w14:textId="77777777" w:rsidR="0031493B" w:rsidRPr="00B16293" w:rsidRDefault="0031493B" w:rsidP="00EF3B77">
            <w:pPr>
              <w:rPr>
                <w:rFonts w:ascii="Arial Narrow" w:hAnsi="Arial Narrow"/>
                <w:color w:val="333333"/>
                <w:sz w:val="20"/>
                <w:szCs w:val="20"/>
              </w:rPr>
            </w:pPr>
            <w:r w:rsidRPr="001F74D2">
              <w:rPr>
                <w:rFonts w:ascii="Arial Narrow" w:hAnsi="Arial Narrow"/>
                <w:color w:val="333333"/>
                <w:sz w:val="20"/>
                <w:szCs w:val="20"/>
              </w:rPr>
              <w:t xml:space="preserve">Patient must </w:t>
            </w:r>
            <w:r w:rsidRPr="00F21E1F">
              <w:rPr>
                <w:rFonts w:ascii="Arial Narrow" w:hAnsi="Arial Narrow"/>
                <w:i/>
                <w:iCs/>
                <w:color w:val="333333"/>
                <w:sz w:val="20"/>
                <w:szCs w:val="20"/>
              </w:rPr>
              <w:t>have</w:t>
            </w:r>
            <w:r>
              <w:rPr>
                <w:rFonts w:ascii="Arial Narrow" w:hAnsi="Arial Narrow"/>
                <w:color w:val="333333"/>
                <w:sz w:val="20"/>
                <w:szCs w:val="20"/>
              </w:rPr>
              <w:t xml:space="preserve"> </w:t>
            </w:r>
            <w:r w:rsidRPr="00F21E1F">
              <w:rPr>
                <w:rFonts w:ascii="Arial Narrow" w:hAnsi="Arial Narrow"/>
                <w:strike/>
                <w:color w:val="333333"/>
                <w:sz w:val="20"/>
                <w:szCs w:val="20"/>
              </w:rPr>
              <w:t>continue to</w:t>
            </w:r>
            <w:r w:rsidRPr="001F74D2">
              <w:rPr>
                <w:rFonts w:ascii="Arial Narrow" w:hAnsi="Arial Narrow"/>
                <w:color w:val="333333"/>
                <w:sz w:val="20"/>
                <w:szCs w:val="20"/>
              </w:rPr>
              <w:t xml:space="preserve"> demonstrate</w:t>
            </w:r>
            <w:r w:rsidRPr="00F21E1F">
              <w:rPr>
                <w:rFonts w:ascii="Arial Narrow" w:hAnsi="Arial Narrow"/>
                <w:i/>
                <w:iCs/>
                <w:color w:val="333333"/>
                <w:sz w:val="20"/>
                <w:szCs w:val="20"/>
              </w:rPr>
              <w:t>d a</w:t>
            </w:r>
            <w:r w:rsidRPr="001F74D2">
              <w:rPr>
                <w:rFonts w:ascii="Arial Narrow" w:hAnsi="Arial Narrow"/>
                <w:color w:val="333333"/>
                <w:sz w:val="20"/>
                <w:szCs w:val="20"/>
              </w:rPr>
              <w:t xml:space="preserve"> clinical improvement based on a decrease in Myasthenia Gravis-Activities of Daily Living (MG-ADL) profile of at least 2 points from baseline</w:t>
            </w:r>
            <w:r>
              <w:rPr>
                <w:rFonts w:ascii="Arial Narrow" w:hAnsi="Arial Narrow"/>
                <w:color w:val="333333"/>
                <w:sz w:val="20"/>
                <w:szCs w:val="20"/>
              </w:rPr>
              <w:t xml:space="preserve"> </w:t>
            </w:r>
            <w:r w:rsidRPr="006C4762">
              <w:rPr>
                <w:rFonts w:ascii="Arial Narrow" w:hAnsi="Arial Narrow"/>
                <w:i/>
                <w:iCs/>
                <w:color w:val="333333"/>
                <w:sz w:val="20"/>
                <w:szCs w:val="20"/>
              </w:rPr>
              <w:t xml:space="preserve">after 26 weeks of treatment. </w:t>
            </w:r>
          </w:p>
        </w:tc>
      </w:tr>
      <w:tr w:rsidR="0031493B" w:rsidRPr="00A50A4F" w14:paraId="140ABA10"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332E8A"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18D47DD" w14:textId="77777777" w:rsidR="0031493B" w:rsidRPr="00A50A4F" w:rsidRDefault="0031493B" w:rsidP="00EF3B77">
            <w:pPr>
              <w:rPr>
                <w:rFonts w:ascii="Arial Narrow" w:hAnsi="Arial Narrow"/>
                <w:b/>
                <w:bCs/>
                <w:color w:val="333333"/>
                <w:sz w:val="20"/>
                <w:szCs w:val="20"/>
              </w:rPr>
            </w:pPr>
            <w:r w:rsidRPr="00A50A4F">
              <w:rPr>
                <w:rFonts w:ascii="Arial Narrow" w:hAnsi="Arial Narrow"/>
                <w:b/>
                <w:bCs/>
                <w:color w:val="333333"/>
                <w:sz w:val="20"/>
                <w:szCs w:val="20"/>
              </w:rPr>
              <w:t>AND</w:t>
            </w:r>
          </w:p>
        </w:tc>
      </w:tr>
      <w:tr w:rsidR="0031493B" w:rsidRPr="00A50A4F" w14:paraId="672222B0"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90A3F1" w14:textId="382A3FF5"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EE543B" w14:textId="77777777" w:rsidR="0031493B" w:rsidRPr="00A50A4F" w:rsidRDefault="0031493B" w:rsidP="00EF3B77">
            <w:pPr>
              <w:rPr>
                <w:rFonts w:ascii="Arial Narrow" w:hAnsi="Arial Narrow"/>
                <w:b/>
                <w:bCs/>
                <w:color w:val="333333"/>
                <w:sz w:val="20"/>
                <w:szCs w:val="20"/>
              </w:rPr>
            </w:pPr>
            <w:r w:rsidRPr="00A50A4F">
              <w:rPr>
                <w:rFonts w:ascii="Arial Narrow" w:hAnsi="Arial Narrow"/>
                <w:b/>
                <w:bCs/>
                <w:color w:val="333333"/>
                <w:sz w:val="20"/>
                <w:szCs w:val="20"/>
              </w:rPr>
              <w:t>Treatment criteria:</w:t>
            </w:r>
          </w:p>
        </w:tc>
      </w:tr>
      <w:tr w:rsidR="0031493B" w:rsidRPr="00A50A4F" w14:paraId="123B43AF"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99B02D" w14:textId="47E46289"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0879F3" w14:textId="77777777" w:rsidR="0031493B" w:rsidRPr="00A50A4F" w:rsidRDefault="0031493B" w:rsidP="00EF3B77">
            <w:pPr>
              <w:rPr>
                <w:rFonts w:ascii="Arial Narrow" w:hAnsi="Arial Narrow"/>
                <w:b/>
                <w:bCs/>
                <w:color w:val="333333"/>
                <w:sz w:val="20"/>
                <w:szCs w:val="20"/>
              </w:rPr>
            </w:pPr>
            <w:r w:rsidRPr="00533171">
              <w:rPr>
                <w:rFonts w:ascii="Arial Narrow" w:hAnsi="Arial Narrow" w:cs="Arial Narrow"/>
                <w:sz w:val="20"/>
                <w:szCs w:val="20"/>
              </w:rPr>
              <w:t>Must be treated by a neurologist</w:t>
            </w:r>
            <w:r>
              <w:rPr>
                <w:rFonts w:ascii="Arial Narrow" w:hAnsi="Arial Narrow" w:cs="Arial Narrow"/>
                <w:sz w:val="20"/>
                <w:szCs w:val="20"/>
              </w:rPr>
              <w:t>,</w:t>
            </w:r>
            <w:r w:rsidRPr="00533171">
              <w:rPr>
                <w:rFonts w:ascii="Arial Narrow" w:hAnsi="Arial Narrow" w:cs="Arial Narrow"/>
                <w:sz w:val="20"/>
                <w:szCs w:val="20"/>
              </w:rPr>
              <w:t xml:space="preserve"> or </w:t>
            </w:r>
            <w:r w:rsidRPr="00533171">
              <w:rPr>
                <w:rFonts w:ascii="Arial Narrow" w:hAnsi="Arial Narrow" w:cs="Arial Narrow"/>
                <w:strike/>
                <w:sz w:val="20"/>
                <w:szCs w:val="20"/>
              </w:rPr>
              <w:t xml:space="preserve">a non-specialist medical physician who has consulted a neurologist on the patient’s drug treatment details </w:t>
            </w:r>
          </w:p>
        </w:tc>
      </w:tr>
      <w:tr w:rsidR="0031493B" w:rsidRPr="00A50A4F" w14:paraId="42B6F5C7"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6A05357" w14:textId="1FA4F504"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A9DE03" w14:textId="77777777" w:rsidR="0031493B" w:rsidRPr="00A50A4F" w:rsidRDefault="0031493B" w:rsidP="00EF3B77">
            <w:pPr>
              <w:rPr>
                <w:rFonts w:ascii="Arial Narrow" w:hAnsi="Arial Narrow"/>
                <w:b/>
                <w:bCs/>
                <w:color w:val="333333"/>
                <w:sz w:val="20"/>
                <w:szCs w:val="20"/>
              </w:rPr>
            </w:pPr>
            <w:r w:rsidRPr="00533171">
              <w:rPr>
                <w:rFonts w:ascii="Arial Narrow" w:hAnsi="Arial Narrow" w:cs="Arial Narrow"/>
                <w:i/>
                <w:iCs/>
                <w:sz w:val="20"/>
                <w:szCs w:val="20"/>
              </w:rPr>
              <w:t>Must be treated by a medical practitioner who has consulted a neurologist, with agreement reached that the patient should be treated with this pharmaceutical benefit on this occasion.</w:t>
            </w:r>
          </w:p>
        </w:tc>
      </w:tr>
      <w:tr w:rsidR="0031493B" w:rsidRPr="00A50A4F" w14:paraId="7107D207"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FFA137"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CD8B797" w14:textId="77777777" w:rsidR="0031493B" w:rsidRPr="00A50A4F" w:rsidRDefault="0031493B" w:rsidP="00EF3B77">
            <w:pPr>
              <w:rPr>
                <w:rFonts w:ascii="Arial Narrow" w:hAnsi="Arial Narrow"/>
                <w:b/>
                <w:bCs/>
                <w:color w:val="333333"/>
                <w:sz w:val="20"/>
                <w:szCs w:val="20"/>
              </w:rPr>
            </w:pPr>
            <w:r w:rsidRPr="00A50A4F">
              <w:rPr>
                <w:rFonts w:ascii="Arial Narrow" w:hAnsi="Arial Narrow"/>
                <w:b/>
                <w:bCs/>
                <w:color w:val="333333"/>
                <w:sz w:val="20"/>
                <w:szCs w:val="20"/>
              </w:rPr>
              <w:t>AND</w:t>
            </w:r>
          </w:p>
        </w:tc>
      </w:tr>
      <w:tr w:rsidR="0031493B" w:rsidRPr="00A50A4F" w14:paraId="7B1EB74C"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113CE5" w14:textId="77777777"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59FBD4" w14:textId="77777777" w:rsidR="0031493B" w:rsidRPr="00A50A4F" w:rsidRDefault="0031493B" w:rsidP="00EF3B77">
            <w:pPr>
              <w:rPr>
                <w:rFonts w:ascii="Arial Narrow" w:hAnsi="Arial Narrow"/>
                <w:b/>
                <w:bCs/>
                <w:color w:val="333333"/>
                <w:sz w:val="20"/>
                <w:szCs w:val="20"/>
              </w:rPr>
            </w:pPr>
            <w:r>
              <w:rPr>
                <w:rFonts w:ascii="Arial Narrow" w:hAnsi="Arial Narrow"/>
                <w:b/>
                <w:bCs/>
                <w:color w:val="333333"/>
                <w:sz w:val="20"/>
                <w:szCs w:val="20"/>
              </w:rPr>
              <w:t>Population</w:t>
            </w:r>
            <w:r w:rsidRPr="00A50A4F">
              <w:rPr>
                <w:rFonts w:ascii="Arial Narrow" w:hAnsi="Arial Narrow"/>
                <w:b/>
                <w:bCs/>
                <w:color w:val="333333"/>
                <w:sz w:val="20"/>
                <w:szCs w:val="20"/>
              </w:rPr>
              <w:t xml:space="preserve"> criteria:</w:t>
            </w:r>
          </w:p>
        </w:tc>
      </w:tr>
      <w:tr w:rsidR="0031493B" w:rsidRPr="00A359DC" w14:paraId="5D63EBB7"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6AE328" w14:textId="16586CBA" w:rsidR="0031493B" w:rsidRPr="00B06C77"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995BCE" w14:textId="77777777" w:rsidR="0031493B" w:rsidRPr="00A359DC" w:rsidRDefault="0031493B" w:rsidP="00EF3B77">
            <w:pPr>
              <w:rPr>
                <w:rFonts w:ascii="Arial Narrow" w:hAnsi="Arial Narrow"/>
                <w:color w:val="333333"/>
                <w:sz w:val="20"/>
                <w:szCs w:val="20"/>
              </w:rPr>
            </w:pPr>
            <w:r w:rsidRPr="00FE6847">
              <w:rPr>
                <w:rFonts w:ascii="Arial Narrow" w:hAnsi="Arial Narrow"/>
                <w:color w:val="333333"/>
                <w:sz w:val="20"/>
                <w:szCs w:val="20"/>
              </w:rPr>
              <w:t>Patient</w:t>
            </w:r>
            <w:r w:rsidRPr="00FE6847">
              <w:rPr>
                <w:rFonts w:ascii="Arial Narrow" w:hAnsi="Arial Narrow"/>
                <w:strike/>
                <w:color w:val="333333"/>
                <w:sz w:val="20"/>
                <w:szCs w:val="20"/>
              </w:rPr>
              <w:t>s</w:t>
            </w:r>
            <w:r w:rsidRPr="00FE6847">
              <w:rPr>
                <w:rFonts w:ascii="Arial Narrow" w:hAnsi="Arial Narrow"/>
                <w:color w:val="333333"/>
                <w:sz w:val="20"/>
                <w:szCs w:val="20"/>
              </w:rPr>
              <w:t xml:space="preserve"> must be aged 18 years or older</w:t>
            </w:r>
          </w:p>
        </w:tc>
      </w:tr>
      <w:tr w:rsidR="0031493B" w:rsidRPr="00A359DC" w14:paraId="7F18FB82"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56AB50" w14:textId="594FDFFB" w:rsidR="0031493B"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F7021D" w14:textId="77777777" w:rsidR="0031493B" w:rsidRPr="00FE6847" w:rsidRDefault="0031493B" w:rsidP="00EF3B77">
            <w:pPr>
              <w:rPr>
                <w:rFonts w:ascii="Arial Narrow" w:hAnsi="Arial Narrow"/>
                <w:color w:val="333333"/>
                <w:sz w:val="20"/>
                <w:szCs w:val="20"/>
              </w:rPr>
            </w:pPr>
            <w:r w:rsidRPr="00000EE5">
              <w:rPr>
                <w:rFonts w:ascii="Arial Narrow" w:hAnsi="Arial Narrow"/>
                <w:b/>
                <w:color w:val="333333"/>
                <w:sz w:val="20"/>
                <w:szCs w:val="20"/>
              </w:rPr>
              <w:t>Prescribing Instructions</w:t>
            </w:r>
            <w:r w:rsidRPr="00000EE5">
              <w:rPr>
                <w:rFonts w:ascii="Arial Narrow" w:hAnsi="Arial Narrow"/>
                <w:bCs/>
                <w:color w:val="333333"/>
                <w:sz w:val="20"/>
                <w:szCs w:val="20"/>
              </w:rPr>
              <w:t>: Standard therapy is defined as any of: pyridostigmine, oral corticosteroids, mycophenolate mofetil, azathioprine, methotrexate, tacrolimus, cyclosporin.</w:t>
            </w:r>
          </w:p>
        </w:tc>
      </w:tr>
      <w:tr w:rsidR="0031493B" w:rsidRPr="00A359DC" w14:paraId="61B4B97B"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75966B" w14:textId="685073CD" w:rsidR="0031493B"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18922A" w14:textId="77777777" w:rsidR="0031493B" w:rsidRDefault="0031493B" w:rsidP="00EF3B77">
            <w:pPr>
              <w:rPr>
                <w:rFonts w:ascii="Arial Narrow" w:hAnsi="Arial Narrow"/>
                <w:color w:val="333333"/>
                <w:sz w:val="20"/>
                <w:szCs w:val="20"/>
              </w:rPr>
            </w:pPr>
            <w:r w:rsidRPr="004C50D1">
              <w:rPr>
                <w:rFonts w:ascii="Arial Narrow" w:hAnsi="Arial Narrow"/>
                <w:b/>
                <w:bCs/>
                <w:color w:val="333333"/>
                <w:sz w:val="20"/>
                <w:szCs w:val="20"/>
              </w:rPr>
              <w:t>Prescribing Instructions</w:t>
            </w:r>
            <w:r w:rsidRPr="004C50D1">
              <w:rPr>
                <w:rFonts w:ascii="Arial Narrow" w:hAnsi="Arial Narrow"/>
                <w:color w:val="333333"/>
                <w:sz w:val="20"/>
                <w:szCs w:val="20"/>
              </w:rPr>
              <w:t>: At the time of the authority application, medical practitioners should request the appropriate number of vials to cover 3 maintenance doses based on the patient’s weight and as per the Product Information. Refer to the Product information for patient weight ranges for the 100mg/mL doses (consisting of 300 mg in 3 mL and 1.1 g in 11 mL vials).</w:t>
            </w:r>
          </w:p>
          <w:p w14:paraId="37AC2282" w14:textId="77777777" w:rsidR="0031493B" w:rsidRPr="0058526D" w:rsidRDefault="0031493B" w:rsidP="00EF3B77">
            <w:pPr>
              <w:rPr>
                <w:rFonts w:ascii="Arial Narrow" w:hAnsi="Arial Narrow"/>
                <w:i/>
                <w:iCs/>
                <w:color w:val="333333"/>
                <w:sz w:val="20"/>
                <w:szCs w:val="20"/>
              </w:rPr>
            </w:pPr>
            <w:r w:rsidRPr="0058526D">
              <w:rPr>
                <w:rFonts w:ascii="Arial Narrow" w:hAnsi="Arial Narrow"/>
                <w:i/>
                <w:iCs/>
                <w:color w:val="333333"/>
                <w:sz w:val="20"/>
                <w:szCs w:val="20"/>
              </w:rPr>
              <w:t>Applications for treatment with this drug where the dose and dosing frequency exceeds that specified in the approved PI will not be approved.</w:t>
            </w:r>
          </w:p>
        </w:tc>
      </w:tr>
      <w:tr w:rsidR="0031493B" w:rsidRPr="00A359DC" w14:paraId="22CBAD1D" w14:textId="77777777" w:rsidTr="00EF3B77">
        <w:trPr>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3C7EDE" w14:textId="71777495" w:rsidR="0031493B" w:rsidRDefault="0031493B" w:rsidP="00EF3B77">
            <w:pPr>
              <w:jc w:val="center"/>
              <w:rPr>
                <w:rFonts w:ascii="Arial Narrow" w:hAnsi="Arial Narrow"/>
                <w:i/>
                <w:iCs/>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DC0D06" w14:textId="77777777" w:rsidR="0031493B" w:rsidRPr="00D512A8" w:rsidRDefault="0031493B" w:rsidP="00EF3B77">
            <w:pPr>
              <w:rPr>
                <w:rFonts w:ascii="Arial Narrow" w:hAnsi="Arial Narrow"/>
                <w:bCs/>
                <w:i/>
                <w:iCs/>
                <w:color w:val="333333"/>
                <w:sz w:val="20"/>
                <w:szCs w:val="20"/>
              </w:rPr>
            </w:pPr>
            <w:r w:rsidRPr="00D512A8">
              <w:rPr>
                <w:rFonts w:ascii="Arial Narrow" w:hAnsi="Arial Narrow"/>
                <w:bCs/>
                <w:i/>
                <w:iCs/>
                <w:color w:val="333333"/>
                <w:sz w:val="20"/>
                <w:szCs w:val="20"/>
              </w:rPr>
              <w:t>The authority application must be in writing and must include all of the following:</w:t>
            </w:r>
          </w:p>
          <w:p w14:paraId="48EC7B1E" w14:textId="77777777" w:rsidR="0031493B" w:rsidRPr="00D512A8" w:rsidRDefault="0031493B" w:rsidP="00EF3B77">
            <w:pPr>
              <w:rPr>
                <w:rFonts w:ascii="Arial Narrow" w:hAnsi="Arial Narrow"/>
                <w:bCs/>
                <w:i/>
                <w:iCs/>
                <w:color w:val="333333"/>
                <w:sz w:val="20"/>
                <w:szCs w:val="20"/>
              </w:rPr>
            </w:pPr>
            <w:r w:rsidRPr="00D512A8">
              <w:rPr>
                <w:rFonts w:ascii="Arial Narrow" w:hAnsi="Arial Narrow"/>
                <w:bCs/>
                <w:i/>
                <w:iCs/>
                <w:color w:val="333333"/>
                <w:sz w:val="20"/>
                <w:szCs w:val="20"/>
              </w:rPr>
              <w:t>(1) A completed authority prescription form(s);</w:t>
            </w:r>
          </w:p>
          <w:p w14:paraId="333C02DE" w14:textId="77777777" w:rsidR="0031493B" w:rsidRPr="00D512A8" w:rsidRDefault="0031493B" w:rsidP="00EF3B77">
            <w:pPr>
              <w:rPr>
                <w:rFonts w:ascii="Arial Narrow" w:hAnsi="Arial Narrow"/>
                <w:bCs/>
                <w:i/>
                <w:iCs/>
                <w:color w:val="333333"/>
                <w:sz w:val="20"/>
                <w:szCs w:val="20"/>
              </w:rPr>
            </w:pPr>
            <w:r w:rsidRPr="00D512A8">
              <w:rPr>
                <w:rFonts w:ascii="Arial Narrow" w:hAnsi="Arial Narrow"/>
                <w:bCs/>
                <w:i/>
                <w:iCs/>
                <w:color w:val="333333"/>
                <w:sz w:val="20"/>
                <w:szCs w:val="20"/>
              </w:rPr>
              <w:t>(2) A completed authority application form relevant to the indication and treatment phase (the latest version is located on the website specified in the Administrative Advice);</w:t>
            </w:r>
          </w:p>
          <w:p w14:paraId="2046D7BE" w14:textId="77777777" w:rsidR="0031493B" w:rsidRPr="00D512A8" w:rsidRDefault="0031493B" w:rsidP="00EF3B77">
            <w:pPr>
              <w:rPr>
                <w:rFonts w:ascii="Arial Narrow" w:hAnsi="Arial Narrow"/>
                <w:bCs/>
                <w:i/>
                <w:iCs/>
                <w:color w:val="333333"/>
                <w:sz w:val="20"/>
                <w:szCs w:val="20"/>
              </w:rPr>
            </w:pPr>
            <w:r w:rsidRPr="00D512A8">
              <w:rPr>
                <w:rFonts w:ascii="Arial Narrow" w:hAnsi="Arial Narrow"/>
                <w:bCs/>
                <w:i/>
                <w:iCs/>
                <w:color w:val="333333"/>
                <w:sz w:val="20"/>
                <w:szCs w:val="20"/>
              </w:rPr>
              <w:t>(3) The baseline MG-ADL profile score</w:t>
            </w:r>
          </w:p>
          <w:p w14:paraId="58CF4660" w14:textId="77777777" w:rsidR="0031493B" w:rsidRPr="004C50D1" w:rsidRDefault="0031493B" w:rsidP="00EF3B77">
            <w:pPr>
              <w:rPr>
                <w:rFonts w:ascii="Arial Narrow" w:hAnsi="Arial Narrow"/>
                <w:b/>
                <w:bCs/>
                <w:color w:val="333333"/>
                <w:sz w:val="20"/>
                <w:szCs w:val="20"/>
              </w:rPr>
            </w:pPr>
            <w:r w:rsidRPr="00D512A8">
              <w:rPr>
                <w:rFonts w:ascii="Arial Narrow" w:hAnsi="Arial Narrow"/>
                <w:bCs/>
                <w:i/>
                <w:iCs/>
                <w:color w:val="333333"/>
                <w:sz w:val="20"/>
                <w:szCs w:val="20"/>
              </w:rPr>
              <w:t>(4) The current MG-ADL profile score</w:t>
            </w:r>
          </w:p>
        </w:tc>
      </w:tr>
      <w:tr w:rsidR="0031493B" w:rsidRPr="00485311" w14:paraId="69BEDE07" w14:textId="77777777" w:rsidTr="00EF3B77">
        <w:trPr>
          <w:cantSplit/>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1CEE0F" w14:textId="77777777" w:rsidR="0031493B" w:rsidRPr="00B06C77" w:rsidRDefault="0031493B" w:rsidP="00EF3B77">
            <w:pPr>
              <w:jc w:val="center"/>
              <w:rPr>
                <w:rFonts w:ascii="Arial Narrow" w:hAnsi="Arial Narrow" w:cs="Open Sans"/>
                <w:strike/>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E58FBD" w14:textId="77777777" w:rsidR="0031493B" w:rsidRPr="00485311" w:rsidRDefault="0031493B" w:rsidP="00EF3B77">
            <w:pPr>
              <w:rPr>
                <w:rFonts w:ascii="Arial Narrow" w:hAnsi="Arial Narrow"/>
                <w:b/>
                <w:bCs/>
                <w:color w:val="333333"/>
                <w:sz w:val="20"/>
                <w:szCs w:val="20"/>
              </w:rPr>
            </w:pPr>
            <w:r w:rsidRPr="00485311">
              <w:rPr>
                <w:rFonts w:ascii="Arial Narrow" w:hAnsi="Arial Narrow"/>
                <w:b/>
                <w:bCs/>
                <w:color w:val="333333"/>
                <w:sz w:val="20"/>
                <w:szCs w:val="20"/>
              </w:rPr>
              <w:t>Administrative Advice:</w:t>
            </w:r>
          </w:p>
          <w:p w14:paraId="28C81AC8"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Any queries concerning the arrangements to prescribe may be directed to Services Australia on 1800 700 270 (hours of operation 8 a.m. to 5 p.m. Monday to Friday).</w:t>
            </w:r>
          </w:p>
          <w:p w14:paraId="1FB82B52"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Prescribing information (including Authority Application forms and other relevant documentation as applicable) is available on the Services Australia website at www.servicesaustralia.gov.au</w:t>
            </w:r>
          </w:p>
          <w:p w14:paraId="7762B942"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Applications for authority to prescribe should be submitted online using the form upload facility in Health Professional Online Services (HPOS) at www.servicesaustralia.gov.au/hpos</w:t>
            </w:r>
          </w:p>
          <w:p w14:paraId="216A1C54"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Or mailed to:</w:t>
            </w:r>
          </w:p>
          <w:p w14:paraId="7ECD8606"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Services Australia</w:t>
            </w:r>
          </w:p>
          <w:p w14:paraId="2D9B8745"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Complex Drugs</w:t>
            </w:r>
          </w:p>
          <w:p w14:paraId="42A13BE8" w14:textId="77777777" w:rsidR="0031493B" w:rsidRPr="00485311" w:rsidRDefault="0031493B" w:rsidP="00EF3B77">
            <w:pPr>
              <w:rPr>
                <w:rFonts w:ascii="Arial Narrow" w:hAnsi="Arial Narrow"/>
                <w:color w:val="333333"/>
                <w:sz w:val="20"/>
                <w:szCs w:val="20"/>
              </w:rPr>
            </w:pPr>
            <w:r w:rsidRPr="00485311">
              <w:rPr>
                <w:rFonts w:ascii="Arial Narrow" w:hAnsi="Arial Narrow"/>
                <w:color w:val="333333"/>
                <w:sz w:val="20"/>
                <w:szCs w:val="20"/>
              </w:rPr>
              <w:t>Reply Paid 9826</w:t>
            </w:r>
          </w:p>
          <w:p w14:paraId="3E8404F4" w14:textId="77777777" w:rsidR="0031493B" w:rsidRPr="00485311" w:rsidRDefault="0031493B" w:rsidP="00EF3B77">
            <w:pPr>
              <w:textAlignment w:val="baseline"/>
              <w:rPr>
                <w:rFonts w:ascii="Arial Narrow" w:hAnsi="Arial Narrow" w:cs="Open Sans"/>
                <w:b/>
                <w:bCs/>
                <w:color w:val="333333"/>
                <w:sz w:val="20"/>
                <w:szCs w:val="20"/>
                <w:bdr w:val="none" w:sz="0" w:space="0" w:color="auto" w:frame="1"/>
              </w:rPr>
            </w:pPr>
            <w:r w:rsidRPr="00485311">
              <w:rPr>
                <w:rFonts w:ascii="Arial Narrow" w:hAnsi="Arial Narrow"/>
                <w:color w:val="333333"/>
                <w:sz w:val="20"/>
                <w:szCs w:val="20"/>
              </w:rPr>
              <w:t>HOBART TAS 7001</w:t>
            </w:r>
          </w:p>
        </w:tc>
      </w:tr>
      <w:tr w:rsidR="0031493B" w14:paraId="144ECACA" w14:textId="77777777" w:rsidTr="00EF3B77">
        <w:trPr>
          <w:cantSplit/>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A58A721" w14:textId="58C043B6" w:rsidR="0031493B"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6108F1B" w14:textId="77777777" w:rsidR="0031493B" w:rsidRDefault="0031493B" w:rsidP="00EF3B77">
            <w:pPr>
              <w:rPr>
                <w:rFonts w:ascii="Arial Narrow" w:hAnsi="Arial Narrow"/>
                <w:b/>
                <w:bCs/>
                <w:color w:val="333333"/>
                <w:sz w:val="20"/>
                <w:szCs w:val="20"/>
              </w:rPr>
            </w:pPr>
            <w:r w:rsidRPr="00485311">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527B10">
              <w:rPr>
                <w:rFonts w:ascii="Arial Narrow" w:hAnsi="Arial Narrow"/>
                <w:color w:val="333333"/>
                <w:sz w:val="20"/>
                <w:szCs w:val="20"/>
              </w:rPr>
              <w:t>No increase in the maximum number of repeats may be authorised.</w:t>
            </w:r>
          </w:p>
        </w:tc>
      </w:tr>
      <w:tr w:rsidR="0031493B" w14:paraId="266214FF" w14:textId="77777777" w:rsidTr="00EF3B77">
        <w:trPr>
          <w:cantSplit/>
          <w:trHeight w:val="20"/>
        </w:trPr>
        <w:tc>
          <w:tcPr>
            <w:tcW w:w="14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DC661E7" w14:textId="62F2771B" w:rsidR="0031493B" w:rsidRPr="00527B10" w:rsidRDefault="0031493B" w:rsidP="00EF3B77">
            <w:pPr>
              <w:jc w:val="center"/>
              <w:rPr>
                <w:rFonts w:ascii="Arial Narrow" w:hAnsi="Arial Narrow"/>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EA6AF70" w14:textId="77777777" w:rsidR="0031493B" w:rsidRDefault="0031493B" w:rsidP="00EF3B77">
            <w:pPr>
              <w:rPr>
                <w:rFonts w:ascii="Arial Narrow" w:hAnsi="Arial Narrow"/>
                <w:b/>
                <w:bCs/>
                <w:color w:val="333333"/>
                <w:sz w:val="20"/>
                <w:szCs w:val="20"/>
              </w:rPr>
            </w:pPr>
            <w:r>
              <w:rPr>
                <w:rFonts w:ascii="Arial Narrow" w:hAnsi="Arial Narrow"/>
                <w:b/>
                <w:bCs/>
                <w:color w:val="333333"/>
                <w:sz w:val="20"/>
                <w:szCs w:val="20"/>
              </w:rPr>
              <w:t>NOTE:</w:t>
            </w:r>
          </w:p>
          <w:p w14:paraId="4BA53155" w14:textId="77777777" w:rsidR="0031493B" w:rsidRDefault="0031493B" w:rsidP="00EF3B77">
            <w:pPr>
              <w:rPr>
                <w:rFonts w:ascii="Arial Narrow" w:hAnsi="Arial Narrow"/>
                <w:i/>
                <w:iCs/>
                <w:color w:val="333333"/>
                <w:sz w:val="20"/>
                <w:szCs w:val="20"/>
              </w:rPr>
            </w:pPr>
            <w:r w:rsidRPr="009641B2">
              <w:rPr>
                <w:rFonts w:ascii="Arial Narrow" w:hAnsi="Arial Narrow"/>
                <w:bCs/>
                <w:i/>
                <w:iCs/>
                <w:color w:val="333333"/>
                <w:sz w:val="20"/>
                <w:szCs w:val="20"/>
              </w:rPr>
              <w:t xml:space="preserve">The Myasthenia Gravis-Activities of Daily Living (MG-ADL) can be calculated here [sponsor to advise]. </w:t>
            </w:r>
            <w:r w:rsidRPr="009641B2">
              <w:rPr>
                <w:rFonts w:ascii="Arial Narrow" w:hAnsi="Arial Narrow"/>
                <w:i/>
                <w:iCs/>
                <w:color w:val="333333"/>
                <w:sz w:val="20"/>
                <w:szCs w:val="20"/>
              </w:rPr>
              <w:t>The</w:t>
            </w:r>
            <w:r w:rsidRPr="005911F2">
              <w:rPr>
                <w:rFonts w:ascii="Arial Narrow" w:hAnsi="Arial Narrow"/>
                <w:i/>
                <w:iCs/>
                <w:color w:val="333333"/>
                <w:sz w:val="20"/>
                <w:szCs w:val="20"/>
              </w:rPr>
              <w:t xml:space="preserve"> MG-ADL is an </w:t>
            </w:r>
            <w:r>
              <w:rPr>
                <w:rFonts w:ascii="Arial Narrow" w:hAnsi="Arial Narrow"/>
                <w:i/>
                <w:iCs/>
                <w:color w:val="333333"/>
                <w:sz w:val="20"/>
                <w:szCs w:val="20"/>
              </w:rPr>
              <w:t>eight</w:t>
            </w:r>
            <w:r w:rsidRPr="009867A9">
              <w:rPr>
                <w:rFonts w:ascii="Arial Narrow" w:hAnsi="Arial Narrow"/>
                <w:i/>
                <w:iCs/>
                <w:color w:val="333333"/>
                <w:sz w:val="20"/>
                <w:szCs w:val="20"/>
              </w:rPr>
              <w:t>-item patient-reported outcome measure assessing</w:t>
            </w:r>
            <w:r>
              <w:rPr>
                <w:rFonts w:ascii="Arial Narrow" w:hAnsi="Arial Narrow"/>
                <w:i/>
                <w:iCs/>
                <w:color w:val="333333"/>
                <w:sz w:val="20"/>
                <w:szCs w:val="20"/>
              </w:rPr>
              <w:t xml:space="preserve"> </w:t>
            </w:r>
            <w:r w:rsidRPr="005911F2">
              <w:rPr>
                <w:rFonts w:ascii="Arial Narrow" w:hAnsi="Arial Narrow"/>
                <w:i/>
                <w:iCs/>
                <w:color w:val="333333"/>
                <w:sz w:val="20"/>
                <w:szCs w:val="20"/>
              </w:rPr>
              <w:t>symptom severity, with each response graded from 0 (normal) to 3 (most severe).</w:t>
            </w:r>
            <w:r>
              <w:rPr>
                <w:rFonts w:ascii="Arial Narrow" w:hAnsi="Arial Narrow"/>
                <w:i/>
                <w:iCs/>
                <w:color w:val="333333"/>
                <w:sz w:val="20"/>
                <w:szCs w:val="20"/>
              </w:rPr>
              <w:t xml:space="preserve"> The eight components are: talking; chewing; swallowing; breathing; i</w:t>
            </w:r>
            <w:r w:rsidRPr="005911F2">
              <w:rPr>
                <w:rFonts w:ascii="Arial Narrow" w:hAnsi="Arial Narrow"/>
                <w:i/>
                <w:iCs/>
                <w:color w:val="333333"/>
                <w:sz w:val="20"/>
                <w:szCs w:val="20"/>
              </w:rPr>
              <w:t>mpairment of ability to brush teeth or comb hair</w:t>
            </w:r>
            <w:r>
              <w:rPr>
                <w:rFonts w:ascii="Arial Narrow" w:hAnsi="Arial Narrow"/>
                <w:i/>
                <w:iCs/>
                <w:color w:val="333333"/>
                <w:sz w:val="20"/>
                <w:szCs w:val="20"/>
              </w:rPr>
              <w:t>; i</w:t>
            </w:r>
            <w:r w:rsidRPr="005911F2">
              <w:rPr>
                <w:rFonts w:ascii="Arial Narrow" w:hAnsi="Arial Narrow"/>
                <w:i/>
                <w:iCs/>
                <w:color w:val="333333"/>
                <w:sz w:val="20"/>
                <w:szCs w:val="20"/>
              </w:rPr>
              <w:t>mpairment of ability to arise from a chair</w:t>
            </w:r>
            <w:r>
              <w:rPr>
                <w:rFonts w:ascii="Arial Narrow" w:hAnsi="Arial Narrow"/>
                <w:i/>
                <w:iCs/>
                <w:color w:val="333333"/>
                <w:sz w:val="20"/>
                <w:szCs w:val="20"/>
              </w:rPr>
              <w:t>;d</w:t>
            </w:r>
            <w:r w:rsidRPr="005911F2">
              <w:rPr>
                <w:rFonts w:ascii="Arial Narrow" w:hAnsi="Arial Narrow"/>
                <w:i/>
                <w:iCs/>
                <w:color w:val="333333"/>
                <w:sz w:val="20"/>
                <w:szCs w:val="20"/>
              </w:rPr>
              <w:t>ouble vision</w:t>
            </w:r>
            <w:r>
              <w:rPr>
                <w:rFonts w:ascii="Arial Narrow" w:hAnsi="Arial Narrow"/>
                <w:i/>
                <w:iCs/>
                <w:color w:val="333333"/>
                <w:sz w:val="20"/>
                <w:szCs w:val="20"/>
              </w:rPr>
              <w:t>; and e</w:t>
            </w:r>
            <w:r w:rsidRPr="005911F2">
              <w:rPr>
                <w:rFonts w:ascii="Arial Narrow" w:hAnsi="Arial Narrow"/>
                <w:i/>
                <w:iCs/>
                <w:color w:val="333333"/>
                <w:sz w:val="20"/>
                <w:szCs w:val="20"/>
              </w:rPr>
              <w:t>yelid droop</w:t>
            </w:r>
            <w:r>
              <w:rPr>
                <w:rFonts w:ascii="Arial Narrow" w:hAnsi="Arial Narrow"/>
                <w:i/>
                <w:iCs/>
                <w:color w:val="333333"/>
                <w:sz w:val="20"/>
                <w:szCs w:val="20"/>
              </w:rPr>
              <w:t>.</w:t>
            </w:r>
            <w:r w:rsidRPr="005911F2">
              <w:rPr>
                <w:rFonts w:ascii="Arial Narrow" w:hAnsi="Arial Narrow"/>
                <w:i/>
                <w:iCs/>
                <w:color w:val="333333"/>
                <w:sz w:val="20"/>
                <w:szCs w:val="20"/>
              </w:rPr>
              <w:t xml:space="preserve"> Cumulative MG-ADL scores range from 0 to 24, with higher scores indicating greater severity.</w:t>
            </w:r>
            <w:r>
              <w:rPr>
                <w:rFonts w:ascii="Arial Narrow" w:hAnsi="Arial Narrow"/>
                <w:i/>
                <w:iCs/>
                <w:color w:val="333333"/>
                <w:sz w:val="20"/>
                <w:szCs w:val="20"/>
              </w:rPr>
              <w:t xml:space="preserve"> </w:t>
            </w:r>
          </w:p>
          <w:p w14:paraId="1B6254F6" w14:textId="77777777" w:rsidR="0031493B" w:rsidRPr="00485311" w:rsidRDefault="0031493B" w:rsidP="00EF3B77">
            <w:pPr>
              <w:rPr>
                <w:rFonts w:ascii="Arial Narrow" w:hAnsi="Arial Narrow"/>
                <w:b/>
                <w:bCs/>
                <w:color w:val="333333"/>
                <w:sz w:val="20"/>
                <w:szCs w:val="20"/>
              </w:rPr>
            </w:pPr>
            <w:r>
              <w:rPr>
                <w:rFonts w:ascii="Arial Narrow" w:hAnsi="Arial Narrow"/>
                <w:i/>
                <w:iCs/>
                <w:color w:val="333333"/>
                <w:sz w:val="20"/>
                <w:szCs w:val="20"/>
              </w:rPr>
              <w:t>Document the MG-ADL in the patient’s medical records.</w:t>
            </w:r>
          </w:p>
        </w:tc>
      </w:tr>
    </w:tbl>
    <w:p w14:paraId="7E6B24C9" w14:textId="4224C6E9" w:rsidR="00C05703" w:rsidRDefault="0046525C" w:rsidP="00221F00">
      <w:pPr>
        <w:pStyle w:val="COMexecsumnumberedpara"/>
        <w:spacing w:before="120"/>
      </w:pPr>
      <w:r w:rsidRPr="008B3A69">
        <w:t>The ESC noted that the proposed restriction</w:t>
      </w:r>
      <w:r w:rsidR="00433664" w:rsidRPr="008B3A69">
        <w:t xml:space="preserve"> would</w:t>
      </w:r>
      <w:r w:rsidRPr="008B3A69">
        <w:t xml:space="preserve"> </w:t>
      </w:r>
      <w:r w:rsidR="00433664" w:rsidRPr="008B3A69">
        <w:t xml:space="preserve">allow ravulizumab to be used in any </w:t>
      </w:r>
      <w:r w:rsidR="00330B93" w:rsidRPr="008B3A69">
        <w:t>combination with standard therapy at any place in therapy</w:t>
      </w:r>
      <w:r w:rsidR="00433664" w:rsidRPr="008B3A69">
        <w:t xml:space="preserve"> (</w:t>
      </w:r>
      <w:r w:rsidR="00476485" w:rsidRPr="008B3A69">
        <w:t xml:space="preserve">including </w:t>
      </w:r>
      <w:r w:rsidR="00330B93" w:rsidRPr="008B3A69">
        <w:t xml:space="preserve">the </w:t>
      </w:r>
      <w:r w:rsidR="00433664" w:rsidRPr="008B3A69">
        <w:t xml:space="preserve">first- </w:t>
      </w:r>
      <w:r w:rsidR="00330B93" w:rsidRPr="008B3A69">
        <w:t>and</w:t>
      </w:r>
      <w:r w:rsidR="00433664" w:rsidRPr="008B3A69">
        <w:t xml:space="preserve"> second-line</w:t>
      </w:r>
      <w:r w:rsidR="00330B93" w:rsidRPr="008B3A69">
        <w:t xml:space="preserve"> settings and </w:t>
      </w:r>
      <w:r w:rsidR="00476485" w:rsidRPr="008B3A69">
        <w:t xml:space="preserve">the </w:t>
      </w:r>
      <w:r w:rsidR="00433664" w:rsidRPr="008B3A69">
        <w:t>treatment</w:t>
      </w:r>
      <w:r w:rsidR="00476485" w:rsidRPr="008B3A69">
        <w:t>-</w:t>
      </w:r>
      <w:r w:rsidR="00433664" w:rsidRPr="008B3A69">
        <w:t>refractory</w:t>
      </w:r>
      <w:r w:rsidR="00476485" w:rsidRPr="008B3A69">
        <w:t xml:space="preserve"> setting</w:t>
      </w:r>
      <w:r w:rsidR="00433664" w:rsidRPr="008B3A69">
        <w:t>)</w:t>
      </w:r>
      <w:r w:rsidR="001764D6" w:rsidRPr="008B3A69">
        <w:t>, which is</w:t>
      </w:r>
      <w:r w:rsidRPr="008B3A69">
        <w:t xml:space="preserve"> considerably broader than the requested place in therapy</w:t>
      </w:r>
      <w:r w:rsidR="00476485" w:rsidRPr="008B3A69">
        <w:t xml:space="preserve"> and</w:t>
      </w:r>
      <w:r w:rsidRPr="008B3A69">
        <w:t xml:space="preserve"> </w:t>
      </w:r>
      <w:r w:rsidR="00476485" w:rsidRPr="008B3A69">
        <w:t xml:space="preserve">the setting in which the submission’s model assessed cost-effectiveness </w:t>
      </w:r>
      <w:r w:rsidRPr="008B3A69">
        <w:t>(refer to Paragraph</w:t>
      </w:r>
      <w:r w:rsidR="006615B9" w:rsidRPr="008B3A69">
        <w:t xml:space="preserve">s </w:t>
      </w:r>
      <w:r w:rsidR="006615B9" w:rsidRPr="008B3A69">
        <w:fldChar w:fldCharType="begin" w:fldLock="1"/>
      </w:r>
      <w:r w:rsidR="006615B9" w:rsidRPr="008B3A69">
        <w:instrText xml:space="preserve"> REF _Ref158972223 \r \h </w:instrText>
      </w:r>
      <w:r w:rsidR="008B3A69" w:rsidRPr="008B3A69">
        <w:instrText xml:space="preserve"> \* MERGEFORMAT </w:instrText>
      </w:r>
      <w:r w:rsidR="006615B9" w:rsidRPr="008B3A69">
        <w:fldChar w:fldCharType="separate"/>
      </w:r>
      <w:r w:rsidR="0081771C">
        <w:t>4.14</w:t>
      </w:r>
      <w:r w:rsidR="006615B9" w:rsidRPr="008B3A69">
        <w:fldChar w:fldCharType="end"/>
      </w:r>
      <w:r w:rsidR="006615B9" w:rsidRPr="008B3A69">
        <w:t xml:space="preserve"> and </w:t>
      </w:r>
      <w:r w:rsidR="006615B9" w:rsidRPr="008B3A69">
        <w:fldChar w:fldCharType="begin" w:fldLock="1"/>
      </w:r>
      <w:r w:rsidR="006615B9" w:rsidRPr="008B3A69">
        <w:instrText xml:space="preserve"> REF _Ref159226934 \r \h </w:instrText>
      </w:r>
      <w:r w:rsidR="008B3A69" w:rsidRPr="008B3A69">
        <w:instrText xml:space="preserve"> \* MERGEFORMAT </w:instrText>
      </w:r>
      <w:r w:rsidR="006615B9" w:rsidRPr="008B3A69">
        <w:fldChar w:fldCharType="separate"/>
      </w:r>
      <w:r w:rsidR="0081771C">
        <w:t>6.42</w:t>
      </w:r>
      <w:r w:rsidR="006615B9" w:rsidRPr="008B3A69">
        <w:fldChar w:fldCharType="end"/>
      </w:r>
      <w:r w:rsidR="001764D6" w:rsidRPr="008B3A69">
        <w:t>, respectively</w:t>
      </w:r>
      <w:r w:rsidRPr="008B3A69">
        <w:t>).</w:t>
      </w:r>
      <w:r w:rsidR="00433664" w:rsidRPr="008B3A69">
        <w:t xml:space="preserve"> </w:t>
      </w:r>
      <w:r w:rsidR="00C02E56" w:rsidRPr="008B3A69">
        <w:t xml:space="preserve">Overall, the ESC considered that </w:t>
      </w:r>
      <w:r w:rsidR="00290F63" w:rsidRPr="008B3A69">
        <w:t xml:space="preserve">the intended place in therapy </w:t>
      </w:r>
      <w:r w:rsidR="00C05703">
        <w:t>was</w:t>
      </w:r>
      <w:r w:rsidR="00C05703" w:rsidRPr="008B3A69">
        <w:t xml:space="preserve"> </w:t>
      </w:r>
      <w:r w:rsidR="008A1F61" w:rsidRPr="008B3A69">
        <w:t xml:space="preserve">highly uncertain and </w:t>
      </w:r>
      <w:r w:rsidR="00290F63" w:rsidRPr="008B3A69">
        <w:t>require</w:t>
      </w:r>
      <w:r w:rsidR="00C05703">
        <w:t>d</w:t>
      </w:r>
      <w:r w:rsidR="00290F63" w:rsidRPr="008B3A69">
        <w:t xml:space="preserve"> substantial additional clinical input, which would be required to further inform </w:t>
      </w:r>
      <w:r w:rsidR="00C02E56" w:rsidRPr="008B3A69">
        <w:t>the restriction</w:t>
      </w:r>
      <w:r w:rsidR="00290F63" w:rsidRPr="008B3A69">
        <w:t>.</w:t>
      </w:r>
      <w:r w:rsidR="0031493B">
        <w:t xml:space="preserve"> </w:t>
      </w:r>
      <w:r w:rsidR="00C05703">
        <w:t xml:space="preserve">Subsequent to ESC consideration of this submission, a stakeholder meeting was held to </w:t>
      </w:r>
      <w:r w:rsidR="00C05703" w:rsidRPr="00C05703">
        <w:t xml:space="preserve">discuss the clinical management of gMG and the role of new treatments </w:t>
      </w:r>
      <w:r w:rsidR="00C05703">
        <w:t xml:space="preserve">(refer to paragraphs </w:t>
      </w:r>
      <w:r w:rsidR="00C05703">
        <w:fldChar w:fldCharType="begin" w:fldLock="1"/>
      </w:r>
      <w:r w:rsidR="00C05703">
        <w:instrText xml:space="preserve"> REF _Ref172801116 \r \h </w:instrText>
      </w:r>
      <w:r w:rsidR="00C05703">
        <w:fldChar w:fldCharType="separate"/>
      </w:r>
      <w:r w:rsidR="0081771C">
        <w:t>2.3</w:t>
      </w:r>
      <w:r w:rsidR="00C05703">
        <w:fldChar w:fldCharType="end"/>
      </w:r>
      <w:r w:rsidR="00C05703">
        <w:t xml:space="preserve"> and </w:t>
      </w:r>
      <w:r w:rsidR="00C05703">
        <w:fldChar w:fldCharType="begin" w:fldLock="1"/>
      </w:r>
      <w:r w:rsidR="00C05703">
        <w:instrText xml:space="preserve"> REF _Ref169170181 \r \h </w:instrText>
      </w:r>
      <w:r w:rsidR="00C05703">
        <w:fldChar w:fldCharType="separate"/>
      </w:r>
      <w:r w:rsidR="0081771C">
        <w:t>2.4</w:t>
      </w:r>
      <w:r w:rsidR="00C05703">
        <w:fldChar w:fldCharType="end"/>
      </w:r>
      <w:r w:rsidR="00C05703">
        <w:t xml:space="preserve">). </w:t>
      </w:r>
    </w:p>
    <w:p w14:paraId="2F407925" w14:textId="1D82C524" w:rsidR="0031493B" w:rsidRDefault="00C05703" w:rsidP="00433664">
      <w:pPr>
        <w:pStyle w:val="COMexecsumnumberedpara"/>
      </w:pPr>
      <w:r>
        <w:t xml:space="preserve">The pre-PBAC response proposed </w:t>
      </w:r>
      <w:bookmarkStart w:id="11" w:name="_Hlk172809841"/>
      <w:r>
        <w:t xml:space="preserve">amending the requested initial restriction </w:t>
      </w:r>
      <w:bookmarkEnd w:id="11"/>
      <w:r>
        <w:t xml:space="preserve">to </w:t>
      </w:r>
      <w:r w:rsidRPr="00C05703">
        <w:t>clarify</w:t>
      </w:r>
      <w:r w:rsidR="00EE05A8">
        <w:t xml:space="preserve"> that</w:t>
      </w:r>
      <w:r w:rsidRPr="00C05703">
        <w:t xml:space="preserve"> ravulizumab should be used as add-on to </w:t>
      </w:r>
      <w:r w:rsidR="00EB2260" w:rsidRPr="00EB2260">
        <w:rPr>
          <w:lang w:val="en-GB" w:eastAsia="en-US"/>
        </w:rPr>
        <w:t>immunosuppressive therap</w:t>
      </w:r>
      <w:r w:rsidR="00EB2260">
        <w:rPr>
          <w:lang w:val="en-GB" w:eastAsia="en-US"/>
        </w:rPr>
        <w:t>y</w:t>
      </w:r>
      <w:r>
        <w:t xml:space="preserve"> (i.e. to require that the patient must have an MG-ADL score of </w:t>
      </w:r>
      <w:r>
        <w:rPr>
          <w:rFonts w:cstheme="minorHAnsi"/>
        </w:rPr>
        <w:t>≥</w:t>
      </w:r>
      <w:r>
        <w:t xml:space="preserve"> 6 points despite at least one </w:t>
      </w:r>
      <w:r w:rsidR="001C5EA1">
        <w:t>‘</w:t>
      </w:r>
      <w:r w:rsidR="00EB2260" w:rsidRPr="00EB2260">
        <w:rPr>
          <w:lang w:val="en-GB" w:eastAsia="en-US"/>
        </w:rPr>
        <w:t>immunosuppressive therap</w:t>
      </w:r>
      <w:r w:rsidR="00EB2260">
        <w:rPr>
          <w:lang w:val="en-GB" w:eastAsia="en-US"/>
        </w:rPr>
        <w:t>y</w:t>
      </w:r>
      <w:r w:rsidR="001C5EA1">
        <w:rPr>
          <w:lang w:val="en-GB" w:eastAsia="en-US"/>
        </w:rPr>
        <w:t>’</w:t>
      </w:r>
      <w:r>
        <w:t xml:space="preserve">, rather than despite </w:t>
      </w:r>
      <w:r w:rsidR="001C5EA1">
        <w:t>‘</w:t>
      </w:r>
      <w:r>
        <w:t>standard therapy</w:t>
      </w:r>
      <w:r w:rsidR="001C5EA1">
        <w:t>’</w:t>
      </w:r>
      <w:r>
        <w:t xml:space="preserve">). </w:t>
      </w:r>
    </w:p>
    <w:p w14:paraId="6E710A5E" w14:textId="29912264" w:rsidR="00673C4D" w:rsidRPr="008B3A69" w:rsidRDefault="00673C4D" w:rsidP="00673C4D">
      <w:pPr>
        <w:pStyle w:val="COMexecsumnumberedpara"/>
        <w:numPr>
          <w:ilvl w:val="0"/>
          <w:numId w:val="0"/>
        </w:numPr>
        <w:outlineLvl w:val="2"/>
        <w:rPr>
          <w:u w:val="single"/>
        </w:rPr>
      </w:pPr>
      <w:r w:rsidRPr="008B3A69">
        <w:rPr>
          <w:u w:val="single"/>
        </w:rPr>
        <w:t>Instrument to determine eligibility (MG-ADL versus MGC)</w:t>
      </w:r>
    </w:p>
    <w:p w14:paraId="0BE6EE9C" w14:textId="2D953206" w:rsidR="00AD600E" w:rsidRPr="008B3A69" w:rsidRDefault="00AD600E" w:rsidP="002549D0">
      <w:pPr>
        <w:pStyle w:val="COMexecsumnumberedpara"/>
      </w:pPr>
      <w:r w:rsidRPr="008B3A69">
        <w:t>The proposed restriction uses the Myasthenia Gravis Activities of Daily Living instrument (MG-ADL) to determine eligibility for treatment initiation and continuation</w:t>
      </w:r>
      <w:r w:rsidR="00481EA1" w:rsidRPr="008B3A69">
        <w:t xml:space="preserve">, consistent with </w:t>
      </w:r>
      <w:r w:rsidR="002549D0" w:rsidRPr="008B3A69">
        <w:t>key clinical trial data</w:t>
      </w:r>
      <w:r w:rsidRPr="008B3A69">
        <w:t xml:space="preserve">. </w:t>
      </w:r>
      <w:r w:rsidR="002549D0" w:rsidRPr="008B3A69">
        <w:t>The MG-ADL instrument is an 8</w:t>
      </w:r>
      <w:r w:rsidR="000A2CB8">
        <w:noBreakHyphen/>
      </w:r>
      <w:r w:rsidR="002549D0" w:rsidRPr="008B3A69">
        <w:t>item assessment tool capturing patient-reported outcomes of functional disability related to different domains including ocular (2 items), bulbar (3 items), respiratory (</w:t>
      </w:r>
      <w:r w:rsidR="00254528" w:rsidRPr="008B3A69">
        <w:t>1</w:t>
      </w:r>
      <w:r w:rsidR="00254528">
        <w:t> </w:t>
      </w:r>
      <w:r w:rsidR="002549D0" w:rsidRPr="008B3A69">
        <w:t xml:space="preserve">item), and gross motor or limb impairment (2 items). Each item is scored on a 0-4 scale, with a total score ranging from 0 to 24, where lower scores indicate better functional outcomes. </w:t>
      </w:r>
      <w:r w:rsidRPr="008B3A69">
        <w:t xml:space="preserve">The submission claimed the instrument would be easy to administer in clinical practice and would be consistent with the key clinical data. </w:t>
      </w:r>
      <w:r w:rsidR="00673C4D" w:rsidRPr="008B3A69">
        <w:t>The ESC noted that a 2-point change in the MG-ADL scale is considered clinically meaningful.</w:t>
      </w:r>
      <w:r w:rsidR="000D51A1" w:rsidRPr="008B3A69">
        <w:rPr>
          <w:rStyle w:val="FootnoteReference"/>
        </w:rPr>
        <w:footnoteReference w:id="2"/>
      </w:r>
    </w:p>
    <w:p w14:paraId="66F3F544" w14:textId="0BE3794A" w:rsidR="007F755B" w:rsidRPr="008B3A69" w:rsidRDefault="00AD600E" w:rsidP="00AD600E">
      <w:pPr>
        <w:pStyle w:val="COMexecsumnumberedpara"/>
      </w:pPr>
      <w:bookmarkStart w:id="12" w:name="_Hlk156895288"/>
      <w:r w:rsidRPr="008B3A69">
        <w:t xml:space="preserve">The National Blood Authority </w:t>
      </w:r>
      <w:r w:rsidR="00BA68C1" w:rsidRPr="008B3A69">
        <w:t xml:space="preserve">(NBA) </w:t>
      </w:r>
      <w:r w:rsidRPr="008B3A69">
        <w:t xml:space="preserve">listing of chronic IVIg for myasthenia gravis uses a different instrument, the </w:t>
      </w:r>
      <w:bookmarkEnd w:id="12"/>
      <w:r w:rsidRPr="008B3A69">
        <w:t xml:space="preserve">Myasthenia Gravis Composite (MGC) score, to determine treatment initiation and continuation. </w:t>
      </w:r>
      <w:r w:rsidR="007F755B" w:rsidRPr="008B3A69">
        <w:t>The MGC instrument is a 10-item assessment tool capturing both patient-reported outcomes and physician assessments of impairment to different domains including ocular (2 items), bulbar (3 items), respiratory (1 item) and generalised (4 items). Each item is scored on an ordinal scale with 4 possible categories (variable scores between items), with a total score ranging from 0 to 50, where lower scores indicate better functional outcomes.</w:t>
      </w:r>
      <w:r w:rsidR="00673C4D" w:rsidRPr="008B3A69">
        <w:t xml:space="preserve"> The ESC noted that a 3-point change in the MG</w:t>
      </w:r>
      <w:r w:rsidR="00E2505C" w:rsidRPr="008B3A69">
        <w:t xml:space="preserve">C </w:t>
      </w:r>
      <w:r w:rsidR="00673C4D" w:rsidRPr="008B3A69">
        <w:t>scale is considered clinically meaningful.</w:t>
      </w:r>
      <w:r w:rsidR="00291A86" w:rsidRPr="008B3A69">
        <w:rPr>
          <w:vertAlign w:val="superscript"/>
        </w:rPr>
        <w:t>1</w:t>
      </w:r>
    </w:p>
    <w:p w14:paraId="21784322" w14:textId="5A312450" w:rsidR="00673C4D" w:rsidRPr="008B3A69" w:rsidRDefault="007F755B" w:rsidP="00AD600E">
      <w:pPr>
        <w:pStyle w:val="COMexecsumnumberedpara"/>
      </w:pPr>
      <w:r w:rsidRPr="008B3A69">
        <w:t>D</w:t>
      </w:r>
      <w:r w:rsidR="00AD600E" w:rsidRPr="008B3A69">
        <w:t xml:space="preserve">ata from the MGBase registry presented with the submission suggest that the MGC instrument is more commonly used </w:t>
      </w:r>
      <w:r w:rsidR="00794AF1" w:rsidRPr="008B3A69">
        <w:t xml:space="preserve">than </w:t>
      </w:r>
      <w:r w:rsidR="00AD600E" w:rsidRPr="008B3A69">
        <w:t xml:space="preserve">the MG-ADL instrument in Australian clinical practice. </w:t>
      </w:r>
    </w:p>
    <w:p w14:paraId="31E0B439" w14:textId="4FACDE67" w:rsidR="00AD600E" w:rsidRPr="008B3A69" w:rsidRDefault="00433664" w:rsidP="00AD600E">
      <w:pPr>
        <w:pStyle w:val="COMexecsumnumberedpara"/>
      </w:pPr>
      <w:r w:rsidRPr="008B3A69">
        <w:t>T</w:t>
      </w:r>
      <w:r w:rsidR="00291A86" w:rsidRPr="008B3A69">
        <w:t xml:space="preserve">he </w:t>
      </w:r>
      <w:r w:rsidR="00254528">
        <w:t>Pre-Sub-Committee Response</w:t>
      </w:r>
      <w:r w:rsidR="005B74F1">
        <w:t xml:space="preserve"> (</w:t>
      </w:r>
      <w:r w:rsidR="00291A86" w:rsidRPr="008B3A69">
        <w:t>PSCR</w:t>
      </w:r>
      <w:r w:rsidR="005B74F1">
        <w:t>)</w:t>
      </w:r>
      <w:r w:rsidR="00291A86" w:rsidRPr="008B3A69">
        <w:t xml:space="preserve">  re-iterated the submission’s view that the MG-ADL instrument </w:t>
      </w:r>
      <w:r w:rsidRPr="008B3A69">
        <w:t xml:space="preserve">should be used </w:t>
      </w:r>
      <w:r w:rsidR="00291A86" w:rsidRPr="008B3A69">
        <w:t>in the PBS restriction, stating “the construct validity, responsiveness to clinical improvement, simplicity, and ease-of-use of the MG-ADL are attractive attributes for use in the clinic and in clinical trials</w:t>
      </w:r>
      <w:r w:rsidR="00476485" w:rsidRPr="008B3A69">
        <w:t>.</w:t>
      </w:r>
      <w:r w:rsidR="00291A86" w:rsidRPr="008B3A69">
        <w:t>” However</w:t>
      </w:r>
      <w:r w:rsidR="00AD600E" w:rsidRPr="008B3A69">
        <w:t xml:space="preserve">, </w:t>
      </w:r>
      <w:r w:rsidR="002B53BC" w:rsidRPr="008B3A69">
        <w:t>the ESC considered it would be more appropriate for the PBS restriction to be based on the MGC score</w:t>
      </w:r>
      <w:r w:rsidR="000D51A1" w:rsidRPr="008B3A69">
        <w:t xml:space="preserve"> as</w:t>
      </w:r>
      <w:r w:rsidR="002B53BC" w:rsidRPr="008B3A69">
        <w:t xml:space="preserve">: (a) </w:t>
      </w:r>
      <w:r w:rsidR="000D51A1" w:rsidRPr="008B3A69">
        <w:t>it would be</w:t>
      </w:r>
      <w:r w:rsidR="002B53BC" w:rsidRPr="008B3A69">
        <w:t xml:space="preserve"> consistent with the NBA criteria for IVIg; (b) </w:t>
      </w:r>
      <w:r w:rsidR="000D51A1" w:rsidRPr="008B3A69">
        <w:t>MGC</w:t>
      </w:r>
      <w:r w:rsidR="002B53BC" w:rsidRPr="008B3A69">
        <w:t xml:space="preserve"> appears to be more commonly used in clinical practice</w:t>
      </w:r>
      <w:r w:rsidR="00673C4D" w:rsidRPr="008B3A69">
        <w:t xml:space="preserve">; and (c) </w:t>
      </w:r>
      <w:r w:rsidR="000D51A1" w:rsidRPr="008B3A69">
        <w:t>MGC</w:t>
      </w:r>
      <w:r w:rsidR="00673C4D" w:rsidRPr="008B3A69">
        <w:t xml:space="preserve"> includes elements of both physician and patient assessment</w:t>
      </w:r>
      <w:r w:rsidR="00AD600E" w:rsidRPr="008B3A69">
        <w:t>.</w:t>
      </w:r>
      <w:r w:rsidR="006B1EF8" w:rsidRPr="008B3A69">
        <w:t xml:space="preserve"> </w:t>
      </w:r>
    </w:p>
    <w:p w14:paraId="1F260DBD" w14:textId="1CB53C75" w:rsidR="00673C4D" w:rsidRDefault="00673C4D" w:rsidP="00673C4D">
      <w:pPr>
        <w:pStyle w:val="COMexecsumnumberedpara"/>
      </w:pPr>
      <w:r w:rsidRPr="008B3A69">
        <w:t>The PSCR stated that the MG-ADL is strongly correlated with the MGC (r = 0.85, P</w:t>
      </w:r>
      <w:r w:rsidR="00476485" w:rsidRPr="008B3A69">
        <w:t> </w:t>
      </w:r>
      <w:r w:rsidRPr="008B3A69">
        <w:t>&lt;</w:t>
      </w:r>
      <w:r w:rsidR="00476485" w:rsidRPr="008B3A69">
        <w:t> </w:t>
      </w:r>
      <w:r w:rsidRPr="008B3A69">
        <w:t>0.001)</w:t>
      </w:r>
      <w:r w:rsidR="00907D1C" w:rsidRPr="008B3A69">
        <w:t>,</w:t>
      </w:r>
      <w:r w:rsidR="00907D1C" w:rsidRPr="008B3A69">
        <w:rPr>
          <w:rStyle w:val="FootnoteReference"/>
        </w:rPr>
        <w:footnoteReference w:id="3"/>
      </w:r>
      <w:r w:rsidRPr="008B3A69">
        <w:t xml:space="preserve"> where a score greater than 0.81 indicates almost perfect agreement. However, the ESC noted that a recent publication using data from a Phase II trial of rozanolixizumab reported a much lower correlation (r = 0.5</w:t>
      </w:r>
      <w:r w:rsidR="00FA29DA" w:rsidRPr="008B3A69">
        <w:t>7</w:t>
      </w:r>
      <w:r w:rsidRPr="008B3A69">
        <w:t>; 95% CI 0.32, 0.74) between these instruments</w:t>
      </w:r>
      <w:r w:rsidR="00FA29DA" w:rsidRPr="008B3A69">
        <w:t>.</w:t>
      </w:r>
      <w:r w:rsidR="00FA29DA" w:rsidRPr="008B3A69">
        <w:rPr>
          <w:rStyle w:val="FootnoteReference"/>
        </w:rPr>
        <w:footnoteReference w:id="4"/>
      </w:r>
    </w:p>
    <w:p w14:paraId="2BABA393" w14:textId="4D81C210" w:rsidR="009409C0" w:rsidRPr="008B3A69" w:rsidRDefault="009409C0" w:rsidP="00673C4D">
      <w:pPr>
        <w:pStyle w:val="COMexecsumnumberedpara"/>
      </w:pPr>
      <w:r>
        <w:t>The pre-PBAC response reiterated the appropriateness of the MG-ADL instrument for inclusion in the restriction,</w:t>
      </w:r>
      <w:r w:rsidR="00477BBC">
        <w:t xml:space="preserve"> </w:t>
      </w:r>
      <w:r>
        <w:t>stating the ‘</w:t>
      </w:r>
      <w:r w:rsidRPr="008E56DB">
        <w:t>construct validity, responsiveness to clinical improvement, simplicity, and ease-of-use of the MG-ADL are attractive attributes for use in the clinic</w:t>
      </w:r>
      <w:r>
        <w:t xml:space="preserve">’ and that the </w:t>
      </w:r>
      <w:r w:rsidRPr="009409C0">
        <w:t xml:space="preserve">CHAMPION-MG study was powered for the </w:t>
      </w:r>
      <w:r>
        <w:t xml:space="preserve">change in MG-ADL score (which was the </w:t>
      </w:r>
      <w:r w:rsidRPr="009409C0">
        <w:t>primary endpoint</w:t>
      </w:r>
      <w:r>
        <w:t xml:space="preserve">). Further, the </w:t>
      </w:r>
      <w:r w:rsidR="00477BBC">
        <w:t>pre-PBAC response stated that ‘at the Myasthenia Gravis Stakeholder meeting, the MG-ADL was considered an appropriate assess</w:t>
      </w:r>
      <w:r w:rsidR="001C5EA1">
        <w:t>ment</w:t>
      </w:r>
      <w:r w:rsidR="00477BBC">
        <w:t xml:space="preserve"> </w:t>
      </w:r>
      <w:r w:rsidR="001C5EA1">
        <w:t xml:space="preserve">tool </w:t>
      </w:r>
      <w:r w:rsidR="00477BBC">
        <w:t>for a robust, yet wholistic reflection of the disease state’.</w:t>
      </w:r>
    </w:p>
    <w:p w14:paraId="53FD8157" w14:textId="2F6D7D51" w:rsidR="00673C4D" w:rsidRPr="008B3A69" w:rsidRDefault="00673C4D" w:rsidP="00673C4D">
      <w:pPr>
        <w:pStyle w:val="COMexecsumnumberedpara"/>
        <w:numPr>
          <w:ilvl w:val="0"/>
          <w:numId w:val="0"/>
        </w:numPr>
        <w:outlineLvl w:val="2"/>
        <w:rPr>
          <w:u w:val="single"/>
        </w:rPr>
      </w:pPr>
      <w:r w:rsidRPr="008B3A69">
        <w:rPr>
          <w:u w:val="single"/>
        </w:rPr>
        <w:t>Continuation and cessation criteria</w:t>
      </w:r>
    </w:p>
    <w:p w14:paraId="78E55678" w14:textId="1E90AF40" w:rsidR="00AD600E" w:rsidRPr="008B3A69" w:rsidRDefault="00AD600E" w:rsidP="00767A5C">
      <w:pPr>
        <w:pStyle w:val="COMexecsumnumberedpara"/>
      </w:pPr>
      <w:r w:rsidRPr="008B3A69">
        <w:t>The submission stated that the proposed continuation criterion (</w:t>
      </w:r>
      <w:r w:rsidR="00DB627A" w:rsidRPr="008B3A69">
        <w:t>≥</w:t>
      </w:r>
      <w:r w:rsidRPr="008B3A69">
        <w:t xml:space="preserve"> 2-point reduction in MG-ADL score) was based on the minimal clinically important difference for this instrument. However, the key clinical trial indicated that a similar proportion of patients in both treatment arms achieved this outcome, with no statistically significant difference between ravulizumab and placebo (63.9% versus 53.0%</w:t>
      </w:r>
      <w:r w:rsidR="00794820" w:rsidRPr="008B3A69">
        <w:t xml:space="preserve"> at Week </w:t>
      </w:r>
      <w:r w:rsidR="00C5200B" w:rsidRPr="008B3A69">
        <w:t>26</w:t>
      </w:r>
      <w:r w:rsidRPr="008B3A69">
        <w:t>;</w:t>
      </w:r>
      <w:r w:rsidR="00E16FA1" w:rsidRPr="008B3A69">
        <w:t xml:space="preserve"> </w:t>
      </w:r>
      <w:r w:rsidR="008D27E7" w:rsidRPr="008B3A69">
        <w:t xml:space="preserve">nominal </w:t>
      </w:r>
      <w:r w:rsidR="00E16FA1" w:rsidRPr="008B3A69">
        <w:t>p</w:t>
      </w:r>
      <w:r w:rsidR="00894635" w:rsidRPr="008B3A69">
        <w:t>-value</w:t>
      </w:r>
      <w:r w:rsidR="00E16FA1" w:rsidRPr="008B3A69">
        <w:t xml:space="preserve"> = 0.1621</w:t>
      </w:r>
      <w:r w:rsidRPr="008B3A69">
        <w:t xml:space="preserve">). Therefore, </w:t>
      </w:r>
      <w:r w:rsidR="00291A86" w:rsidRPr="008B3A69">
        <w:t xml:space="preserve">the evaluation considered that </w:t>
      </w:r>
      <w:r w:rsidRPr="008B3A69">
        <w:t>it may be appropriate to consider more stringent criteria to assess treatment response</w:t>
      </w:r>
      <w:r w:rsidR="00C02E56" w:rsidRPr="008B3A69">
        <w:t>.</w:t>
      </w:r>
      <w:r w:rsidRPr="008B3A69">
        <w:t xml:space="preserve"> </w:t>
      </w:r>
      <w:r w:rsidR="00C02E56" w:rsidRPr="008B3A69">
        <w:t xml:space="preserve">Further, the ESC considered that the scoring instrument </w:t>
      </w:r>
      <w:r w:rsidR="003E6B40" w:rsidRPr="008B3A69">
        <w:t>was</w:t>
      </w:r>
      <w:r w:rsidR="00C02E56" w:rsidRPr="008B3A69">
        <w:t xml:space="preserve"> subjective</w:t>
      </w:r>
      <w:r w:rsidR="00FA29DA" w:rsidRPr="008B3A69">
        <w:t xml:space="preserve">, </w:t>
      </w:r>
      <w:r w:rsidR="003E6B40" w:rsidRPr="008B3A69">
        <w:t xml:space="preserve">which is </w:t>
      </w:r>
      <w:r w:rsidR="00FA29DA" w:rsidRPr="008B3A69">
        <w:t xml:space="preserve">particularly </w:t>
      </w:r>
      <w:r w:rsidR="003E6B40" w:rsidRPr="008B3A69">
        <w:t xml:space="preserve">concerning </w:t>
      </w:r>
      <w:r w:rsidR="00C02E56" w:rsidRPr="008B3A69">
        <w:t>in the context of determining eligibility for continuing treatment</w:t>
      </w:r>
      <w:r w:rsidR="00FA29DA" w:rsidRPr="008B3A69">
        <w:t>,</w:t>
      </w:r>
      <w:r w:rsidR="00C02E56" w:rsidRPr="008B3A69">
        <w:t xml:space="preserve"> </w:t>
      </w:r>
      <w:r w:rsidR="003E6B40" w:rsidRPr="008B3A69">
        <w:t xml:space="preserve">given it </w:t>
      </w:r>
      <w:r w:rsidR="00C02E56" w:rsidRPr="008B3A69">
        <w:t xml:space="preserve">may </w:t>
      </w:r>
      <w:r w:rsidRPr="008B3A69">
        <w:t xml:space="preserve">increase the risk of leakage outside the </w:t>
      </w:r>
      <w:r w:rsidR="00C02E56" w:rsidRPr="008B3A69">
        <w:t xml:space="preserve">intended </w:t>
      </w:r>
      <w:r w:rsidRPr="008B3A69">
        <w:t>restriction.</w:t>
      </w:r>
      <w:r w:rsidR="00C02E56" w:rsidRPr="008B3A69">
        <w:t xml:space="preserve"> </w:t>
      </w:r>
      <w:r w:rsidR="006D6944" w:rsidRPr="008B3A69">
        <w:t xml:space="preserve">Further, given the placebo response rate, it will be difficult in clinical practice to attribute functional improvements to ravulizumab over </w:t>
      </w:r>
      <w:r w:rsidR="00C326CA" w:rsidRPr="008B3A69">
        <w:t xml:space="preserve">continuing treatment with </w:t>
      </w:r>
      <w:r w:rsidR="006D6944" w:rsidRPr="008B3A69">
        <w:t>standard therapy.</w:t>
      </w:r>
    </w:p>
    <w:p w14:paraId="72EFD371" w14:textId="0E2BD27D" w:rsidR="00AD600E" w:rsidRDefault="00AD600E" w:rsidP="00AD600E">
      <w:pPr>
        <w:pStyle w:val="COMexecsumnumberedpara"/>
      </w:pPr>
      <w:r w:rsidRPr="008B3A69">
        <w:t xml:space="preserve">The proposed restriction </w:t>
      </w:r>
      <w:r w:rsidR="00291A86" w:rsidRPr="008B3A69">
        <w:t>state</w:t>
      </w:r>
      <w:r w:rsidR="001F270C">
        <w:t>d</w:t>
      </w:r>
      <w:r w:rsidR="00291A86" w:rsidRPr="008B3A69">
        <w:t xml:space="preserve"> “patients who are clinically stable should be considered for a trial of cessation of therapy to identify disease remission”. </w:t>
      </w:r>
      <w:r w:rsidRPr="008B3A69">
        <w:t>T</w:t>
      </w:r>
      <w:r w:rsidR="00794AF1" w:rsidRPr="008B3A69">
        <w:t>he wording of this criterion is ambiguous as it does</w:t>
      </w:r>
      <w:r w:rsidRPr="008B3A69">
        <w:t xml:space="preserve"> not </w:t>
      </w:r>
      <w:r w:rsidR="00291A86" w:rsidRPr="008B3A69">
        <w:t xml:space="preserve">mandate cessation nor </w:t>
      </w:r>
      <w:r w:rsidRPr="008B3A69">
        <w:t xml:space="preserve">provide sufficient detail on when and how stable disease should be assessed. In contrast, the economic </w:t>
      </w:r>
      <w:r w:rsidR="00673C4D" w:rsidRPr="008B3A69">
        <w:t xml:space="preserve">model </w:t>
      </w:r>
      <w:r w:rsidRPr="008B3A69">
        <w:t xml:space="preserve">and </w:t>
      </w:r>
      <w:r w:rsidR="00673C4D" w:rsidRPr="008B3A69">
        <w:t>financial estimates</w:t>
      </w:r>
      <w:r w:rsidRPr="008B3A69">
        <w:t xml:space="preserve"> assume</w:t>
      </w:r>
      <w:r w:rsidR="00117AAF" w:rsidRPr="008B3A69">
        <w:t>d</w:t>
      </w:r>
      <w:r w:rsidRPr="008B3A69">
        <w:t xml:space="preserve"> that all patients using ravulizumab for two years will achieve disease remission and cease ravulizumab treatment</w:t>
      </w:r>
      <w:r w:rsidR="00091DBE" w:rsidRPr="008B3A69">
        <w:t>, despite the lack of data regarding the optimal duration of ravulizumab for generalised myasthenia gravis, with the available clinical data limited to 60 weeks of ongoing therapy</w:t>
      </w:r>
      <w:r w:rsidRPr="008B3A69">
        <w:t>.</w:t>
      </w:r>
      <w:r w:rsidR="00C02E56" w:rsidRPr="008B3A69">
        <w:t xml:space="preserve"> The ESC considered that, if ravulizumab </w:t>
      </w:r>
      <w:r w:rsidR="00DF1FDE" w:rsidRPr="008B3A69">
        <w:t xml:space="preserve">is intended to </w:t>
      </w:r>
      <w:r w:rsidR="00433664" w:rsidRPr="008B3A69">
        <w:t>be</w:t>
      </w:r>
      <w:r w:rsidR="00C02E56" w:rsidRPr="008B3A69">
        <w:t xml:space="preserve"> cease</w:t>
      </w:r>
      <w:r w:rsidR="00433664" w:rsidRPr="008B3A69">
        <w:t>d</w:t>
      </w:r>
      <w:r w:rsidR="00C02E56" w:rsidRPr="008B3A69">
        <w:t xml:space="preserve"> after two years of therapy, then this </w:t>
      </w:r>
      <w:r w:rsidR="00DF1FDE" w:rsidRPr="008B3A69">
        <w:t>must</w:t>
      </w:r>
      <w:r w:rsidR="00C02E56" w:rsidRPr="008B3A69">
        <w:t xml:space="preserve"> be clearly articulated in the restriction.</w:t>
      </w:r>
      <w:r w:rsidR="00F27236" w:rsidRPr="008B3A69">
        <w:t xml:space="preserve"> However, even with clear discontinuation requirements, the ESC considered that i</w:t>
      </w:r>
      <w:r w:rsidR="00DF1FDE" w:rsidRPr="008B3A69">
        <w:t xml:space="preserve">t would be </w:t>
      </w:r>
      <w:r w:rsidR="00F27236" w:rsidRPr="008B3A69">
        <w:t xml:space="preserve">unlikely </w:t>
      </w:r>
      <w:r w:rsidR="00DF1FDE" w:rsidRPr="008B3A69">
        <w:t>tha</w:t>
      </w:r>
      <w:r w:rsidR="00F27236" w:rsidRPr="008B3A69">
        <w:t xml:space="preserve">t all patients would cease </w:t>
      </w:r>
      <w:r w:rsidR="00117AAF" w:rsidRPr="008B3A69">
        <w:t>ravulizumab</w:t>
      </w:r>
      <w:r w:rsidR="00F27236" w:rsidRPr="008B3A69">
        <w:t xml:space="preserve"> after two year</w:t>
      </w:r>
      <w:r w:rsidR="00E74FD7" w:rsidRPr="008B3A69">
        <w:t xml:space="preserve">s, unless </w:t>
      </w:r>
      <w:r w:rsidR="008A1F61" w:rsidRPr="008B3A69">
        <w:t xml:space="preserve">the restriction </w:t>
      </w:r>
      <w:r w:rsidR="00E74FD7" w:rsidRPr="008B3A69">
        <w:t>was strictly time limited.</w:t>
      </w:r>
    </w:p>
    <w:p w14:paraId="0E179E22" w14:textId="63961A16" w:rsidR="00E87481" w:rsidRPr="008B3A69" w:rsidRDefault="00E87481" w:rsidP="00AD600E">
      <w:pPr>
        <w:pStyle w:val="COMexecsumnumberedpara"/>
      </w:pPr>
      <w:r>
        <w:t xml:space="preserve">The </w:t>
      </w:r>
      <w:r w:rsidR="001E6D69">
        <w:t xml:space="preserve">clinicians present at the </w:t>
      </w:r>
      <w:r>
        <w:t>stakeholder m</w:t>
      </w:r>
      <w:r w:rsidR="001E6D69">
        <w:t xml:space="preserve">eeting outlined potential stopping rules for newer agents when used early in disease (refer to paragraph </w:t>
      </w:r>
      <w:r w:rsidR="001E6D69">
        <w:fldChar w:fldCharType="begin" w:fldLock="1"/>
      </w:r>
      <w:r w:rsidR="001E6D69">
        <w:instrText xml:space="preserve"> REF _Ref169170181 \r \h </w:instrText>
      </w:r>
      <w:r w:rsidR="001E6D69">
        <w:fldChar w:fldCharType="separate"/>
      </w:r>
      <w:r w:rsidR="0081771C">
        <w:t>2.4</w:t>
      </w:r>
      <w:r w:rsidR="001E6D69">
        <w:fldChar w:fldCharType="end"/>
      </w:r>
      <w:r w:rsidR="001E6D69">
        <w:t xml:space="preserve">) </w:t>
      </w:r>
      <w:r>
        <w:t xml:space="preserve">The pre-PBAC response stated </w:t>
      </w:r>
      <w:r w:rsidR="009729A3">
        <w:t>that it expected the average time on treatment with ravulizumab to be two years, and stated that work would be required to define appropriate criteria such as recommencement provisions and that p</w:t>
      </w:r>
      <w:r w:rsidR="001E6D69" w:rsidRPr="00E7049C">
        <w:t xml:space="preserve">atients with </w:t>
      </w:r>
      <w:r w:rsidR="009729A3">
        <w:t>more severe symptoms</w:t>
      </w:r>
      <w:r w:rsidR="001E6D69">
        <w:t xml:space="preserve"> should be considered for a longer time on treatment</w:t>
      </w:r>
      <w:r w:rsidR="009729A3">
        <w:t>.</w:t>
      </w:r>
      <w:r w:rsidR="001E6D69">
        <w:t xml:space="preserve"> </w:t>
      </w:r>
    </w:p>
    <w:p w14:paraId="39DC1728" w14:textId="35DD0789" w:rsidR="00291A86" w:rsidRPr="008B3A69" w:rsidRDefault="00291A86" w:rsidP="00291A86">
      <w:pPr>
        <w:pStyle w:val="COMexecsumnumberedpara"/>
      </w:pPr>
      <w:r w:rsidRPr="008B3A69">
        <w:t xml:space="preserve">The requested restriction does not prevent patients who discontinue ravulizumab from re-starting therapy. This is consistent with the product information which states that ravulizumab can be restarted if symptoms occur after discontinuation. However, the proposed restriction is inconsistent with the economic analysis which assumed that patients treated with ravulizumab who relapsed after achieving remission would move onto other treatment options. The PSCR argued that it would be unlikely for patients to recommence ravulizumab as the “small proportion of patients” who respond to ravulizumab but later become symptomatic would use therapies such as IVIg, but argued that the selection of therapy in this instance should be reserved for clinician discretion. </w:t>
      </w:r>
      <w:r w:rsidR="008A1F61" w:rsidRPr="008B3A69">
        <w:t>The ESC felt that patients who responded to ravulizumab but then stopped it and subsequently relapsed, would be highly likely to recommence ravulizumab.</w:t>
      </w:r>
    </w:p>
    <w:p w14:paraId="0FCB9C2F" w14:textId="1A4C2646" w:rsidR="009B5A28" w:rsidRDefault="00AD600E" w:rsidP="00AD600E">
      <w:pPr>
        <w:pStyle w:val="COMexecsumnumberedpara"/>
      </w:pPr>
      <w:r w:rsidRPr="008B3A69">
        <w:t xml:space="preserve">The submission proposed a grandfathering restriction </w:t>
      </w:r>
      <w:r w:rsidR="0098616C" w:rsidRPr="008B3A69">
        <w:t>and</w:t>
      </w:r>
      <w:r w:rsidRPr="008B3A69">
        <w:t xml:space="preserve"> predicted that approximately </w:t>
      </w:r>
      <w:r w:rsidR="00E20A1C">
        <w:t>&lt; 500</w:t>
      </w:r>
      <w:r w:rsidR="00E20A1C" w:rsidRPr="008B3A69">
        <w:t xml:space="preserve"> </w:t>
      </w:r>
      <w:r w:rsidRPr="008B3A69">
        <w:t xml:space="preserve">patients would receive ravulizumab under the sponsor’s familiarisation program and </w:t>
      </w:r>
      <w:r w:rsidR="00E20A1C">
        <w:t>&lt; 500</w:t>
      </w:r>
      <w:r w:rsidR="00E20A1C" w:rsidRPr="008B3A69">
        <w:t xml:space="preserve"> </w:t>
      </w:r>
      <w:r w:rsidRPr="008B3A69">
        <w:t>of these patients would achieve a response and be eligible for treatment under the grandfathering restriction.</w:t>
      </w:r>
    </w:p>
    <w:p w14:paraId="6F580809" w14:textId="6C2BAD49" w:rsidR="008B3A69" w:rsidRPr="008B3A69" w:rsidRDefault="008B3A69" w:rsidP="008B3A69">
      <w:pPr>
        <w:pStyle w:val="COMexecsumnumberedpara"/>
        <w:numPr>
          <w:ilvl w:val="0"/>
          <w:numId w:val="0"/>
        </w:numPr>
        <w:ind w:left="720"/>
        <w:rPr>
          <w:i/>
          <w:iCs/>
        </w:rPr>
      </w:pPr>
      <w:r w:rsidRPr="008B3A69">
        <w:rPr>
          <w:i/>
          <w:iCs/>
        </w:rPr>
        <w:t>For more detail on PBAC’s view, see section 7 PBAC outcome.</w:t>
      </w:r>
    </w:p>
    <w:p w14:paraId="7075B85C" w14:textId="321C9B30" w:rsidR="00B50DB8" w:rsidRPr="008B3A69" w:rsidDel="00195452" w:rsidRDefault="00203181" w:rsidP="004E18E9">
      <w:pPr>
        <w:pStyle w:val="COMH1numbered"/>
      </w:pPr>
      <w:bookmarkStart w:id="13" w:name="_Toc156986098"/>
      <w:r w:rsidRPr="008B3A69" w:rsidDel="00195452">
        <w:t xml:space="preserve">Population and </w:t>
      </w:r>
      <w:r w:rsidR="008E0D3C" w:rsidRPr="008B3A69" w:rsidDel="00195452">
        <w:t>d</w:t>
      </w:r>
      <w:r w:rsidRPr="008B3A69" w:rsidDel="00195452">
        <w:t>isease</w:t>
      </w:r>
      <w:bookmarkEnd w:id="13"/>
    </w:p>
    <w:p w14:paraId="0886BCF0" w14:textId="60D7DE25" w:rsidR="00B7273E" w:rsidRPr="008B3A69" w:rsidRDefault="00F90B85" w:rsidP="00B7273E">
      <w:pPr>
        <w:pStyle w:val="COMexecsumnumberedpara"/>
      </w:pPr>
      <w:r w:rsidRPr="008B3A69">
        <w:t xml:space="preserve">Myasthenia gravis is a chronic autoimmune disorder caused by antibodies attacking components of the neuromuscular junction leading to impaired signal transmission between nerves and muscles. </w:t>
      </w:r>
      <w:r w:rsidR="00B7273E" w:rsidRPr="008B3A69">
        <w:t xml:space="preserve">Patients can be classified into subgroups based on the antibodies involved, with the majority of patients (approximately 80%) having autoantibodies against acetylcholine receptors (AChR). </w:t>
      </w:r>
    </w:p>
    <w:p w14:paraId="59D956C7" w14:textId="43E16B8E" w:rsidR="00983884" w:rsidRPr="008B3A69" w:rsidRDefault="00983884" w:rsidP="0077428E">
      <w:pPr>
        <w:pStyle w:val="COMexecsumnumberedpara"/>
      </w:pPr>
      <w:r w:rsidRPr="008B3A69">
        <w:t>Myasthenia gravis can develop at any age (including childhood) but more commonly impacts young adult women (under 40) and older men (over 60). The worldwide prevalence of myasthenia gravis ranges from approximately 15 to 20 patients per 100,000 population. A</w:t>
      </w:r>
      <w:r w:rsidR="00836A85" w:rsidRPr="008B3A69">
        <w:t>n</w:t>
      </w:r>
      <w:r w:rsidRPr="008B3A69">
        <w:t xml:space="preserve"> analysis conducted for the submission indicated an annual incidence of 5 patients per 100,000 population and a prevalence of 20 patients per 100,000 population in Australia.</w:t>
      </w:r>
    </w:p>
    <w:p w14:paraId="3B134BF1" w14:textId="6F654326" w:rsidR="0077428E" w:rsidRPr="008B3A69" w:rsidRDefault="00836A85" w:rsidP="0077428E">
      <w:pPr>
        <w:pStyle w:val="COMexecsumnumberedpara"/>
      </w:pPr>
      <w:r w:rsidRPr="008B3A69">
        <w:t xml:space="preserve">Myasthenia gravis </w:t>
      </w:r>
      <w:r w:rsidR="003A67AA" w:rsidRPr="008B3A69">
        <w:t xml:space="preserve">is characterised by muscle weakness which </w:t>
      </w:r>
      <w:r w:rsidR="008044F4" w:rsidRPr="008B3A69">
        <w:t>may be</w:t>
      </w:r>
      <w:r w:rsidR="003A67AA" w:rsidRPr="008B3A69">
        <w:t xml:space="preserve"> localised to ocular muscles (ocular myasthenia gravis) or generalised to include other muscles such as limbs, bulbar and respiratory system (generalised myasthenia gravis). Typical symptoms associated with myasthenia gravis include </w:t>
      </w:r>
      <w:r w:rsidR="00735326" w:rsidRPr="008B3A69">
        <w:t>droo</w:t>
      </w:r>
      <w:r w:rsidR="003A67AA" w:rsidRPr="008B3A69">
        <w:t>ping eyelids, blurred or double vision, shortness of breath, difficulty chewing and swallowing, impaired speech, fatigue, pain, muscle spasms and general muscle weakness.</w:t>
      </w:r>
      <w:r w:rsidR="0077428E" w:rsidRPr="008B3A69">
        <w:t xml:space="preserve"> </w:t>
      </w:r>
    </w:p>
    <w:p w14:paraId="403B00C6" w14:textId="5541CD90" w:rsidR="0077428E" w:rsidRPr="008B3A69" w:rsidRDefault="0077428E" w:rsidP="0077428E">
      <w:pPr>
        <w:pStyle w:val="COMexecsumnumberedpara"/>
      </w:pPr>
      <w:r w:rsidRPr="008B3A69">
        <w:t xml:space="preserve">The intensity of muscle weakness can fluctuate from day to day and can be worsened due to fatigue, stress, current illness and other factors. </w:t>
      </w:r>
      <w:r w:rsidR="00B36EA5" w:rsidRPr="008B3A69">
        <w:t>Transient periods of rapid symptom worsening are referred to as disease exacerbations</w:t>
      </w:r>
      <w:r w:rsidRPr="008B3A69">
        <w:t>. Of particular concern, are myasthenic crises which are severe, life-threatening exacerbations that are due to weakness in respiratory muscles which result</w:t>
      </w:r>
      <w:r w:rsidR="00B36EA5" w:rsidRPr="008B3A69">
        <w:t>s</w:t>
      </w:r>
      <w:r w:rsidRPr="008B3A69">
        <w:t xml:space="preserve"> in respiratory failure requiring mechanical ventilation. However, the submission noted that the mortality of patients with myasthenia gravis has decreased over the years and most patients have a normal lifespan.</w:t>
      </w:r>
    </w:p>
    <w:p w14:paraId="719DD555" w14:textId="68F63913" w:rsidR="00E16FA1" w:rsidRPr="008B3A69" w:rsidRDefault="00E16FA1" w:rsidP="004E18E9">
      <w:pPr>
        <w:pStyle w:val="COMexecsumnumberedpara"/>
      </w:pPr>
      <w:r w:rsidRPr="008B3A69">
        <w:t>Patient perspectives included in the submission indicate that myasthenia gravis has substantial impacts on activities of daily living, quality of life, workplace participation and carer burden. Impacts on physical functioning included an inability to participate in hobbies/sports, need for increased planning, and difficulties performing activities of daily living such as personal hygiene, cooking and driving. Many patients also reported emotional/social impacts including anxiety, fear, depression, frustration, embarrassment and feeling misunderstood. The submission highlighted that the treatments used to manage this condition may also have substantial negative impacts to patients, particularly the side-effects associated with the use of chronic corticosteroids.</w:t>
      </w:r>
    </w:p>
    <w:p w14:paraId="2D467FF9" w14:textId="74FE806A" w:rsidR="00836A85" w:rsidRPr="008B3A69" w:rsidRDefault="00836A85" w:rsidP="00836A85">
      <w:pPr>
        <w:pStyle w:val="COMexecsumnumberedpara"/>
      </w:pPr>
      <w:r w:rsidRPr="008B3A69">
        <w:t>Current treatment guidelines for A</w:t>
      </w:r>
      <w:r w:rsidR="00673C4D" w:rsidRPr="008B3A69">
        <w:t>c</w:t>
      </w:r>
      <w:r w:rsidRPr="008B3A69">
        <w:t>hR positive generalised myasthenia gravis recommend the use of:</w:t>
      </w:r>
    </w:p>
    <w:p w14:paraId="04A83121" w14:textId="01BD0FB0" w:rsidR="00836A85" w:rsidRPr="008B3A69" w:rsidRDefault="00836A85" w:rsidP="00A2714D">
      <w:pPr>
        <w:pStyle w:val="COMexecsumnumberedpara"/>
        <w:numPr>
          <w:ilvl w:val="0"/>
          <w:numId w:val="10"/>
        </w:numPr>
        <w:ind w:left="1276" w:hanging="567"/>
      </w:pPr>
      <w:r w:rsidRPr="008B3A69">
        <w:t xml:space="preserve">anti-cholinesterases i.e. pyridostigmine. While pyridostigmine has a rapid onset of action, its efficacy </w:t>
      </w:r>
      <w:r w:rsidR="00E2505C" w:rsidRPr="008B3A69">
        <w:t xml:space="preserve">commonly </w:t>
      </w:r>
      <w:r w:rsidRPr="008B3A69">
        <w:t xml:space="preserve">decreases over time. </w:t>
      </w:r>
    </w:p>
    <w:p w14:paraId="43715EE8" w14:textId="3EAB6B82" w:rsidR="00836A85" w:rsidRPr="008B3A69" w:rsidRDefault="00836A85" w:rsidP="00A2714D">
      <w:pPr>
        <w:pStyle w:val="COMexecsumnumberedpara"/>
        <w:numPr>
          <w:ilvl w:val="0"/>
          <w:numId w:val="10"/>
        </w:numPr>
        <w:ind w:left="1276" w:hanging="567"/>
      </w:pPr>
      <w:r w:rsidRPr="008B3A69">
        <w:t xml:space="preserve">immunosuppressive therapy, with corticosteroids used as the main first-line treatment option. The guidelines state that other immunosuppressive agents </w:t>
      </w:r>
      <w:r w:rsidR="00CD508D" w:rsidRPr="008B3A69">
        <w:t xml:space="preserve">(e.g. mycophenolate mofetil, azathioprine, methotrexate, tacrolimus, cyclosporin) </w:t>
      </w:r>
      <w:r w:rsidRPr="008B3A69">
        <w:t xml:space="preserve">may also be used as monotherapies (for patients who refuse corticosteroids or who are contraindicated to corticosteroids) or in combination with corticosteroids (for patients with an inadequate response, for patients with significant steroid side-effects or who require high corticosteroid doses that cannot be tapered down). </w:t>
      </w:r>
      <w:r w:rsidR="00711325" w:rsidRPr="008B3A69">
        <w:t xml:space="preserve">The </w:t>
      </w:r>
      <w:r w:rsidR="0064694B" w:rsidRPr="008B3A69">
        <w:t>PSCR stated that symptom control with immunosuppressive therapies can take 18 to 24 months for optimisation (refer to Paragraph</w:t>
      </w:r>
      <w:r w:rsidR="00A20970" w:rsidRPr="008B3A69">
        <w:t xml:space="preserve"> </w:t>
      </w:r>
      <w:r w:rsidR="00A20970" w:rsidRPr="008B3A69">
        <w:fldChar w:fldCharType="begin" w:fldLock="1"/>
      </w:r>
      <w:r w:rsidR="00A20970" w:rsidRPr="008B3A69">
        <w:instrText xml:space="preserve"> REF _Ref158974402 \r \h  \* MERGEFORMAT </w:instrText>
      </w:r>
      <w:r w:rsidR="00A20970" w:rsidRPr="008B3A69">
        <w:fldChar w:fldCharType="separate"/>
      </w:r>
      <w:r w:rsidR="0081771C">
        <w:t>4.11</w:t>
      </w:r>
      <w:r w:rsidR="00A20970" w:rsidRPr="008B3A69">
        <w:fldChar w:fldCharType="end"/>
      </w:r>
      <w:r w:rsidR="0064694B" w:rsidRPr="008B3A69">
        <w:t>)</w:t>
      </w:r>
      <w:r w:rsidR="00E2505C" w:rsidRPr="008B3A69">
        <w:t xml:space="preserve"> without providing adequate supportive evidence for this claim</w:t>
      </w:r>
      <w:r w:rsidRPr="008B3A69">
        <w:t xml:space="preserve">. </w:t>
      </w:r>
      <w:r w:rsidR="00572BD3" w:rsidRPr="008B3A69">
        <w:t>Further the ESC noted that response to immunosuppressive therapies often occurs earlier than this in clinical practice e.g. typically within six months of therapy.</w:t>
      </w:r>
    </w:p>
    <w:p w14:paraId="6F52D2A7" w14:textId="3BA94D32" w:rsidR="00836A85" w:rsidRPr="008B3A69" w:rsidRDefault="00836A85" w:rsidP="00A2714D">
      <w:pPr>
        <w:pStyle w:val="COMexecsumnumberedpara"/>
        <w:numPr>
          <w:ilvl w:val="0"/>
          <w:numId w:val="10"/>
        </w:numPr>
        <w:ind w:left="1276" w:hanging="567"/>
      </w:pPr>
      <w:r w:rsidRPr="008B3A69">
        <w:t xml:space="preserve">chronic plasma exchange (PLEX) and chronic intravenous immunoglobulin (IVIg) can be used (a) as bridging therapies while patients adjust to other slower-acting immunosuppressive agents; and/or (b) in patients with treatment-refractory disease (variable definitions in the literature). </w:t>
      </w:r>
      <w:r w:rsidR="004855B1" w:rsidRPr="008B3A69">
        <w:t xml:space="preserve">The ESC noted that </w:t>
      </w:r>
      <w:r w:rsidR="00FD7CE6" w:rsidRPr="008B3A69">
        <w:t>IVIg is funded by the NBA for the indication: As maintenance therapy for moderate to severe myasthenia gravis when other treatments have been ineffective or caused intolerable side effects. T</w:t>
      </w:r>
      <w:r w:rsidR="00D45BF6" w:rsidRPr="008B3A69">
        <w:t>he NBA criteria</w:t>
      </w:r>
      <w:r w:rsidR="001508AE" w:rsidRPr="008B3A69">
        <w:t xml:space="preserve"> for IVIg requires (a) a patient to have a MGC score </w:t>
      </w:r>
      <w:r w:rsidR="001508AE" w:rsidRPr="008B3A69">
        <w:rPr>
          <w:rFonts w:cstheme="minorHAnsi"/>
        </w:rPr>
        <w:t>≥</w:t>
      </w:r>
      <w:r w:rsidR="001508AE" w:rsidRPr="008B3A69">
        <w:t xml:space="preserve"> 4 points; and (b) </w:t>
      </w:r>
      <w:r w:rsidR="001508AE" w:rsidRPr="008B3A69">
        <w:rPr>
          <w:rFonts w:cstheme="minorHAnsi"/>
        </w:rPr>
        <w:t>≥</w:t>
      </w:r>
      <w:r w:rsidR="001508AE" w:rsidRPr="008B3A69">
        <w:t xml:space="preserve"> 2 other treatments to have been ineffective, contra-indicated, unavailable or caused intolerable side effects. The NBA criteria state ‘IVIg should be regarded as a stopgap treatment while using short-term drugs such as pyridostigmine and while introducing effective immunotherapy’ an</w:t>
      </w:r>
      <w:r w:rsidR="00FD7CE6" w:rsidRPr="008B3A69">
        <w:t>d</w:t>
      </w:r>
      <w:r w:rsidR="00D45BF6" w:rsidRPr="008B3A69">
        <w:t xml:space="preserve"> requir</w:t>
      </w:r>
      <w:r w:rsidR="001508AE" w:rsidRPr="008B3A69">
        <w:t>es</w:t>
      </w:r>
      <w:r w:rsidR="00D45BF6" w:rsidRPr="008B3A69">
        <w:t xml:space="preserve"> evidence of response for ongoing therapy after 4 months and then annually thereafte</w:t>
      </w:r>
      <w:r w:rsidR="00FD7CE6" w:rsidRPr="008B3A69">
        <w:t>r.</w:t>
      </w:r>
      <w:r w:rsidR="001508AE" w:rsidRPr="008B3A69">
        <w:rPr>
          <w:rStyle w:val="FootnoteReference"/>
        </w:rPr>
        <w:t xml:space="preserve"> </w:t>
      </w:r>
      <w:r w:rsidR="001508AE" w:rsidRPr="008B3A69">
        <w:rPr>
          <w:rStyle w:val="FootnoteReference"/>
        </w:rPr>
        <w:footnoteReference w:id="5"/>
      </w:r>
      <w:r w:rsidR="004855B1" w:rsidRPr="008B3A69">
        <w:t xml:space="preserve"> </w:t>
      </w:r>
    </w:p>
    <w:p w14:paraId="576851D8" w14:textId="77777777" w:rsidR="00836A85" w:rsidRPr="008B3A69" w:rsidRDefault="00836A85" w:rsidP="00A2714D">
      <w:pPr>
        <w:pStyle w:val="COMexecsumnumberedpara"/>
        <w:numPr>
          <w:ilvl w:val="0"/>
          <w:numId w:val="10"/>
        </w:numPr>
        <w:ind w:left="1276" w:hanging="567"/>
      </w:pPr>
      <w:r w:rsidRPr="008B3A69">
        <w:t xml:space="preserve">Patients with refractory disease can receive treatment with chronic PLEX/IVIg, eculizumab (not registered in Australia for myasthenia gravis), cyclophosphamide or rituximab. </w:t>
      </w:r>
    </w:p>
    <w:p w14:paraId="5818AB00" w14:textId="77777777" w:rsidR="00836A85" w:rsidRPr="008B3A69" w:rsidRDefault="00836A85" w:rsidP="00A2714D">
      <w:pPr>
        <w:pStyle w:val="COMexecsumnumberedpara"/>
        <w:numPr>
          <w:ilvl w:val="0"/>
          <w:numId w:val="10"/>
        </w:numPr>
        <w:ind w:left="1276" w:hanging="567"/>
      </w:pPr>
      <w:r w:rsidRPr="008B3A69">
        <w:t>Acute management of exacerbations typically involves the use of high dose corticosteroids, IVIg or PLEX in the community or hospital setting depending on severity.</w:t>
      </w:r>
    </w:p>
    <w:p w14:paraId="45650F8B" w14:textId="3B227485" w:rsidR="00836A85" w:rsidRPr="008B3A69" w:rsidRDefault="00836A85" w:rsidP="00A2714D">
      <w:pPr>
        <w:pStyle w:val="COMexecsumnumberedpara"/>
        <w:numPr>
          <w:ilvl w:val="0"/>
          <w:numId w:val="10"/>
        </w:numPr>
        <w:ind w:left="1276" w:hanging="567"/>
      </w:pPr>
      <w:r w:rsidRPr="008B3A69">
        <w:t>Thymectomy</w:t>
      </w:r>
      <w:r w:rsidR="00E2505C" w:rsidRPr="008B3A69">
        <w:t xml:space="preserve"> can be considered</w:t>
      </w:r>
      <w:r w:rsidRPr="008B3A69">
        <w:t xml:space="preserve"> in </w:t>
      </w:r>
      <w:r w:rsidR="0064694B" w:rsidRPr="008B3A69">
        <w:t xml:space="preserve">a </w:t>
      </w:r>
      <w:r w:rsidRPr="008B3A69">
        <w:t xml:space="preserve">small </w:t>
      </w:r>
      <w:r w:rsidR="00362E1D" w:rsidRPr="008B3A69">
        <w:t>subset</w:t>
      </w:r>
      <w:r w:rsidRPr="008B3A69">
        <w:t xml:space="preserve"> of patients</w:t>
      </w:r>
      <w:r w:rsidR="00E2505C" w:rsidRPr="008B3A69">
        <w:t>, particularly younger patients</w:t>
      </w:r>
      <w:r w:rsidRPr="008B3A69">
        <w:t>.</w:t>
      </w:r>
    </w:p>
    <w:p w14:paraId="2FFF0E8F" w14:textId="7664F9A8" w:rsidR="004D0411" w:rsidRPr="008B3A69" w:rsidRDefault="004D0411" w:rsidP="00E37D40">
      <w:pPr>
        <w:pStyle w:val="COMexecsumnumberedpara"/>
      </w:pPr>
      <w:r w:rsidRPr="008B3A69">
        <w:t>The PSCR stated “the goal of treatment is to reduce or eliminate symptoms and functional limitations, while avoiding treatment side effects and, importantly, minimising myasthenic exacerbation (clinical deterioration of myasthenia gravis symptoms) and myasthenic crisis where intubation/mechanical ventilation is necessary”.</w:t>
      </w:r>
    </w:p>
    <w:p w14:paraId="50879BD5" w14:textId="2A043739" w:rsidR="00836A85" w:rsidRPr="008B3A69" w:rsidRDefault="00836A85" w:rsidP="00E37D40">
      <w:pPr>
        <w:pStyle w:val="COMexecsumnumberedpara"/>
        <w:spacing w:after="240"/>
      </w:pPr>
      <w:r w:rsidRPr="008B3A69">
        <w:fldChar w:fldCharType="begin" w:fldLock="1"/>
      </w:r>
      <w:r w:rsidRPr="008B3A69">
        <w:instrText xml:space="preserve"> REF _Ref158885036 \h  \* MERGEFORMAT </w:instrText>
      </w:r>
      <w:r w:rsidRPr="008B3A69">
        <w:fldChar w:fldCharType="separate"/>
      </w:r>
      <w:r w:rsidR="0081771C" w:rsidRPr="008B3A69">
        <w:t xml:space="preserve">Figure </w:t>
      </w:r>
      <w:r w:rsidR="0081771C">
        <w:rPr>
          <w:noProof/>
        </w:rPr>
        <w:t>1</w:t>
      </w:r>
      <w:r w:rsidRPr="008B3A69">
        <w:fldChar w:fldCharType="end"/>
      </w:r>
      <w:r w:rsidR="002049AF" w:rsidRPr="008B3A69">
        <w:t xml:space="preserve"> presents the proposed clinical algorithm provided in the PSCR</w:t>
      </w:r>
      <w:r w:rsidRPr="008B3A69">
        <w:t xml:space="preserve">. </w:t>
      </w:r>
    </w:p>
    <w:p w14:paraId="458750F2" w14:textId="32654B1F" w:rsidR="003501F5" w:rsidRPr="008B3A69" w:rsidRDefault="00836A85" w:rsidP="0075424E">
      <w:pPr>
        <w:pStyle w:val="Tableheadingrow"/>
      </w:pPr>
      <w:bookmarkStart w:id="14" w:name="_Ref158885036"/>
      <w:r w:rsidRPr="008B3A69">
        <w:t xml:space="preserve">Figure </w:t>
      </w:r>
      <w:r w:rsidRPr="008B3A69">
        <w:fldChar w:fldCharType="begin" w:fldLock="1"/>
      </w:r>
      <w:r w:rsidRPr="008B3A69">
        <w:instrText xml:space="preserve"> SEQ Figure \* ARABIC </w:instrText>
      </w:r>
      <w:r w:rsidRPr="008B3A69">
        <w:fldChar w:fldCharType="separate"/>
      </w:r>
      <w:r w:rsidR="0081771C">
        <w:rPr>
          <w:noProof/>
        </w:rPr>
        <w:t>1</w:t>
      </w:r>
      <w:r w:rsidRPr="008B3A69">
        <w:fldChar w:fldCharType="end"/>
      </w:r>
      <w:bookmarkEnd w:id="14"/>
      <w:r w:rsidRPr="008B3A69">
        <w:t xml:space="preserve">: Proposed clinical management algorithm for </w:t>
      </w:r>
      <w:r w:rsidR="0064694B" w:rsidRPr="008B3A69">
        <w:t>generalised</w:t>
      </w:r>
      <w:r w:rsidRPr="008B3A69">
        <w:t xml:space="preserve"> myasthenia gravis, as provided in the </w:t>
      </w:r>
      <w:r w:rsidR="003501F5" w:rsidRPr="008B3A69">
        <w:t>PSCR</w:t>
      </w:r>
    </w:p>
    <w:p w14:paraId="6946BD47" w14:textId="7EBA10C4" w:rsidR="002B1EE3" w:rsidRPr="008B3A69" w:rsidRDefault="003501F5" w:rsidP="0075424E">
      <w:pPr>
        <w:pStyle w:val="COMexecsumnumberedpara"/>
        <w:numPr>
          <w:ilvl w:val="0"/>
          <w:numId w:val="0"/>
        </w:numPr>
        <w:spacing w:after="0"/>
        <w:ind w:left="720" w:hanging="720"/>
        <w:jc w:val="left"/>
      </w:pPr>
      <w:r w:rsidRPr="008B3A69">
        <w:rPr>
          <w:noProof/>
        </w:rPr>
        <w:drawing>
          <wp:inline distT="0" distB="0" distL="0" distR="0" wp14:anchorId="43221C99" wp14:editId="1684EF45">
            <wp:extent cx="5732145" cy="3213716"/>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3213716"/>
                    </a:xfrm>
                    <a:prstGeom prst="rect">
                      <a:avLst/>
                    </a:prstGeom>
                  </pic:spPr>
                </pic:pic>
              </a:graphicData>
            </a:graphic>
          </wp:inline>
        </w:drawing>
      </w:r>
    </w:p>
    <w:p w14:paraId="433FF07A" w14:textId="77777777" w:rsidR="0064694B" w:rsidRPr="008B3A69" w:rsidRDefault="000433FF" w:rsidP="00CD508D">
      <w:pPr>
        <w:pStyle w:val="TableFigureFooter"/>
        <w:spacing w:after="240"/>
      </w:pPr>
      <w:r w:rsidRPr="008B3A69">
        <w:t xml:space="preserve">Source: PSCR Figure 1, p5. </w:t>
      </w:r>
    </w:p>
    <w:p w14:paraId="3551AF18" w14:textId="6B5F54AA" w:rsidR="001905E8" w:rsidRPr="008B3A69" w:rsidRDefault="000433FF" w:rsidP="0075424E">
      <w:pPr>
        <w:pStyle w:val="TableFigureFooter"/>
      </w:pPr>
      <w:r w:rsidRPr="008B3A69">
        <w:t>*Note: Treatment with ravulizumab is expected to occur for an average of 2 years to allow time for the onset of effect from immunosuppression therapies (noting the fast onset of action with ravulizumab and that symptom control with ISTs can take 18 to 24 months for optimisation</w:t>
      </w:r>
    </w:p>
    <w:p w14:paraId="16CF0583" w14:textId="479C36EE" w:rsidR="00711325" w:rsidRPr="008B3A69" w:rsidRDefault="002F169C" w:rsidP="00ED177A">
      <w:pPr>
        <w:pStyle w:val="COMexecsumnumberedpara"/>
      </w:pPr>
      <w:r w:rsidRPr="008B3A69">
        <w:t xml:space="preserve">The evaluation considered that the inclusion of anticholinesterases, corticosteroids and immunosuppressive </w:t>
      </w:r>
      <w:r w:rsidR="0064694B" w:rsidRPr="008B3A69">
        <w:t xml:space="preserve">therapies </w:t>
      </w:r>
      <w:r w:rsidRPr="008B3A69">
        <w:t>in a single line of therapy was not adequately justified given that these therapies are typically used in a stepwise manner. Additionally, the separation of therapies for treatment-refractory disease into two lines of therapy was not adequately justified as there is no established treatment sequencing for these patients.</w:t>
      </w:r>
    </w:p>
    <w:p w14:paraId="5057CA23" w14:textId="1FA587F1" w:rsidR="00B11802" w:rsidRPr="008B3A69" w:rsidRDefault="00711325">
      <w:pPr>
        <w:pStyle w:val="COMexecsumnumberedpara"/>
      </w:pPr>
      <w:r w:rsidRPr="008B3A69">
        <w:t>The PSCR stated the intended place in therapy for ravulizumab was as an add-on therapy in patients currently treated with at least one standard therapy whilst symptoms persist. It further stated that ravulizumab is intended as a bridging therapy (with an average treatment duration of two years) that can be used ‘early and upfront’ for symptom reduction until immunosuppressive therapies can achieve optimal control</w:t>
      </w:r>
      <w:r w:rsidR="00290F63" w:rsidRPr="008B3A69">
        <w:t xml:space="preserve">. </w:t>
      </w:r>
    </w:p>
    <w:p w14:paraId="07BF4E4B" w14:textId="2C5CDE6D" w:rsidR="005E3C66" w:rsidRPr="008B3A69" w:rsidRDefault="005E3C66" w:rsidP="005E3C66">
      <w:pPr>
        <w:pStyle w:val="COMexecsumnumberedpara"/>
      </w:pPr>
      <w:bookmarkStart w:id="15" w:name="_Ref158974402"/>
      <w:r w:rsidRPr="008B3A69">
        <w:t>With regard to the proposed duration of ravulizumab treatment of two years, the PSCR stated that generalised myasthenia gravis “reaches maximum, or near maximum, severity in the first two years after onset of symptoms… Generalised myasthenia gravis is not a progressive disease, and the stepwise approach to current therapies is driven by safety concerns and symptom control relating to those therapies rather than disease progression. Patients generally require some level of immunosuppression for many years, but achieving the balance of appropriate immunosuppression with acceptable safety is challenging and slow – on average taking 18-24 months”.</w:t>
      </w:r>
      <w:bookmarkEnd w:id="15"/>
      <w:r w:rsidRPr="008B3A69">
        <w:t xml:space="preserve"> </w:t>
      </w:r>
    </w:p>
    <w:p w14:paraId="0E6630BA" w14:textId="60C8014C" w:rsidR="00290F63" w:rsidRPr="008B3A69" w:rsidRDefault="00290F63" w:rsidP="00767A5C">
      <w:pPr>
        <w:pStyle w:val="COMexecsumnumberedpara"/>
      </w:pPr>
      <w:r w:rsidRPr="008B3A69">
        <w:t>The PSCR stated that symptom control with immunosuppressive therapies can take 18 to 24 months for optimisation</w:t>
      </w:r>
      <w:r w:rsidR="00711325" w:rsidRPr="008B3A69">
        <w:t xml:space="preserve">, </w:t>
      </w:r>
      <w:r w:rsidRPr="008B3A69">
        <w:t>while</w:t>
      </w:r>
      <w:r w:rsidR="00711325" w:rsidRPr="008B3A69">
        <w:t xml:space="preserve"> ravulizumab has a fast onset of action. </w:t>
      </w:r>
      <w:r w:rsidR="002049AF" w:rsidRPr="008B3A69">
        <w:t>However, t</w:t>
      </w:r>
      <w:r w:rsidR="0064694B" w:rsidRPr="008B3A69">
        <w:t xml:space="preserve">he ESC considered </w:t>
      </w:r>
      <w:r w:rsidR="000634C8" w:rsidRPr="008B3A69">
        <w:t xml:space="preserve">this claim was inadequately justified and </w:t>
      </w:r>
      <w:r w:rsidR="00572BD3" w:rsidRPr="008B3A69">
        <w:t xml:space="preserve">noted </w:t>
      </w:r>
      <w:r w:rsidR="0064694B" w:rsidRPr="008B3A69">
        <w:t>that response to immunosuppressive therapies often occurs earlier</w:t>
      </w:r>
      <w:r w:rsidR="002049AF" w:rsidRPr="008B3A69">
        <w:t xml:space="preserve"> tha</w:t>
      </w:r>
      <w:r w:rsidR="00540E0F" w:rsidRPr="008B3A69">
        <w:t>n</w:t>
      </w:r>
      <w:r w:rsidR="002049AF" w:rsidRPr="008B3A69">
        <w:t xml:space="preserve"> this in clinical practice</w:t>
      </w:r>
      <w:r w:rsidR="0064694B" w:rsidRPr="008B3A69">
        <w:t xml:space="preserve"> e</w:t>
      </w:r>
      <w:r w:rsidR="00F86AD5" w:rsidRPr="008B3A69">
        <w:t>.</w:t>
      </w:r>
      <w:r w:rsidR="0064694B" w:rsidRPr="008B3A69">
        <w:t>g</w:t>
      </w:r>
      <w:r w:rsidR="00F86AD5" w:rsidRPr="008B3A69">
        <w:t>.</w:t>
      </w:r>
      <w:r w:rsidR="0064694B" w:rsidRPr="008B3A69">
        <w:t xml:space="preserve"> </w:t>
      </w:r>
      <w:r w:rsidR="00F72A6D" w:rsidRPr="008B3A69">
        <w:t xml:space="preserve">typically </w:t>
      </w:r>
      <w:r w:rsidR="00540E0F" w:rsidRPr="008B3A69">
        <w:t>within</w:t>
      </w:r>
      <w:r w:rsidR="00F72A6D" w:rsidRPr="008B3A69">
        <w:t xml:space="preserve"> </w:t>
      </w:r>
      <w:r w:rsidR="0064694B" w:rsidRPr="008B3A69">
        <w:t>six months</w:t>
      </w:r>
      <w:r w:rsidR="002049AF" w:rsidRPr="008B3A69">
        <w:t xml:space="preserve"> of therapy</w:t>
      </w:r>
      <w:r w:rsidR="0064694B" w:rsidRPr="008B3A69">
        <w:t xml:space="preserve">. </w:t>
      </w:r>
    </w:p>
    <w:p w14:paraId="4C7A2CE0" w14:textId="41EE4C6D" w:rsidR="004A2494" w:rsidRPr="008B3A69" w:rsidRDefault="00ED177A" w:rsidP="00991BB8">
      <w:pPr>
        <w:pStyle w:val="COMexecsumnumberedpara"/>
      </w:pPr>
      <w:r w:rsidRPr="008B3A69">
        <w:t xml:space="preserve">The evaluation considered that the </w:t>
      </w:r>
      <w:r w:rsidR="00596632" w:rsidRPr="008B3A69">
        <w:t xml:space="preserve">appropriate </w:t>
      </w:r>
      <w:r w:rsidRPr="008B3A69">
        <w:t>clinical place in therapy for ravulizumab was unclear, noting ravulizumab (and other similar agents for the treatment of myasthenia gravis) is</w:t>
      </w:r>
      <w:r w:rsidR="002049AF" w:rsidRPr="008B3A69">
        <w:t xml:space="preserve"> </w:t>
      </w:r>
      <w:r w:rsidRPr="008B3A69">
        <w:t xml:space="preserve">yet to be incorporated into </w:t>
      </w:r>
      <w:r w:rsidR="000634C8" w:rsidRPr="008B3A69">
        <w:t xml:space="preserve">recognised </w:t>
      </w:r>
      <w:r w:rsidRPr="008B3A69">
        <w:t xml:space="preserve">treatment guidelines. </w:t>
      </w:r>
      <w:r w:rsidR="00596632" w:rsidRPr="008B3A69">
        <w:t>Further, t</w:t>
      </w:r>
      <w:r w:rsidRPr="008B3A69">
        <w:t xml:space="preserve">he ESC considered </w:t>
      </w:r>
      <w:r w:rsidR="00596632" w:rsidRPr="008B3A69">
        <w:t xml:space="preserve">the clinical place outlined in the PSCR </w:t>
      </w:r>
      <w:r w:rsidR="00540E0F" w:rsidRPr="008B3A69">
        <w:t xml:space="preserve">may be </w:t>
      </w:r>
      <w:r w:rsidRPr="008B3A69">
        <w:t>inappropriately broad</w:t>
      </w:r>
      <w:r w:rsidR="00A8215B" w:rsidRPr="008B3A69">
        <w:t xml:space="preserve"> particularly given the risk-benefit profile of ravulizumab</w:t>
      </w:r>
      <w:r w:rsidR="00A20970" w:rsidRPr="008B3A69">
        <w:t xml:space="preserve"> in this condition</w:t>
      </w:r>
      <w:r w:rsidR="00A8215B" w:rsidRPr="008B3A69">
        <w:t xml:space="preserve"> (i.e.</w:t>
      </w:r>
      <w:r w:rsidR="0064694B" w:rsidRPr="008B3A69">
        <w:t xml:space="preserve"> </w:t>
      </w:r>
      <w:r w:rsidR="00A8215B" w:rsidRPr="008B3A69">
        <w:t xml:space="preserve">as outlined in Paragraph </w:t>
      </w:r>
      <w:r w:rsidR="004D0411" w:rsidRPr="008B3A69">
        <w:fldChar w:fldCharType="begin" w:fldLock="1"/>
      </w:r>
      <w:r w:rsidR="004D0411" w:rsidRPr="008B3A69">
        <w:instrText xml:space="preserve"> REF _Ref158973967 \r \h  \* MERGEFORMAT </w:instrText>
      </w:r>
      <w:r w:rsidR="004D0411" w:rsidRPr="008B3A69">
        <w:fldChar w:fldCharType="separate"/>
      </w:r>
      <w:r w:rsidR="0081771C">
        <w:t>6.34</w:t>
      </w:r>
      <w:r w:rsidR="004D0411" w:rsidRPr="008B3A69">
        <w:fldChar w:fldCharType="end"/>
      </w:r>
      <w:r w:rsidR="004D0411" w:rsidRPr="008B3A69">
        <w:t>).</w:t>
      </w:r>
      <w:r w:rsidR="002049AF" w:rsidRPr="008B3A69">
        <w:t xml:space="preserve"> </w:t>
      </w:r>
    </w:p>
    <w:p w14:paraId="56028439" w14:textId="77777777" w:rsidR="00D02143" w:rsidRPr="008B3A69" w:rsidRDefault="00ED177A" w:rsidP="00767A5C">
      <w:pPr>
        <w:pStyle w:val="COMexecsumnumberedpara"/>
      </w:pPr>
      <w:bookmarkStart w:id="16" w:name="_Ref158972223"/>
      <w:r w:rsidRPr="008B3A69">
        <w:t xml:space="preserve">The ESC </w:t>
      </w:r>
      <w:r w:rsidR="00D02143" w:rsidRPr="008B3A69">
        <w:t xml:space="preserve">considered there were additional issues with the </w:t>
      </w:r>
      <w:r w:rsidRPr="008B3A69">
        <w:t xml:space="preserve">place in therapy </w:t>
      </w:r>
      <w:r w:rsidR="00596632" w:rsidRPr="008B3A69">
        <w:t xml:space="preserve">proposed in the PSCR </w:t>
      </w:r>
      <w:r w:rsidR="00D02143" w:rsidRPr="008B3A69">
        <w:t>including:</w:t>
      </w:r>
      <w:bookmarkEnd w:id="16"/>
    </w:p>
    <w:p w14:paraId="341DA05D" w14:textId="4193F85A" w:rsidR="00D02143" w:rsidRPr="008B3A69" w:rsidRDefault="00A20970" w:rsidP="0075424E">
      <w:pPr>
        <w:pStyle w:val="COMexecsumnumberedpara"/>
        <w:numPr>
          <w:ilvl w:val="0"/>
          <w:numId w:val="12"/>
        </w:numPr>
        <w:ind w:left="1134"/>
      </w:pPr>
      <w:r w:rsidRPr="008B3A69">
        <w:t>i</w:t>
      </w:r>
      <w:r w:rsidR="00D02143" w:rsidRPr="008B3A69">
        <w:t>t d</w:t>
      </w:r>
      <w:r w:rsidRPr="008B3A69">
        <w:t>id</w:t>
      </w:r>
      <w:r w:rsidR="00D02143" w:rsidRPr="008B3A69">
        <w:t xml:space="preserve"> not </w:t>
      </w:r>
      <w:r w:rsidR="00ED177A" w:rsidRPr="008B3A69">
        <w:t>align with the proposed restriction</w:t>
      </w:r>
      <w:r w:rsidR="00D02143" w:rsidRPr="008B3A69">
        <w:t>, which</w:t>
      </w:r>
      <w:r w:rsidR="00ED177A" w:rsidRPr="008B3A69">
        <w:t xml:space="preserve"> is substantially broader as it </w:t>
      </w:r>
      <w:r w:rsidR="00EE05A8" w:rsidRPr="008B3A69">
        <w:t>allow</w:t>
      </w:r>
      <w:r w:rsidR="00EE05A8">
        <w:t>ed</w:t>
      </w:r>
      <w:r w:rsidR="00EE05A8" w:rsidRPr="008B3A69">
        <w:t xml:space="preserve"> </w:t>
      </w:r>
      <w:r w:rsidR="00ED177A" w:rsidRPr="008B3A69">
        <w:t xml:space="preserve">ravulizumab to be used in any combination with standard therapy at any place in therapy. </w:t>
      </w:r>
      <w:r w:rsidR="00EE05A8">
        <w:t xml:space="preserve">While the pre-PBAC response proposed an amendment to the requested restriction to require patients to have </w:t>
      </w:r>
      <w:r w:rsidR="00EE05A8" w:rsidRPr="00EE05A8">
        <w:t xml:space="preserve">an MG-ADL score of ≥6 points despite at least one </w:t>
      </w:r>
      <w:r w:rsidR="00EB2260" w:rsidRPr="00EB2260">
        <w:rPr>
          <w:lang w:val="en-GB" w:eastAsia="en-US"/>
        </w:rPr>
        <w:t>immunosuppressive therap</w:t>
      </w:r>
      <w:r w:rsidR="00EB2260">
        <w:rPr>
          <w:lang w:val="en-GB" w:eastAsia="en-US"/>
        </w:rPr>
        <w:t>y</w:t>
      </w:r>
      <w:r w:rsidR="00EE05A8">
        <w:t xml:space="preserve">, the PBAC noted the proposed restriction </w:t>
      </w:r>
      <w:r w:rsidR="00EE05A8" w:rsidRPr="008B3A69">
        <w:t>d</w:t>
      </w:r>
      <w:r w:rsidR="00EE05A8">
        <w:t>id</w:t>
      </w:r>
      <w:r w:rsidR="00EE05A8" w:rsidRPr="008B3A69">
        <w:t xml:space="preserve"> </w:t>
      </w:r>
      <w:r w:rsidR="00EE05A8">
        <w:t>not</w:t>
      </w:r>
      <w:r w:rsidR="00EE05A8" w:rsidRPr="008B3A69">
        <w:t xml:space="preserve"> </w:t>
      </w:r>
      <w:r w:rsidR="00D02143" w:rsidRPr="008B3A69">
        <w:t>specify</w:t>
      </w:r>
      <w:r w:rsidR="004855B1" w:rsidRPr="008B3A69">
        <w:t xml:space="preserve"> </w:t>
      </w:r>
      <w:r w:rsidR="00D02143" w:rsidRPr="008B3A69">
        <w:t xml:space="preserve">a timeframe for assessing response to </w:t>
      </w:r>
      <w:r w:rsidR="004855B1" w:rsidRPr="008B3A69">
        <w:t xml:space="preserve">optimised </w:t>
      </w:r>
      <w:r w:rsidR="00D02143" w:rsidRPr="008B3A69">
        <w:t>immunosuppressive therapy prior to commencing ravulizumab.</w:t>
      </w:r>
      <w:r w:rsidR="00EE05A8">
        <w:t xml:space="preserve"> </w:t>
      </w:r>
    </w:p>
    <w:p w14:paraId="04AFC9FA" w14:textId="018D7A89" w:rsidR="00ED177A" w:rsidRPr="008B3A69" w:rsidRDefault="00A20970" w:rsidP="0075424E">
      <w:pPr>
        <w:pStyle w:val="COMexecsumnumberedpara"/>
        <w:numPr>
          <w:ilvl w:val="0"/>
          <w:numId w:val="12"/>
        </w:numPr>
        <w:ind w:left="1134"/>
      </w:pPr>
      <w:r w:rsidRPr="008B3A69">
        <w:t>i</w:t>
      </w:r>
      <w:r w:rsidR="00D02143" w:rsidRPr="008B3A69">
        <w:t xml:space="preserve">t </w:t>
      </w:r>
      <w:r w:rsidR="00ED177A" w:rsidRPr="008B3A69">
        <w:t xml:space="preserve">was </w:t>
      </w:r>
      <w:r w:rsidR="001C203E" w:rsidRPr="008B3A69">
        <w:t>in</w:t>
      </w:r>
      <w:r w:rsidR="00ED177A" w:rsidRPr="008B3A69">
        <w:t xml:space="preserve">consistent with the clinical data provided. Patients in CHAMPION-MG trial had a mean time since diagnosis of 9.9 years (median 6.5 years), with many patients having extensive treatment histories; and therefore trial participants are unlikely to be representative of newly diagnosed patients. </w:t>
      </w:r>
      <w:r w:rsidR="000634C8" w:rsidRPr="008B3A69">
        <w:t xml:space="preserve">This extensive pre-trial burden of disease in CHAMPION-MG is at odds with the PSCR claim that most patients stop progression after 2 years. </w:t>
      </w:r>
      <w:r w:rsidR="00ED177A" w:rsidRPr="008B3A69">
        <w:t>Additionally, the CHAMPION-MG trial and extension were designed to assess the use of ravulizumab as an ongoing maintenance therapy rather than a bridging therapy, and the trial protocol did not require the optimisation of background therapies over the course of the trial (changes to immunosuppressive therapy occurred in 24% of trial participants but most of these changes related to the use of rescue medications or were not clinically significant).</w:t>
      </w:r>
    </w:p>
    <w:p w14:paraId="2FFB640E" w14:textId="77777777" w:rsidR="00D02143" w:rsidRPr="008B3A69" w:rsidRDefault="00D02143" w:rsidP="0075424E">
      <w:pPr>
        <w:pStyle w:val="COMexecsumnumberedpara"/>
        <w:numPr>
          <w:ilvl w:val="0"/>
          <w:numId w:val="12"/>
        </w:numPr>
        <w:ind w:left="1134"/>
      </w:pPr>
      <w:r w:rsidRPr="008B3A69">
        <w:t>it would be difficult to differentiate the contribution of each agent (ravulizumab versus immunosuppressive therapy) to response.</w:t>
      </w:r>
    </w:p>
    <w:p w14:paraId="1E120AD9" w14:textId="3248BDF2" w:rsidR="00330B93" w:rsidRPr="008B3A69" w:rsidRDefault="00330B93" w:rsidP="0075424E">
      <w:pPr>
        <w:pStyle w:val="COMexecsumnumberedpara"/>
        <w:numPr>
          <w:ilvl w:val="0"/>
          <w:numId w:val="12"/>
        </w:numPr>
        <w:ind w:left="1134"/>
      </w:pPr>
      <w:r w:rsidRPr="008B3A69">
        <w:t xml:space="preserve">it was </w:t>
      </w:r>
      <w:r w:rsidR="001C203E" w:rsidRPr="008B3A69">
        <w:t>in</w:t>
      </w:r>
      <w:r w:rsidRPr="008B3A69">
        <w:t>consistent with the economic analysis presented in the submission</w:t>
      </w:r>
      <w:r w:rsidR="001C203E" w:rsidRPr="008B3A69">
        <w:t xml:space="preserve"> (refer to Paragraph </w:t>
      </w:r>
      <w:r w:rsidR="001C203E" w:rsidRPr="008B3A69">
        <w:fldChar w:fldCharType="begin" w:fldLock="1"/>
      </w:r>
      <w:r w:rsidR="001C203E" w:rsidRPr="008B3A69">
        <w:instrText xml:space="preserve"> REF _Ref159226934 \r \h </w:instrText>
      </w:r>
      <w:r w:rsidR="008B3A69" w:rsidRPr="008B3A69">
        <w:instrText xml:space="preserve"> \* MERGEFORMAT </w:instrText>
      </w:r>
      <w:r w:rsidR="001C203E" w:rsidRPr="008B3A69">
        <w:fldChar w:fldCharType="separate"/>
      </w:r>
      <w:r w:rsidR="0081771C">
        <w:t>6.42</w:t>
      </w:r>
      <w:r w:rsidR="001C203E" w:rsidRPr="008B3A69">
        <w:fldChar w:fldCharType="end"/>
      </w:r>
      <w:r w:rsidR="001C203E" w:rsidRPr="008B3A69">
        <w:t>)</w:t>
      </w:r>
      <w:r w:rsidRPr="008B3A69">
        <w:t xml:space="preserve">. </w:t>
      </w:r>
    </w:p>
    <w:p w14:paraId="59E42B2C" w14:textId="77777777" w:rsidR="00113699" w:rsidRPr="008B3A69" w:rsidRDefault="00113699" w:rsidP="00113699">
      <w:pPr>
        <w:pStyle w:val="COMexecsumnumberedpara"/>
      </w:pPr>
      <w:r w:rsidRPr="008B3A69">
        <w:t>The ESC considered there are some patients who do not achieve adequate symptom control with any standard treatment and there is a high unmet need for effective therapies in this group of patients. However, the ESC considered:</w:t>
      </w:r>
    </w:p>
    <w:p w14:paraId="2159273B" w14:textId="77777777" w:rsidR="00113699" w:rsidRPr="008B3A69" w:rsidRDefault="00113699" w:rsidP="0075424E">
      <w:pPr>
        <w:pStyle w:val="COMexecsumnumberedpara"/>
        <w:numPr>
          <w:ilvl w:val="0"/>
          <w:numId w:val="12"/>
        </w:numPr>
        <w:ind w:left="1134"/>
      </w:pPr>
      <w:r w:rsidRPr="008B3A69">
        <w:t xml:space="preserve">there was a lack of evidence specifically in this patient group, given the broad inclusion criteria of the pivotal trial. </w:t>
      </w:r>
    </w:p>
    <w:p w14:paraId="3ED936DA" w14:textId="77777777" w:rsidR="00113699" w:rsidRPr="008B3A69" w:rsidRDefault="00113699" w:rsidP="0075424E">
      <w:pPr>
        <w:pStyle w:val="COMexecsumnumberedpara"/>
        <w:numPr>
          <w:ilvl w:val="0"/>
          <w:numId w:val="12"/>
        </w:numPr>
        <w:ind w:left="1134" w:hanging="357"/>
      </w:pPr>
      <w:r w:rsidRPr="008B3A69">
        <w:t>this place in therapy may overlap with the current use of chronic IVIg</w:t>
      </w:r>
      <w:r>
        <w:t xml:space="preserve"> and PLEX</w:t>
      </w:r>
      <w:r w:rsidRPr="008B3A69">
        <w:t>. However, the ESC considered that the advantages of ravulizumab versus IVIg were unclear as both have a fast onset of action, while ravulizumab is associated with a risk of infection including meningococcal infection.</w:t>
      </w:r>
      <w:r>
        <w:t xml:space="preserve"> The pre-PBAC response stated that IVIg has a demanding dosing schedule, has no clear benefit at six months, can be difficult to access and is associated with adverse events. Further, the pre-PBAC response stated PLEX is very intensive to administer</w:t>
      </w:r>
      <w:r w:rsidRPr="00094EE2">
        <w:t xml:space="preserve"> </w:t>
      </w:r>
      <w:r>
        <w:t>and is only available in a limited number of outpatient clinics in Australia.</w:t>
      </w:r>
    </w:p>
    <w:p w14:paraId="217C6940" w14:textId="62B2B08D" w:rsidR="00B11802" w:rsidRDefault="00B11802">
      <w:pPr>
        <w:pStyle w:val="COMexecsumnumberedpara"/>
      </w:pPr>
      <w:r w:rsidRPr="00B11802">
        <w:t xml:space="preserve">The pre-PBAC response re-iterated that ravulizumab should be added to </w:t>
      </w:r>
      <w:r w:rsidR="00EB2260" w:rsidRPr="00EB2260">
        <w:rPr>
          <w:lang w:val="en-GB" w:eastAsia="en-US"/>
        </w:rPr>
        <w:t>immunosuppressive therap</w:t>
      </w:r>
      <w:r w:rsidR="00EB2260">
        <w:rPr>
          <w:lang w:val="en-GB" w:eastAsia="en-US"/>
        </w:rPr>
        <w:t>ie</w:t>
      </w:r>
      <w:r w:rsidRPr="00B11802">
        <w:t>s early in the treatment algorithm, prior to consideration of chronic IVIg. While the pre-PBAC response acknowledged that the majority of patients achieve remission with standard therapy (i.e. pyridostigmine and/or corticosteroids and/or non-steroid immunosuppressants), it argued that some patients require high doses of corticosteroids, and the full effect of non-steroid</w:t>
      </w:r>
      <w:r w:rsidR="00EB2260" w:rsidRPr="00EB2260">
        <w:rPr>
          <w:lang w:val="en-GB" w:eastAsia="en-US"/>
        </w:rPr>
        <w:t xml:space="preserve"> immunosuppressive therap</w:t>
      </w:r>
      <w:r w:rsidR="00EB2260">
        <w:rPr>
          <w:lang w:val="en-GB" w:eastAsia="en-US"/>
        </w:rPr>
        <w:t>ie</w:t>
      </w:r>
      <w:r w:rsidRPr="00B11802">
        <w:t>s may take up to approximately two years to manifest.</w:t>
      </w:r>
    </w:p>
    <w:p w14:paraId="3F8F3337" w14:textId="204C12DD" w:rsidR="0046525C" w:rsidRDefault="0046525C" w:rsidP="0046525C">
      <w:pPr>
        <w:pStyle w:val="COMexecsumnumberedpara"/>
      </w:pPr>
      <w:r w:rsidRPr="008B3A69">
        <w:t>Ravulizumab is a monoclonal antibody that binds to the C5 terminal complement protein and inhibits its cleavage into pro-inflammatory components (C5a and C5b). It is presumed that the therapeutic effects of ravulizumab are due to a reduction in inflammation (potentially by reducing membrane attack complex-mediated destruction of the neuromuscular junction) although the exact mechanism of action in generalised myasthenia gravis is currently unknown.</w:t>
      </w:r>
    </w:p>
    <w:p w14:paraId="09982780" w14:textId="3571BC54" w:rsidR="008B3A69" w:rsidRPr="008B3A69" w:rsidRDefault="008B3A69" w:rsidP="008B3A69">
      <w:pPr>
        <w:pStyle w:val="COMexecsumnumberedpara"/>
        <w:numPr>
          <w:ilvl w:val="0"/>
          <w:numId w:val="0"/>
        </w:numPr>
        <w:ind w:left="720"/>
      </w:pPr>
      <w:r w:rsidRPr="008B3A69">
        <w:rPr>
          <w:i/>
          <w:iCs/>
        </w:rPr>
        <w:t>For more detail on PBAC’s view, see section 7 PBAC outcome</w:t>
      </w:r>
      <w:r w:rsidRPr="008B3A69">
        <w:t>.</w:t>
      </w:r>
    </w:p>
    <w:p w14:paraId="51E5AE96" w14:textId="5945884B" w:rsidR="00B50DB8" w:rsidRPr="008B3A69" w:rsidRDefault="00B50DB8" w:rsidP="004E18E9">
      <w:pPr>
        <w:pStyle w:val="COMH1numbered"/>
      </w:pPr>
      <w:bookmarkStart w:id="17" w:name="_Toc156986099"/>
      <w:r w:rsidRPr="008B3A69">
        <w:t>Comparator</w:t>
      </w:r>
      <w:bookmarkEnd w:id="17"/>
    </w:p>
    <w:p w14:paraId="4EE12EFB" w14:textId="2216CF1C" w:rsidR="00271716" w:rsidRPr="008B3A69" w:rsidRDefault="00271716" w:rsidP="00271716">
      <w:pPr>
        <w:pStyle w:val="COMexecsumnumberedpara"/>
        <w:rPr>
          <w:snapToGrid/>
        </w:rPr>
      </w:pPr>
      <w:r w:rsidRPr="008B3A69">
        <w:rPr>
          <w:snapToGrid/>
        </w:rPr>
        <w:t>The submission nominated</w:t>
      </w:r>
      <w:r w:rsidR="00E71AA3" w:rsidRPr="008B3A69">
        <w:rPr>
          <w:snapToGrid/>
        </w:rPr>
        <w:t xml:space="preserve"> standard therapy (consisting of anticholinesterases, corticosteroids and other immunosuppressive agents such as mycophenolate mofetil, azathioprine, methotrexate, tacrolimus, cyclosporin)</w:t>
      </w:r>
      <w:r w:rsidRPr="008B3A69">
        <w:rPr>
          <w:snapToGrid/>
        </w:rPr>
        <w:t xml:space="preserve"> as the main comparator. The main argument provided in support of this nomination was that ravulizumab will be used as an add-on therapy that would not directly substitute for any of the currently used therapies for myasthenia gravis.</w:t>
      </w:r>
      <w:r w:rsidR="00B13441" w:rsidRPr="008B3A69">
        <w:rPr>
          <w:snapToGrid/>
        </w:rPr>
        <w:t xml:space="preserve"> </w:t>
      </w:r>
    </w:p>
    <w:p w14:paraId="2A877D86" w14:textId="37F2DC51" w:rsidR="00A93489" w:rsidRPr="008B3A69" w:rsidRDefault="00A93489" w:rsidP="00A93489">
      <w:pPr>
        <w:pStyle w:val="COMexecsumnumberedpara"/>
        <w:rPr>
          <w:snapToGrid/>
        </w:rPr>
      </w:pPr>
      <w:r w:rsidRPr="008B3A69">
        <w:rPr>
          <w:snapToGrid/>
        </w:rPr>
        <w:t xml:space="preserve">The </w:t>
      </w:r>
      <w:r w:rsidR="00EE7751" w:rsidRPr="008B3A69">
        <w:rPr>
          <w:snapToGrid/>
        </w:rPr>
        <w:t xml:space="preserve">evaluation considered that the </w:t>
      </w:r>
      <w:r w:rsidRPr="008B3A69">
        <w:rPr>
          <w:snapToGrid/>
        </w:rPr>
        <w:t xml:space="preserve">claim that ravulizumab would not substitute for existing therapies was inadequately supported. The PBS restriction </w:t>
      </w:r>
      <w:r w:rsidR="000E0FF9" w:rsidRPr="008B3A69">
        <w:rPr>
          <w:snapToGrid/>
        </w:rPr>
        <w:t>proposed</w:t>
      </w:r>
      <w:r w:rsidR="000E0FF9">
        <w:rPr>
          <w:snapToGrid/>
        </w:rPr>
        <w:t xml:space="preserve"> in the submission did</w:t>
      </w:r>
      <w:r w:rsidRPr="008B3A69">
        <w:rPr>
          <w:snapToGrid/>
        </w:rPr>
        <w:t xml:space="preserve"> not specify lines of therapy and allows use of ravulizumab in any combination with </w:t>
      </w:r>
      <w:r w:rsidR="00C31E43" w:rsidRPr="008B3A69">
        <w:rPr>
          <w:snapToGrid/>
        </w:rPr>
        <w:t>standard therapy</w:t>
      </w:r>
      <w:r w:rsidRPr="008B3A69">
        <w:rPr>
          <w:snapToGrid/>
        </w:rPr>
        <w:t xml:space="preserve"> at any point of the treatment pathway </w:t>
      </w:r>
      <w:r w:rsidR="00290F63" w:rsidRPr="008B3A69">
        <w:rPr>
          <w:snapToGrid/>
        </w:rPr>
        <w:t>(</w:t>
      </w:r>
      <w:r w:rsidRPr="008B3A69">
        <w:rPr>
          <w:snapToGrid/>
        </w:rPr>
        <w:t xml:space="preserve">including </w:t>
      </w:r>
      <w:r w:rsidR="00290F63" w:rsidRPr="008B3A69">
        <w:rPr>
          <w:snapToGrid/>
        </w:rPr>
        <w:t>for</w:t>
      </w:r>
      <w:r w:rsidRPr="008B3A69">
        <w:rPr>
          <w:snapToGrid/>
        </w:rPr>
        <w:t xml:space="preserve"> first-</w:t>
      </w:r>
      <w:r w:rsidR="0046525C" w:rsidRPr="008B3A69">
        <w:rPr>
          <w:snapToGrid/>
        </w:rPr>
        <w:t xml:space="preserve"> or</w:t>
      </w:r>
      <w:r w:rsidRPr="008B3A69">
        <w:rPr>
          <w:snapToGrid/>
        </w:rPr>
        <w:t xml:space="preserve"> second-line therapy </w:t>
      </w:r>
      <w:r w:rsidR="0046525C" w:rsidRPr="008B3A69">
        <w:rPr>
          <w:snapToGrid/>
        </w:rPr>
        <w:t xml:space="preserve">or </w:t>
      </w:r>
      <w:r w:rsidRPr="008B3A69">
        <w:rPr>
          <w:snapToGrid/>
        </w:rPr>
        <w:t>for treatment-refractory patients</w:t>
      </w:r>
      <w:r w:rsidR="00290F63" w:rsidRPr="008B3A69">
        <w:rPr>
          <w:snapToGrid/>
        </w:rPr>
        <w:t>)</w:t>
      </w:r>
      <w:r w:rsidRPr="008B3A69">
        <w:rPr>
          <w:snapToGrid/>
        </w:rPr>
        <w:t xml:space="preserve">. </w:t>
      </w:r>
      <w:r w:rsidR="0046525C" w:rsidRPr="008B3A69">
        <w:rPr>
          <w:snapToGrid/>
        </w:rPr>
        <w:t xml:space="preserve">The evaluation </w:t>
      </w:r>
      <w:r w:rsidR="00371021">
        <w:rPr>
          <w:snapToGrid/>
        </w:rPr>
        <w:t xml:space="preserve">and the ESC </w:t>
      </w:r>
      <w:r w:rsidR="0046525C" w:rsidRPr="008B3A69">
        <w:rPr>
          <w:snapToGrid/>
        </w:rPr>
        <w:t>considered that, i</w:t>
      </w:r>
      <w:r w:rsidRPr="008B3A69">
        <w:rPr>
          <w:snapToGrid/>
        </w:rPr>
        <w:t>n each of these settings</w:t>
      </w:r>
      <w:r w:rsidR="0046525C" w:rsidRPr="008B3A69">
        <w:rPr>
          <w:snapToGrid/>
        </w:rPr>
        <w:t>,</w:t>
      </w:r>
      <w:r w:rsidRPr="008B3A69">
        <w:rPr>
          <w:snapToGrid/>
        </w:rPr>
        <w:t xml:space="preserve"> ravulizumab as an add-on therapy would displace existing treatment options which should therefore be considered as treatment comparators including existing immunosuppressive therapies, chronic PLEX/IVIg, rituximab and cyclophosphamide. </w:t>
      </w:r>
    </w:p>
    <w:p w14:paraId="6C5D39EC" w14:textId="73E6A1A3" w:rsidR="0046525C" w:rsidRDefault="00E46AA1" w:rsidP="00A93489">
      <w:pPr>
        <w:pStyle w:val="COMexecsumnumberedpara"/>
        <w:rPr>
          <w:snapToGrid/>
        </w:rPr>
      </w:pPr>
      <w:r w:rsidRPr="008B3A69">
        <w:rPr>
          <w:snapToGrid/>
        </w:rPr>
        <w:t xml:space="preserve">The PSCR acknowledged that use of ravulizumab may displace downstream therapies (e.g. patients may no longer require subsequent treatments such as IVIg), but argued these treatments represent different “levels of therapy” and would not directly substitute for ravulizumab. </w:t>
      </w:r>
      <w:r w:rsidR="0046525C" w:rsidRPr="008B3A69">
        <w:rPr>
          <w:snapToGrid/>
        </w:rPr>
        <w:t>The ESC considered that</w:t>
      </w:r>
      <w:r w:rsidR="00330B93" w:rsidRPr="008B3A69">
        <w:rPr>
          <w:snapToGrid/>
        </w:rPr>
        <w:t>, while</w:t>
      </w:r>
      <w:r w:rsidR="0046525C" w:rsidRPr="008B3A69">
        <w:rPr>
          <w:snapToGrid/>
        </w:rPr>
        <w:t xml:space="preserve"> ravulizumab</w:t>
      </w:r>
      <w:r w:rsidR="00C02E56" w:rsidRPr="008B3A69">
        <w:rPr>
          <w:snapToGrid/>
        </w:rPr>
        <w:t xml:space="preserve"> </w:t>
      </w:r>
      <w:r w:rsidR="00330B93" w:rsidRPr="008B3A69">
        <w:rPr>
          <w:snapToGrid/>
        </w:rPr>
        <w:t>may</w:t>
      </w:r>
      <w:r w:rsidR="00C02E56" w:rsidRPr="008B3A69">
        <w:rPr>
          <w:snapToGrid/>
        </w:rPr>
        <w:t xml:space="preserve"> </w:t>
      </w:r>
      <w:r w:rsidR="00330B93" w:rsidRPr="008B3A69">
        <w:rPr>
          <w:snapToGrid/>
        </w:rPr>
        <w:t>delay (</w:t>
      </w:r>
      <w:r w:rsidR="00C02E56" w:rsidRPr="008B3A69">
        <w:rPr>
          <w:snapToGrid/>
        </w:rPr>
        <w:t>rather than replace</w:t>
      </w:r>
      <w:r w:rsidR="00330B93" w:rsidRPr="008B3A69">
        <w:rPr>
          <w:snapToGrid/>
        </w:rPr>
        <w:t>)</w:t>
      </w:r>
      <w:r w:rsidR="00C02E56" w:rsidRPr="008B3A69">
        <w:rPr>
          <w:snapToGrid/>
        </w:rPr>
        <w:t xml:space="preserve"> existing therapies</w:t>
      </w:r>
      <w:r w:rsidR="00330B93" w:rsidRPr="008B3A69">
        <w:rPr>
          <w:snapToGrid/>
        </w:rPr>
        <w:t>,</w:t>
      </w:r>
      <w:r w:rsidR="00C02E56" w:rsidRPr="008B3A69">
        <w:rPr>
          <w:snapToGrid/>
        </w:rPr>
        <w:t xml:space="preserve"> the appropriate </w:t>
      </w:r>
      <w:r w:rsidR="00250424" w:rsidRPr="008B3A69">
        <w:rPr>
          <w:snapToGrid/>
        </w:rPr>
        <w:t>comparator would be contingent on the clinical place of ravulizumab in therapy.</w:t>
      </w:r>
      <w:r w:rsidR="00C02E56" w:rsidRPr="008B3A69">
        <w:rPr>
          <w:snapToGrid/>
        </w:rPr>
        <w:t xml:space="preserve"> </w:t>
      </w:r>
    </w:p>
    <w:p w14:paraId="0C014A7A" w14:textId="64FCBD98" w:rsidR="00EE05A8" w:rsidRPr="008B3A69" w:rsidRDefault="00EE05A8" w:rsidP="00A93489">
      <w:pPr>
        <w:pStyle w:val="COMexecsumnumberedpara"/>
        <w:rPr>
          <w:snapToGrid/>
        </w:rPr>
      </w:pPr>
      <w:r>
        <w:rPr>
          <w:snapToGrid/>
        </w:rPr>
        <w:t>The pre-PBAC response reiterated that the intended place in therapy for ravulizumab was prior to consideration of chronic IVIg.</w:t>
      </w:r>
      <w:r w:rsidR="00DC24A3">
        <w:rPr>
          <w:snapToGrid/>
        </w:rPr>
        <w:t xml:space="preserve"> However, the PBAC noted that the proposed restriction would also enable use </w:t>
      </w:r>
      <w:r w:rsidR="00130958">
        <w:rPr>
          <w:snapToGrid/>
        </w:rPr>
        <w:t xml:space="preserve">of ravulizumab </w:t>
      </w:r>
      <w:r w:rsidR="00DC24A3">
        <w:rPr>
          <w:snapToGrid/>
        </w:rPr>
        <w:t>in later lines</w:t>
      </w:r>
      <w:r w:rsidR="00130958">
        <w:rPr>
          <w:snapToGrid/>
        </w:rPr>
        <w:t xml:space="preserve"> of therapies, including in those patients who would otherwise be treated with chronic IVIg/PLEX.</w:t>
      </w:r>
      <w:r w:rsidR="00DC24A3">
        <w:rPr>
          <w:snapToGrid/>
        </w:rPr>
        <w:t xml:space="preserve"> </w:t>
      </w:r>
    </w:p>
    <w:p w14:paraId="0D2B0692" w14:textId="471AE979" w:rsidR="00271716" w:rsidRDefault="00271716" w:rsidP="0035018F">
      <w:pPr>
        <w:pStyle w:val="COMexecsumnumberedpara"/>
        <w:rPr>
          <w:snapToGrid/>
        </w:rPr>
      </w:pPr>
      <w:r w:rsidRPr="008B3A69">
        <w:rPr>
          <w:snapToGrid/>
        </w:rPr>
        <w:t>The submission also identified a number of newer therapies for myasthenia gravis including zilucoplan (FDA and EMA approved, under TGA review), efgartigimod (FDA and EMA approved) and rozanolixizumab (FDA and EMA approved) but argued that these treatments were not near-market comparators as their timeframe for marketing approval in Australia was unknown.</w:t>
      </w:r>
      <w:r w:rsidR="00CB1FEB" w:rsidRPr="008B3A69">
        <w:rPr>
          <w:snapToGrid/>
        </w:rPr>
        <w:t xml:space="preserve"> However, the evaluation </w:t>
      </w:r>
      <w:r w:rsidR="00C02E56" w:rsidRPr="008B3A69">
        <w:rPr>
          <w:snapToGrid/>
        </w:rPr>
        <w:t xml:space="preserve">and the ESC </w:t>
      </w:r>
      <w:r w:rsidR="00CB1FEB" w:rsidRPr="008B3A69">
        <w:rPr>
          <w:snapToGrid/>
        </w:rPr>
        <w:t xml:space="preserve">considered </w:t>
      </w:r>
      <w:r w:rsidR="0035018F" w:rsidRPr="008B3A69">
        <w:rPr>
          <w:snapToGrid/>
        </w:rPr>
        <w:t>these therapies may be</w:t>
      </w:r>
      <w:r w:rsidR="00E46AA1" w:rsidRPr="008B3A69">
        <w:rPr>
          <w:snapToGrid/>
        </w:rPr>
        <w:t xml:space="preserve"> considered</w:t>
      </w:r>
      <w:r w:rsidR="0035018F" w:rsidRPr="008B3A69">
        <w:rPr>
          <w:snapToGrid/>
        </w:rPr>
        <w:t xml:space="preserve"> </w:t>
      </w:r>
      <w:r w:rsidRPr="008B3A69">
        <w:rPr>
          <w:snapToGrid/>
        </w:rPr>
        <w:t>potential near-market comparators</w:t>
      </w:r>
      <w:r w:rsidR="00E46AA1" w:rsidRPr="008B3A69">
        <w:rPr>
          <w:snapToGrid/>
        </w:rPr>
        <w:t xml:space="preserve"> and may help inform the clinical place for new gMG treatment options</w:t>
      </w:r>
      <w:r w:rsidRPr="008B3A69">
        <w:rPr>
          <w:snapToGrid/>
        </w:rPr>
        <w:t>.</w:t>
      </w:r>
    </w:p>
    <w:p w14:paraId="68760A3E" w14:textId="0AA4BA72" w:rsidR="008B3A69" w:rsidRPr="008B3A69" w:rsidRDefault="008B3A69" w:rsidP="008B3A69">
      <w:pPr>
        <w:pStyle w:val="COMexecsumnumberedpara"/>
        <w:numPr>
          <w:ilvl w:val="0"/>
          <w:numId w:val="0"/>
        </w:numPr>
        <w:ind w:left="720"/>
        <w:rPr>
          <w:i/>
          <w:iCs/>
          <w:snapToGrid/>
        </w:rPr>
      </w:pPr>
      <w:r w:rsidRPr="008B3A69">
        <w:rPr>
          <w:i/>
          <w:iCs/>
          <w:snapToGrid/>
        </w:rPr>
        <w:t>For more detail on PBAC’s view, see section 7 PBAC outcome.</w:t>
      </w:r>
    </w:p>
    <w:p w14:paraId="7F9C27C8" w14:textId="73EBD390" w:rsidR="00223D5A" w:rsidRPr="008B3A69" w:rsidRDefault="00223D5A" w:rsidP="0089087A">
      <w:pPr>
        <w:pStyle w:val="COMH1numbered"/>
      </w:pPr>
      <w:bookmarkStart w:id="18" w:name="_Toc156986100"/>
      <w:r w:rsidRPr="008B3A69">
        <w:t>Consideration of the evidence</w:t>
      </w:r>
      <w:bookmarkStart w:id="19" w:name="_Toc22897640"/>
      <w:bookmarkEnd w:id="18"/>
    </w:p>
    <w:p w14:paraId="20D017EC" w14:textId="51D0EC04" w:rsidR="008B3A69" w:rsidRPr="00061AA3" w:rsidRDefault="008B3A69" w:rsidP="008B3A69">
      <w:pPr>
        <w:pStyle w:val="COMH2-non-numbered"/>
        <w:rPr>
          <w:iCs/>
        </w:rPr>
      </w:pPr>
      <w:bookmarkStart w:id="20" w:name="_Toc156986101"/>
      <w:r w:rsidRPr="00061AA3">
        <w:rPr>
          <w:iCs/>
        </w:rPr>
        <w:t>Sponsor hearing</w:t>
      </w:r>
    </w:p>
    <w:p w14:paraId="787A22C2" w14:textId="0883E240" w:rsidR="00C83B2C" w:rsidRPr="00061AA3" w:rsidRDefault="008B3A69" w:rsidP="00664E4C">
      <w:pPr>
        <w:pStyle w:val="COMexecsumnumberedpara"/>
        <w:rPr>
          <w:bCs/>
        </w:rPr>
      </w:pPr>
      <w:bookmarkStart w:id="21" w:name="_Ref174015084"/>
      <w:bookmarkStart w:id="22" w:name="_Hlk76382586"/>
      <w:r w:rsidRPr="00061AA3">
        <w:rPr>
          <w:bCs/>
        </w:rPr>
        <w:t xml:space="preserve">The sponsor requested a hearing for this item. </w:t>
      </w:r>
      <w:r w:rsidR="00283FFA" w:rsidRPr="00061AA3">
        <w:rPr>
          <w:bCs/>
          <w:iCs/>
        </w:rPr>
        <w:t>The clinician outlined that there is a significant unmet need for effective therapies for gMG, particularly therapies that have a fast onset of action.</w:t>
      </w:r>
      <w:r w:rsidR="00283FFA" w:rsidRPr="00061AA3">
        <w:rPr>
          <w:bCs/>
        </w:rPr>
        <w:t xml:space="preserve"> </w:t>
      </w:r>
      <w:r w:rsidRPr="00061AA3">
        <w:rPr>
          <w:bCs/>
        </w:rPr>
        <w:t xml:space="preserve">The clinician </w:t>
      </w:r>
      <w:r w:rsidR="000F4E9F" w:rsidRPr="00061AA3">
        <w:rPr>
          <w:bCs/>
        </w:rPr>
        <w:t xml:space="preserve">described that </w:t>
      </w:r>
      <w:r w:rsidR="000F4E9F" w:rsidRPr="00061AA3">
        <w:rPr>
          <w:snapToGrid/>
        </w:rPr>
        <w:t>gMG</w:t>
      </w:r>
      <w:r w:rsidR="000F4E9F" w:rsidRPr="00061AA3">
        <w:t xml:space="preserve"> </w:t>
      </w:r>
      <w:r w:rsidR="000F4E9F" w:rsidRPr="00061AA3">
        <w:rPr>
          <w:bCs/>
        </w:rPr>
        <w:t xml:space="preserve">is best treated with upfront </w:t>
      </w:r>
      <w:r w:rsidR="000F4E9F" w:rsidRPr="00061AA3">
        <w:t xml:space="preserve">combination therapy </w:t>
      </w:r>
      <w:r w:rsidR="000F4E9F" w:rsidRPr="00061AA3">
        <w:rPr>
          <w:bCs/>
        </w:rPr>
        <w:t>because the autoimmune aspect of the disease is slow to respond to</w:t>
      </w:r>
      <w:r w:rsidR="00283FFA" w:rsidRPr="00061AA3">
        <w:rPr>
          <w:bCs/>
        </w:rPr>
        <w:t xml:space="preserve"> remission-inducing t</w:t>
      </w:r>
      <w:r w:rsidR="000F4E9F" w:rsidRPr="00061AA3">
        <w:rPr>
          <w:bCs/>
        </w:rPr>
        <w:t>herapies</w:t>
      </w:r>
      <w:r w:rsidR="00283FFA" w:rsidRPr="00061AA3">
        <w:rPr>
          <w:bCs/>
        </w:rPr>
        <w:t xml:space="preserve">. The </w:t>
      </w:r>
      <w:r w:rsidR="000F4E9F" w:rsidRPr="00061AA3">
        <w:rPr>
          <w:bCs/>
        </w:rPr>
        <w:t>alternative</w:t>
      </w:r>
      <w:r w:rsidR="00B942EE" w:rsidRPr="00061AA3">
        <w:rPr>
          <w:bCs/>
        </w:rPr>
        <w:t>s</w:t>
      </w:r>
      <w:r w:rsidR="000F4E9F" w:rsidRPr="00061AA3">
        <w:rPr>
          <w:bCs/>
        </w:rPr>
        <w:t xml:space="preserve"> such as high dose steroids </w:t>
      </w:r>
      <w:r w:rsidR="00283FFA" w:rsidRPr="00061AA3">
        <w:rPr>
          <w:bCs/>
        </w:rPr>
        <w:t xml:space="preserve">and IVIg </w:t>
      </w:r>
      <w:r w:rsidR="000F4E9F" w:rsidRPr="00061AA3">
        <w:rPr>
          <w:bCs/>
        </w:rPr>
        <w:t xml:space="preserve">have </w:t>
      </w:r>
      <w:r w:rsidR="009D7E6B" w:rsidRPr="00061AA3">
        <w:rPr>
          <w:bCs/>
        </w:rPr>
        <w:t>substantial adverse</w:t>
      </w:r>
      <w:r w:rsidR="000F4E9F" w:rsidRPr="00061AA3">
        <w:rPr>
          <w:bCs/>
        </w:rPr>
        <w:t xml:space="preserve"> effects</w:t>
      </w:r>
      <w:r w:rsidR="00061AA3" w:rsidRPr="00061AA3">
        <w:rPr>
          <w:bCs/>
        </w:rPr>
        <w:t>. Further, the benefits of IVIg are heterogenous with no clear benefit after six months.</w:t>
      </w:r>
      <w:r w:rsidR="000F4E9F" w:rsidRPr="00061AA3">
        <w:rPr>
          <w:bCs/>
        </w:rPr>
        <w:t xml:space="preserve"> </w:t>
      </w:r>
      <w:r w:rsidR="00664E4C" w:rsidRPr="00061AA3">
        <w:rPr>
          <w:bCs/>
        </w:rPr>
        <w:t>The clinician noted that c</w:t>
      </w:r>
      <w:r w:rsidR="00B942EE" w:rsidRPr="00061AA3">
        <w:rPr>
          <w:bCs/>
        </w:rPr>
        <w:t xml:space="preserve">omplement inhibitors such as </w:t>
      </w:r>
      <w:r w:rsidR="00B942EE" w:rsidRPr="00061AA3">
        <w:rPr>
          <w:snapToGrid/>
        </w:rPr>
        <w:t xml:space="preserve">ravulizumab </w:t>
      </w:r>
      <w:r w:rsidR="00B942EE" w:rsidRPr="00061AA3">
        <w:rPr>
          <w:bCs/>
        </w:rPr>
        <w:t xml:space="preserve">offer advantages compared to </w:t>
      </w:r>
      <w:r w:rsidR="00664E4C" w:rsidRPr="00061AA3">
        <w:rPr>
          <w:bCs/>
        </w:rPr>
        <w:t xml:space="preserve">IVIg, </w:t>
      </w:r>
      <w:r w:rsidR="00B942EE" w:rsidRPr="00061AA3">
        <w:rPr>
          <w:bCs/>
        </w:rPr>
        <w:t xml:space="preserve">such as a shorter infusion time. </w:t>
      </w:r>
      <w:r w:rsidR="00061AA3" w:rsidRPr="00061AA3">
        <w:rPr>
          <w:bCs/>
        </w:rPr>
        <w:t xml:space="preserve">Only a small number of hospitals in Australia provide </w:t>
      </w:r>
      <w:r w:rsidR="00283FFA" w:rsidRPr="00061AA3">
        <w:rPr>
          <w:bCs/>
        </w:rPr>
        <w:t>PLEX as an outpatient therapy, and thus</w:t>
      </w:r>
      <w:r w:rsidR="00061AA3" w:rsidRPr="00061AA3">
        <w:rPr>
          <w:bCs/>
        </w:rPr>
        <w:t xml:space="preserve"> it is inaccessible to around 90% of people.</w:t>
      </w:r>
      <w:bookmarkEnd w:id="21"/>
    </w:p>
    <w:p w14:paraId="07CD674F" w14:textId="0EAFC940" w:rsidR="00283FFA" w:rsidRPr="00061AA3" w:rsidRDefault="00B942EE" w:rsidP="00664E4C">
      <w:pPr>
        <w:pStyle w:val="COMexecsumnumberedpara"/>
        <w:rPr>
          <w:bCs/>
        </w:rPr>
      </w:pPr>
      <w:bookmarkStart w:id="23" w:name="_Ref174015086"/>
      <w:r w:rsidRPr="00061AA3">
        <w:rPr>
          <w:bCs/>
        </w:rPr>
        <w:t>The</w:t>
      </w:r>
      <w:r w:rsidR="00664E4C" w:rsidRPr="00061AA3">
        <w:rPr>
          <w:bCs/>
        </w:rPr>
        <w:t xml:space="preserve"> clinician </w:t>
      </w:r>
      <w:r w:rsidR="00061AA3" w:rsidRPr="00061AA3">
        <w:rPr>
          <w:bCs/>
        </w:rPr>
        <w:t xml:space="preserve">outlined that the ideal </w:t>
      </w:r>
      <w:r w:rsidRPr="00061AA3">
        <w:rPr>
          <w:bCs/>
        </w:rPr>
        <w:t>place in therapy</w:t>
      </w:r>
      <w:r w:rsidR="00664E4C" w:rsidRPr="00061AA3">
        <w:rPr>
          <w:bCs/>
        </w:rPr>
        <w:t xml:space="preserve"> </w:t>
      </w:r>
      <w:r w:rsidR="00061AA3" w:rsidRPr="00061AA3">
        <w:rPr>
          <w:bCs/>
        </w:rPr>
        <w:t xml:space="preserve">for ravulizumab </w:t>
      </w:r>
      <w:r w:rsidR="00664E4C" w:rsidRPr="00061AA3">
        <w:rPr>
          <w:bCs/>
        </w:rPr>
        <w:t>is</w:t>
      </w:r>
      <w:r w:rsidR="00061AA3" w:rsidRPr="00061AA3">
        <w:rPr>
          <w:bCs/>
        </w:rPr>
        <w:t xml:space="preserve"> as a first-line</w:t>
      </w:r>
      <w:r w:rsidR="00664E4C" w:rsidRPr="00061AA3">
        <w:rPr>
          <w:bCs/>
        </w:rPr>
        <w:t xml:space="preserve"> combination therapy, as an alternative to IVI</w:t>
      </w:r>
      <w:r w:rsidR="00A024B1" w:rsidRPr="00061AA3">
        <w:rPr>
          <w:bCs/>
        </w:rPr>
        <w:t>g</w:t>
      </w:r>
      <w:r w:rsidR="00664E4C" w:rsidRPr="00061AA3">
        <w:rPr>
          <w:bCs/>
        </w:rPr>
        <w:t xml:space="preserve">, </w:t>
      </w:r>
      <w:r w:rsidR="00061AA3" w:rsidRPr="00061AA3">
        <w:rPr>
          <w:bCs/>
        </w:rPr>
        <w:t>although</w:t>
      </w:r>
      <w:r w:rsidR="00664E4C" w:rsidRPr="00061AA3">
        <w:rPr>
          <w:bCs/>
        </w:rPr>
        <w:t xml:space="preserve"> IVIg is likely to be tried first in the majority of cases</w:t>
      </w:r>
      <w:r w:rsidRPr="00061AA3">
        <w:rPr>
          <w:bCs/>
        </w:rPr>
        <w:t xml:space="preserve">. </w:t>
      </w:r>
      <w:r w:rsidR="00664E4C" w:rsidRPr="00061AA3">
        <w:rPr>
          <w:bCs/>
        </w:rPr>
        <w:t xml:space="preserve">The clinician expected </w:t>
      </w:r>
      <w:r w:rsidR="00283FFA" w:rsidRPr="00061AA3">
        <w:rPr>
          <w:bCs/>
        </w:rPr>
        <w:t xml:space="preserve">the average </w:t>
      </w:r>
      <w:r w:rsidR="00664E4C" w:rsidRPr="00061AA3">
        <w:rPr>
          <w:bCs/>
        </w:rPr>
        <w:t xml:space="preserve">treatment length </w:t>
      </w:r>
      <w:r w:rsidR="00283FFA" w:rsidRPr="00061AA3">
        <w:rPr>
          <w:bCs/>
        </w:rPr>
        <w:t xml:space="preserve">for ravulizumab </w:t>
      </w:r>
      <w:r w:rsidR="00664E4C" w:rsidRPr="00061AA3">
        <w:rPr>
          <w:bCs/>
        </w:rPr>
        <w:t xml:space="preserve">would be </w:t>
      </w:r>
      <w:r w:rsidR="00283FFA" w:rsidRPr="00061AA3">
        <w:rPr>
          <w:bCs/>
        </w:rPr>
        <w:t>one to two</w:t>
      </w:r>
      <w:r w:rsidR="00664E4C" w:rsidRPr="00061AA3">
        <w:rPr>
          <w:bCs/>
        </w:rPr>
        <w:t xml:space="preserve"> years, </w:t>
      </w:r>
      <w:r w:rsidR="00283FFA" w:rsidRPr="00061AA3">
        <w:rPr>
          <w:bCs/>
        </w:rPr>
        <w:t xml:space="preserve">although some patients would use it </w:t>
      </w:r>
      <w:r w:rsidR="008D6467">
        <w:rPr>
          <w:bCs/>
        </w:rPr>
        <w:t xml:space="preserve">for </w:t>
      </w:r>
      <w:r w:rsidR="00283FFA" w:rsidRPr="00061AA3">
        <w:rPr>
          <w:bCs/>
        </w:rPr>
        <w:t>longer.</w:t>
      </w:r>
      <w:bookmarkEnd w:id="23"/>
      <w:r w:rsidR="00283FFA" w:rsidRPr="00061AA3">
        <w:rPr>
          <w:bCs/>
        </w:rPr>
        <w:t xml:space="preserve"> </w:t>
      </w:r>
    </w:p>
    <w:bookmarkEnd w:id="22"/>
    <w:p w14:paraId="3AA41A93" w14:textId="37BF32A0" w:rsidR="008B3A69" w:rsidRPr="008B3A69" w:rsidRDefault="008B3A69" w:rsidP="008B3A69">
      <w:pPr>
        <w:pStyle w:val="COMH2-non-numbered"/>
        <w:rPr>
          <w:iCs/>
        </w:rPr>
      </w:pPr>
      <w:r w:rsidRPr="008B3A69">
        <w:rPr>
          <w:iCs/>
        </w:rPr>
        <w:t>Consumer comments</w:t>
      </w:r>
    </w:p>
    <w:p w14:paraId="60C72C1E" w14:textId="69F54C76" w:rsidR="0068557E" w:rsidRPr="00EE0313" w:rsidRDefault="008B3A69">
      <w:pPr>
        <w:widowControl w:val="0"/>
        <w:numPr>
          <w:ilvl w:val="1"/>
          <w:numId w:val="1"/>
        </w:numPr>
        <w:spacing w:after="120"/>
        <w:rPr>
          <w:rFonts w:asciiTheme="minorHAnsi" w:hAnsiTheme="minorHAnsi"/>
          <w:bCs/>
          <w:snapToGrid w:val="0"/>
        </w:rPr>
      </w:pPr>
      <w:bookmarkStart w:id="24" w:name="_Ref174015043"/>
      <w:r w:rsidRPr="00BF70EE">
        <w:rPr>
          <w:rFonts w:asciiTheme="minorHAnsi" w:hAnsiTheme="minorHAnsi"/>
          <w:bCs/>
          <w:snapToGrid w:val="0"/>
        </w:rPr>
        <w:t>The PBAC noted and welcomed the input from individuals (</w:t>
      </w:r>
      <w:r w:rsidR="00394B55" w:rsidRPr="00BF70EE">
        <w:rPr>
          <w:rFonts w:asciiTheme="minorHAnsi" w:hAnsiTheme="minorHAnsi"/>
          <w:bCs/>
          <w:snapToGrid w:val="0"/>
        </w:rPr>
        <w:t>36</w:t>
      </w:r>
      <w:r w:rsidRPr="00BF70EE">
        <w:rPr>
          <w:rFonts w:asciiTheme="minorHAnsi" w:hAnsiTheme="minorHAnsi"/>
          <w:bCs/>
          <w:snapToGrid w:val="0"/>
        </w:rPr>
        <w:t>), health care professionals (</w:t>
      </w:r>
      <w:r w:rsidR="00394B55" w:rsidRPr="00BF70EE">
        <w:rPr>
          <w:rFonts w:asciiTheme="minorHAnsi" w:hAnsiTheme="minorHAnsi"/>
          <w:bCs/>
          <w:snapToGrid w:val="0"/>
        </w:rPr>
        <w:t>8</w:t>
      </w:r>
      <w:r w:rsidRPr="00BF70EE">
        <w:rPr>
          <w:rFonts w:asciiTheme="minorHAnsi" w:hAnsiTheme="minorHAnsi"/>
          <w:bCs/>
          <w:snapToGrid w:val="0"/>
        </w:rPr>
        <w:t>) and organisations (</w:t>
      </w:r>
      <w:r w:rsidR="00394B55" w:rsidRPr="00BF70EE">
        <w:rPr>
          <w:rFonts w:asciiTheme="minorHAnsi" w:hAnsiTheme="minorHAnsi"/>
          <w:bCs/>
          <w:snapToGrid w:val="0"/>
        </w:rPr>
        <w:t>2</w:t>
      </w:r>
      <w:r w:rsidRPr="00BF70EE">
        <w:rPr>
          <w:rFonts w:asciiTheme="minorHAnsi" w:hAnsiTheme="minorHAnsi"/>
          <w:bCs/>
          <w:snapToGrid w:val="0"/>
        </w:rPr>
        <w:t xml:space="preserve">) via the Consumer Comments facility on the PBS website. </w:t>
      </w:r>
      <w:bookmarkStart w:id="25" w:name="_Hlk173751333"/>
      <w:r w:rsidRPr="00BF70EE">
        <w:rPr>
          <w:rFonts w:asciiTheme="minorHAnsi" w:hAnsiTheme="minorHAnsi"/>
          <w:bCs/>
          <w:snapToGrid w:val="0"/>
        </w:rPr>
        <w:t xml:space="preserve">The comments described </w:t>
      </w:r>
      <w:r w:rsidR="0068557E" w:rsidRPr="00BF70EE">
        <w:rPr>
          <w:rFonts w:asciiTheme="minorHAnsi" w:hAnsiTheme="minorHAnsi"/>
          <w:bCs/>
          <w:snapToGrid w:val="0"/>
        </w:rPr>
        <w:t xml:space="preserve">the </w:t>
      </w:r>
      <w:r w:rsidR="0068557E" w:rsidRPr="00EC3CE3">
        <w:rPr>
          <w:rFonts w:asciiTheme="minorHAnsi" w:hAnsiTheme="minorHAnsi"/>
          <w:bCs/>
          <w:snapToGrid w:val="0"/>
        </w:rPr>
        <w:t>significant impact that gMG can have on quality of life such as an inability to</w:t>
      </w:r>
      <w:r w:rsidR="00EC3CE3">
        <w:rPr>
          <w:rFonts w:asciiTheme="minorHAnsi" w:hAnsiTheme="minorHAnsi"/>
          <w:bCs/>
          <w:snapToGrid w:val="0"/>
        </w:rPr>
        <w:t>:</w:t>
      </w:r>
      <w:r w:rsidR="0068557E" w:rsidRPr="00EC3CE3">
        <w:rPr>
          <w:rFonts w:asciiTheme="minorHAnsi" w:hAnsiTheme="minorHAnsi"/>
          <w:bCs/>
          <w:snapToGrid w:val="0"/>
        </w:rPr>
        <w:t xml:space="preserve"> </w:t>
      </w:r>
      <w:r w:rsidR="00EC3CE3" w:rsidRPr="00EC3CE3">
        <w:rPr>
          <w:rFonts w:asciiTheme="minorHAnsi" w:hAnsiTheme="minorHAnsi"/>
          <w:bCs/>
          <w:snapToGrid w:val="0"/>
        </w:rPr>
        <w:t>perform daily tasks</w:t>
      </w:r>
      <w:r w:rsidR="00EC3CE3">
        <w:rPr>
          <w:rFonts w:asciiTheme="minorHAnsi" w:hAnsiTheme="minorHAnsi"/>
          <w:bCs/>
          <w:snapToGrid w:val="0"/>
        </w:rPr>
        <w:t>;</w:t>
      </w:r>
      <w:r w:rsidR="00EC3CE3" w:rsidRPr="00EC3CE3">
        <w:rPr>
          <w:rFonts w:asciiTheme="minorHAnsi" w:hAnsiTheme="minorHAnsi"/>
          <w:bCs/>
          <w:snapToGrid w:val="0"/>
        </w:rPr>
        <w:t xml:space="preserve"> work</w:t>
      </w:r>
      <w:r w:rsidR="00EC3CE3">
        <w:rPr>
          <w:rFonts w:asciiTheme="minorHAnsi" w:hAnsiTheme="minorHAnsi"/>
          <w:bCs/>
          <w:snapToGrid w:val="0"/>
        </w:rPr>
        <w:t>;</w:t>
      </w:r>
      <w:r w:rsidR="00EC3CE3" w:rsidRPr="00EC3CE3">
        <w:rPr>
          <w:rFonts w:asciiTheme="minorHAnsi" w:hAnsiTheme="minorHAnsi"/>
          <w:bCs/>
          <w:snapToGrid w:val="0"/>
        </w:rPr>
        <w:t xml:space="preserve"> study</w:t>
      </w:r>
      <w:r w:rsidR="00EC3CE3">
        <w:rPr>
          <w:rFonts w:asciiTheme="minorHAnsi" w:hAnsiTheme="minorHAnsi"/>
          <w:bCs/>
          <w:snapToGrid w:val="0"/>
        </w:rPr>
        <w:t>;</w:t>
      </w:r>
      <w:r w:rsidR="00EC3CE3" w:rsidRPr="00EC3CE3">
        <w:rPr>
          <w:rFonts w:asciiTheme="minorHAnsi" w:hAnsiTheme="minorHAnsi"/>
          <w:bCs/>
          <w:snapToGrid w:val="0"/>
        </w:rPr>
        <w:t xml:space="preserve"> drive</w:t>
      </w:r>
      <w:r w:rsidR="00EC3CE3">
        <w:rPr>
          <w:rFonts w:asciiTheme="minorHAnsi" w:hAnsiTheme="minorHAnsi"/>
          <w:bCs/>
          <w:snapToGrid w:val="0"/>
        </w:rPr>
        <w:t>; or</w:t>
      </w:r>
      <w:r w:rsidR="00EC3CE3" w:rsidRPr="00EC3CE3">
        <w:rPr>
          <w:rFonts w:asciiTheme="minorHAnsi" w:hAnsiTheme="minorHAnsi"/>
          <w:bCs/>
          <w:snapToGrid w:val="0"/>
        </w:rPr>
        <w:t xml:space="preserve"> </w:t>
      </w:r>
      <w:r w:rsidR="0068557E" w:rsidRPr="00EC3CE3">
        <w:rPr>
          <w:rFonts w:asciiTheme="minorHAnsi" w:hAnsiTheme="minorHAnsi"/>
          <w:bCs/>
          <w:snapToGrid w:val="0"/>
        </w:rPr>
        <w:t>participate in social activities</w:t>
      </w:r>
      <w:r w:rsidR="00EC3CE3">
        <w:rPr>
          <w:rFonts w:asciiTheme="minorHAnsi" w:hAnsiTheme="minorHAnsi"/>
          <w:bCs/>
          <w:snapToGrid w:val="0"/>
        </w:rPr>
        <w:t>.</w:t>
      </w:r>
      <w:r w:rsidR="0068557E" w:rsidRPr="00EC3CE3">
        <w:rPr>
          <w:rFonts w:asciiTheme="minorHAnsi" w:hAnsiTheme="minorHAnsi"/>
          <w:bCs/>
          <w:snapToGrid w:val="0"/>
        </w:rPr>
        <w:t xml:space="preserve"> </w:t>
      </w:r>
      <w:r w:rsidR="00EE0313" w:rsidRPr="00B83878">
        <w:rPr>
          <w:rFonts w:asciiTheme="minorHAnsi" w:hAnsiTheme="minorHAnsi"/>
          <w:bCs/>
          <w:snapToGrid w:val="0"/>
        </w:rPr>
        <w:t xml:space="preserve">Patients outlined that the fluctuating nature of gMG can create uncertainty. </w:t>
      </w:r>
      <w:r w:rsidR="00290558" w:rsidRPr="00EC3CE3">
        <w:rPr>
          <w:rFonts w:asciiTheme="minorHAnsi" w:hAnsiTheme="minorHAnsi"/>
          <w:bCs/>
          <w:snapToGrid w:val="0"/>
        </w:rPr>
        <w:t xml:space="preserve">The comments noted </w:t>
      </w:r>
      <w:r w:rsidR="00EC3CE3">
        <w:rPr>
          <w:rFonts w:asciiTheme="minorHAnsi" w:hAnsiTheme="minorHAnsi"/>
          <w:bCs/>
          <w:snapToGrid w:val="0"/>
        </w:rPr>
        <w:t>that</w:t>
      </w:r>
      <w:r w:rsidR="00A859D4">
        <w:rPr>
          <w:rFonts w:asciiTheme="minorHAnsi" w:hAnsiTheme="minorHAnsi"/>
          <w:bCs/>
          <w:snapToGrid w:val="0"/>
        </w:rPr>
        <w:t xml:space="preserve"> </w:t>
      </w:r>
      <w:bookmarkStart w:id="26" w:name="_Hlk173751724"/>
      <w:r w:rsidR="00290558" w:rsidRPr="00EC3CE3">
        <w:rPr>
          <w:rFonts w:asciiTheme="minorHAnsi" w:hAnsiTheme="minorHAnsi"/>
          <w:bCs/>
          <w:snapToGrid w:val="0"/>
        </w:rPr>
        <w:t xml:space="preserve">existing treatment options </w:t>
      </w:r>
      <w:r w:rsidR="00EC3CE3">
        <w:rPr>
          <w:rFonts w:asciiTheme="minorHAnsi" w:hAnsiTheme="minorHAnsi"/>
          <w:bCs/>
          <w:snapToGrid w:val="0"/>
        </w:rPr>
        <w:t>can be ineffective</w:t>
      </w:r>
      <w:r w:rsidR="00A859D4" w:rsidRPr="00A859D4">
        <w:rPr>
          <w:rFonts w:asciiTheme="minorHAnsi" w:hAnsiTheme="minorHAnsi"/>
          <w:bCs/>
          <w:snapToGrid w:val="0"/>
        </w:rPr>
        <w:t xml:space="preserve"> </w:t>
      </w:r>
      <w:r w:rsidR="00A859D4">
        <w:rPr>
          <w:rFonts w:asciiTheme="minorHAnsi" w:hAnsiTheme="minorHAnsi"/>
          <w:bCs/>
          <w:snapToGrid w:val="0"/>
        </w:rPr>
        <w:t>or have significant adverse events including</w:t>
      </w:r>
      <w:r w:rsidR="0068557E" w:rsidRPr="00BF70EE">
        <w:rPr>
          <w:rFonts w:asciiTheme="minorHAnsi" w:hAnsiTheme="minorHAnsi"/>
          <w:bCs/>
          <w:snapToGrid w:val="0"/>
        </w:rPr>
        <w:t xml:space="preserve"> the potential for </w:t>
      </w:r>
      <w:bookmarkEnd w:id="26"/>
      <w:r w:rsidR="0068557E" w:rsidRPr="00146E04">
        <w:rPr>
          <w:rFonts w:asciiTheme="minorHAnsi" w:hAnsiTheme="minorHAnsi"/>
          <w:bCs/>
          <w:snapToGrid w:val="0"/>
        </w:rPr>
        <w:t>osteoporosis, diabetes, hypertension</w:t>
      </w:r>
      <w:r w:rsidR="00EC3CE3">
        <w:rPr>
          <w:rFonts w:asciiTheme="minorHAnsi" w:hAnsiTheme="minorHAnsi"/>
          <w:bCs/>
          <w:snapToGrid w:val="0"/>
        </w:rPr>
        <w:t xml:space="preserve"> and</w:t>
      </w:r>
      <w:r w:rsidR="0068557E" w:rsidRPr="00146E04">
        <w:rPr>
          <w:rFonts w:asciiTheme="minorHAnsi" w:hAnsiTheme="minorHAnsi"/>
          <w:bCs/>
          <w:snapToGrid w:val="0"/>
        </w:rPr>
        <w:t xml:space="preserve"> weight gain</w:t>
      </w:r>
      <w:r w:rsidR="0068557E" w:rsidRPr="00BF70EE">
        <w:rPr>
          <w:rFonts w:asciiTheme="minorHAnsi" w:hAnsiTheme="minorHAnsi"/>
          <w:bCs/>
          <w:snapToGrid w:val="0"/>
        </w:rPr>
        <w:t xml:space="preserve"> with corticosteroid</w:t>
      </w:r>
      <w:r w:rsidR="00336D3B">
        <w:rPr>
          <w:rFonts w:asciiTheme="minorHAnsi" w:hAnsiTheme="minorHAnsi"/>
          <w:bCs/>
          <w:snapToGrid w:val="0"/>
        </w:rPr>
        <w:t>s</w:t>
      </w:r>
      <w:r w:rsidR="0068557E" w:rsidRPr="00BF70EE">
        <w:rPr>
          <w:rFonts w:asciiTheme="minorHAnsi" w:hAnsiTheme="minorHAnsi"/>
          <w:bCs/>
          <w:snapToGrid w:val="0"/>
        </w:rPr>
        <w:t xml:space="preserve">. The comments also highlighted that there are some patients who are </w:t>
      </w:r>
      <w:r w:rsidR="0068557E" w:rsidRPr="00EE0313">
        <w:rPr>
          <w:rFonts w:asciiTheme="minorHAnsi" w:hAnsiTheme="minorHAnsi"/>
          <w:bCs/>
          <w:snapToGrid w:val="0"/>
        </w:rPr>
        <w:t xml:space="preserve">unable to </w:t>
      </w:r>
      <w:r w:rsidR="00EC3CE3" w:rsidRPr="00EE0313">
        <w:rPr>
          <w:rFonts w:asciiTheme="minorHAnsi" w:hAnsiTheme="minorHAnsi"/>
          <w:bCs/>
          <w:snapToGrid w:val="0"/>
        </w:rPr>
        <w:t xml:space="preserve">tolerate </w:t>
      </w:r>
      <w:r w:rsidR="0068557E" w:rsidRPr="00EE0313">
        <w:rPr>
          <w:rFonts w:asciiTheme="minorHAnsi" w:hAnsiTheme="minorHAnsi"/>
          <w:bCs/>
          <w:snapToGrid w:val="0"/>
        </w:rPr>
        <w:t xml:space="preserve">high doses of </w:t>
      </w:r>
      <w:r w:rsidR="00A859D4" w:rsidRPr="00EE0313">
        <w:rPr>
          <w:rFonts w:asciiTheme="minorHAnsi" w:hAnsiTheme="minorHAnsi"/>
          <w:bCs/>
          <w:snapToGrid w:val="0"/>
        </w:rPr>
        <w:t>cortico</w:t>
      </w:r>
      <w:r w:rsidR="0068557E" w:rsidRPr="00EE0313">
        <w:rPr>
          <w:rFonts w:asciiTheme="minorHAnsi" w:hAnsiTheme="minorHAnsi"/>
          <w:bCs/>
          <w:snapToGrid w:val="0"/>
        </w:rPr>
        <w:t xml:space="preserve">steroids </w:t>
      </w:r>
      <w:bookmarkEnd w:id="25"/>
      <w:r w:rsidR="00EE0313" w:rsidRPr="00EE0313">
        <w:rPr>
          <w:rFonts w:asciiTheme="minorHAnsi" w:hAnsiTheme="minorHAnsi"/>
          <w:bCs/>
          <w:snapToGrid w:val="0"/>
        </w:rPr>
        <w:t>or in whom corticosteroids are contraindicated.</w:t>
      </w:r>
      <w:bookmarkEnd w:id="24"/>
    </w:p>
    <w:p w14:paraId="6C10D1A7" w14:textId="580604E7" w:rsidR="0068557E" w:rsidRPr="00A36041" w:rsidRDefault="00EE0313" w:rsidP="008B3A69">
      <w:pPr>
        <w:widowControl w:val="0"/>
        <w:numPr>
          <w:ilvl w:val="1"/>
          <w:numId w:val="1"/>
        </w:numPr>
        <w:spacing w:after="120"/>
        <w:rPr>
          <w:rFonts w:asciiTheme="minorHAnsi" w:hAnsiTheme="minorHAnsi"/>
          <w:bCs/>
          <w:snapToGrid w:val="0"/>
        </w:rPr>
      </w:pPr>
      <w:r w:rsidRPr="00B83878">
        <w:rPr>
          <w:rFonts w:asciiTheme="minorHAnsi" w:hAnsiTheme="minorHAnsi"/>
          <w:bCs/>
          <w:snapToGrid w:val="0"/>
        </w:rPr>
        <w:t xml:space="preserve">The comments described a range of potential benefits of </w:t>
      </w:r>
      <w:r>
        <w:rPr>
          <w:rFonts w:asciiTheme="minorHAnsi" w:hAnsiTheme="minorHAnsi"/>
          <w:bCs/>
          <w:snapToGrid w:val="0"/>
        </w:rPr>
        <w:t>ravulizumab</w:t>
      </w:r>
      <w:r w:rsidRPr="00B83878">
        <w:rPr>
          <w:rFonts w:asciiTheme="minorHAnsi" w:hAnsiTheme="minorHAnsi"/>
          <w:bCs/>
          <w:snapToGrid w:val="0"/>
        </w:rPr>
        <w:t xml:space="preserve"> </w:t>
      </w:r>
      <w:r w:rsidR="0068557E" w:rsidRPr="00A36041">
        <w:rPr>
          <w:rFonts w:asciiTheme="minorHAnsi" w:hAnsiTheme="minorHAnsi"/>
          <w:bCs/>
          <w:snapToGrid w:val="0"/>
        </w:rPr>
        <w:t xml:space="preserve">compared to </w:t>
      </w:r>
      <w:r w:rsidR="00A36041" w:rsidRPr="00A36041">
        <w:rPr>
          <w:rFonts w:asciiTheme="minorHAnsi" w:hAnsiTheme="minorHAnsi"/>
          <w:bCs/>
          <w:snapToGrid w:val="0"/>
        </w:rPr>
        <w:t>IVIg</w:t>
      </w:r>
      <w:r w:rsidR="0068557E" w:rsidRPr="00A36041">
        <w:rPr>
          <w:rFonts w:asciiTheme="minorHAnsi" w:hAnsiTheme="minorHAnsi"/>
          <w:bCs/>
          <w:snapToGrid w:val="0"/>
        </w:rPr>
        <w:t xml:space="preserve"> </w:t>
      </w:r>
      <w:r w:rsidR="00336D3B">
        <w:rPr>
          <w:rFonts w:asciiTheme="minorHAnsi" w:hAnsiTheme="minorHAnsi"/>
          <w:bCs/>
          <w:snapToGrid w:val="0"/>
        </w:rPr>
        <w:t>and PLEX</w:t>
      </w:r>
      <w:r w:rsidR="0068557E" w:rsidRPr="00A36041">
        <w:rPr>
          <w:rFonts w:asciiTheme="minorHAnsi" w:hAnsiTheme="minorHAnsi"/>
          <w:bCs/>
          <w:snapToGrid w:val="0"/>
        </w:rPr>
        <w:t xml:space="preserve">, </w:t>
      </w:r>
      <w:r w:rsidR="006B6487">
        <w:rPr>
          <w:rFonts w:asciiTheme="minorHAnsi" w:hAnsiTheme="minorHAnsi"/>
          <w:bCs/>
          <w:snapToGrid w:val="0"/>
        </w:rPr>
        <w:t>in terms of ease of administration.</w:t>
      </w:r>
      <w:r w:rsidR="0068557E" w:rsidRPr="00A36041">
        <w:rPr>
          <w:rFonts w:asciiTheme="minorHAnsi" w:hAnsiTheme="minorHAnsi"/>
          <w:bCs/>
          <w:snapToGrid w:val="0"/>
        </w:rPr>
        <w:t xml:space="preserve"> </w:t>
      </w:r>
      <w:r w:rsidR="00A36041" w:rsidRPr="00A36041">
        <w:rPr>
          <w:rFonts w:asciiTheme="minorHAnsi" w:hAnsiTheme="minorHAnsi"/>
          <w:bCs/>
          <w:snapToGrid w:val="0"/>
        </w:rPr>
        <w:t xml:space="preserve">Input discussed that </w:t>
      </w:r>
      <w:r w:rsidR="0031226D">
        <w:rPr>
          <w:rFonts w:asciiTheme="minorHAnsi" w:hAnsiTheme="minorHAnsi"/>
          <w:bCs/>
          <w:snapToGrid w:val="0"/>
        </w:rPr>
        <w:t xml:space="preserve">IVIg and </w:t>
      </w:r>
      <w:r w:rsidR="00BF70EE" w:rsidRPr="00A36041">
        <w:rPr>
          <w:rFonts w:asciiTheme="minorHAnsi" w:hAnsiTheme="minorHAnsi"/>
          <w:bCs/>
          <w:snapToGrid w:val="0"/>
        </w:rPr>
        <w:t xml:space="preserve">PLEX </w:t>
      </w:r>
      <w:r w:rsidR="0031226D">
        <w:rPr>
          <w:rFonts w:asciiTheme="minorHAnsi" w:hAnsiTheme="minorHAnsi"/>
          <w:bCs/>
          <w:snapToGrid w:val="0"/>
        </w:rPr>
        <w:t>are</w:t>
      </w:r>
      <w:r w:rsidR="00BF70EE" w:rsidRPr="00A36041">
        <w:rPr>
          <w:rFonts w:asciiTheme="minorHAnsi" w:hAnsiTheme="minorHAnsi"/>
          <w:bCs/>
          <w:snapToGrid w:val="0"/>
        </w:rPr>
        <w:t xml:space="preserve"> very intensive</w:t>
      </w:r>
      <w:r w:rsidR="0031226D">
        <w:rPr>
          <w:rFonts w:asciiTheme="minorHAnsi" w:hAnsiTheme="minorHAnsi"/>
          <w:bCs/>
          <w:snapToGrid w:val="0"/>
        </w:rPr>
        <w:t>, for example</w:t>
      </w:r>
      <w:r w:rsidR="00BF70EE" w:rsidRPr="00A36041">
        <w:rPr>
          <w:rFonts w:asciiTheme="minorHAnsi" w:hAnsiTheme="minorHAnsi"/>
          <w:bCs/>
          <w:snapToGrid w:val="0"/>
        </w:rPr>
        <w:t xml:space="preserve"> IVI</w:t>
      </w:r>
      <w:r w:rsidR="00A36041" w:rsidRPr="00A36041">
        <w:rPr>
          <w:rFonts w:asciiTheme="minorHAnsi" w:hAnsiTheme="minorHAnsi"/>
          <w:bCs/>
          <w:snapToGrid w:val="0"/>
        </w:rPr>
        <w:t>g</w:t>
      </w:r>
      <w:r w:rsidR="00BF70EE" w:rsidRPr="00A36041">
        <w:rPr>
          <w:rFonts w:asciiTheme="minorHAnsi" w:hAnsiTheme="minorHAnsi"/>
          <w:bCs/>
          <w:snapToGrid w:val="0"/>
        </w:rPr>
        <w:t xml:space="preserve"> </w:t>
      </w:r>
      <w:r w:rsidR="00336D3B">
        <w:rPr>
          <w:rFonts w:asciiTheme="minorHAnsi" w:hAnsiTheme="minorHAnsi"/>
          <w:bCs/>
          <w:snapToGrid w:val="0"/>
        </w:rPr>
        <w:t>administration</w:t>
      </w:r>
      <w:r w:rsidR="0031226D">
        <w:rPr>
          <w:rFonts w:asciiTheme="minorHAnsi" w:hAnsiTheme="minorHAnsi"/>
          <w:bCs/>
          <w:snapToGrid w:val="0"/>
        </w:rPr>
        <w:t xml:space="preserve"> can</w:t>
      </w:r>
      <w:r w:rsidR="00BF70EE" w:rsidRPr="00A36041">
        <w:rPr>
          <w:rFonts w:asciiTheme="minorHAnsi" w:hAnsiTheme="minorHAnsi"/>
          <w:bCs/>
          <w:snapToGrid w:val="0"/>
        </w:rPr>
        <w:t xml:space="preserve"> require half</w:t>
      </w:r>
      <w:r w:rsidR="00336D3B">
        <w:rPr>
          <w:rFonts w:asciiTheme="minorHAnsi" w:hAnsiTheme="minorHAnsi"/>
          <w:bCs/>
          <w:snapToGrid w:val="0"/>
        </w:rPr>
        <w:t>-</w:t>
      </w:r>
      <w:r w:rsidR="00BF70EE" w:rsidRPr="00A36041">
        <w:rPr>
          <w:rFonts w:asciiTheme="minorHAnsi" w:hAnsiTheme="minorHAnsi"/>
          <w:bCs/>
          <w:snapToGrid w:val="0"/>
        </w:rPr>
        <w:t xml:space="preserve">day </w:t>
      </w:r>
      <w:r w:rsidR="00336D3B">
        <w:rPr>
          <w:rFonts w:asciiTheme="minorHAnsi" w:hAnsiTheme="minorHAnsi"/>
          <w:bCs/>
          <w:snapToGrid w:val="0"/>
        </w:rPr>
        <w:t xml:space="preserve">hospital </w:t>
      </w:r>
      <w:r w:rsidR="0031226D">
        <w:rPr>
          <w:rFonts w:asciiTheme="minorHAnsi" w:hAnsiTheme="minorHAnsi"/>
          <w:bCs/>
          <w:snapToGrid w:val="0"/>
        </w:rPr>
        <w:t>attendance</w:t>
      </w:r>
      <w:r w:rsidR="00336D3B">
        <w:rPr>
          <w:rFonts w:asciiTheme="minorHAnsi" w:hAnsiTheme="minorHAnsi"/>
          <w:bCs/>
          <w:snapToGrid w:val="0"/>
        </w:rPr>
        <w:t xml:space="preserve"> every </w:t>
      </w:r>
      <w:r w:rsidR="0031226D">
        <w:rPr>
          <w:rFonts w:asciiTheme="minorHAnsi" w:hAnsiTheme="minorHAnsi"/>
          <w:bCs/>
          <w:snapToGrid w:val="0"/>
        </w:rPr>
        <w:t>few</w:t>
      </w:r>
      <w:r w:rsidR="00336D3B">
        <w:rPr>
          <w:rFonts w:asciiTheme="minorHAnsi" w:hAnsiTheme="minorHAnsi"/>
          <w:bCs/>
          <w:snapToGrid w:val="0"/>
        </w:rPr>
        <w:t xml:space="preserve"> weeks</w:t>
      </w:r>
      <w:r w:rsidR="0031226D">
        <w:rPr>
          <w:rFonts w:asciiTheme="minorHAnsi" w:hAnsiTheme="minorHAnsi"/>
          <w:bCs/>
          <w:snapToGrid w:val="0"/>
        </w:rPr>
        <w:t xml:space="preserve"> (or more frequently)</w:t>
      </w:r>
      <w:r w:rsidR="00A36041" w:rsidRPr="00A36041">
        <w:rPr>
          <w:rFonts w:asciiTheme="minorHAnsi" w:hAnsiTheme="minorHAnsi"/>
          <w:bCs/>
          <w:snapToGrid w:val="0"/>
        </w:rPr>
        <w:t xml:space="preserve">, </w:t>
      </w:r>
      <w:r w:rsidR="00BF70EE" w:rsidRPr="00A36041">
        <w:rPr>
          <w:rFonts w:asciiTheme="minorHAnsi" w:hAnsiTheme="minorHAnsi"/>
          <w:bCs/>
          <w:snapToGrid w:val="0"/>
        </w:rPr>
        <w:t>with</w:t>
      </w:r>
      <w:r w:rsidR="006B6487">
        <w:rPr>
          <w:rFonts w:asciiTheme="minorHAnsi" w:hAnsiTheme="minorHAnsi"/>
          <w:bCs/>
          <w:snapToGrid w:val="0"/>
        </w:rPr>
        <w:t xml:space="preserve"> the potential for </w:t>
      </w:r>
      <w:r w:rsidR="0031226D">
        <w:rPr>
          <w:rFonts w:asciiTheme="minorHAnsi" w:hAnsiTheme="minorHAnsi"/>
          <w:bCs/>
          <w:snapToGrid w:val="0"/>
        </w:rPr>
        <w:t>adverse</w:t>
      </w:r>
      <w:r w:rsidR="00BF70EE" w:rsidRPr="00A36041">
        <w:rPr>
          <w:rFonts w:asciiTheme="minorHAnsi" w:hAnsiTheme="minorHAnsi"/>
          <w:bCs/>
          <w:snapToGrid w:val="0"/>
        </w:rPr>
        <w:t xml:space="preserve"> e</w:t>
      </w:r>
      <w:r w:rsidR="0031226D">
        <w:rPr>
          <w:rFonts w:asciiTheme="minorHAnsi" w:hAnsiTheme="minorHAnsi"/>
          <w:bCs/>
          <w:snapToGrid w:val="0"/>
        </w:rPr>
        <w:t>ven</w:t>
      </w:r>
      <w:r w:rsidR="00BF70EE" w:rsidRPr="00A36041">
        <w:rPr>
          <w:rFonts w:asciiTheme="minorHAnsi" w:hAnsiTheme="minorHAnsi"/>
          <w:bCs/>
          <w:snapToGrid w:val="0"/>
        </w:rPr>
        <w:t xml:space="preserve">ts </w:t>
      </w:r>
      <w:r w:rsidR="006B6487">
        <w:rPr>
          <w:rFonts w:asciiTheme="minorHAnsi" w:hAnsiTheme="minorHAnsi"/>
          <w:bCs/>
          <w:snapToGrid w:val="0"/>
        </w:rPr>
        <w:t xml:space="preserve">such as </w:t>
      </w:r>
      <w:r w:rsidR="00BF70EE" w:rsidRPr="00A36041">
        <w:rPr>
          <w:rFonts w:asciiTheme="minorHAnsi" w:hAnsiTheme="minorHAnsi"/>
          <w:bCs/>
          <w:snapToGrid w:val="0"/>
        </w:rPr>
        <w:t>headache</w:t>
      </w:r>
      <w:r w:rsidR="006B6487">
        <w:rPr>
          <w:rFonts w:asciiTheme="minorHAnsi" w:hAnsiTheme="minorHAnsi"/>
          <w:bCs/>
          <w:snapToGrid w:val="0"/>
        </w:rPr>
        <w:t>s and</w:t>
      </w:r>
      <w:r w:rsidR="00BF70EE" w:rsidRPr="00A36041">
        <w:rPr>
          <w:rFonts w:asciiTheme="minorHAnsi" w:hAnsiTheme="minorHAnsi"/>
          <w:bCs/>
          <w:snapToGrid w:val="0"/>
        </w:rPr>
        <w:t xml:space="preserve"> fevers</w:t>
      </w:r>
      <w:r w:rsidR="006B6487">
        <w:rPr>
          <w:rFonts w:asciiTheme="minorHAnsi" w:hAnsiTheme="minorHAnsi"/>
          <w:bCs/>
          <w:snapToGrid w:val="0"/>
        </w:rPr>
        <w:t>.</w:t>
      </w:r>
      <w:r w:rsidR="0068557E" w:rsidRPr="00A36041">
        <w:rPr>
          <w:rFonts w:asciiTheme="minorHAnsi" w:hAnsiTheme="minorHAnsi"/>
          <w:bCs/>
          <w:snapToGrid w:val="0"/>
        </w:rPr>
        <w:t xml:space="preserve"> Input </w:t>
      </w:r>
      <w:r w:rsidR="0027512C">
        <w:rPr>
          <w:rFonts w:asciiTheme="minorHAnsi" w:hAnsiTheme="minorHAnsi"/>
          <w:bCs/>
          <w:snapToGrid w:val="0"/>
        </w:rPr>
        <w:t>outlin</w:t>
      </w:r>
      <w:r w:rsidR="0068557E" w:rsidRPr="00A36041">
        <w:rPr>
          <w:rFonts w:asciiTheme="minorHAnsi" w:hAnsiTheme="minorHAnsi"/>
          <w:bCs/>
          <w:snapToGrid w:val="0"/>
        </w:rPr>
        <w:t>e</w:t>
      </w:r>
      <w:r w:rsidR="00A36041" w:rsidRPr="00A36041">
        <w:rPr>
          <w:rFonts w:asciiTheme="minorHAnsi" w:hAnsiTheme="minorHAnsi"/>
          <w:bCs/>
          <w:snapToGrid w:val="0"/>
        </w:rPr>
        <w:t>d</w:t>
      </w:r>
      <w:r w:rsidR="0068557E" w:rsidRPr="00A36041">
        <w:rPr>
          <w:rFonts w:asciiTheme="minorHAnsi" w:hAnsiTheme="minorHAnsi"/>
          <w:bCs/>
          <w:snapToGrid w:val="0"/>
        </w:rPr>
        <w:t xml:space="preserve"> the benefits of a treatment that is accessible at </w:t>
      </w:r>
      <w:r w:rsidR="006B6487">
        <w:rPr>
          <w:rFonts w:asciiTheme="minorHAnsi" w:hAnsiTheme="minorHAnsi"/>
          <w:bCs/>
          <w:snapToGrid w:val="0"/>
        </w:rPr>
        <w:t>a</w:t>
      </w:r>
      <w:r w:rsidR="0068557E" w:rsidRPr="00A36041">
        <w:rPr>
          <w:rFonts w:asciiTheme="minorHAnsi" w:hAnsiTheme="minorHAnsi"/>
          <w:bCs/>
          <w:snapToGrid w:val="0"/>
        </w:rPr>
        <w:t xml:space="preserve"> local health facility, especially for those who live in rural or remote areas</w:t>
      </w:r>
      <w:r w:rsidR="006B6487">
        <w:rPr>
          <w:rFonts w:asciiTheme="minorHAnsi" w:hAnsiTheme="minorHAnsi"/>
          <w:bCs/>
          <w:snapToGrid w:val="0"/>
        </w:rPr>
        <w:t>.</w:t>
      </w:r>
    </w:p>
    <w:p w14:paraId="39976133" w14:textId="7AC4A4B1" w:rsidR="008B3A69" w:rsidRPr="00EE0313" w:rsidRDefault="006B6487" w:rsidP="00290558">
      <w:pPr>
        <w:widowControl w:val="0"/>
        <w:numPr>
          <w:ilvl w:val="1"/>
          <w:numId w:val="1"/>
        </w:numPr>
        <w:spacing w:after="120"/>
        <w:rPr>
          <w:rFonts w:asciiTheme="minorHAnsi" w:hAnsiTheme="minorHAnsi"/>
          <w:bCs/>
          <w:snapToGrid w:val="0"/>
        </w:rPr>
      </w:pPr>
      <w:r>
        <w:rPr>
          <w:rFonts w:asciiTheme="minorHAnsi" w:hAnsiTheme="minorHAnsi"/>
          <w:bCs/>
          <w:snapToGrid w:val="0"/>
        </w:rPr>
        <w:t>The comments</w:t>
      </w:r>
      <w:r w:rsidR="00290558" w:rsidRPr="00290558">
        <w:rPr>
          <w:rFonts w:asciiTheme="minorHAnsi" w:hAnsiTheme="minorHAnsi"/>
          <w:bCs/>
          <w:snapToGrid w:val="0"/>
        </w:rPr>
        <w:t xml:space="preserve"> discussed a range of </w:t>
      </w:r>
      <w:r>
        <w:rPr>
          <w:rFonts w:asciiTheme="minorHAnsi" w:hAnsiTheme="minorHAnsi"/>
          <w:bCs/>
          <w:snapToGrid w:val="0"/>
        </w:rPr>
        <w:t xml:space="preserve">potential </w:t>
      </w:r>
      <w:r w:rsidR="00290558" w:rsidRPr="00290558">
        <w:rPr>
          <w:rFonts w:asciiTheme="minorHAnsi" w:hAnsiTheme="minorHAnsi"/>
          <w:bCs/>
          <w:snapToGrid w:val="0"/>
        </w:rPr>
        <w:t>benefits of ravulizumab including an improvement in symptoms such</w:t>
      </w:r>
      <w:r w:rsidR="00290558" w:rsidRPr="00394B55">
        <w:t xml:space="preserve"> </w:t>
      </w:r>
      <w:r w:rsidR="00290558" w:rsidRPr="00290558">
        <w:rPr>
          <w:rFonts w:asciiTheme="minorHAnsi" w:hAnsiTheme="minorHAnsi"/>
          <w:bCs/>
          <w:snapToGrid w:val="0"/>
        </w:rPr>
        <w:t>as fatigue, swallowing, speech, eye droop and vision</w:t>
      </w:r>
      <w:r w:rsidR="00EC3CE3">
        <w:rPr>
          <w:rFonts w:asciiTheme="minorHAnsi" w:hAnsiTheme="minorHAnsi"/>
          <w:bCs/>
          <w:snapToGrid w:val="0"/>
        </w:rPr>
        <w:t xml:space="preserve"> problems</w:t>
      </w:r>
      <w:r w:rsidR="00290558" w:rsidRPr="00290558">
        <w:rPr>
          <w:rFonts w:asciiTheme="minorHAnsi" w:hAnsiTheme="minorHAnsi"/>
          <w:bCs/>
          <w:snapToGrid w:val="0"/>
        </w:rPr>
        <w:t xml:space="preserve">. </w:t>
      </w:r>
      <w:bookmarkStart w:id="27" w:name="_Hlk173751912"/>
      <w:r w:rsidR="0068557E" w:rsidRPr="00290558">
        <w:rPr>
          <w:rFonts w:asciiTheme="minorHAnsi" w:hAnsiTheme="minorHAnsi"/>
          <w:bCs/>
          <w:snapToGrid w:val="0"/>
        </w:rPr>
        <w:t xml:space="preserve">The comments also noted the need for other treatment options in the long-term, </w:t>
      </w:r>
      <w:r w:rsidR="0068557E" w:rsidRPr="00EE0313">
        <w:rPr>
          <w:rFonts w:asciiTheme="minorHAnsi" w:hAnsiTheme="minorHAnsi"/>
          <w:bCs/>
          <w:snapToGrid w:val="0"/>
        </w:rPr>
        <w:t>since ravulizumab is not a remission-inducing therapy</w:t>
      </w:r>
      <w:bookmarkEnd w:id="27"/>
      <w:r w:rsidR="00290558" w:rsidRPr="00EE0313">
        <w:rPr>
          <w:rFonts w:asciiTheme="minorHAnsi" w:hAnsiTheme="minorHAnsi"/>
          <w:bCs/>
          <w:snapToGrid w:val="0"/>
        </w:rPr>
        <w:t>.</w:t>
      </w:r>
    </w:p>
    <w:p w14:paraId="23DA0B15" w14:textId="23A010A9" w:rsidR="00EE0313" w:rsidRDefault="00EE0313" w:rsidP="00EE0313">
      <w:pPr>
        <w:widowControl w:val="0"/>
        <w:numPr>
          <w:ilvl w:val="1"/>
          <w:numId w:val="1"/>
        </w:numPr>
        <w:spacing w:after="120"/>
        <w:rPr>
          <w:rFonts w:asciiTheme="minorHAnsi" w:hAnsiTheme="minorHAnsi"/>
          <w:bCs/>
          <w:snapToGrid w:val="0"/>
        </w:rPr>
      </w:pPr>
      <w:bookmarkStart w:id="28" w:name="_Ref174015065"/>
      <w:r w:rsidRPr="00EE0313">
        <w:rPr>
          <w:rFonts w:asciiTheme="minorHAnsi" w:hAnsiTheme="minorHAnsi"/>
          <w:bCs/>
          <w:snapToGrid w:val="0"/>
        </w:rPr>
        <w:t xml:space="preserve">The PBAC noted the advice received from Myasthenia Alliance Australia (MAA) which outlined the results of a recent online survey </w:t>
      </w:r>
      <w:r w:rsidR="00461F4A">
        <w:rPr>
          <w:rFonts w:asciiTheme="minorHAnsi" w:hAnsiTheme="minorHAnsi"/>
          <w:bCs/>
          <w:snapToGrid w:val="0"/>
        </w:rPr>
        <w:t>that was</w:t>
      </w:r>
      <w:r w:rsidRPr="00EE0313">
        <w:rPr>
          <w:rFonts w:asciiTheme="minorHAnsi" w:hAnsiTheme="minorHAnsi"/>
          <w:bCs/>
          <w:snapToGrid w:val="0"/>
        </w:rPr>
        <w:t xml:space="preserve"> conducted. Forty-four percent of the 194 respondents indicated their current treatment regimen was not keeping them stable or allowing them to undertake daily activities including family and work commitments. MAA stated that, from the patient perspective, the benefits of </w:t>
      </w:r>
      <w:r>
        <w:rPr>
          <w:rFonts w:asciiTheme="minorHAnsi" w:hAnsiTheme="minorHAnsi"/>
          <w:bCs/>
          <w:snapToGrid w:val="0"/>
        </w:rPr>
        <w:t>ravulizumab</w:t>
      </w:r>
      <w:r w:rsidRPr="00EE0313">
        <w:rPr>
          <w:rFonts w:asciiTheme="minorHAnsi" w:hAnsiTheme="minorHAnsi"/>
          <w:bCs/>
          <w:snapToGrid w:val="0"/>
        </w:rPr>
        <w:t xml:space="preserve"> outweigh the disadvantages.</w:t>
      </w:r>
      <w:bookmarkEnd w:id="28"/>
      <w:r w:rsidRPr="00EE0313">
        <w:rPr>
          <w:rFonts w:asciiTheme="minorHAnsi" w:hAnsiTheme="minorHAnsi"/>
          <w:bCs/>
          <w:snapToGrid w:val="0"/>
        </w:rPr>
        <w:t xml:space="preserve"> </w:t>
      </w:r>
    </w:p>
    <w:p w14:paraId="7D17508A" w14:textId="394E9149" w:rsidR="00AD37E4" w:rsidRPr="00EE0313" w:rsidRDefault="00AD37E4" w:rsidP="00EE0313">
      <w:pPr>
        <w:widowControl w:val="0"/>
        <w:numPr>
          <w:ilvl w:val="1"/>
          <w:numId w:val="1"/>
        </w:numPr>
        <w:spacing w:after="120"/>
        <w:rPr>
          <w:rFonts w:asciiTheme="minorHAnsi" w:hAnsiTheme="minorHAnsi"/>
          <w:bCs/>
          <w:snapToGrid w:val="0"/>
        </w:rPr>
      </w:pPr>
      <w:bookmarkStart w:id="29" w:name="_Ref174695700"/>
      <w:r w:rsidRPr="00EE0313">
        <w:rPr>
          <w:rFonts w:asciiTheme="minorHAnsi" w:hAnsiTheme="minorHAnsi"/>
          <w:bCs/>
          <w:snapToGrid w:val="0"/>
        </w:rPr>
        <w:t>The PBAC</w:t>
      </w:r>
      <w:r>
        <w:rPr>
          <w:rFonts w:asciiTheme="minorHAnsi" w:hAnsiTheme="minorHAnsi"/>
          <w:bCs/>
          <w:snapToGrid w:val="0"/>
        </w:rPr>
        <w:t xml:space="preserve"> also</w:t>
      </w:r>
      <w:r w:rsidRPr="00EE0313">
        <w:rPr>
          <w:rFonts w:asciiTheme="minorHAnsi" w:hAnsiTheme="minorHAnsi"/>
          <w:bCs/>
          <w:snapToGrid w:val="0"/>
        </w:rPr>
        <w:t xml:space="preserve"> noted the advice received from</w:t>
      </w:r>
      <w:r w:rsidR="004C7F0E">
        <w:rPr>
          <w:rFonts w:asciiTheme="minorHAnsi" w:hAnsiTheme="minorHAnsi"/>
          <w:bCs/>
          <w:snapToGrid w:val="0"/>
        </w:rPr>
        <w:t xml:space="preserve"> </w:t>
      </w:r>
      <w:r w:rsidR="004C7F0E" w:rsidRPr="004C7F0E">
        <w:rPr>
          <w:rFonts w:asciiTheme="minorHAnsi" w:hAnsiTheme="minorHAnsi"/>
          <w:bCs/>
          <w:snapToGrid w:val="0"/>
        </w:rPr>
        <w:t xml:space="preserve">Myasthenia Gravis Association </w:t>
      </w:r>
      <w:r w:rsidR="004C7F0E">
        <w:rPr>
          <w:rFonts w:asciiTheme="minorHAnsi" w:hAnsiTheme="minorHAnsi"/>
          <w:bCs/>
          <w:snapToGrid w:val="0"/>
        </w:rPr>
        <w:t>o</w:t>
      </w:r>
      <w:r w:rsidR="004C7F0E" w:rsidRPr="004C7F0E">
        <w:rPr>
          <w:rFonts w:asciiTheme="minorHAnsi" w:hAnsiTheme="minorHAnsi"/>
          <w:bCs/>
          <w:snapToGrid w:val="0"/>
        </w:rPr>
        <w:t xml:space="preserve">f Queensland </w:t>
      </w:r>
      <w:r w:rsidR="00EC1138">
        <w:rPr>
          <w:rFonts w:asciiTheme="minorHAnsi" w:hAnsiTheme="minorHAnsi"/>
          <w:bCs/>
          <w:snapToGrid w:val="0"/>
        </w:rPr>
        <w:t xml:space="preserve">noting the increasing </w:t>
      </w:r>
      <w:r w:rsidR="00AC0D4C">
        <w:rPr>
          <w:rFonts w:asciiTheme="minorHAnsi" w:hAnsiTheme="minorHAnsi"/>
          <w:bCs/>
          <w:snapToGrid w:val="0"/>
        </w:rPr>
        <w:t>prevalence</w:t>
      </w:r>
      <w:r w:rsidR="00B544F0">
        <w:rPr>
          <w:rFonts w:asciiTheme="minorHAnsi" w:hAnsiTheme="minorHAnsi"/>
          <w:bCs/>
          <w:snapToGrid w:val="0"/>
        </w:rPr>
        <w:t xml:space="preserve"> of gMG and thus the increasing burden of disease</w:t>
      </w:r>
      <w:r w:rsidR="00AC0D4C">
        <w:rPr>
          <w:rFonts w:asciiTheme="minorHAnsi" w:hAnsiTheme="minorHAnsi"/>
          <w:bCs/>
          <w:snapToGrid w:val="0"/>
        </w:rPr>
        <w:t xml:space="preserve">. The </w:t>
      </w:r>
      <w:r w:rsidR="00ED5B64">
        <w:rPr>
          <w:rFonts w:asciiTheme="minorHAnsi" w:hAnsiTheme="minorHAnsi"/>
          <w:bCs/>
          <w:snapToGrid w:val="0"/>
        </w:rPr>
        <w:t>comments highlighted the</w:t>
      </w:r>
      <w:r w:rsidR="00EF6AD4">
        <w:rPr>
          <w:rFonts w:asciiTheme="minorHAnsi" w:hAnsiTheme="minorHAnsi"/>
          <w:bCs/>
          <w:snapToGrid w:val="0"/>
        </w:rPr>
        <w:t xml:space="preserve"> </w:t>
      </w:r>
      <w:r w:rsidR="00457539">
        <w:rPr>
          <w:rFonts w:asciiTheme="minorHAnsi" w:hAnsiTheme="minorHAnsi"/>
          <w:bCs/>
          <w:snapToGrid w:val="0"/>
        </w:rPr>
        <w:t>debilitating nature of gMG</w:t>
      </w:r>
      <w:r w:rsidR="008C5ECE">
        <w:rPr>
          <w:rFonts w:asciiTheme="minorHAnsi" w:hAnsiTheme="minorHAnsi"/>
          <w:bCs/>
          <w:snapToGrid w:val="0"/>
        </w:rPr>
        <w:t>, the barriers to accessing current therapies</w:t>
      </w:r>
      <w:r w:rsidR="00457539">
        <w:rPr>
          <w:rFonts w:asciiTheme="minorHAnsi" w:hAnsiTheme="minorHAnsi"/>
          <w:bCs/>
          <w:snapToGrid w:val="0"/>
        </w:rPr>
        <w:t xml:space="preserve"> and the </w:t>
      </w:r>
      <w:r w:rsidR="00EF6AD4">
        <w:rPr>
          <w:rFonts w:asciiTheme="minorHAnsi" w:hAnsiTheme="minorHAnsi"/>
          <w:bCs/>
          <w:snapToGrid w:val="0"/>
        </w:rPr>
        <w:t>substantial out</w:t>
      </w:r>
      <w:r w:rsidR="00457539">
        <w:rPr>
          <w:rFonts w:asciiTheme="minorHAnsi" w:hAnsiTheme="minorHAnsi"/>
          <w:bCs/>
          <w:snapToGrid w:val="0"/>
        </w:rPr>
        <w:t>-</w:t>
      </w:r>
      <w:r w:rsidR="00EF6AD4">
        <w:rPr>
          <w:rFonts w:asciiTheme="minorHAnsi" w:hAnsiTheme="minorHAnsi"/>
          <w:bCs/>
          <w:snapToGrid w:val="0"/>
        </w:rPr>
        <w:t>of</w:t>
      </w:r>
      <w:r w:rsidR="00457539">
        <w:rPr>
          <w:rFonts w:asciiTheme="minorHAnsi" w:hAnsiTheme="minorHAnsi"/>
          <w:bCs/>
          <w:snapToGrid w:val="0"/>
        </w:rPr>
        <w:t>-</w:t>
      </w:r>
      <w:r w:rsidR="00EF6AD4">
        <w:rPr>
          <w:rFonts w:asciiTheme="minorHAnsi" w:hAnsiTheme="minorHAnsi"/>
          <w:bCs/>
          <w:snapToGrid w:val="0"/>
        </w:rPr>
        <w:t>pocket costs</w:t>
      </w:r>
      <w:r w:rsidR="00457539">
        <w:rPr>
          <w:rFonts w:asciiTheme="minorHAnsi" w:hAnsiTheme="minorHAnsi"/>
          <w:bCs/>
          <w:snapToGrid w:val="0"/>
        </w:rPr>
        <w:t xml:space="preserve"> associated with gMG in the context of a reduced capacity to work</w:t>
      </w:r>
      <w:r w:rsidR="00225387">
        <w:rPr>
          <w:rFonts w:asciiTheme="minorHAnsi" w:hAnsiTheme="minorHAnsi"/>
          <w:bCs/>
          <w:snapToGrid w:val="0"/>
        </w:rPr>
        <w:t>.</w:t>
      </w:r>
      <w:bookmarkEnd w:id="29"/>
    </w:p>
    <w:p w14:paraId="609C0765" w14:textId="15F9EC98" w:rsidR="00B60939" w:rsidRPr="008B3A69" w:rsidRDefault="00B60939" w:rsidP="002E4F02">
      <w:pPr>
        <w:pStyle w:val="COMH2-non-numbered"/>
        <w:rPr>
          <w:iCs/>
        </w:rPr>
      </w:pPr>
      <w:r w:rsidRPr="008B3A69">
        <w:rPr>
          <w:iCs/>
        </w:rPr>
        <w:t xml:space="preserve">Clinical </w:t>
      </w:r>
      <w:r w:rsidR="00D5243B" w:rsidRPr="008B3A69">
        <w:rPr>
          <w:iCs/>
        </w:rPr>
        <w:t>studies</w:t>
      </w:r>
      <w:bookmarkEnd w:id="19"/>
      <w:bookmarkEnd w:id="20"/>
    </w:p>
    <w:p w14:paraId="1F584E8A" w14:textId="4D323E4E" w:rsidR="001675DC" w:rsidRPr="008B3A69" w:rsidRDefault="001675DC" w:rsidP="002E4F02">
      <w:pPr>
        <w:pStyle w:val="COMexecsumnumberedpara"/>
      </w:pPr>
      <w:r w:rsidRPr="008B3A69">
        <w:t>The submission was based on one head-to-head randomised trial comparing ravulizumab to placebo in patients with generalised myasthenia gravis (CHAMPION-MG). The submission also presented an interim analysis from an open-label extension study of patients previously enrolled in the CHAMPION-MG trial as supportive data.</w:t>
      </w:r>
    </w:p>
    <w:p w14:paraId="7A188EF6" w14:textId="06B13AE8" w:rsidR="00FD0B30" w:rsidRPr="008B3A69" w:rsidRDefault="001675DC" w:rsidP="00FD0B30">
      <w:pPr>
        <w:pStyle w:val="COMexecsumnumberedpara"/>
      </w:pPr>
      <w:r w:rsidRPr="008B3A69">
        <w:t xml:space="preserve">Details of the included studies are provided in </w:t>
      </w:r>
      <w:r w:rsidR="00FD0B30" w:rsidRPr="008B3A69">
        <w:fldChar w:fldCharType="begin" w:fldLock="1"/>
      </w:r>
      <w:r w:rsidR="00FD0B30" w:rsidRPr="008B3A69">
        <w:instrText xml:space="preserve"> REF _Ref155285075 \h </w:instrText>
      </w:r>
      <w:r w:rsidR="00291F22" w:rsidRPr="008B3A69">
        <w:instrText xml:space="preserve"> \* MERGEFORMAT </w:instrText>
      </w:r>
      <w:r w:rsidR="00FD0B30" w:rsidRPr="008B3A69">
        <w:fldChar w:fldCharType="separate"/>
      </w:r>
      <w:r w:rsidR="0081771C" w:rsidRPr="008B3A69">
        <w:t xml:space="preserve">Table </w:t>
      </w:r>
      <w:r w:rsidR="0081771C">
        <w:rPr>
          <w:noProof/>
        </w:rPr>
        <w:t>2</w:t>
      </w:r>
      <w:r w:rsidR="00FD0B30" w:rsidRPr="008B3A69">
        <w:fldChar w:fldCharType="end"/>
      </w:r>
      <w:r w:rsidRPr="008B3A69">
        <w:t>.</w:t>
      </w:r>
    </w:p>
    <w:p w14:paraId="5DB78DFF" w14:textId="19A49457" w:rsidR="00FD0B30" w:rsidRPr="008B3A69" w:rsidRDefault="00FD0B30" w:rsidP="00FE7FE7">
      <w:pPr>
        <w:pStyle w:val="COMtablefigcaption"/>
        <w:keepLines/>
      </w:pPr>
      <w:bookmarkStart w:id="30" w:name="_Ref155285075"/>
      <w:r w:rsidRPr="008B3A69">
        <w:t xml:space="preserve">Table </w:t>
      </w:r>
      <w:r w:rsidR="0065138C">
        <w:fldChar w:fldCharType="begin" w:fldLock="1"/>
      </w:r>
      <w:r w:rsidR="0065138C">
        <w:instrText xml:space="preserve"> SEQ Table \* ARABIC </w:instrText>
      </w:r>
      <w:r w:rsidR="0065138C">
        <w:fldChar w:fldCharType="separate"/>
      </w:r>
      <w:r w:rsidR="0081771C">
        <w:rPr>
          <w:noProof/>
        </w:rPr>
        <w:t>2</w:t>
      </w:r>
      <w:r w:rsidR="0065138C">
        <w:rPr>
          <w:noProof/>
        </w:rPr>
        <w:fldChar w:fldCharType="end"/>
      </w:r>
      <w:bookmarkEnd w:id="30"/>
      <w:r w:rsidRPr="008B3A69">
        <w:rPr>
          <w:rStyle w:val="CommentReference"/>
          <w:b/>
          <w:szCs w:val="24"/>
        </w:rPr>
        <w:t>: Studies and associated reports presented in the submission</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5"/>
        <w:gridCol w:w="4487"/>
        <w:gridCol w:w="2953"/>
      </w:tblGrid>
      <w:tr w:rsidR="00FD0B30" w:rsidRPr="008B3A69" w14:paraId="5DAC26D1" w14:textId="77777777" w:rsidTr="00782FB8">
        <w:trPr>
          <w:tblHeader/>
        </w:trPr>
        <w:tc>
          <w:tcPr>
            <w:tcW w:w="941" w:type="pct"/>
            <w:tcBorders>
              <w:bottom w:val="single" w:sz="4" w:space="0" w:color="auto"/>
            </w:tcBorders>
            <w:vAlign w:val="center"/>
          </w:tcPr>
          <w:p w14:paraId="65CF657F" w14:textId="77777777" w:rsidR="00FD0B30" w:rsidRPr="008B3A69" w:rsidRDefault="00FD0B30" w:rsidP="00FE7FE7">
            <w:pPr>
              <w:pStyle w:val="Tabletext0"/>
              <w:keepNext/>
              <w:keepLines/>
              <w:rPr>
                <w:b/>
              </w:rPr>
            </w:pPr>
            <w:r w:rsidRPr="008B3A69">
              <w:rPr>
                <w:b/>
              </w:rPr>
              <w:t>Trial ID</w:t>
            </w:r>
          </w:p>
        </w:tc>
        <w:tc>
          <w:tcPr>
            <w:tcW w:w="2448" w:type="pct"/>
            <w:tcBorders>
              <w:bottom w:val="single" w:sz="4" w:space="0" w:color="auto"/>
            </w:tcBorders>
            <w:vAlign w:val="center"/>
          </w:tcPr>
          <w:p w14:paraId="6075AE9F" w14:textId="77777777" w:rsidR="00FD0B30" w:rsidRPr="008B3A69" w:rsidRDefault="00FD0B30" w:rsidP="00FE7FE7">
            <w:pPr>
              <w:pStyle w:val="Tabletext0"/>
              <w:keepNext/>
              <w:keepLines/>
              <w:jc w:val="center"/>
              <w:rPr>
                <w:b/>
              </w:rPr>
            </w:pPr>
            <w:r w:rsidRPr="008B3A69">
              <w:rPr>
                <w:b/>
              </w:rPr>
              <w:t>Protocol title/ Publication title</w:t>
            </w:r>
          </w:p>
        </w:tc>
        <w:tc>
          <w:tcPr>
            <w:tcW w:w="1611" w:type="pct"/>
            <w:tcBorders>
              <w:bottom w:val="single" w:sz="4" w:space="0" w:color="auto"/>
            </w:tcBorders>
            <w:vAlign w:val="center"/>
          </w:tcPr>
          <w:p w14:paraId="1DB902C6" w14:textId="77777777" w:rsidR="00FD0B30" w:rsidRPr="008B3A69" w:rsidRDefault="00FD0B30" w:rsidP="00FE7FE7">
            <w:pPr>
              <w:pStyle w:val="Tabletext0"/>
              <w:keepNext/>
              <w:keepLines/>
              <w:jc w:val="center"/>
              <w:rPr>
                <w:b/>
              </w:rPr>
            </w:pPr>
            <w:r w:rsidRPr="008B3A69">
              <w:rPr>
                <w:b/>
              </w:rPr>
              <w:t>Publication citation</w:t>
            </w:r>
          </w:p>
        </w:tc>
      </w:tr>
      <w:tr w:rsidR="00FD0B30" w:rsidRPr="008B3A69" w14:paraId="4488A28A" w14:textId="77777777" w:rsidTr="007270D4">
        <w:tc>
          <w:tcPr>
            <w:tcW w:w="941" w:type="pct"/>
            <w:vMerge w:val="restart"/>
            <w:tcBorders>
              <w:top w:val="single" w:sz="4" w:space="0" w:color="auto"/>
              <w:left w:val="single" w:sz="4" w:space="0" w:color="auto"/>
              <w:right w:val="single" w:sz="4" w:space="0" w:color="auto"/>
            </w:tcBorders>
            <w:vAlign w:val="center"/>
          </w:tcPr>
          <w:p w14:paraId="305A054E" w14:textId="77777777" w:rsidR="00FD0B30" w:rsidRPr="008B3A69" w:rsidRDefault="00FD0B30" w:rsidP="00FE7FE7">
            <w:pPr>
              <w:pStyle w:val="Tabletext0"/>
              <w:keepNext/>
              <w:keepLines/>
            </w:pPr>
            <w:r w:rsidRPr="008B3A69">
              <w:t>ALXN1210-MG-306</w:t>
            </w:r>
          </w:p>
          <w:p w14:paraId="088A51F6" w14:textId="77777777" w:rsidR="00FD0B30" w:rsidRPr="008B3A69" w:rsidRDefault="00FD0B30" w:rsidP="00FE7FE7">
            <w:pPr>
              <w:pStyle w:val="Tabletext0"/>
              <w:keepNext/>
              <w:keepLines/>
            </w:pPr>
            <w:r w:rsidRPr="008B3A69">
              <w:t>(CHAMPION-MG)</w:t>
            </w:r>
          </w:p>
        </w:tc>
        <w:tc>
          <w:tcPr>
            <w:tcW w:w="2448" w:type="pct"/>
            <w:tcBorders>
              <w:top w:val="single" w:sz="4" w:space="0" w:color="auto"/>
              <w:left w:val="single" w:sz="4" w:space="0" w:color="auto"/>
              <w:bottom w:val="nil"/>
              <w:right w:val="single" w:sz="4" w:space="0" w:color="auto"/>
            </w:tcBorders>
            <w:vAlign w:val="center"/>
          </w:tcPr>
          <w:p w14:paraId="3D770EED" w14:textId="4423215C" w:rsidR="00FD0B30" w:rsidRPr="008B3A69" w:rsidRDefault="00FD0B30" w:rsidP="00FE7FE7">
            <w:pPr>
              <w:pStyle w:val="Tabletext0"/>
              <w:keepNext/>
              <w:keepLines/>
              <w:spacing w:after="40"/>
              <w:rPr>
                <w:szCs w:val="18"/>
              </w:rPr>
            </w:pPr>
            <w:r w:rsidRPr="008B3A69">
              <w:rPr>
                <w:szCs w:val="18"/>
              </w:rPr>
              <w:t xml:space="preserve">Alexion (2021). A </w:t>
            </w:r>
            <w:r w:rsidR="00985D0E" w:rsidRPr="008B3A69">
              <w:rPr>
                <w:szCs w:val="18"/>
              </w:rPr>
              <w:t>phase 3, randomized, double-blind, placebo-controlled, multicenter study to evaluate the safety and efficacy of ravulizumab in complement-inhibitor-naïve adult patients with generalized myasthenia gravis.</w:t>
            </w:r>
          </w:p>
        </w:tc>
        <w:tc>
          <w:tcPr>
            <w:tcW w:w="1611" w:type="pct"/>
            <w:tcBorders>
              <w:top w:val="single" w:sz="4" w:space="0" w:color="auto"/>
              <w:left w:val="single" w:sz="4" w:space="0" w:color="auto"/>
              <w:bottom w:val="nil"/>
              <w:right w:val="single" w:sz="4" w:space="0" w:color="auto"/>
            </w:tcBorders>
          </w:tcPr>
          <w:p w14:paraId="1B847BA8" w14:textId="77777777" w:rsidR="00FD0B30" w:rsidRPr="008B3A69" w:rsidRDefault="00FD0B30" w:rsidP="00FE7FE7">
            <w:pPr>
              <w:pStyle w:val="Tabletext0"/>
              <w:keepNext/>
              <w:keepLines/>
              <w:spacing w:after="40"/>
            </w:pPr>
            <w:r w:rsidRPr="008B3A69">
              <w:t>Internal study report</w:t>
            </w:r>
          </w:p>
        </w:tc>
      </w:tr>
      <w:tr w:rsidR="00FD0B30" w:rsidRPr="008B3A69" w14:paraId="7A6475B4" w14:textId="77777777" w:rsidTr="007270D4">
        <w:tc>
          <w:tcPr>
            <w:tcW w:w="941" w:type="pct"/>
            <w:vMerge/>
            <w:tcBorders>
              <w:left w:val="single" w:sz="4" w:space="0" w:color="auto"/>
              <w:right w:val="single" w:sz="4" w:space="0" w:color="auto"/>
            </w:tcBorders>
            <w:vAlign w:val="center"/>
          </w:tcPr>
          <w:p w14:paraId="48D05F0D" w14:textId="77777777" w:rsidR="00FD0B30" w:rsidRPr="008B3A69" w:rsidRDefault="00FD0B30" w:rsidP="00FE7FE7">
            <w:pPr>
              <w:pStyle w:val="Tabletext0"/>
              <w:keepNext/>
              <w:keepLines/>
            </w:pPr>
          </w:p>
        </w:tc>
        <w:tc>
          <w:tcPr>
            <w:tcW w:w="2448" w:type="pct"/>
            <w:tcBorders>
              <w:top w:val="nil"/>
              <w:left w:val="single" w:sz="4" w:space="0" w:color="auto"/>
              <w:bottom w:val="nil"/>
              <w:right w:val="single" w:sz="4" w:space="0" w:color="auto"/>
            </w:tcBorders>
            <w:vAlign w:val="center"/>
          </w:tcPr>
          <w:p w14:paraId="7CDB442B" w14:textId="5059B37F" w:rsidR="00FD0B30" w:rsidRPr="008B3A69" w:rsidRDefault="00FD0B30" w:rsidP="00FE7FE7">
            <w:pPr>
              <w:pStyle w:val="Tabletext0"/>
              <w:keepNext/>
              <w:keepLines/>
              <w:spacing w:after="40"/>
              <w:rPr>
                <w:szCs w:val="18"/>
              </w:rPr>
            </w:pPr>
            <w:r w:rsidRPr="008B3A69">
              <w:rPr>
                <w:szCs w:val="18"/>
              </w:rPr>
              <w:t xml:space="preserve">Alexion (2022). A </w:t>
            </w:r>
            <w:r w:rsidR="008F06A8" w:rsidRPr="008B3A69">
              <w:rPr>
                <w:szCs w:val="18"/>
              </w:rPr>
              <w:t xml:space="preserve">phase 3, randomized, double-blind, placebo-controlled, multicenter study to evaluate the safety and efficacy of ravulizumab in complement-inhibitor-naïve adult patients with generalized myasthenia gravis. </w:t>
            </w:r>
            <w:r w:rsidR="00673C4D" w:rsidRPr="008B3A69">
              <w:rPr>
                <w:szCs w:val="18"/>
              </w:rPr>
              <w:t>C</w:t>
            </w:r>
            <w:r w:rsidR="008F06A8" w:rsidRPr="008B3A69">
              <w:rPr>
                <w:szCs w:val="18"/>
              </w:rPr>
              <w:t xml:space="preserve">linical study report addendum (60-week data). </w:t>
            </w:r>
          </w:p>
        </w:tc>
        <w:tc>
          <w:tcPr>
            <w:tcW w:w="1611" w:type="pct"/>
            <w:tcBorders>
              <w:top w:val="nil"/>
              <w:left w:val="single" w:sz="4" w:space="0" w:color="auto"/>
              <w:bottom w:val="nil"/>
              <w:right w:val="single" w:sz="4" w:space="0" w:color="auto"/>
            </w:tcBorders>
          </w:tcPr>
          <w:p w14:paraId="02D32CA5" w14:textId="77777777" w:rsidR="00FD0B30" w:rsidRPr="008B3A69" w:rsidRDefault="00FD0B30" w:rsidP="00FE7FE7">
            <w:pPr>
              <w:pStyle w:val="Tabletext0"/>
              <w:keepNext/>
              <w:keepLines/>
              <w:spacing w:after="40"/>
            </w:pPr>
            <w:r w:rsidRPr="008B3A69">
              <w:t>Internal study report</w:t>
            </w:r>
          </w:p>
        </w:tc>
      </w:tr>
      <w:tr w:rsidR="00FD0B30" w:rsidRPr="008B3A69" w14:paraId="495CAAD7" w14:textId="77777777" w:rsidTr="007270D4">
        <w:tc>
          <w:tcPr>
            <w:tcW w:w="941" w:type="pct"/>
            <w:vMerge/>
            <w:tcBorders>
              <w:left w:val="single" w:sz="4" w:space="0" w:color="auto"/>
              <w:right w:val="single" w:sz="4" w:space="0" w:color="auto"/>
            </w:tcBorders>
            <w:vAlign w:val="center"/>
          </w:tcPr>
          <w:p w14:paraId="7B046A55" w14:textId="77777777" w:rsidR="00FD0B30" w:rsidRPr="008B3A69" w:rsidRDefault="00FD0B30" w:rsidP="00FE7FE7">
            <w:pPr>
              <w:pStyle w:val="Tabletext0"/>
              <w:keepNext/>
              <w:keepLines/>
            </w:pPr>
          </w:p>
        </w:tc>
        <w:tc>
          <w:tcPr>
            <w:tcW w:w="2448" w:type="pct"/>
            <w:tcBorders>
              <w:top w:val="nil"/>
              <w:left w:val="single" w:sz="4" w:space="0" w:color="auto"/>
              <w:bottom w:val="nil"/>
              <w:right w:val="single" w:sz="4" w:space="0" w:color="auto"/>
            </w:tcBorders>
            <w:vAlign w:val="center"/>
          </w:tcPr>
          <w:p w14:paraId="73703E08" w14:textId="59AC2D79" w:rsidR="00FD0B30" w:rsidRPr="008B3A69" w:rsidRDefault="00FD0B30" w:rsidP="00FE7FE7">
            <w:pPr>
              <w:pStyle w:val="Tabletext0"/>
              <w:keepNext/>
              <w:keepLines/>
              <w:spacing w:after="40"/>
              <w:rPr>
                <w:szCs w:val="18"/>
              </w:rPr>
            </w:pPr>
            <w:r w:rsidRPr="008B3A69">
              <w:rPr>
                <w:szCs w:val="18"/>
              </w:rPr>
              <w:t xml:space="preserve">Vu et al (2022). Terminal </w:t>
            </w:r>
            <w:r w:rsidR="00EA2156" w:rsidRPr="008B3A69">
              <w:rPr>
                <w:szCs w:val="18"/>
              </w:rPr>
              <w:t>complement inhibitor ravulizumab in generalized myasthenia gravis</w:t>
            </w:r>
            <w:r w:rsidRPr="008B3A69">
              <w:rPr>
                <w:szCs w:val="18"/>
              </w:rPr>
              <w:t>.</w:t>
            </w:r>
          </w:p>
        </w:tc>
        <w:tc>
          <w:tcPr>
            <w:tcW w:w="1611" w:type="pct"/>
            <w:tcBorders>
              <w:top w:val="nil"/>
              <w:left w:val="single" w:sz="4" w:space="0" w:color="auto"/>
              <w:bottom w:val="nil"/>
              <w:right w:val="single" w:sz="4" w:space="0" w:color="auto"/>
            </w:tcBorders>
          </w:tcPr>
          <w:p w14:paraId="34089C30" w14:textId="77777777" w:rsidR="00FD0B30" w:rsidRPr="008B3A69" w:rsidRDefault="00FD0B30" w:rsidP="00FE7FE7">
            <w:pPr>
              <w:pStyle w:val="Tabletext0"/>
              <w:keepNext/>
              <w:keepLines/>
              <w:spacing w:after="40"/>
            </w:pPr>
            <w:r w:rsidRPr="008B3A69">
              <w:t>New England Journal of Medicine Evidence 1(5)</w:t>
            </w:r>
          </w:p>
        </w:tc>
      </w:tr>
      <w:tr w:rsidR="00FD0B30" w:rsidRPr="008B3A69" w14:paraId="3AD7F069" w14:textId="77777777" w:rsidTr="007270D4">
        <w:tc>
          <w:tcPr>
            <w:tcW w:w="941" w:type="pct"/>
            <w:vMerge/>
            <w:tcBorders>
              <w:left w:val="single" w:sz="4" w:space="0" w:color="auto"/>
              <w:right w:val="single" w:sz="4" w:space="0" w:color="auto"/>
            </w:tcBorders>
            <w:vAlign w:val="center"/>
          </w:tcPr>
          <w:p w14:paraId="0312C5F0" w14:textId="77777777" w:rsidR="00FD0B30" w:rsidRPr="008B3A69" w:rsidRDefault="00FD0B30" w:rsidP="00FE7FE7">
            <w:pPr>
              <w:pStyle w:val="Tabletext0"/>
              <w:keepNext/>
              <w:keepLines/>
            </w:pPr>
          </w:p>
        </w:tc>
        <w:tc>
          <w:tcPr>
            <w:tcW w:w="2448" w:type="pct"/>
            <w:tcBorders>
              <w:top w:val="nil"/>
              <w:left w:val="single" w:sz="4" w:space="0" w:color="auto"/>
              <w:bottom w:val="nil"/>
              <w:right w:val="single" w:sz="4" w:space="0" w:color="auto"/>
            </w:tcBorders>
            <w:vAlign w:val="center"/>
          </w:tcPr>
          <w:p w14:paraId="024034C6" w14:textId="77777777" w:rsidR="00FD0B30" w:rsidRPr="008B3A69" w:rsidRDefault="00FD0B30" w:rsidP="00FE7FE7">
            <w:pPr>
              <w:pStyle w:val="Tabletext0"/>
              <w:keepNext/>
              <w:keepLines/>
              <w:spacing w:after="40"/>
              <w:rPr>
                <w:szCs w:val="18"/>
              </w:rPr>
            </w:pPr>
            <w:r w:rsidRPr="008B3A69">
              <w:rPr>
                <w:szCs w:val="18"/>
              </w:rPr>
              <w:t>Vu et al (2023). Ravulizumab pharmacokinetics and pharmacodynamics in patients with generalized myasthenia gravis</w:t>
            </w:r>
          </w:p>
        </w:tc>
        <w:tc>
          <w:tcPr>
            <w:tcW w:w="1611" w:type="pct"/>
            <w:tcBorders>
              <w:top w:val="nil"/>
              <w:left w:val="single" w:sz="4" w:space="0" w:color="auto"/>
              <w:bottom w:val="nil"/>
              <w:right w:val="single" w:sz="4" w:space="0" w:color="auto"/>
            </w:tcBorders>
          </w:tcPr>
          <w:p w14:paraId="74354654" w14:textId="77777777" w:rsidR="00FD0B30" w:rsidRPr="008B3A69" w:rsidRDefault="00FD0B30" w:rsidP="00FE7FE7">
            <w:pPr>
              <w:pStyle w:val="Tabletext0"/>
              <w:keepNext/>
              <w:keepLines/>
              <w:spacing w:after="40"/>
            </w:pPr>
            <w:r w:rsidRPr="008B3A69">
              <w:t>Journal of Neurology 270: 3129-3137</w:t>
            </w:r>
          </w:p>
        </w:tc>
      </w:tr>
      <w:tr w:rsidR="00FD0B30" w:rsidRPr="008B3A69" w14:paraId="60E277D3" w14:textId="77777777" w:rsidTr="007270D4">
        <w:tc>
          <w:tcPr>
            <w:tcW w:w="941" w:type="pct"/>
            <w:vMerge/>
            <w:tcBorders>
              <w:left w:val="single" w:sz="4" w:space="0" w:color="auto"/>
              <w:right w:val="single" w:sz="4" w:space="0" w:color="auto"/>
            </w:tcBorders>
            <w:vAlign w:val="center"/>
          </w:tcPr>
          <w:p w14:paraId="092EADB6" w14:textId="77777777" w:rsidR="00FD0B30" w:rsidRPr="008B3A69" w:rsidRDefault="00FD0B30" w:rsidP="00FE7FE7">
            <w:pPr>
              <w:pStyle w:val="Tabletext0"/>
              <w:keepNext/>
              <w:keepLines/>
            </w:pPr>
          </w:p>
        </w:tc>
        <w:tc>
          <w:tcPr>
            <w:tcW w:w="2448" w:type="pct"/>
            <w:tcBorders>
              <w:top w:val="nil"/>
              <w:left w:val="single" w:sz="4" w:space="0" w:color="auto"/>
              <w:bottom w:val="single" w:sz="4" w:space="0" w:color="auto"/>
              <w:right w:val="single" w:sz="4" w:space="0" w:color="auto"/>
            </w:tcBorders>
            <w:vAlign w:val="center"/>
          </w:tcPr>
          <w:p w14:paraId="5ECAD01E" w14:textId="77777777" w:rsidR="00FD0B30" w:rsidRPr="008B3A69" w:rsidRDefault="00FD0B30" w:rsidP="00FE7FE7">
            <w:pPr>
              <w:pStyle w:val="Tabletext0"/>
              <w:keepNext/>
              <w:keepLines/>
              <w:rPr>
                <w:szCs w:val="18"/>
              </w:rPr>
            </w:pPr>
            <w:r w:rsidRPr="008B3A69">
              <w:rPr>
                <w:szCs w:val="18"/>
              </w:rPr>
              <w:t>Meisel et al (2023). Long-term efficacy and safety of ravulizumab in adults with anti-acetylcholine receptor antibody-positive generalized myasthenia gravis: results from the phase 3 CHAMPION MG open-label extension</w:t>
            </w:r>
          </w:p>
        </w:tc>
        <w:tc>
          <w:tcPr>
            <w:tcW w:w="1611" w:type="pct"/>
            <w:tcBorders>
              <w:top w:val="nil"/>
              <w:left w:val="single" w:sz="4" w:space="0" w:color="auto"/>
              <w:bottom w:val="single" w:sz="4" w:space="0" w:color="auto"/>
              <w:right w:val="single" w:sz="4" w:space="0" w:color="auto"/>
            </w:tcBorders>
          </w:tcPr>
          <w:p w14:paraId="259F0729" w14:textId="77777777" w:rsidR="00FD0B30" w:rsidRPr="008B3A69" w:rsidRDefault="00FD0B30" w:rsidP="00FE7FE7">
            <w:pPr>
              <w:pStyle w:val="Tabletext0"/>
              <w:keepNext/>
              <w:keepLines/>
            </w:pPr>
            <w:r w:rsidRPr="008B3A69">
              <w:t>Journal of Neurology 270: 3862-3875</w:t>
            </w:r>
          </w:p>
        </w:tc>
      </w:tr>
    </w:tbl>
    <w:p w14:paraId="6B1BC1E0" w14:textId="77777777" w:rsidR="00FD0B30" w:rsidRPr="008B3A69" w:rsidRDefault="00FD0B30" w:rsidP="00FE7FE7">
      <w:pPr>
        <w:pStyle w:val="COMTablefooter"/>
        <w:keepNext/>
      </w:pPr>
      <w:r w:rsidRPr="008B3A69">
        <w:t>Source: Table 2-3, p56 of the submission</w:t>
      </w:r>
    </w:p>
    <w:p w14:paraId="522E852A" w14:textId="4B5526B2" w:rsidR="00FD0B30" w:rsidRPr="008B3A69" w:rsidRDefault="00FD0B30" w:rsidP="00FE7FE7">
      <w:pPr>
        <w:pStyle w:val="COMTablefooter"/>
        <w:keepNext/>
        <w:rPr>
          <w:sz w:val="20"/>
        </w:rPr>
      </w:pPr>
      <w:r w:rsidRPr="008B3A69">
        <w:t>Note: Abstracts of studies with full publications are not presented</w:t>
      </w:r>
    </w:p>
    <w:p w14:paraId="1E6D571E" w14:textId="0BCAD970" w:rsidR="00725C42" w:rsidRPr="008B3A69" w:rsidRDefault="00725C42" w:rsidP="00EC5836">
      <w:pPr>
        <w:pStyle w:val="COMexecsumnumberedpara"/>
      </w:pPr>
      <w:r w:rsidRPr="008B3A69">
        <w:t xml:space="preserve">The key features of the CHAMPION-MG trial are summarised in </w:t>
      </w:r>
      <w:r w:rsidRPr="008B3A69">
        <w:fldChar w:fldCharType="begin" w:fldLock="1"/>
      </w:r>
      <w:r w:rsidRPr="008B3A69">
        <w:instrText xml:space="preserve"> REF _Ref104804098 \h </w:instrText>
      </w:r>
      <w:r w:rsidR="00291F22" w:rsidRPr="008B3A69">
        <w:instrText xml:space="preserve"> \* MERGEFORMAT </w:instrText>
      </w:r>
      <w:r w:rsidRPr="008B3A69">
        <w:fldChar w:fldCharType="separate"/>
      </w:r>
      <w:r w:rsidR="0081771C" w:rsidRPr="008B3A69">
        <w:t xml:space="preserve">Table </w:t>
      </w:r>
      <w:r w:rsidR="0081771C">
        <w:rPr>
          <w:noProof/>
        </w:rPr>
        <w:t>3</w:t>
      </w:r>
      <w:r w:rsidRPr="008B3A69">
        <w:fldChar w:fldCharType="end"/>
      </w:r>
      <w:r w:rsidRPr="008B3A69">
        <w:t>.</w:t>
      </w:r>
    </w:p>
    <w:p w14:paraId="355E2F15" w14:textId="28FCE1B8" w:rsidR="007F1017" w:rsidRPr="008B3A69" w:rsidRDefault="00696EF9" w:rsidP="00465A01">
      <w:pPr>
        <w:pStyle w:val="COMtablefigcaption"/>
        <w:keepLines/>
      </w:pPr>
      <w:bookmarkStart w:id="31" w:name="_Ref104804098"/>
      <w:r w:rsidRPr="008B3A69">
        <w:t xml:space="preserve">Table </w:t>
      </w:r>
      <w:r w:rsidR="0065138C">
        <w:fldChar w:fldCharType="begin" w:fldLock="1"/>
      </w:r>
      <w:r w:rsidR="0065138C">
        <w:instrText xml:space="preserve"> SEQ Table \* ARABIC </w:instrText>
      </w:r>
      <w:r w:rsidR="0065138C">
        <w:fldChar w:fldCharType="separate"/>
      </w:r>
      <w:r w:rsidR="0081771C">
        <w:rPr>
          <w:noProof/>
        </w:rPr>
        <w:t>3</w:t>
      </w:r>
      <w:r w:rsidR="0065138C">
        <w:rPr>
          <w:noProof/>
        </w:rPr>
        <w:fldChar w:fldCharType="end"/>
      </w:r>
      <w:bookmarkEnd w:id="31"/>
      <w:r w:rsidR="00D6076E" w:rsidRPr="008B3A69">
        <w:t xml:space="preserve">: </w:t>
      </w:r>
      <w:r w:rsidR="007F1017" w:rsidRPr="008B3A69">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2"/>
        <w:gridCol w:w="566"/>
        <w:gridCol w:w="1419"/>
        <w:gridCol w:w="709"/>
        <w:gridCol w:w="1275"/>
        <w:gridCol w:w="1702"/>
        <w:gridCol w:w="2074"/>
      </w:tblGrid>
      <w:tr w:rsidR="00A158AB" w:rsidRPr="008B3A69" w14:paraId="53DD7CC6" w14:textId="77777777" w:rsidTr="00DD3B21">
        <w:trPr>
          <w:cantSplit/>
          <w:tblHeader/>
        </w:trPr>
        <w:tc>
          <w:tcPr>
            <w:tcW w:w="705" w:type="pct"/>
            <w:shd w:val="clear" w:color="auto" w:fill="auto"/>
            <w:vAlign w:val="center"/>
          </w:tcPr>
          <w:p w14:paraId="794116BC" w14:textId="77777777" w:rsidR="007F1017" w:rsidRPr="008B3A69" w:rsidRDefault="007F1017" w:rsidP="00465A01">
            <w:pPr>
              <w:pStyle w:val="COMTableheadingrow"/>
              <w:keepLines/>
              <w:rPr>
                <w:lang w:val="en-AU"/>
              </w:rPr>
            </w:pPr>
            <w:r w:rsidRPr="008B3A69">
              <w:rPr>
                <w:lang w:val="en-AU"/>
              </w:rPr>
              <w:t>Trial</w:t>
            </w:r>
          </w:p>
        </w:tc>
        <w:tc>
          <w:tcPr>
            <w:tcW w:w="314" w:type="pct"/>
            <w:shd w:val="clear" w:color="auto" w:fill="auto"/>
            <w:vAlign w:val="center"/>
          </w:tcPr>
          <w:p w14:paraId="51122FE5" w14:textId="77777777" w:rsidR="007F1017" w:rsidRPr="008B3A69" w:rsidRDefault="007F1017" w:rsidP="00465A01">
            <w:pPr>
              <w:pStyle w:val="COMTableheadingrow"/>
              <w:keepLines/>
              <w:jc w:val="center"/>
              <w:rPr>
                <w:lang w:val="en-AU"/>
              </w:rPr>
            </w:pPr>
            <w:r w:rsidRPr="008B3A69">
              <w:rPr>
                <w:lang w:val="en-AU"/>
              </w:rPr>
              <w:t>N</w:t>
            </w:r>
          </w:p>
        </w:tc>
        <w:tc>
          <w:tcPr>
            <w:tcW w:w="787" w:type="pct"/>
            <w:shd w:val="clear" w:color="auto" w:fill="auto"/>
            <w:vAlign w:val="center"/>
          </w:tcPr>
          <w:p w14:paraId="41C438EF" w14:textId="77777777" w:rsidR="007F1017" w:rsidRPr="008B3A69" w:rsidRDefault="007F1017" w:rsidP="00465A01">
            <w:pPr>
              <w:pStyle w:val="COMTableheadingrow"/>
              <w:keepLines/>
              <w:jc w:val="center"/>
              <w:rPr>
                <w:lang w:val="en-AU"/>
              </w:rPr>
            </w:pPr>
            <w:r w:rsidRPr="008B3A69">
              <w:rPr>
                <w:lang w:val="en-AU"/>
              </w:rPr>
              <w:t>Design/ duration</w:t>
            </w:r>
          </w:p>
        </w:tc>
        <w:tc>
          <w:tcPr>
            <w:tcW w:w="393" w:type="pct"/>
            <w:shd w:val="clear" w:color="auto" w:fill="auto"/>
            <w:vAlign w:val="center"/>
          </w:tcPr>
          <w:p w14:paraId="1FC91360" w14:textId="77777777" w:rsidR="007F1017" w:rsidRPr="008B3A69" w:rsidRDefault="007F1017" w:rsidP="00465A01">
            <w:pPr>
              <w:pStyle w:val="COMTableheadingrow"/>
              <w:keepLines/>
              <w:jc w:val="center"/>
              <w:rPr>
                <w:lang w:val="en-AU"/>
              </w:rPr>
            </w:pPr>
            <w:r w:rsidRPr="008B3A69">
              <w:rPr>
                <w:lang w:val="en-AU"/>
              </w:rPr>
              <w:t>Risk of bias</w:t>
            </w:r>
          </w:p>
        </w:tc>
        <w:tc>
          <w:tcPr>
            <w:tcW w:w="707" w:type="pct"/>
            <w:shd w:val="clear" w:color="auto" w:fill="auto"/>
            <w:vAlign w:val="center"/>
          </w:tcPr>
          <w:p w14:paraId="7FF90896" w14:textId="77777777" w:rsidR="007F1017" w:rsidRPr="008B3A69" w:rsidRDefault="007F1017" w:rsidP="00465A01">
            <w:pPr>
              <w:pStyle w:val="COMTableheadingrow"/>
              <w:keepLines/>
              <w:jc w:val="center"/>
              <w:rPr>
                <w:lang w:val="en-AU"/>
              </w:rPr>
            </w:pPr>
            <w:r w:rsidRPr="008B3A69">
              <w:rPr>
                <w:lang w:val="en-AU"/>
              </w:rPr>
              <w:t>Patient population</w:t>
            </w:r>
          </w:p>
        </w:tc>
        <w:tc>
          <w:tcPr>
            <w:tcW w:w="944" w:type="pct"/>
            <w:shd w:val="clear" w:color="auto" w:fill="auto"/>
            <w:vAlign w:val="center"/>
          </w:tcPr>
          <w:p w14:paraId="0FCB63F9" w14:textId="79400DD6" w:rsidR="007F1017" w:rsidRPr="008B3A69" w:rsidRDefault="007F1017" w:rsidP="00465A01">
            <w:pPr>
              <w:pStyle w:val="COMTableheadingrow"/>
              <w:keepLines/>
              <w:jc w:val="center"/>
              <w:rPr>
                <w:lang w:val="en-AU"/>
              </w:rPr>
            </w:pPr>
            <w:r w:rsidRPr="008B3A69">
              <w:rPr>
                <w:lang w:val="en-AU"/>
              </w:rPr>
              <w:t>Outcomes</w:t>
            </w:r>
          </w:p>
        </w:tc>
        <w:tc>
          <w:tcPr>
            <w:tcW w:w="1150" w:type="pct"/>
            <w:shd w:val="clear" w:color="auto" w:fill="auto"/>
            <w:vAlign w:val="center"/>
          </w:tcPr>
          <w:p w14:paraId="08C6F624" w14:textId="77777777" w:rsidR="007F1017" w:rsidRPr="008B3A69" w:rsidRDefault="007F1017" w:rsidP="00465A01">
            <w:pPr>
              <w:pStyle w:val="COMTableheadingrow"/>
              <w:keepLines/>
              <w:jc w:val="center"/>
              <w:rPr>
                <w:lang w:val="en-AU"/>
              </w:rPr>
            </w:pPr>
            <w:r w:rsidRPr="008B3A69">
              <w:rPr>
                <w:lang w:val="en-AU"/>
              </w:rPr>
              <w:t>Use in modelled evaluation</w:t>
            </w:r>
          </w:p>
        </w:tc>
      </w:tr>
      <w:tr w:rsidR="007F1017" w:rsidRPr="008B3A69" w14:paraId="2A03CD4B" w14:textId="77777777" w:rsidTr="00682BA6">
        <w:trPr>
          <w:cantSplit/>
        </w:trPr>
        <w:tc>
          <w:tcPr>
            <w:tcW w:w="5000" w:type="pct"/>
            <w:gridSpan w:val="7"/>
            <w:shd w:val="clear" w:color="auto" w:fill="auto"/>
            <w:vAlign w:val="center"/>
          </w:tcPr>
          <w:p w14:paraId="73088C85" w14:textId="1AA7F053" w:rsidR="007F1017" w:rsidRPr="008B3A69" w:rsidRDefault="00725C42" w:rsidP="00465A01">
            <w:pPr>
              <w:pStyle w:val="COMTableheadingrow"/>
              <w:keepLines/>
              <w:rPr>
                <w:lang w:val="en-AU"/>
              </w:rPr>
            </w:pPr>
            <w:r w:rsidRPr="008B3A69">
              <w:rPr>
                <w:lang w:val="en-AU"/>
              </w:rPr>
              <w:t>Ravulizumab</w:t>
            </w:r>
            <w:r w:rsidR="007F1017" w:rsidRPr="008B3A69">
              <w:rPr>
                <w:lang w:val="en-AU"/>
              </w:rPr>
              <w:t xml:space="preserve"> vs. </w:t>
            </w:r>
            <w:r w:rsidRPr="008B3A69">
              <w:rPr>
                <w:lang w:val="en-AU"/>
              </w:rPr>
              <w:t>placebo</w:t>
            </w:r>
          </w:p>
        </w:tc>
      </w:tr>
      <w:tr w:rsidR="00A158AB" w:rsidRPr="008B3A69" w14:paraId="4EE88DCB" w14:textId="77777777" w:rsidTr="00DD3B21">
        <w:trPr>
          <w:cantSplit/>
        </w:trPr>
        <w:tc>
          <w:tcPr>
            <w:tcW w:w="705" w:type="pct"/>
            <w:shd w:val="clear" w:color="auto" w:fill="auto"/>
            <w:vAlign w:val="center"/>
          </w:tcPr>
          <w:p w14:paraId="6EE77D33" w14:textId="7CFF1253" w:rsidR="007F1017" w:rsidRPr="008B3A69" w:rsidRDefault="00725C42" w:rsidP="00465A01">
            <w:pPr>
              <w:pStyle w:val="COMTabletext"/>
              <w:keepLines/>
            </w:pPr>
            <w:r w:rsidRPr="008B3A69">
              <w:t>CHAMPION-MG</w:t>
            </w:r>
          </w:p>
        </w:tc>
        <w:tc>
          <w:tcPr>
            <w:tcW w:w="314" w:type="pct"/>
            <w:shd w:val="clear" w:color="auto" w:fill="auto"/>
            <w:vAlign w:val="center"/>
          </w:tcPr>
          <w:p w14:paraId="41BB0E41" w14:textId="1DFD2D31" w:rsidR="007F1017" w:rsidRPr="008B3A69" w:rsidRDefault="00725C42" w:rsidP="00465A01">
            <w:pPr>
              <w:pStyle w:val="COMTabletext"/>
              <w:keepLines/>
              <w:jc w:val="center"/>
            </w:pPr>
            <w:r w:rsidRPr="008B3A69">
              <w:t>175</w:t>
            </w:r>
          </w:p>
        </w:tc>
        <w:tc>
          <w:tcPr>
            <w:tcW w:w="787" w:type="pct"/>
            <w:shd w:val="clear" w:color="auto" w:fill="auto"/>
            <w:vAlign w:val="center"/>
          </w:tcPr>
          <w:p w14:paraId="18D781B6" w14:textId="77777777" w:rsidR="00725C42" w:rsidRPr="008B3A69" w:rsidRDefault="00725C42" w:rsidP="00465A01">
            <w:pPr>
              <w:pStyle w:val="TableText"/>
              <w:keepLines/>
              <w:jc w:val="center"/>
            </w:pPr>
            <w:r w:rsidRPr="008B3A69">
              <w:t xml:space="preserve">MC, R, DB, PC, </w:t>
            </w:r>
          </w:p>
          <w:p w14:paraId="744D08AC" w14:textId="14169609" w:rsidR="007F1017" w:rsidRPr="008B3A69" w:rsidRDefault="00725C42" w:rsidP="00465A01">
            <w:pPr>
              <w:pStyle w:val="COMTabletext"/>
              <w:keepLines/>
              <w:jc w:val="center"/>
            </w:pPr>
            <w:r w:rsidRPr="008B3A69">
              <w:t>26 weeks duration with open-label extension to 60 weeks</w:t>
            </w:r>
          </w:p>
        </w:tc>
        <w:tc>
          <w:tcPr>
            <w:tcW w:w="393" w:type="pct"/>
            <w:shd w:val="clear" w:color="auto" w:fill="auto"/>
            <w:vAlign w:val="center"/>
          </w:tcPr>
          <w:p w14:paraId="4A529D74" w14:textId="07EAEEDB" w:rsidR="007F1017" w:rsidRPr="008B3A69" w:rsidRDefault="007F1017" w:rsidP="00465A01">
            <w:pPr>
              <w:pStyle w:val="COMTabletext"/>
              <w:keepLines/>
              <w:jc w:val="center"/>
              <w:rPr>
                <w:vertAlign w:val="superscript"/>
              </w:rPr>
            </w:pPr>
            <w:r w:rsidRPr="008B3A69">
              <w:t>Low</w:t>
            </w:r>
            <w:r w:rsidR="00403002" w:rsidRPr="008B3A69">
              <w:rPr>
                <w:vertAlign w:val="superscript"/>
              </w:rPr>
              <w:t>a</w:t>
            </w:r>
          </w:p>
        </w:tc>
        <w:tc>
          <w:tcPr>
            <w:tcW w:w="707" w:type="pct"/>
            <w:shd w:val="clear" w:color="auto" w:fill="auto"/>
            <w:vAlign w:val="center"/>
          </w:tcPr>
          <w:p w14:paraId="5E6F456D" w14:textId="114827E3" w:rsidR="00C27886" w:rsidRPr="008B3A69" w:rsidRDefault="00725C42" w:rsidP="00465A01">
            <w:pPr>
              <w:pStyle w:val="COMTabletext"/>
              <w:keepLines/>
              <w:jc w:val="center"/>
            </w:pPr>
            <w:r w:rsidRPr="008B3A69">
              <w:t>A</w:t>
            </w:r>
            <w:r w:rsidR="00673C4D" w:rsidRPr="008B3A69">
              <w:t>c</w:t>
            </w:r>
            <w:r w:rsidRPr="008B3A69">
              <w:t>hR+ generalised myasthenia gravis with functional impairment</w:t>
            </w:r>
            <w:r w:rsidR="00C27886" w:rsidRPr="008B3A69">
              <w:t xml:space="preserve"> (MG-ADL ≥ 6) with stable background therapy</w:t>
            </w:r>
            <w:r w:rsidR="00C27886" w:rsidRPr="008B3A69">
              <w:rPr>
                <w:rStyle w:val="cf01"/>
              </w:rPr>
              <w:t xml:space="preserve"> </w:t>
            </w:r>
          </w:p>
        </w:tc>
        <w:tc>
          <w:tcPr>
            <w:tcW w:w="944" w:type="pct"/>
            <w:shd w:val="clear" w:color="auto" w:fill="auto"/>
            <w:vAlign w:val="center"/>
          </w:tcPr>
          <w:p w14:paraId="55BA23E0" w14:textId="6653DCAC" w:rsidR="00AB5575" w:rsidRPr="008B3A69" w:rsidRDefault="00AB5575" w:rsidP="00465A01">
            <w:pPr>
              <w:pStyle w:val="COMTabletext"/>
              <w:keepLines/>
              <w:jc w:val="center"/>
            </w:pPr>
            <w:r w:rsidRPr="008B3A69">
              <w:t>Primary: Change in MG-ADL score</w:t>
            </w:r>
            <w:r w:rsidR="00894635" w:rsidRPr="008B3A69">
              <w:t>.</w:t>
            </w:r>
          </w:p>
          <w:p w14:paraId="02638283" w14:textId="05598118" w:rsidR="00AB5575" w:rsidRPr="008B3A69" w:rsidRDefault="00AB5575" w:rsidP="00465A01">
            <w:pPr>
              <w:pStyle w:val="COMTabletext"/>
              <w:keepLines/>
              <w:jc w:val="center"/>
            </w:pPr>
            <w:r w:rsidRPr="008B3A69">
              <w:t xml:space="preserve"> </w:t>
            </w:r>
          </w:p>
          <w:p w14:paraId="6DC76214" w14:textId="1EDC3C00" w:rsidR="007F1017" w:rsidRPr="008B3A69" w:rsidRDefault="00AB5575" w:rsidP="00465A01">
            <w:pPr>
              <w:pStyle w:val="COMTabletext"/>
              <w:keepLines/>
              <w:jc w:val="center"/>
            </w:pPr>
            <w:r w:rsidRPr="008B3A69">
              <w:t>Other outcomes: Change in other functional measures (MGC, QMG), global assessments (MGFA-PIS), quality of life (EQ-5D-5L, MG-QoL15r, Neuro-QoL Fatigue) and incidence of clinical deterioration events</w:t>
            </w:r>
            <w:r w:rsidR="00B24002" w:rsidRPr="008B3A69">
              <w:t>.</w:t>
            </w:r>
            <w:r w:rsidRPr="008B3A69">
              <w:t xml:space="preserve"> </w:t>
            </w:r>
          </w:p>
        </w:tc>
        <w:tc>
          <w:tcPr>
            <w:tcW w:w="1150" w:type="pct"/>
            <w:shd w:val="clear" w:color="auto" w:fill="auto"/>
            <w:vAlign w:val="center"/>
          </w:tcPr>
          <w:p w14:paraId="150A804C" w14:textId="35002706" w:rsidR="007F1017" w:rsidRPr="008B3A69" w:rsidRDefault="00725C42" w:rsidP="00465A01">
            <w:pPr>
              <w:pStyle w:val="COMTabletext"/>
              <w:keepLines/>
              <w:jc w:val="center"/>
            </w:pPr>
            <w:r w:rsidRPr="008B3A69">
              <w:t>Baseline characteristics, treatment response, treatment discontinuation</w:t>
            </w:r>
            <w:r w:rsidR="00A158AB" w:rsidRPr="008B3A69">
              <w:t>s</w:t>
            </w:r>
            <w:r w:rsidRPr="008B3A69">
              <w:t>, adverse events, clinical event</w:t>
            </w:r>
            <w:r w:rsidR="00A158AB" w:rsidRPr="008B3A69">
              <w:t>s</w:t>
            </w:r>
            <w:r w:rsidRPr="008B3A69">
              <w:t>, and utility values for clinical events and health states</w:t>
            </w:r>
          </w:p>
        </w:tc>
      </w:tr>
    </w:tbl>
    <w:p w14:paraId="560080D2" w14:textId="164200AD" w:rsidR="00045017" w:rsidRPr="008B3A69" w:rsidRDefault="00A158AB" w:rsidP="00465A01">
      <w:pPr>
        <w:pStyle w:val="COMTablefooter"/>
        <w:keepNext/>
        <w:keepLines/>
      </w:pPr>
      <w:r w:rsidRPr="008B3A69">
        <w:t>Source: Source: Table 2-4, p59; Section 2.4, pp64-77 of the submission</w:t>
      </w:r>
      <w:r w:rsidR="00045017" w:rsidRPr="008B3A69">
        <w:t>.</w:t>
      </w:r>
    </w:p>
    <w:p w14:paraId="1095487C" w14:textId="5B407826" w:rsidR="00620C25" w:rsidRPr="008B3A69" w:rsidRDefault="00A158AB" w:rsidP="00465A01">
      <w:pPr>
        <w:pStyle w:val="COMTablefooter"/>
        <w:keepNext/>
        <w:keepLines/>
      </w:pPr>
      <w:r w:rsidRPr="008B3A69">
        <w:t xml:space="preserve">Abbreviations: </w:t>
      </w:r>
      <w:r w:rsidR="00F33618" w:rsidRPr="008B3A69">
        <w:t>A</w:t>
      </w:r>
      <w:r w:rsidR="00673C4D" w:rsidRPr="008B3A69">
        <w:t>c</w:t>
      </w:r>
      <w:r w:rsidR="00F33618" w:rsidRPr="008B3A69">
        <w:t xml:space="preserve">hR+, anti-acetylcholine receptor antibody positive; </w:t>
      </w:r>
      <w:r w:rsidRPr="008B3A69">
        <w:t>DB, double-blind; MC, multicentre;</w:t>
      </w:r>
      <w:r w:rsidR="00F33618" w:rsidRPr="008B3A69">
        <w:t xml:space="preserve"> MG-ADL, Myasthenia Gravis Activities of Daily Living; MGC, myasthenia gravis composite score; MGFA-PIS, modified Myasthenia Gravis Foundation of America Post-Intervention Status; MG-QoL15r, revised Myasthenia Gravis Quality of Life; Neuro-QoL Fatigue, Quality of Life in Neurological Disorders Fatigue subscale;</w:t>
      </w:r>
      <w:r w:rsidR="00894635" w:rsidRPr="008B3A69">
        <w:t xml:space="preserve"> </w:t>
      </w:r>
      <w:r w:rsidRPr="008B3A69">
        <w:t>PC, placebo-controlled;</w:t>
      </w:r>
      <w:r w:rsidR="00F33618" w:rsidRPr="008B3A69">
        <w:t xml:space="preserve"> QMG, Quantitative Myasthenia Gravis score;</w:t>
      </w:r>
      <w:r w:rsidRPr="008B3A69">
        <w:t xml:space="preserve"> R, randomised</w:t>
      </w:r>
      <w:r w:rsidR="00620C25" w:rsidRPr="008B3A69">
        <w:t>.</w:t>
      </w:r>
    </w:p>
    <w:p w14:paraId="78C24B74" w14:textId="00595B16" w:rsidR="00403002" w:rsidRPr="008B3A69" w:rsidRDefault="00403002" w:rsidP="00403002">
      <w:pPr>
        <w:pStyle w:val="COMTablefooter"/>
      </w:pPr>
      <w:r w:rsidRPr="008B3A69">
        <w:rPr>
          <w:vertAlign w:val="superscript"/>
        </w:rPr>
        <w:t xml:space="preserve">a </w:t>
      </w:r>
      <w:r w:rsidRPr="008B3A69">
        <w:t>The CHAMPION-MG trial had a low risk of bias. However, the interim analysis from the ongoing extension study, in which all patients received ravulizumab treatment, was considered to be at high risk of bias given the observational study design and incomplete follow-up.</w:t>
      </w:r>
    </w:p>
    <w:p w14:paraId="75656596" w14:textId="43314CD5" w:rsidR="00C87B87" w:rsidRPr="008B3A69" w:rsidRDefault="00C87B87" w:rsidP="00EC5836">
      <w:pPr>
        <w:pStyle w:val="COMexecsumnumberedpara"/>
      </w:pPr>
      <w:r w:rsidRPr="008B3A69">
        <w:t xml:space="preserve">The ESC noted that the inclusion criteria for the CHAMPION-MG trial </w:t>
      </w:r>
      <w:r w:rsidR="007D3FF9" w:rsidRPr="008B3A69">
        <w:t xml:space="preserve">encompassed </w:t>
      </w:r>
      <w:r w:rsidR="00A20970" w:rsidRPr="008B3A69">
        <w:t xml:space="preserve">a broad </w:t>
      </w:r>
      <w:r w:rsidRPr="008B3A69">
        <w:t>patient</w:t>
      </w:r>
      <w:r w:rsidR="00A20970" w:rsidRPr="008B3A69">
        <w:t xml:space="preserve"> population </w:t>
      </w:r>
      <w:r w:rsidRPr="008B3A69">
        <w:t xml:space="preserve">with mild to severe symptoms, </w:t>
      </w:r>
      <w:r w:rsidR="001C203E" w:rsidRPr="008B3A69">
        <w:t>however</w:t>
      </w:r>
      <w:r w:rsidRPr="008B3A69">
        <w:t xml:space="preserve"> a relatively treatment-experienced </w:t>
      </w:r>
      <w:r w:rsidR="000634C8" w:rsidRPr="008B3A69">
        <w:t xml:space="preserve">and potentially treatment refractory </w:t>
      </w:r>
      <w:r w:rsidRPr="008B3A69">
        <w:t>population were enrolled as indicated by</w:t>
      </w:r>
      <w:r w:rsidR="007D3FF9" w:rsidRPr="008B3A69">
        <w:t xml:space="preserve"> a mean time since diagnosis of 9.9 years (refer to Paragraph </w:t>
      </w:r>
      <w:r w:rsidR="007D3FF9" w:rsidRPr="008B3A69">
        <w:fldChar w:fldCharType="begin" w:fldLock="1"/>
      </w:r>
      <w:r w:rsidR="007D3FF9" w:rsidRPr="008B3A69">
        <w:instrText xml:space="preserve"> REF _Ref158972223 \r \h  \* MERGEFORMAT </w:instrText>
      </w:r>
      <w:r w:rsidR="007D3FF9" w:rsidRPr="008B3A69">
        <w:fldChar w:fldCharType="separate"/>
      </w:r>
      <w:r w:rsidR="0081771C">
        <w:t>4.14</w:t>
      </w:r>
      <w:r w:rsidR="007D3FF9" w:rsidRPr="008B3A69">
        <w:fldChar w:fldCharType="end"/>
      </w:r>
      <w:r w:rsidR="007D3FF9" w:rsidRPr="008B3A69">
        <w:t xml:space="preserve">). The </w:t>
      </w:r>
      <w:r w:rsidR="00A20970" w:rsidRPr="008B3A69">
        <w:t xml:space="preserve">ESC considered this may have been indicative of a large incident population seeking alternative treatment options. The </w:t>
      </w:r>
      <w:r w:rsidR="007D3FF9" w:rsidRPr="008B3A69">
        <w:t xml:space="preserve">trial did not require any specific prior therapies or optimisation of current therapies, with 10.3% of patients not on immunosuppressive therapies at baseline. </w:t>
      </w:r>
      <w:r w:rsidR="000634C8" w:rsidRPr="008B3A69">
        <w:t xml:space="preserve">The ESC felt that the trial population was not reflective of the eligible population under the proposed restriction. </w:t>
      </w:r>
    </w:p>
    <w:p w14:paraId="4A4FE085" w14:textId="43823699" w:rsidR="00B60939" w:rsidRPr="008B3A69" w:rsidRDefault="00B60939" w:rsidP="00EC5836">
      <w:pPr>
        <w:pStyle w:val="COMH2-non-numbered"/>
        <w:rPr>
          <w:iCs/>
        </w:rPr>
      </w:pPr>
      <w:bookmarkStart w:id="32" w:name="_Toc22897641"/>
      <w:bookmarkStart w:id="33" w:name="_Toc156986102"/>
      <w:r w:rsidRPr="008B3A69">
        <w:rPr>
          <w:iCs/>
        </w:rPr>
        <w:t>Comparative effectiveness</w:t>
      </w:r>
      <w:bookmarkEnd w:id="32"/>
      <w:bookmarkEnd w:id="33"/>
    </w:p>
    <w:p w14:paraId="055914A6" w14:textId="6D35958F" w:rsidR="002A4C75" w:rsidRPr="008B3A69" w:rsidRDefault="002A4C75" w:rsidP="00EC5836">
      <w:pPr>
        <w:pStyle w:val="COMexecsumnumberedpara"/>
      </w:pPr>
      <w:r w:rsidRPr="008B3A69">
        <w:t xml:space="preserve">The mean change in functional outcome measures from baseline to Week 26 with ravulizumab and placebo in the CHAMPION-MG trial are summarised in </w:t>
      </w:r>
      <w:r w:rsidR="00DC5BAB" w:rsidRPr="008B3A69">
        <w:fldChar w:fldCharType="begin" w:fldLock="1"/>
      </w:r>
      <w:r w:rsidR="00DC5BAB" w:rsidRPr="008B3A69">
        <w:instrText xml:space="preserve"> REF _Ref155293916 \h </w:instrText>
      </w:r>
      <w:r w:rsidR="00291F22" w:rsidRPr="008B3A69">
        <w:instrText xml:space="preserve"> \* MERGEFORMAT </w:instrText>
      </w:r>
      <w:r w:rsidR="00DC5BAB" w:rsidRPr="008B3A69">
        <w:fldChar w:fldCharType="separate"/>
      </w:r>
      <w:r w:rsidR="0081771C" w:rsidRPr="008B3A69">
        <w:t xml:space="preserve">Table </w:t>
      </w:r>
      <w:r w:rsidR="0081771C">
        <w:rPr>
          <w:noProof/>
        </w:rPr>
        <w:t>4</w:t>
      </w:r>
      <w:r w:rsidR="00DC5BAB" w:rsidRPr="008B3A69">
        <w:fldChar w:fldCharType="end"/>
      </w:r>
      <w:r w:rsidRPr="008B3A69">
        <w:t>.</w:t>
      </w:r>
    </w:p>
    <w:p w14:paraId="10B7852B" w14:textId="344544AF" w:rsidR="002A4C75" w:rsidRPr="008B3A69" w:rsidRDefault="00DC5BAB" w:rsidP="00FE7FE7">
      <w:pPr>
        <w:pStyle w:val="COMtablefigcaption"/>
        <w:keepLines/>
      </w:pPr>
      <w:bookmarkStart w:id="34" w:name="_Ref155293916"/>
      <w:r w:rsidRPr="008B3A69">
        <w:t xml:space="preserve">Table </w:t>
      </w:r>
      <w:r w:rsidR="0065138C">
        <w:fldChar w:fldCharType="begin" w:fldLock="1"/>
      </w:r>
      <w:r w:rsidR="0065138C">
        <w:instrText xml:space="preserve"> SEQ Table \* ARABIC </w:instrText>
      </w:r>
      <w:r w:rsidR="0065138C">
        <w:fldChar w:fldCharType="separate"/>
      </w:r>
      <w:r w:rsidR="0081771C">
        <w:rPr>
          <w:noProof/>
        </w:rPr>
        <w:t>4</w:t>
      </w:r>
      <w:r w:rsidR="0065138C">
        <w:rPr>
          <w:noProof/>
        </w:rPr>
        <w:fldChar w:fldCharType="end"/>
      </w:r>
      <w:bookmarkEnd w:id="34"/>
      <w:r w:rsidR="002A4C75" w:rsidRPr="008B3A69">
        <w:t>: Mean change in functional outcome measures from baseline to Week 26 with ravulizumab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59"/>
        <w:gridCol w:w="1560"/>
        <w:gridCol w:w="1701"/>
        <w:gridCol w:w="1929"/>
      </w:tblGrid>
      <w:tr w:rsidR="002A4C75" w:rsidRPr="008B3A69" w14:paraId="585BABD8" w14:textId="77777777" w:rsidTr="00514812">
        <w:trPr>
          <w:trHeight w:val="76"/>
          <w:tblHeader/>
        </w:trPr>
        <w:tc>
          <w:tcPr>
            <w:tcW w:w="2268" w:type="dxa"/>
            <w:tcBorders>
              <w:top w:val="single" w:sz="4" w:space="0" w:color="auto"/>
              <w:left w:val="single" w:sz="4" w:space="0" w:color="auto"/>
              <w:right w:val="single" w:sz="4" w:space="0" w:color="auto"/>
            </w:tcBorders>
            <w:vAlign w:val="center"/>
          </w:tcPr>
          <w:p w14:paraId="6B7C7C8A" w14:textId="77777777" w:rsidR="002A4C75" w:rsidRPr="008B3A69" w:rsidRDefault="002A4C75" w:rsidP="00FE7FE7">
            <w:pPr>
              <w:pStyle w:val="TableText"/>
              <w:keepLines/>
              <w:rPr>
                <w:b/>
              </w:rPr>
            </w:pPr>
            <w:r w:rsidRPr="008B3A69">
              <w:rPr>
                <w:b/>
              </w:rPr>
              <w:t>Treatment arm</w:t>
            </w:r>
          </w:p>
        </w:tc>
        <w:tc>
          <w:tcPr>
            <w:tcW w:w="1559" w:type="dxa"/>
            <w:tcBorders>
              <w:top w:val="single" w:sz="4" w:space="0" w:color="auto"/>
              <w:left w:val="single" w:sz="4" w:space="0" w:color="auto"/>
              <w:right w:val="single" w:sz="4" w:space="0" w:color="auto"/>
            </w:tcBorders>
            <w:vAlign w:val="center"/>
          </w:tcPr>
          <w:p w14:paraId="21C2A3A2" w14:textId="77777777" w:rsidR="002A4C75" w:rsidRPr="008B3A69" w:rsidRDefault="002A4C75" w:rsidP="00FE7FE7">
            <w:pPr>
              <w:pStyle w:val="TableText"/>
              <w:keepLines/>
              <w:jc w:val="center"/>
              <w:rPr>
                <w:b/>
              </w:rPr>
            </w:pPr>
            <w:r w:rsidRPr="008B3A69">
              <w:rPr>
                <w:b/>
              </w:rPr>
              <w:t>Baseline,</w:t>
            </w:r>
          </w:p>
          <w:p w14:paraId="430C4E1A" w14:textId="77777777" w:rsidR="002A4C75" w:rsidRPr="008B3A69" w:rsidRDefault="002A4C75" w:rsidP="00FE7FE7">
            <w:pPr>
              <w:pStyle w:val="TableText"/>
              <w:keepLines/>
              <w:jc w:val="center"/>
              <w:rPr>
                <w:b/>
              </w:rPr>
            </w:pPr>
            <w:r w:rsidRPr="008B3A69">
              <w:rPr>
                <w:b/>
              </w:rPr>
              <w:t>Mean (SD)</w:t>
            </w:r>
          </w:p>
        </w:tc>
        <w:tc>
          <w:tcPr>
            <w:tcW w:w="1560" w:type="dxa"/>
            <w:tcBorders>
              <w:top w:val="single" w:sz="4" w:space="0" w:color="auto"/>
              <w:left w:val="single" w:sz="4" w:space="0" w:color="auto"/>
              <w:right w:val="single" w:sz="4" w:space="0" w:color="auto"/>
            </w:tcBorders>
            <w:vAlign w:val="center"/>
          </w:tcPr>
          <w:p w14:paraId="4A1D0387" w14:textId="77777777" w:rsidR="002A4C75" w:rsidRPr="008B3A69" w:rsidRDefault="002A4C75" w:rsidP="00FE7FE7">
            <w:pPr>
              <w:pStyle w:val="TableText"/>
              <w:keepLines/>
              <w:jc w:val="center"/>
              <w:rPr>
                <w:b/>
              </w:rPr>
            </w:pPr>
            <w:r w:rsidRPr="008B3A69">
              <w:rPr>
                <w:b/>
              </w:rPr>
              <w:t>Final,</w:t>
            </w:r>
          </w:p>
          <w:p w14:paraId="561D21D7" w14:textId="77777777" w:rsidR="002A4C75" w:rsidRPr="008B3A69" w:rsidRDefault="002A4C75" w:rsidP="00FE7FE7">
            <w:pPr>
              <w:pStyle w:val="TableText"/>
              <w:keepLines/>
              <w:jc w:val="center"/>
              <w:rPr>
                <w:b/>
              </w:rPr>
            </w:pPr>
            <w:r w:rsidRPr="008B3A69">
              <w:rPr>
                <w:b/>
              </w:rPr>
              <w:t>Mean (SD)</w:t>
            </w:r>
          </w:p>
        </w:tc>
        <w:tc>
          <w:tcPr>
            <w:tcW w:w="1701" w:type="dxa"/>
            <w:tcBorders>
              <w:top w:val="single" w:sz="4" w:space="0" w:color="auto"/>
              <w:left w:val="single" w:sz="4" w:space="0" w:color="auto"/>
              <w:right w:val="single" w:sz="4" w:space="0" w:color="auto"/>
            </w:tcBorders>
            <w:vAlign w:val="center"/>
          </w:tcPr>
          <w:p w14:paraId="36A8201B" w14:textId="77777777" w:rsidR="002A4C75" w:rsidRPr="008B3A69" w:rsidRDefault="002A4C75" w:rsidP="00FE7FE7">
            <w:pPr>
              <w:pStyle w:val="TableText"/>
              <w:keepLines/>
              <w:jc w:val="center"/>
              <w:rPr>
                <w:b/>
              </w:rPr>
            </w:pPr>
            <w:r w:rsidRPr="008B3A69">
              <w:rPr>
                <w:b/>
              </w:rPr>
              <w:t>LS mean change (95% CI)</w:t>
            </w:r>
          </w:p>
        </w:tc>
        <w:tc>
          <w:tcPr>
            <w:tcW w:w="1929" w:type="dxa"/>
            <w:tcBorders>
              <w:top w:val="single" w:sz="4" w:space="0" w:color="auto"/>
              <w:left w:val="single" w:sz="4" w:space="0" w:color="auto"/>
              <w:right w:val="single" w:sz="4" w:space="0" w:color="auto"/>
            </w:tcBorders>
            <w:vAlign w:val="center"/>
          </w:tcPr>
          <w:p w14:paraId="6AE46DF8" w14:textId="77777777" w:rsidR="002A4C75" w:rsidRPr="008B3A69" w:rsidRDefault="002A4C75" w:rsidP="00FE7FE7">
            <w:pPr>
              <w:pStyle w:val="TableText"/>
              <w:keepLines/>
              <w:jc w:val="center"/>
              <w:rPr>
                <w:b/>
              </w:rPr>
            </w:pPr>
            <w:r w:rsidRPr="008B3A69">
              <w:rPr>
                <w:b/>
              </w:rPr>
              <w:t>Treatment difference (95% CI)</w:t>
            </w:r>
          </w:p>
        </w:tc>
      </w:tr>
      <w:tr w:rsidR="002A4C75" w:rsidRPr="008B3A69" w14:paraId="2D11F19E" w14:textId="77777777" w:rsidTr="00514812">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638CD69B" w14:textId="7330B007" w:rsidR="002A4C75" w:rsidRPr="008B3A69" w:rsidRDefault="002A4C75" w:rsidP="00FE7FE7">
            <w:pPr>
              <w:pStyle w:val="TableText"/>
              <w:keepLines/>
              <w:rPr>
                <w:b/>
                <w:bCs w:val="0"/>
              </w:rPr>
            </w:pPr>
            <w:r w:rsidRPr="008B3A69">
              <w:rPr>
                <w:b/>
                <w:bCs w:val="0"/>
              </w:rPr>
              <w:t>Myasthenia Gravis Activities of Daily Living (MG-ADL) score</w:t>
            </w:r>
            <w:r w:rsidR="008B40BE" w:rsidRPr="008B3A69">
              <w:rPr>
                <w:b/>
                <w:bCs w:val="0"/>
              </w:rPr>
              <w:t xml:space="preserve"> [primary outcome]</w:t>
            </w:r>
          </w:p>
        </w:tc>
      </w:tr>
      <w:tr w:rsidR="002A4C75" w:rsidRPr="008B3A69" w14:paraId="6CBABA04"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4FDC54E9" w14:textId="77777777" w:rsidR="002A4C75" w:rsidRPr="008B3A69" w:rsidRDefault="002A4C75" w:rsidP="00FE7FE7">
            <w:pPr>
              <w:pStyle w:val="TableText"/>
              <w:keepLines/>
            </w:pPr>
            <w:r w:rsidRPr="008B3A69">
              <w:t>Ravulizumab</w:t>
            </w:r>
          </w:p>
          <w:p w14:paraId="52B24782" w14:textId="77777777" w:rsidR="002A4C75" w:rsidRPr="008B3A69" w:rsidRDefault="002A4C75" w:rsidP="00FE7FE7">
            <w:pPr>
              <w:pStyle w:val="TableText"/>
              <w:keepLines/>
            </w:pPr>
            <w:r w:rsidRPr="008B3A69">
              <w:t>N = 78</w:t>
            </w:r>
          </w:p>
        </w:tc>
        <w:tc>
          <w:tcPr>
            <w:tcW w:w="1559" w:type="dxa"/>
            <w:tcBorders>
              <w:top w:val="single" w:sz="4" w:space="0" w:color="auto"/>
              <w:left w:val="single" w:sz="4" w:space="0" w:color="auto"/>
              <w:bottom w:val="single" w:sz="4" w:space="0" w:color="auto"/>
              <w:right w:val="single" w:sz="4" w:space="0" w:color="auto"/>
            </w:tcBorders>
            <w:vAlign w:val="center"/>
          </w:tcPr>
          <w:p w14:paraId="1C6E3067" w14:textId="77777777" w:rsidR="002A4C75" w:rsidRPr="008B3A69" w:rsidRDefault="002A4C75" w:rsidP="00FE7FE7">
            <w:pPr>
              <w:pStyle w:val="TableText"/>
              <w:keepLines/>
              <w:jc w:val="center"/>
            </w:pPr>
            <w:r w:rsidRPr="008B3A69">
              <w:t>9.2 (2.63)</w:t>
            </w:r>
          </w:p>
        </w:tc>
        <w:tc>
          <w:tcPr>
            <w:tcW w:w="1560" w:type="dxa"/>
            <w:tcBorders>
              <w:top w:val="single" w:sz="4" w:space="0" w:color="auto"/>
              <w:left w:val="single" w:sz="4" w:space="0" w:color="auto"/>
              <w:bottom w:val="single" w:sz="4" w:space="0" w:color="auto"/>
              <w:right w:val="single" w:sz="4" w:space="0" w:color="auto"/>
            </w:tcBorders>
            <w:vAlign w:val="center"/>
          </w:tcPr>
          <w:p w14:paraId="4A43A1A7" w14:textId="77777777" w:rsidR="002A4C75" w:rsidRPr="008B3A69" w:rsidRDefault="002A4C75" w:rsidP="00FE7FE7">
            <w:pPr>
              <w:pStyle w:val="TableText"/>
              <w:keepLines/>
              <w:jc w:val="center"/>
            </w:pPr>
            <w:r w:rsidRPr="008B3A69">
              <w:t>5.9 (4.00)</w:t>
            </w:r>
          </w:p>
        </w:tc>
        <w:tc>
          <w:tcPr>
            <w:tcW w:w="1701" w:type="dxa"/>
            <w:tcBorders>
              <w:top w:val="single" w:sz="4" w:space="0" w:color="auto"/>
              <w:left w:val="single" w:sz="4" w:space="0" w:color="auto"/>
              <w:right w:val="single" w:sz="4" w:space="0" w:color="auto"/>
            </w:tcBorders>
            <w:vAlign w:val="center"/>
          </w:tcPr>
          <w:p w14:paraId="1F9D7363" w14:textId="77777777" w:rsidR="002A4C75" w:rsidRPr="008B3A69" w:rsidRDefault="002A4C75" w:rsidP="00FE7FE7">
            <w:pPr>
              <w:pStyle w:val="TableText"/>
              <w:keepLines/>
              <w:jc w:val="center"/>
            </w:pPr>
            <w:r w:rsidRPr="008B3A69">
              <w:t>-3.1 (-3.8, -2.3)</w:t>
            </w:r>
          </w:p>
        </w:tc>
        <w:tc>
          <w:tcPr>
            <w:tcW w:w="1929" w:type="dxa"/>
            <w:vMerge w:val="restart"/>
            <w:tcBorders>
              <w:top w:val="single" w:sz="4" w:space="0" w:color="auto"/>
              <w:left w:val="single" w:sz="4" w:space="0" w:color="auto"/>
              <w:right w:val="single" w:sz="4" w:space="0" w:color="auto"/>
            </w:tcBorders>
            <w:vAlign w:val="center"/>
          </w:tcPr>
          <w:p w14:paraId="76607022" w14:textId="77777777" w:rsidR="002A4C75" w:rsidRPr="008B3A69" w:rsidRDefault="002A4C75" w:rsidP="00FE7FE7">
            <w:pPr>
              <w:pStyle w:val="TableText"/>
              <w:keepLines/>
              <w:jc w:val="center"/>
              <w:rPr>
                <w:b/>
              </w:rPr>
            </w:pPr>
            <w:r w:rsidRPr="008B3A69">
              <w:rPr>
                <w:b/>
              </w:rPr>
              <w:t>-1.6 (-2.6, -0.7)</w:t>
            </w:r>
          </w:p>
        </w:tc>
      </w:tr>
      <w:tr w:rsidR="002A4C75" w:rsidRPr="008B3A69" w14:paraId="4FC06B08"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527F1A6C" w14:textId="77777777" w:rsidR="002A4C75" w:rsidRPr="008B3A69" w:rsidRDefault="002A4C75" w:rsidP="00FE7FE7">
            <w:pPr>
              <w:pStyle w:val="TableText"/>
              <w:keepLines/>
            </w:pPr>
            <w:r w:rsidRPr="008B3A69">
              <w:t>Placebo</w:t>
            </w:r>
          </w:p>
          <w:p w14:paraId="71257B85" w14:textId="77777777" w:rsidR="002A4C75" w:rsidRPr="008B3A69" w:rsidRDefault="002A4C75" w:rsidP="00FE7FE7">
            <w:pPr>
              <w:pStyle w:val="TableText"/>
              <w:keepLines/>
            </w:pPr>
            <w:r w:rsidRPr="008B3A69">
              <w:t>N = 82</w:t>
            </w:r>
          </w:p>
        </w:tc>
        <w:tc>
          <w:tcPr>
            <w:tcW w:w="1559" w:type="dxa"/>
            <w:tcBorders>
              <w:top w:val="single" w:sz="4" w:space="0" w:color="auto"/>
              <w:left w:val="single" w:sz="4" w:space="0" w:color="auto"/>
              <w:bottom w:val="single" w:sz="4" w:space="0" w:color="auto"/>
              <w:right w:val="single" w:sz="4" w:space="0" w:color="auto"/>
            </w:tcBorders>
            <w:vAlign w:val="center"/>
          </w:tcPr>
          <w:p w14:paraId="460098CC" w14:textId="77777777" w:rsidR="002A4C75" w:rsidRPr="008B3A69" w:rsidRDefault="002A4C75" w:rsidP="00FE7FE7">
            <w:pPr>
              <w:pStyle w:val="TableText"/>
              <w:keepLines/>
              <w:jc w:val="center"/>
            </w:pPr>
            <w:r w:rsidRPr="008B3A69">
              <w:t>8.8 (2.07)</w:t>
            </w:r>
          </w:p>
        </w:tc>
        <w:tc>
          <w:tcPr>
            <w:tcW w:w="1560" w:type="dxa"/>
            <w:tcBorders>
              <w:top w:val="single" w:sz="4" w:space="0" w:color="auto"/>
              <w:left w:val="single" w:sz="4" w:space="0" w:color="auto"/>
              <w:bottom w:val="single" w:sz="4" w:space="0" w:color="auto"/>
              <w:right w:val="single" w:sz="4" w:space="0" w:color="auto"/>
            </w:tcBorders>
            <w:vAlign w:val="center"/>
          </w:tcPr>
          <w:p w14:paraId="1FF2B123" w14:textId="77777777" w:rsidR="002A4C75" w:rsidRPr="008B3A69" w:rsidRDefault="002A4C75" w:rsidP="00FE7FE7">
            <w:pPr>
              <w:pStyle w:val="TableText"/>
              <w:keepLines/>
              <w:jc w:val="center"/>
            </w:pPr>
            <w:r w:rsidRPr="008B3A69">
              <w:t>7.3 (3.82)</w:t>
            </w:r>
          </w:p>
        </w:tc>
        <w:tc>
          <w:tcPr>
            <w:tcW w:w="1701" w:type="dxa"/>
            <w:tcBorders>
              <w:left w:val="single" w:sz="4" w:space="0" w:color="auto"/>
              <w:right w:val="single" w:sz="4" w:space="0" w:color="auto"/>
            </w:tcBorders>
            <w:vAlign w:val="center"/>
          </w:tcPr>
          <w:p w14:paraId="3C825C30" w14:textId="77777777" w:rsidR="002A4C75" w:rsidRPr="008B3A69" w:rsidRDefault="002A4C75" w:rsidP="00FE7FE7">
            <w:pPr>
              <w:pStyle w:val="TableText"/>
              <w:keepLines/>
              <w:jc w:val="center"/>
            </w:pPr>
            <w:r w:rsidRPr="008B3A69">
              <w:t>-1.4 (-2.1, -0.7)</w:t>
            </w:r>
          </w:p>
        </w:tc>
        <w:tc>
          <w:tcPr>
            <w:tcW w:w="1929" w:type="dxa"/>
            <w:vMerge/>
            <w:tcBorders>
              <w:left w:val="single" w:sz="4" w:space="0" w:color="auto"/>
              <w:right w:val="single" w:sz="4" w:space="0" w:color="auto"/>
            </w:tcBorders>
            <w:vAlign w:val="center"/>
          </w:tcPr>
          <w:p w14:paraId="70177A6C" w14:textId="77777777" w:rsidR="002A4C75" w:rsidRPr="008B3A69" w:rsidRDefault="002A4C75" w:rsidP="00FE7FE7">
            <w:pPr>
              <w:pStyle w:val="TableText"/>
              <w:keepLines/>
              <w:jc w:val="center"/>
            </w:pPr>
          </w:p>
        </w:tc>
      </w:tr>
      <w:tr w:rsidR="002A4C75" w:rsidRPr="008B3A69" w14:paraId="248F7176" w14:textId="77777777" w:rsidTr="00514812">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3515E8C4" w14:textId="3CD768DE" w:rsidR="002A4C75" w:rsidRPr="008B3A69" w:rsidRDefault="002A4C75" w:rsidP="00FE7FE7">
            <w:pPr>
              <w:pStyle w:val="TableText"/>
              <w:keepLines/>
              <w:rPr>
                <w:b/>
                <w:bCs w:val="0"/>
              </w:rPr>
            </w:pPr>
            <w:r w:rsidRPr="008B3A69">
              <w:rPr>
                <w:b/>
                <w:bCs w:val="0"/>
              </w:rPr>
              <w:t>Quantitative Myasthenia Gravis (QMG) score</w:t>
            </w:r>
          </w:p>
        </w:tc>
      </w:tr>
      <w:tr w:rsidR="002A4C75" w:rsidRPr="008B3A69" w14:paraId="6DCD82E1"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32D1FCCD" w14:textId="77777777" w:rsidR="002A4C75" w:rsidRPr="008B3A69" w:rsidRDefault="002A4C75" w:rsidP="00FE7FE7">
            <w:pPr>
              <w:pStyle w:val="TableText"/>
              <w:keepLines/>
            </w:pPr>
            <w:r w:rsidRPr="008B3A69">
              <w:t>Ravulizumab</w:t>
            </w:r>
          </w:p>
          <w:p w14:paraId="248A7232" w14:textId="3CDC0178" w:rsidR="002A4C75" w:rsidRPr="008B3A69" w:rsidRDefault="002A4C75" w:rsidP="00FE7FE7">
            <w:pPr>
              <w:pStyle w:val="TableText"/>
              <w:keepLines/>
            </w:pPr>
            <w:r w:rsidRPr="008B3A69">
              <w:t>N = 76</w:t>
            </w:r>
          </w:p>
        </w:tc>
        <w:tc>
          <w:tcPr>
            <w:tcW w:w="1559" w:type="dxa"/>
            <w:tcBorders>
              <w:top w:val="single" w:sz="4" w:space="0" w:color="auto"/>
              <w:left w:val="single" w:sz="4" w:space="0" w:color="auto"/>
              <w:bottom w:val="single" w:sz="4" w:space="0" w:color="auto"/>
              <w:right w:val="single" w:sz="4" w:space="0" w:color="auto"/>
            </w:tcBorders>
            <w:vAlign w:val="center"/>
          </w:tcPr>
          <w:p w14:paraId="6E4BBF4E" w14:textId="5F311D87" w:rsidR="002A4C75" w:rsidRPr="008B3A69" w:rsidRDefault="002A4C75" w:rsidP="00FE7FE7">
            <w:pPr>
              <w:pStyle w:val="TableText"/>
              <w:keepLines/>
              <w:jc w:val="center"/>
            </w:pPr>
            <w:r w:rsidRPr="008B3A69">
              <w:t>14.8 (5.22)</w:t>
            </w:r>
          </w:p>
        </w:tc>
        <w:tc>
          <w:tcPr>
            <w:tcW w:w="1560" w:type="dxa"/>
            <w:tcBorders>
              <w:top w:val="single" w:sz="4" w:space="0" w:color="auto"/>
              <w:left w:val="single" w:sz="4" w:space="0" w:color="auto"/>
              <w:bottom w:val="single" w:sz="4" w:space="0" w:color="auto"/>
              <w:right w:val="single" w:sz="4" w:space="0" w:color="auto"/>
            </w:tcBorders>
            <w:vAlign w:val="center"/>
          </w:tcPr>
          <w:p w14:paraId="6AF6F6B0" w14:textId="7A46A213" w:rsidR="002A4C75" w:rsidRPr="008B3A69" w:rsidRDefault="002A4C75" w:rsidP="00FE7FE7">
            <w:pPr>
              <w:pStyle w:val="TableText"/>
              <w:keepLines/>
              <w:jc w:val="center"/>
            </w:pPr>
            <w:r w:rsidRPr="008B3A69">
              <w:t>11.6 (6.16)</w:t>
            </w:r>
          </w:p>
        </w:tc>
        <w:tc>
          <w:tcPr>
            <w:tcW w:w="1701" w:type="dxa"/>
            <w:tcBorders>
              <w:left w:val="single" w:sz="4" w:space="0" w:color="auto"/>
              <w:right w:val="single" w:sz="4" w:space="0" w:color="auto"/>
            </w:tcBorders>
            <w:vAlign w:val="center"/>
          </w:tcPr>
          <w:p w14:paraId="1F62B8BF" w14:textId="02C4B189" w:rsidR="002A4C75" w:rsidRPr="008B3A69" w:rsidRDefault="002A4C75" w:rsidP="00FE7FE7">
            <w:pPr>
              <w:pStyle w:val="TableText"/>
              <w:keepLines/>
              <w:jc w:val="center"/>
            </w:pPr>
            <w:r w:rsidRPr="008B3A69">
              <w:t>-2.8 (-3.7, -1.9)</w:t>
            </w:r>
          </w:p>
        </w:tc>
        <w:tc>
          <w:tcPr>
            <w:tcW w:w="1929" w:type="dxa"/>
            <w:vMerge w:val="restart"/>
            <w:tcBorders>
              <w:left w:val="single" w:sz="4" w:space="0" w:color="auto"/>
              <w:right w:val="single" w:sz="4" w:space="0" w:color="auto"/>
            </w:tcBorders>
            <w:vAlign w:val="center"/>
          </w:tcPr>
          <w:p w14:paraId="29564623" w14:textId="2E028931" w:rsidR="002A4C75" w:rsidRPr="008B3A69" w:rsidRDefault="002A4C75" w:rsidP="00FE7FE7">
            <w:pPr>
              <w:pStyle w:val="TableText"/>
              <w:keepLines/>
              <w:jc w:val="center"/>
              <w:rPr>
                <w:b/>
              </w:rPr>
            </w:pPr>
            <w:r w:rsidRPr="008B3A69">
              <w:rPr>
                <w:b/>
              </w:rPr>
              <w:t>-2.0 (-3.2, -0.8)</w:t>
            </w:r>
          </w:p>
        </w:tc>
      </w:tr>
      <w:tr w:rsidR="002A4C75" w:rsidRPr="008B3A69" w14:paraId="0DC85D32"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4EDB8758" w14:textId="77777777" w:rsidR="002A4C75" w:rsidRPr="008B3A69" w:rsidRDefault="002A4C75" w:rsidP="00FE7FE7">
            <w:pPr>
              <w:pStyle w:val="TableText"/>
              <w:keepLines/>
            </w:pPr>
            <w:r w:rsidRPr="008B3A69">
              <w:t>Placebo</w:t>
            </w:r>
          </w:p>
          <w:p w14:paraId="1E78E6CB" w14:textId="56E42C1D" w:rsidR="002A4C75" w:rsidRPr="008B3A69" w:rsidRDefault="002A4C75" w:rsidP="00FE7FE7">
            <w:pPr>
              <w:pStyle w:val="TableText"/>
              <w:keepLines/>
            </w:pPr>
            <w:r w:rsidRPr="008B3A69">
              <w:t>N = 78</w:t>
            </w:r>
          </w:p>
        </w:tc>
        <w:tc>
          <w:tcPr>
            <w:tcW w:w="1559" w:type="dxa"/>
            <w:tcBorders>
              <w:top w:val="single" w:sz="4" w:space="0" w:color="auto"/>
              <w:left w:val="single" w:sz="4" w:space="0" w:color="auto"/>
              <w:bottom w:val="single" w:sz="4" w:space="0" w:color="auto"/>
              <w:right w:val="single" w:sz="4" w:space="0" w:color="auto"/>
            </w:tcBorders>
            <w:vAlign w:val="center"/>
          </w:tcPr>
          <w:p w14:paraId="1F3AC38E" w14:textId="0A7D29A8" w:rsidR="002A4C75" w:rsidRPr="008B3A69" w:rsidRDefault="002A4C75" w:rsidP="00FE7FE7">
            <w:pPr>
              <w:pStyle w:val="TableText"/>
              <w:keepLines/>
              <w:jc w:val="center"/>
            </w:pPr>
            <w:r w:rsidRPr="008B3A69">
              <w:t>14.1 (5.03)</w:t>
            </w:r>
          </w:p>
        </w:tc>
        <w:tc>
          <w:tcPr>
            <w:tcW w:w="1560" w:type="dxa"/>
            <w:tcBorders>
              <w:top w:val="single" w:sz="4" w:space="0" w:color="auto"/>
              <w:left w:val="single" w:sz="4" w:space="0" w:color="auto"/>
              <w:bottom w:val="single" w:sz="4" w:space="0" w:color="auto"/>
              <w:right w:val="single" w:sz="4" w:space="0" w:color="auto"/>
            </w:tcBorders>
            <w:vAlign w:val="center"/>
          </w:tcPr>
          <w:p w14:paraId="2C6CCED7" w14:textId="7EB3D2B1" w:rsidR="002A4C75" w:rsidRPr="008B3A69" w:rsidRDefault="002A4C75" w:rsidP="00FE7FE7">
            <w:pPr>
              <w:pStyle w:val="TableText"/>
              <w:keepLines/>
              <w:jc w:val="center"/>
            </w:pPr>
            <w:r w:rsidRPr="008B3A69">
              <w:t>13.3 (5.63)</w:t>
            </w:r>
          </w:p>
        </w:tc>
        <w:tc>
          <w:tcPr>
            <w:tcW w:w="1701" w:type="dxa"/>
            <w:tcBorders>
              <w:left w:val="single" w:sz="4" w:space="0" w:color="auto"/>
              <w:right w:val="single" w:sz="4" w:space="0" w:color="auto"/>
            </w:tcBorders>
            <w:vAlign w:val="center"/>
          </w:tcPr>
          <w:p w14:paraId="6547E70B" w14:textId="53A6C723" w:rsidR="002A4C75" w:rsidRPr="008B3A69" w:rsidRDefault="002A4C75" w:rsidP="00FE7FE7">
            <w:pPr>
              <w:pStyle w:val="TableText"/>
              <w:keepLines/>
              <w:jc w:val="center"/>
            </w:pPr>
            <w:r w:rsidRPr="008B3A69">
              <w:t>-0.8 (-0.7, 0.1)</w:t>
            </w:r>
          </w:p>
        </w:tc>
        <w:tc>
          <w:tcPr>
            <w:tcW w:w="1929" w:type="dxa"/>
            <w:vMerge/>
            <w:tcBorders>
              <w:left w:val="single" w:sz="4" w:space="0" w:color="auto"/>
              <w:right w:val="single" w:sz="4" w:space="0" w:color="auto"/>
            </w:tcBorders>
            <w:vAlign w:val="center"/>
          </w:tcPr>
          <w:p w14:paraId="12778224" w14:textId="77777777" w:rsidR="002A4C75" w:rsidRPr="008B3A69" w:rsidRDefault="002A4C75" w:rsidP="00FE7FE7">
            <w:pPr>
              <w:pStyle w:val="TableText"/>
              <w:keepLines/>
              <w:jc w:val="center"/>
            </w:pPr>
          </w:p>
        </w:tc>
      </w:tr>
      <w:tr w:rsidR="008B40BE" w:rsidRPr="008B3A69" w14:paraId="269B657F" w14:textId="77777777" w:rsidTr="00514812">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31D72B0D" w14:textId="322035CA" w:rsidR="008B40BE" w:rsidRPr="008B3A69" w:rsidRDefault="008B40BE" w:rsidP="00FE7FE7">
            <w:pPr>
              <w:pStyle w:val="TableText"/>
              <w:keepLines/>
              <w:rPr>
                <w:b/>
                <w:bCs w:val="0"/>
              </w:rPr>
            </w:pPr>
            <w:r w:rsidRPr="008B3A69">
              <w:rPr>
                <w:b/>
                <w:bCs w:val="0"/>
              </w:rPr>
              <w:t>Myasthenia Gravis Composite (MGC) score</w:t>
            </w:r>
          </w:p>
        </w:tc>
      </w:tr>
      <w:tr w:rsidR="008B40BE" w:rsidRPr="008B3A69" w14:paraId="22BD42B7"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61140615" w14:textId="77777777" w:rsidR="008B40BE" w:rsidRPr="008B3A69" w:rsidRDefault="008B40BE" w:rsidP="00FE7FE7">
            <w:pPr>
              <w:pStyle w:val="TableText"/>
              <w:keepLines/>
            </w:pPr>
            <w:r w:rsidRPr="008B3A69">
              <w:t>Ravulizumab</w:t>
            </w:r>
          </w:p>
          <w:p w14:paraId="68A4BCCB" w14:textId="583A484B" w:rsidR="008B40BE" w:rsidRPr="008B3A69" w:rsidRDefault="008B40BE" w:rsidP="00FE7FE7">
            <w:pPr>
              <w:pStyle w:val="TableText"/>
              <w:keepLines/>
            </w:pPr>
            <w:r w:rsidRPr="008B3A69">
              <w:t>N = 77</w:t>
            </w:r>
          </w:p>
        </w:tc>
        <w:tc>
          <w:tcPr>
            <w:tcW w:w="1559" w:type="dxa"/>
            <w:tcBorders>
              <w:top w:val="single" w:sz="4" w:space="0" w:color="auto"/>
              <w:left w:val="single" w:sz="4" w:space="0" w:color="auto"/>
              <w:bottom w:val="single" w:sz="4" w:space="0" w:color="auto"/>
              <w:right w:val="single" w:sz="4" w:space="0" w:color="auto"/>
            </w:tcBorders>
            <w:vAlign w:val="center"/>
          </w:tcPr>
          <w:p w14:paraId="12EBB974" w14:textId="4EF437F7" w:rsidR="008B40BE" w:rsidRPr="008B3A69" w:rsidRDefault="008B40BE" w:rsidP="00FE7FE7">
            <w:pPr>
              <w:pStyle w:val="TableText"/>
              <w:keepLines/>
              <w:jc w:val="center"/>
            </w:pPr>
            <w:r w:rsidRPr="008B3A69">
              <w:t>16.6 (6.70)</w:t>
            </w:r>
          </w:p>
        </w:tc>
        <w:tc>
          <w:tcPr>
            <w:tcW w:w="1560" w:type="dxa"/>
            <w:tcBorders>
              <w:top w:val="single" w:sz="4" w:space="0" w:color="auto"/>
              <w:left w:val="single" w:sz="4" w:space="0" w:color="auto"/>
              <w:bottom w:val="single" w:sz="4" w:space="0" w:color="auto"/>
              <w:right w:val="single" w:sz="4" w:space="0" w:color="auto"/>
            </w:tcBorders>
            <w:vAlign w:val="center"/>
          </w:tcPr>
          <w:p w14:paraId="78364B5D" w14:textId="0A13ECF4" w:rsidR="008B40BE" w:rsidRPr="008B3A69" w:rsidRDefault="008B40BE" w:rsidP="00FE7FE7">
            <w:pPr>
              <w:pStyle w:val="TableText"/>
              <w:keepLines/>
              <w:jc w:val="center"/>
            </w:pPr>
            <w:r w:rsidRPr="008B3A69">
              <w:t>9.7 (7.41)</w:t>
            </w:r>
          </w:p>
        </w:tc>
        <w:tc>
          <w:tcPr>
            <w:tcW w:w="1701" w:type="dxa"/>
            <w:tcBorders>
              <w:left w:val="single" w:sz="4" w:space="0" w:color="auto"/>
              <w:right w:val="single" w:sz="4" w:space="0" w:color="auto"/>
            </w:tcBorders>
            <w:vAlign w:val="center"/>
          </w:tcPr>
          <w:p w14:paraId="55F61FC7" w14:textId="39760789" w:rsidR="008B40BE" w:rsidRPr="008B3A69" w:rsidRDefault="008B40BE" w:rsidP="00FE7FE7">
            <w:pPr>
              <w:pStyle w:val="TableText"/>
              <w:keepLines/>
              <w:jc w:val="center"/>
            </w:pPr>
            <w:r w:rsidRPr="008B3A69">
              <w:t>-6.1 (-7.6, -4.7)</w:t>
            </w:r>
          </w:p>
        </w:tc>
        <w:tc>
          <w:tcPr>
            <w:tcW w:w="1929" w:type="dxa"/>
            <w:vMerge w:val="restart"/>
            <w:tcBorders>
              <w:left w:val="single" w:sz="4" w:space="0" w:color="auto"/>
              <w:right w:val="single" w:sz="4" w:space="0" w:color="auto"/>
            </w:tcBorders>
            <w:vAlign w:val="center"/>
          </w:tcPr>
          <w:p w14:paraId="5E2DEBD5" w14:textId="39275B08" w:rsidR="008B40BE" w:rsidRPr="008B3A69" w:rsidRDefault="008B40BE" w:rsidP="00FE7FE7">
            <w:pPr>
              <w:pStyle w:val="TableText"/>
              <w:keepLines/>
              <w:jc w:val="center"/>
              <w:rPr>
                <w:vertAlign w:val="superscript"/>
              </w:rPr>
            </w:pPr>
            <w:r w:rsidRPr="008B3A69">
              <w:t>-2.9 (-4.8, -1.1)</w:t>
            </w:r>
            <w:r w:rsidR="00864918" w:rsidRPr="008B3A69">
              <w:t xml:space="preserve"> </w:t>
            </w:r>
            <w:r w:rsidR="00864918" w:rsidRPr="008B3A69">
              <w:rPr>
                <w:vertAlign w:val="superscript"/>
              </w:rPr>
              <w:t>a</w:t>
            </w:r>
          </w:p>
        </w:tc>
      </w:tr>
      <w:tr w:rsidR="008B40BE" w:rsidRPr="008B3A69" w14:paraId="47756D01"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000BE3C5" w14:textId="77777777" w:rsidR="008B40BE" w:rsidRPr="008B3A69" w:rsidRDefault="008B40BE" w:rsidP="00FE7FE7">
            <w:pPr>
              <w:pStyle w:val="TableText"/>
              <w:keepLines/>
            </w:pPr>
            <w:r w:rsidRPr="008B3A69">
              <w:t>Placebo</w:t>
            </w:r>
          </w:p>
          <w:p w14:paraId="5CCE9C13" w14:textId="632DBD9A" w:rsidR="008B40BE" w:rsidRPr="008B3A69" w:rsidRDefault="008B40BE" w:rsidP="00FE7FE7">
            <w:pPr>
              <w:pStyle w:val="TableText"/>
              <w:keepLines/>
            </w:pPr>
            <w:r w:rsidRPr="008B3A69">
              <w:t>N = 81</w:t>
            </w:r>
          </w:p>
        </w:tc>
        <w:tc>
          <w:tcPr>
            <w:tcW w:w="1559" w:type="dxa"/>
            <w:tcBorders>
              <w:top w:val="single" w:sz="4" w:space="0" w:color="auto"/>
              <w:left w:val="single" w:sz="4" w:space="0" w:color="auto"/>
              <w:bottom w:val="single" w:sz="4" w:space="0" w:color="auto"/>
              <w:right w:val="single" w:sz="4" w:space="0" w:color="auto"/>
            </w:tcBorders>
            <w:vAlign w:val="center"/>
          </w:tcPr>
          <w:p w14:paraId="7D467EE2" w14:textId="6CCFB042" w:rsidR="008B40BE" w:rsidRPr="008B3A69" w:rsidRDefault="008B40BE" w:rsidP="00FE7FE7">
            <w:pPr>
              <w:pStyle w:val="TableText"/>
              <w:keepLines/>
              <w:jc w:val="center"/>
            </w:pPr>
            <w:r w:rsidRPr="008B3A69">
              <w:t>16.4 (4.95)</w:t>
            </w:r>
          </w:p>
        </w:tc>
        <w:tc>
          <w:tcPr>
            <w:tcW w:w="1560" w:type="dxa"/>
            <w:tcBorders>
              <w:top w:val="single" w:sz="4" w:space="0" w:color="auto"/>
              <w:left w:val="single" w:sz="4" w:space="0" w:color="auto"/>
              <w:bottom w:val="single" w:sz="4" w:space="0" w:color="auto"/>
              <w:right w:val="single" w:sz="4" w:space="0" w:color="auto"/>
            </w:tcBorders>
            <w:vAlign w:val="center"/>
          </w:tcPr>
          <w:p w14:paraId="147E9938" w14:textId="76A9D05B" w:rsidR="008B40BE" w:rsidRPr="008B3A69" w:rsidRDefault="008B40BE" w:rsidP="00FE7FE7">
            <w:pPr>
              <w:pStyle w:val="TableText"/>
              <w:keepLines/>
              <w:jc w:val="center"/>
            </w:pPr>
            <w:r w:rsidRPr="008B3A69">
              <w:t>12.7 (7.14)</w:t>
            </w:r>
          </w:p>
        </w:tc>
        <w:tc>
          <w:tcPr>
            <w:tcW w:w="1701" w:type="dxa"/>
            <w:tcBorders>
              <w:left w:val="single" w:sz="4" w:space="0" w:color="auto"/>
              <w:right w:val="single" w:sz="4" w:space="0" w:color="auto"/>
            </w:tcBorders>
            <w:vAlign w:val="center"/>
          </w:tcPr>
          <w:p w14:paraId="57C8A939" w14:textId="6BAB20FA" w:rsidR="008B40BE" w:rsidRPr="008B3A69" w:rsidRDefault="008B40BE" w:rsidP="00FE7FE7">
            <w:pPr>
              <w:pStyle w:val="TableText"/>
              <w:keepLines/>
              <w:jc w:val="center"/>
            </w:pPr>
            <w:r w:rsidRPr="008B3A69">
              <w:t>-3.2 (-4.6, -1.8)</w:t>
            </w:r>
          </w:p>
        </w:tc>
        <w:tc>
          <w:tcPr>
            <w:tcW w:w="1929" w:type="dxa"/>
            <w:vMerge/>
            <w:tcBorders>
              <w:left w:val="single" w:sz="4" w:space="0" w:color="auto"/>
              <w:right w:val="single" w:sz="4" w:space="0" w:color="auto"/>
            </w:tcBorders>
            <w:vAlign w:val="center"/>
          </w:tcPr>
          <w:p w14:paraId="4810CC2B" w14:textId="77777777" w:rsidR="008B40BE" w:rsidRPr="008B3A69" w:rsidRDefault="008B40BE" w:rsidP="00FE7FE7">
            <w:pPr>
              <w:pStyle w:val="TableText"/>
              <w:keepLines/>
              <w:jc w:val="center"/>
            </w:pPr>
          </w:p>
        </w:tc>
      </w:tr>
    </w:tbl>
    <w:p w14:paraId="23D6FE08" w14:textId="225BAEF5" w:rsidR="002A4C75" w:rsidRPr="008B3A69" w:rsidRDefault="002A4C75" w:rsidP="00FE7FE7">
      <w:pPr>
        <w:pStyle w:val="COMTablefooter"/>
        <w:keepNext/>
        <w:keepLines/>
      </w:pPr>
      <w:r w:rsidRPr="008B3A69">
        <w:t>Source: Table 2-18, p78</w:t>
      </w:r>
      <w:r w:rsidR="00FC12A8" w:rsidRPr="008B3A69">
        <w:t>; Table 2-20, p82</w:t>
      </w:r>
      <w:r w:rsidRPr="008B3A69">
        <w:t xml:space="preserve"> of the submission; Table 14.2.1.1.15.1, pp719-721</w:t>
      </w:r>
      <w:r w:rsidR="00056437" w:rsidRPr="008B3A69">
        <w:t>; Table 14.2.2.1.1.11.1, pp771-773</w:t>
      </w:r>
      <w:r w:rsidR="008B40BE" w:rsidRPr="008B3A69">
        <w:t>; Table 14.2.3.1.1.1, p1025; Table 14.2.3.1.3.1, pp1029-1031</w:t>
      </w:r>
      <w:r w:rsidRPr="008B3A69">
        <w:t xml:space="preserve"> of</w:t>
      </w:r>
      <w:r w:rsidR="008B40BE" w:rsidRPr="008B3A69">
        <w:t xml:space="preserve"> the</w:t>
      </w:r>
      <w:r w:rsidRPr="008B3A69">
        <w:t xml:space="preserve"> CHAMPION-MG trial report</w:t>
      </w:r>
    </w:p>
    <w:p w14:paraId="09DC3082" w14:textId="32B694A3" w:rsidR="002A4C75" w:rsidRPr="008B3A69" w:rsidRDefault="002A4C75" w:rsidP="00FE7FE7">
      <w:pPr>
        <w:pStyle w:val="COMTablefooter"/>
        <w:keepNext/>
        <w:keepLines/>
      </w:pPr>
      <w:r w:rsidRPr="008B3A69">
        <w:t>Abbreviations: CI, confidence interval; LS, least squares; MG-ADL, Myasthenia Gravis Activities of Daily Living;</w:t>
      </w:r>
      <w:r w:rsidR="008B40BE" w:rsidRPr="008B3A69">
        <w:t xml:space="preserve"> MGC, myasthenia gravis composite score;</w:t>
      </w:r>
      <w:r w:rsidR="00056437" w:rsidRPr="008B3A69">
        <w:t xml:space="preserve"> QMG, Quantitative Myasthenia Gravis score;</w:t>
      </w:r>
      <w:r w:rsidRPr="008B3A69">
        <w:t xml:space="preserve"> SD, standard deviation</w:t>
      </w:r>
    </w:p>
    <w:p w14:paraId="4E2AD2BB" w14:textId="090E1B83" w:rsidR="007F3D8D" w:rsidRPr="008B3A69" w:rsidRDefault="00864918" w:rsidP="00FE7FE7">
      <w:pPr>
        <w:pStyle w:val="COMTablefooter"/>
        <w:keepNext/>
        <w:keepLines/>
      </w:pPr>
      <w:r w:rsidRPr="008B3A69">
        <w:rPr>
          <w:vertAlign w:val="superscript"/>
        </w:rPr>
        <w:t xml:space="preserve">a </w:t>
      </w:r>
      <w:r w:rsidR="007F3D8D" w:rsidRPr="008B3A69">
        <w:t>Change in MGC score was an exploratory outcome with no adjustment for multiplicity and therefore no further inference on statistical significance should be made for this outcome</w:t>
      </w:r>
    </w:p>
    <w:p w14:paraId="61C081F7" w14:textId="77777777" w:rsidR="00056437" w:rsidRPr="008B3A69" w:rsidRDefault="002A4C75" w:rsidP="00FE7FE7">
      <w:pPr>
        <w:pStyle w:val="COMTablefooter"/>
        <w:keepNext/>
        <w:keepLines/>
      </w:pPr>
      <w:r w:rsidRPr="008B3A69">
        <w:t>Note: MG-ADL scores range from 0 to 24 with lower scores indicating better functional outcomes</w:t>
      </w:r>
    </w:p>
    <w:p w14:paraId="546BDB4E" w14:textId="77777777" w:rsidR="008B40BE" w:rsidRPr="008B3A69" w:rsidRDefault="00FC12A8" w:rsidP="00FE7FE7">
      <w:pPr>
        <w:pStyle w:val="COMTablefooter"/>
        <w:keepNext/>
        <w:keepLines/>
      </w:pPr>
      <w:r w:rsidRPr="008B3A69">
        <w:t>Note: QMG scores range from 0 to 39 with lower scores indicating better functional outcomes</w:t>
      </w:r>
    </w:p>
    <w:p w14:paraId="7473EC7A" w14:textId="24CCB573" w:rsidR="002A4C75" w:rsidRPr="008B3A69" w:rsidRDefault="008B40BE" w:rsidP="00FE7FE7">
      <w:pPr>
        <w:pStyle w:val="COMTablefooter"/>
        <w:keepNext/>
        <w:keepLines/>
      </w:pPr>
      <w:r w:rsidRPr="008B3A69">
        <w:t>Note: MGC scores range from 0 to 50 with lower scores indicating better functional outcomes</w:t>
      </w:r>
    </w:p>
    <w:p w14:paraId="77B1F695" w14:textId="2BADF1CD" w:rsidR="00647A8A" w:rsidRPr="008B3A69" w:rsidRDefault="008B40BE">
      <w:pPr>
        <w:pStyle w:val="COMexecsumnumberedpara"/>
      </w:pPr>
      <w:r w:rsidRPr="008B3A69">
        <w:t xml:space="preserve">Treatment with ravulizumab was associated with modest but statistically significant improvements in functional outcome measures compared to placebo over 26 weeks. Differences between treatment arms were observed by Week 1 and were maintained over the 26-week randomised treatment period. </w:t>
      </w:r>
      <w:bookmarkStart w:id="35" w:name="_Hlk171679297"/>
      <w:r w:rsidR="00990A24" w:rsidRPr="008B3A69">
        <w:t>The ESC considered that, while the primary outcome was statistically significant (mean difference in the MG-ADL score of -1.6 (95% CI: -2.6, -0.7)), the clinical relevance of this to individual patients was unclear</w:t>
      </w:r>
      <w:r w:rsidR="006A2C04" w:rsidRPr="008B3A69">
        <w:t xml:space="preserve"> </w:t>
      </w:r>
      <w:r w:rsidR="00782353" w:rsidRPr="008B3A69">
        <w:t>as</w:t>
      </w:r>
      <w:r w:rsidR="006A2C04" w:rsidRPr="008B3A69">
        <w:t xml:space="preserve"> it failed to meet the MCID, recognising that some patients would have surpassed the MCID. </w:t>
      </w:r>
      <w:bookmarkEnd w:id="35"/>
      <w:r w:rsidR="006A2C04" w:rsidRPr="008B3A69">
        <w:t>The ESC reflected that this represented a considerable heterogeneity in effect and reinforced that the population most likely to benefit was not adequately identified.</w:t>
      </w:r>
      <w:r w:rsidR="00DE6AE9">
        <w:t xml:space="preserve"> </w:t>
      </w:r>
      <w:r w:rsidR="00647A8A">
        <w:t xml:space="preserve">The pre-PBAC response stated that using </w:t>
      </w:r>
      <w:r w:rsidR="00647A8A" w:rsidRPr="00351A17">
        <w:t xml:space="preserve">the MCID in isolation to interpret average changes between groups </w:t>
      </w:r>
      <w:r w:rsidR="00647A8A">
        <w:t>does not</w:t>
      </w:r>
      <w:r w:rsidR="00647A8A" w:rsidRPr="00351A17">
        <w:t xml:space="preserve"> provide </w:t>
      </w:r>
      <w:r w:rsidR="00647A8A">
        <w:t xml:space="preserve">the </w:t>
      </w:r>
      <w:r w:rsidR="00647A8A" w:rsidRPr="00351A17">
        <w:t>full context</w:t>
      </w:r>
      <w:r w:rsidR="00647A8A">
        <w:t xml:space="preserve"> and that responder analyses using these thresholds</w:t>
      </w:r>
      <w:r w:rsidR="00647A8A" w:rsidRPr="00647A8A">
        <w:t xml:space="preserve"> </w:t>
      </w:r>
      <w:r w:rsidR="00647A8A">
        <w:t>provide</w:t>
      </w:r>
      <w:r w:rsidR="00DE6AE9">
        <w:t>s</w:t>
      </w:r>
      <w:r w:rsidR="00647A8A">
        <w:t xml:space="preserve"> context as to the </w:t>
      </w:r>
      <w:r w:rsidR="00647A8A" w:rsidRPr="00647A8A">
        <w:t>clinical relevance of the treatment effect</w:t>
      </w:r>
      <w:r w:rsidR="00DE6AE9">
        <w:t>.</w:t>
      </w:r>
    </w:p>
    <w:p w14:paraId="163B8D71" w14:textId="6354AAC0" w:rsidR="00291A86" w:rsidRDefault="008B40BE" w:rsidP="00EC5836">
      <w:pPr>
        <w:pStyle w:val="COMexecsumnumberedpara"/>
      </w:pPr>
      <w:r w:rsidRPr="008B3A69">
        <w:t>A substantial proportion of patients in both treatment arms reported changes in MG-ADL scores from baseline that met the nominated minimal clinically important difference</w:t>
      </w:r>
      <w:r w:rsidR="00285463">
        <w:t xml:space="preserve">, as shown in </w:t>
      </w:r>
      <w:r w:rsidR="00285463">
        <w:fldChar w:fldCharType="begin" w:fldLock="1"/>
      </w:r>
      <w:r w:rsidR="00285463">
        <w:instrText xml:space="preserve"> REF _Ref155297203 \h </w:instrText>
      </w:r>
      <w:r w:rsidR="00285463">
        <w:fldChar w:fldCharType="separate"/>
      </w:r>
      <w:r w:rsidR="0081771C" w:rsidRPr="008B3A69">
        <w:t xml:space="preserve">Table </w:t>
      </w:r>
      <w:r w:rsidR="0081771C">
        <w:rPr>
          <w:noProof/>
        </w:rPr>
        <w:t>7</w:t>
      </w:r>
      <w:r w:rsidR="00285463">
        <w:fldChar w:fldCharType="end"/>
      </w:r>
      <w:r w:rsidR="009A0654" w:rsidRPr="008B3A69">
        <w:t xml:space="preserve">, </w:t>
      </w:r>
      <w:r w:rsidR="00864918" w:rsidRPr="008B3A69">
        <w:t xml:space="preserve">a </w:t>
      </w:r>
      <w:r w:rsidRPr="008B3A69">
        <w:t xml:space="preserve">2-point reduction </w:t>
      </w:r>
      <w:r w:rsidR="00864918" w:rsidRPr="008B3A69">
        <w:t xml:space="preserve">was </w:t>
      </w:r>
      <w:r w:rsidRPr="008B3A69">
        <w:t>achieved by 63.9% of ravulizumab patients and 53.0% of placebo patients;</w:t>
      </w:r>
      <w:r w:rsidR="008D27E7" w:rsidRPr="008B3A69">
        <w:t xml:space="preserve"> nominal p</w:t>
      </w:r>
      <w:r w:rsidR="00894635" w:rsidRPr="008B3A69">
        <w:t>-value</w:t>
      </w:r>
      <w:r w:rsidR="008D27E7" w:rsidRPr="008B3A69">
        <w:t xml:space="preserve"> = 0.1621</w:t>
      </w:r>
      <w:r w:rsidRPr="008B3A69">
        <w:t xml:space="preserve">. </w:t>
      </w:r>
      <w:r w:rsidR="00291A86" w:rsidRPr="008B3A69">
        <w:t xml:space="preserve">The ESC </w:t>
      </w:r>
      <w:r w:rsidR="00ED177A" w:rsidRPr="008B3A69">
        <w:t>not</w:t>
      </w:r>
      <w:r w:rsidR="00291A86" w:rsidRPr="008B3A69">
        <w:t>ed the proportion of patients achieving this outcome was similar between arms</w:t>
      </w:r>
      <w:r w:rsidR="00ED177A" w:rsidRPr="008B3A69">
        <w:t xml:space="preserve"> and the</w:t>
      </w:r>
      <w:r w:rsidR="00291A86" w:rsidRPr="008B3A69">
        <w:t xml:space="preserve"> difference was not statistically significant</w:t>
      </w:r>
      <w:r w:rsidR="009F67B6" w:rsidRPr="008B3A69">
        <w:t xml:space="preserve">. The ESC </w:t>
      </w:r>
      <w:r w:rsidR="00ED177A" w:rsidRPr="008B3A69">
        <w:t xml:space="preserve">considered the benefit of ravulizumab </w:t>
      </w:r>
      <w:r w:rsidR="00D041AD" w:rsidRPr="008B3A69">
        <w:t xml:space="preserve">demonstrated in the trial appeared to be </w:t>
      </w:r>
      <w:r w:rsidR="00ED177A" w:rsidRPr="008B3A69">
        <w:t>modest</w:t>
      </w:r>
      <w:r w:rsidR="006A2C04" w:rsidRPr="008B3A69">
        <w:t xml:space="preserve"> and many patients</w:t>
      </w:r>
      <w:r w:rsidR="0024289C" w:rsidRPr="008B3A69">
        <w:t xml:space="preserve"> (36.1%)</w:t>
      </w:r>
      <w:r w:rsidR="006A2C04" w:rsidRPr="008B3A69">
        <w:t xml:space="preserve"> who would be eligible under the restriction </w:t>
      </w:r>
      <w:r w:rsidR="0024289C" w:rsidRPr="008B3A69">
        <w:t>will fail</w:t>
      </w:r>
      <w:r w:rsidR="006A2C04" w:rsidRPr="008B3A69">
        <w:t xml:space="preserve"> to meet the nominated MCID</w:t>
      </w:r>
      <w:r w:rsidR="0024289C" w:rsidRPr="008B3A69">
        <w:t xml:space="preserve"> and very few additional patients (10.9%) would achieve the MCID compared to current therapies</w:t>
      </w:r>
      <w:r w:rsidR="00ED177A" w:rsidRPr="008B3A69">
        <w:t>.</w:t>
      </w:r>
      <w:r w:rsidR="00990A24" w:rsidRPr="008B3A69">
        <w:t xml:space="preserve"> </w:t>
      </w:r>
    </w:p>
    <w:p w14:paraId="65AC1AF6" w14:textId="77777777" w:rsidR="00285463" w:rsidRPr="008B3A69" w:rsidRDefault="00285463" w:rsidP="00285463">
      <w:pPr>
        <w:pStyle w:val="COMexecsumnumberedpara"/>
      </w:pPr>
      <w:r w:rsidRPr="008B3A69">
        <w:t>Data from the ongoing extension study suggest that the improvement in functional measures observed with ravulizumab treatment may be sustained over the longer term, with follow-up data indicating no loss of effect for up to 60 weeks (mean change from baseline to Week 60 in the ravulizumab/ravulizumab arm was -4.0; 95% CI -4.8, -3.1).</w:t>
      </w:r>
    </w:p>
    <w:p w14:paraId="5A3B7F3E" w14:textId="37F2E1E7" w:rsidR="00836A85" w:rsidRPr="008B3A69" w:rsidRDefault="008B40BE" w:rsidP="00767A5C">
      <w:pPr>
        <w:pStyle w:val="COMexecsumnumberedpara"/>
      </w:pPr>
      <w:r w:rsidRPr="008B3A69">
        <w:t>Results numerically favoured ravulizumab</w:t>
      </w:r>
      <w:r w:rsidR="009C4A56" w:rsidRPr="008B3A69">
        <w:t>,</w:t>
      </w:r>
      <w:r w:rsidRPr="008B3A69">
        <w:t xml:space="preserve"> particularly when stricter definitions of response were used</w:t>
      </w:r>
      <w:r w:rsidR="00EF41CF" w:rsidRPr="008B3A69">
        <w:t xml:space="preserve"> (3-point reduction achieved by 56.7% of ravulizumab patients and 34.1% of placebo patients</w:t>
      </w:r>
      <w:r w:rsidR="008D27E7" w:rsidRPr="008B3A69">
        <w:t>; nominal p</w:t>
      </w:r>
      <w:r w:rsidR="00894635" w:rsidRPr="008B3A69">
        <w:t>-value</w:t>
      </w:r>
      <w:r w:rsidR="008D27E7" w:rsidRPr="008B3A69">
        <w:t xml:space="preserve"> = 0.0049</w:t>
      </w:r>
      <w:r w:rsidR="00EF41CF" w:rsidRPr="008B3A69">
        <w:t>)</w:t>
      </w:r>
      <w:r w:rsidRPr="008B3A69">
        <w:t>.</w:t>
      </w:r>
      <w:r w:rsidR="00DC5BAB" w:rsidRPr="008B3A69">
        <w:t xml:space="preserve"> Treatment with ravulizumab was also associated with a higher proportion of responders compared to placebo based on QMG and MGC scores</w:t>
      </w:r>
      <w:r w:rsidR="00B35E59" w:rsidRPr="008B3A69">
        <w:t xml:space="preserve"> (see </w:t>
      </w:r>
      <w:r w:rsidR="00B35E59" w:rsidRPr="008B3A69">
        <w:fldChar w:fldCharType="begin" w:fldLock="1"/>
      </w:r>
      <w:r w:rsidR="00B35E59" w:rsidRPr="008B3A69">
        <w:instrText xml:space="preserve"> REF _Ref155297203 \h </w:instrText>
      </w:r>
      <w:r w:rsidR="00291F22" w:rsidRPr="008B3A69">
        <w:instrText xml:space="preserve"> \* MERGEFORMAT </w:instrText>
      </w:r>
      <w:r w:rsidR="00B35E59" w:rsidRPr="008B3A69">
        <w:fldChar w:fldCharType="separate"/>
      </w:r>
      <w:r w:rsidR="0081771C" w:rsidRPr="008B3A69">
        <w:t xml:space="preserve">Table </w:t>
      </w:r>
      <w:r w:rsidR="0081771C">
        <w:rPr>
          <w:noProof/>
        </w:rPr>
        <w:t>7</w:t>
      </w:r>
      <w:r w:rsidR="00B35E59" w:rsidRPr="008B3A69">
        <w:fldChar w:fldCharType="end"/>
      </w:r>
      <w:r w:rsidR="00B35E59" w:rsidRPr="008B3A69">
        <w:t>)</w:t>
      </w:r>
      <w:r w:rsidR="00DC5BAB" w:rsidRPr="008B3A69">
        <w:t>.</w:t>
      </w:r>
    </w:p>
    <w:p w14:paraId="66DEEC6F" w14:textId="0A751595" w:rsidR="00F56D03" w:rsidRPr="008B3A69" w:rsidRDefault="00F56D03" w:rsidP="00EC5836">
      <w:pPr>
        <w:pStyle w:val="COMexecsumnumberedpara"/>
      </w:pPr>
      <w:r w:rsidRPr="008B3A69">
        <w:t xml:space="preserve">The mean change in quality of life measures from baseline to Week 26 with ravulizumab and placebo in the CHAMPION-MG trial are summarised in </w:t>
      </w:r>
      <w:r w:rsidR="007F3D8D" w:rsidRPr="008B3A69">
        <w:fldChar w:fldCharType="begin" w:fldLock="1"/>
      </w:r>
      <w:r w:rsidR="007F3D8D" w:rsidRPr="008B3A69">
        <w:instrText xml:space="preserve"> REF _Ref155294796 \h </w:instrText>
      </w:r>
      <w:r w:rsidR="00291F22" w:rsidRPr="008B3A69">
        <w:instrText xml:space="preserve"> \* MERGEFORMAT </w:instrText>
      </w:r>
      <w:r w:rsidR="007F3D8D" w:rsidRPr="008B3A69">
        <w:fldChar w:fldCharType="separate"/>
      </w:r>
      <w:r w:rsidR="0081771C" w:rsidRPr="008B3A69">
        <w:t xml:space="preserve">Table </w:t>
      </w:r>
      <w:r w:rsidR="0081771C">
        <w:rPr>
          <w:noProof/>
        </w:rPr>
        <w:t>5</w:t>
      </w:r>
      <w:r w:rsidR="007F3D8D" w:rsidRPr="008B3A69">
        <w:fldChar w:fldCharType="end"/>
      </w:r>
      <w:r w:rsidR="007F3D8D" w:rsidRPr="008B3A69">
        <w:t>.</w:t>
      </w:r>
    </w:p>
    <w:p w14:paraId="48080CB5" w14:textId="5F82E532" w:rsidR="00F56D03" w:rsidRPr="008B3A69" w:rsidRDefault="007F3D8D" w:rsidP="006D466F">
      <w:pPr>
        <w:pStyle w:val="COMtablefigcaption"/>
        <w:keepLines/>
      </w:pPr>
      <w:bookmarkStart w:id="36" w:name="_Ref155294796"/>
      <w:r w:rsidRPr="008B3A69">
        <w:t xml:space="preserve">Table </w:t>
      </w:r>
      <w:r w:rsidR="0065138C">
        <w:fldChar w:fldCharType="begin" w:fldLock="1"/>
      </w:r>
      <w:r w:rsidR="0065138C">
        <w:instrText xml:space="preserve"> SEQ Table \* ARABIC </w:instrText>
      </w:r>
      <w:r w:rsidR="0065138C">
        <w:fldChar w:fldCharType="separate"/>
      </w:r>
      <w:r w:rsidR="0081771C">
        <w:rPr>
          <w:noProof/>
        </w:rPr>
        <w:t>5</w:t>
      </w:r>
      <w:r w:rsidR="0065138C">
        <w:rPr>
          <w:noProof/>
        </w:rPr>
        <w:fldChar w:fldCharType="end"/>
      </w:r>
      <w:bookmarkEnd w:id="36"/>
      <w:r w:rsidR="00F56D03" w:rsidRPr="008B3A69">
        <w:t>: Mean change in quality of life scores from baseline to Week 26 with ravulizumab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59"/>
        <w:gridCol w:w="1560"/>
        <w:gridCol w:w="1701"/>
        <w:gridCol w:w="1929"/>
      </w:tblGrid>
      <w:tr w:rsidR="00F56D03" w:rsidRPr="008B3A69" w14:paraId="175674A2" w14:textId="77777777" w:rsidTr="00514812">
        <w:trPr>
          <w:trHeight w:val="76"/>
          <w:tblHeader/>
        </w:trPr>
        <w:tc>
          <w:tcPr>
            <w:tcW w:w="2268" w:type="dxa"/>
            <w:tcBorders>
              <w:top w:val="single" w:sz="4" w:space="0" w:color="auto"/>
              <w:left w:val="single" w:sz="4" w:space="0" w:color="auto"/>
              <w:right w:val="single" w:sz="4" w:space="0" w:color="auto"/>
            </w:tcBorders>
            <w:vAlign w:val="center"/>
          </w:tcPr>
          <w:p w14:paraId="77DC6759" w14:textId="77777777" w:rsidR="00F56D03" w:rsidRPr="008B3A69" w:rsidRDefault="00F56D03" w:rsidP="006D466F">
            <w:pPr>
              <w:pStyle w:val="TableText"/>
              <w:keepLines/>
              <w:widowControl w:val="0"/>
              <w:rPr>
                <w:b/>
              </w:rPr>
            </w:pPr>
            <w:r w:rsidRPr="008B3A69">
              <w:rPr>
                <w:b/>
              </w:rPr>
              <w:t>Treatment arm</w:t>
            </w:r>
          </w:p>
        </w:tc>
        <w:tc>
          <w:tcPr>
            <w:tcW w:w="1559" w:type="dxa"/>
            <w:tcBorders>
              <w:top w:val="single" w:sz="4" w:space="0" w:color="auto"/>
              <w:left w:val="single" w:sz="4" w:space="0" w:color="auto"/>
              <w:right w:val="single" w:sz="4" w:space="0" w:color="auto"/>
            </w:tcBorders>
            <w:vAlign w:val="center"/>
          </w:tcPr>
          <w:p w14:paraId="5D75BB3D" w14:textId="77777777" w:rsidR="00F56D03" w:rsidRPr="008B3A69" w:rsidRDefault="00F56D03" w:rsidP="006D466F">
            <w:pPr>
              <w:pStyle w:val="TableText"/>
              <w:keepLines/>
              <w:widowControl w:val="0"/>
              <w:jc w:val="center"/>
              <w:rPr>
                <w:b/>
              </w:rPr>
            </w:pPr>
            <w:r w:rsidRPr="008B3A69">
              <w:rPr>
                <w:b/>
              </w:rPr>
              <w:t>Baseline,</w:t>
            </w:r>
          </w:p>
          <w:p w14:paraId="089D0162" w14:textId="77777777" w:rsidR="00F56D03" w:rsidRPr="008B3A69" w:rsidRDefault="00F56D03" w:rsidP="006D466F">
            <w:pPr>
              <w:pStyle w:val="TableText"/>
              <w:keepLines/>
              <w:widowControl w:val="0"/>
              <w:jc w:val="center"/>
              <w:rPr>
                <w:b/>
              </w:rPr>
            </w:pPr>
            <w:r w:rsidRPr="008B3A69">
              <w:rPr>
                <w:b/>
              </w:rPr>
              <w:t>Mean (SD)</w:t>
            </w:r>
          </w:p>
        </w:tc>
        <w:tc>
          <w:tcPr>
            <w:tcW w:w="1560" w:type="dxa"/>
            <w:tcBorders>
              <w:top w:val="single" w:sz="4" w:space="0" w:color="auto"/>
              <w:left w:val="single" w:sz="4" w:space="0" w:color="auto"/>
              <w:right w:val="single" w:sz="4" w:space="0" w:color="auto"/>
            </w:tcBorders>
            <w:vAlign w:val="center"/>
          </w:tcPr>
          <w:p w14:paraId="0A4AC780" w14:textId="77777777" w:rsidR="00F56D03" w:rsidRPr="008B3A69" w:rsidRDefault="00F56D03" w:rsidP="006D466F">
            <w:pPr>
              <w:pStyle w:val="TableText"/>
              <w:keepLines/>
              <w:widowControl w:val="0"/>
              <w:jc w:val="center"/>
              <w:rPr>
                <w:b/>
              </w:rPr>
            </w:pPr>
            <w:r w:rsidRPr="008B3A69">
              <w:rPr>
                <w:b/>
              </w:rPr>
              <w:t>Final,</w:t>
            </w:r>
          </w:p>
          <w:p w14:paraId="71D42422" w14:textId="77777777" w:rsidR="00F56D03" w:rsidRPr="008B3A69" w:rsidRDefault="00F56D03" w:rsidP="006D466F">
            <w:pPr>
              <w:pStyle w:val="TableText"/>
              <w:keepLines/>
              <w:widowControl w:val="0"/>
              <w:jc w:val="center"/>
              <w:rPr>
                <w:b/>
              </w:rPr>
            </w:pPr>
            <w:r w:rsidRPr="008B3A69">
              <w:rPr>
                <w:b/>
              </w:rPr>
              <w:t>Mean (SD)</w:t>
            </w:r>
          </w:p>
        </w:tc>
        <w:tc>
          <w:tcPr>
            <w:tcW w:w="1701" w:type="dxa"/>
            <w:tcBorders>
              <w:top w:val="single" w:sz="4" w:space="0" w:color="auto"/>
              <w:left w:val="single" w:sz="4" w:space="0" w:color="auto"/>
              <w:right w:val="single" w:sz="4" w:space="0" w:color="auto"/>
            </w:tcBorders>
            <w:vAlign w:val="center"/>
          </w:tcPr>
          <w:p w14:paraId="727B13C0" w14:textId="77777777" w:rsidR="00F56D03" w:rsidRPr="008B3A69" w:rsidRDefault="00F56D03" w:rsidP="006D466F">
            <w:pPr>
              <w:pStyle w:val="TableText"/>
              <w:keepLines/>
              <w:widowControl w:val="0"/>
              <w:jc w:val="center"/>
              <w:rPr>
                <w:b/>
              </w:rPr>
            </w:pPr>
            <w:r w:rsidRPr="008B3A69">
              <w:rPr>
                <w:b/>
              </w:rPr>
              <w:t>LS mean change (95% CI)</w:t>
            </w:r>
          </w:p>
        </w:tc>
        <w:tc>
          <w:tcPr>
            <w:tcW w:w="1929" w:type="dxa"/>
            <w:tcBorders>
              <w:top w:val="single" w:sz="4" w:space="0" w:color="auto"/>
              <w:left w:val="single" w:sz="4" w:space="0" w:color="auto"/>
              <w:right w:val="single" w:sz="4" w:space="0" w:color="auto"/>
            </w:tcBorders>
            <w:vAlign w:val="center"/>
          </w:tcPr>
          <w:p w14:paraId="76B1A010" w14:textId="77777777" w:rsidR="00F56D03" w:rsidRPr="008B3A69" w:rsidRDefault="00F56D03" w:rsidP="006D466F">
            <w:pPr>
              <w:pStyle w:val="TableText"/>
              <w:keepLines/>
              <w:widowControl w:val="0"/>
              <w:jc w:val="center"/>
              <w:rPr>
                <w:b/>
              </w:rPr>
            </w:pPr>
            <w:r w:rsidRPr="008B3A69">
              <w:rPr>
                <w:b/>
              </w:rPr>
              <w:t>Treatment difference (95% CI)</w:t>
            </w:r>
          </w:p>
        </w:tc>
      </w:tr>
      <w:tr w:rsidR="00F56D03" w:rsidRPr="008B3A69" w14:paraId="2AE3A341" w14:textId="77777777" w:rsidTr="00514812">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6AC53734" w14:textId="77777777" w:rsidR="00F56D03" w:rsidRPr="008B3A69" w:rsidRDefault="00F56D03" w:rsidP="006D466F">
            <w:pPr>
              <w:pStyle w:val="TableText"/>
              <w:keepLines/>
              <w:widowControl w:val="0"/>
              <w:rPr>
                <w:b/>
              </w:rPr>
            </w:pPr>
            <w:r w:rsidRPr="008B3A69">
              <w:rPr>
                <w:b/>
              </w:rPr>
              <w:t>Revised Myasthenia Gravis Quality of Life score (MG-QoL15r)</w:t>
            </w:r>
          </w:p>
        </w:tc>
      </w:tr>
      <w:tr w:rsidR="00F56D03" w:rsidRPr="008B3A69" w14:paraId="38B2EB2E"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79FAB4AC" w14:textId="77777777" w:rsidR="00F56D03" w:rsidRPr="008B3A69" w:rsidRDefault="00F56D03" w:rsidP="006D466F">
            <w:pPr>
              <w:pStyle w:val="TableText"/>
              <w:keepLines/>
              <w:widowControl w:val="0"/>
            </w:pPr>
            <w:r w:rsidRPr="008B3A69">
              <w:t>Ravulizumab</w:t>
            </w:r>
          </w:p>
          <w:p w14:paraId="21F2364E" w14:textId="77777777" w:rsidR="00F56D03" w:rsidRPr="008B3A69" w:rsidRDefault="00F56D03" w:rsidP="006D466F">
            <w:pPr>
              <w:pStyle w:val="TableText"/>
              <w:keepLines/>
              <w:widowControl w:val="0"/>
            </w:pPr>
            <w:r w:rsidRPr="008B3A69">
              <w:t>N = 78</w:t>
            </w:r>
          </w:p>
        </w:tc>
        <w:tc>
          <w:tcPr>
            <w:tcW w:w="1559" w:type="dxa"/>
            <w:tcBorders>
              <w:top w:val="single" w:sz="4" w:space="0" w:color="auto"/>
              <w:left w:val="single" w:sz="4" w:space="0" w:color="auto"/>
              <w:bottom w:val="single" w:sz="4" w:space="0" w:color="auto"/>
              <w:right w:val="single" w:sz="4" w:space="0" w:color="auto"/>
            </w:tcBorders>
            <w:vAlign w:val="center"/>
          </w:tcPr>
          <w:p w14:paraId="6419FFB6" w14:textId="77777777" w:rsidR="00F56D03" w:rsidRPr="008B3A69" w:rsidRDefault="00F56D03" w:rsidP="006D466F">
            <w:pPr>
              <w:pStyle w:val="TableText"/>
              <w:keepLines/>
              <w:widowControl w:val="0"/>
              <w:jc w:val="center"/>
            </w:pPr>
            <w:r w:rsidRPr="008B3A69">
              <w:t>15.6 (5.37)</w:t>
            </w:r>
          </w:p>
        </w:tc>
        <w:tc>
          <w:tcPr>
            <w:tcW w:w="1560" w:type="dxa"/>
            <w:tcBorders>
              <w:top w:val="single" w:sz="4" w:space="0" w:color="auto"/>
              <w:left w:val="single" w:sz="4" w:space="0" w:color="auto"/>
              <w:bottom w:val="single" w:sz="4" w:space="0" w:color="auto"/>
              <w:right w:val="single" w:sz="4" w:space="0" w:color="auto"/>
            </w:tcBorders>
            <w:vAlign w:val="center"/>
          </w:tcPr>
          <w:p w14:paraId="5473DDDB" w14:textId="77777777" w:rsidR="00F56D03" w:rsidRPr="008B3A69" w:rsidRDefault="00F56D03" w:rsidP="006D466F">
            <w:pPr>
              <w:pStyle w:val="TableText"/>
              <w:keepLines/>
              <w:widowControl w:val="0"/>
              <w:jc w:val="center"/>
            </w:pPr>
            <w:r w:rsidRPr="008B3A69">
              <w:t>11.8 (7.18)</w:t>
            </w:r>
          </w:p>
        </w:tc>
        <w:tc>
          <w:tcPr>
            <w:tcW w:w="1701" w:type="dxa"/>
            <w:tcBorders>
              <w:top w:val="single" w:sz="4" w:space="0" w:color="auto"/>
              <w:left w:val="single" w:sz="4" w:space="0" w:color="auto"/>
              <w:right w:val="single" w:sz="4" w:space="0" w:color="auto"/>
            </w:tcBorders>
            <w:vAlign w:val="center"/>
          </w:tcPr>
          <w:p w14:paraId="7C12F43F" w14:textId="77777777" w:rsidR="00F56D03" w:rsidRPr="008B3A69" w:rsidRDefault="00F56D03" w:rsidP="006D466F">
            <w:pPr>
              <w:pStyle w:val="TableText"/>
              <w:keepLines/>
              <w:widowControl w:val="0"/>
              <w:jc w:val="center"/>
            </w:pPr>
            <w:r w:rsidRPr="008B3A69">
              <w:t>-3.3 (-4.7, -1.9)</w:t>
            </w:r>
          </w:p>
        </w:tc>
        <w:tc>
          <w:tcPr>
            <w:tcW w:w="1929" w:type="dxa"/>
            <w:vMerge w:val="restart"/>
            <w:tcBorders>
              <w:top w:val="single" w:sz="4" w:space="0" w:color="auto"/>
              <w:left w:val="single" w:sz="4" w:space="0" w:color="auto"/>
              <w:right w:val="single" w:sz="4" w:space="0" w:color="auto"/>
            </w:tcBorders>
            <w:vAlign w:val="center"/>
          </w:tcPr>
          <w:p w14:paraId="7E30FEFB" w14:textId="77777777" w:rsidR="00F56D03" w:rsidRPr="008B3A69" w:rsidRDefault="00F56D03" w:rsidP="006D466F">
            <w:pPr>
              <w:pStyle w:val="TableText"/>
              <w:keepLines/>
              <w:widowControl w:val="0"/>
              <w:jc w:val="center"/>
            </w:pPr>
            <w:r w:rsidRPr="008B3A69">
              <w:t>-1.7 (-3.4, 0.1)</w:t>
            </w:r>
          </w:p>
        </w:tc>
      </w:tr>
      <w:tr w:rsidR="00F56D03" w:rsidRPr="008B3A69" w14:paraId="3ABE418E"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42F51143" w14:textId="77777777" w:rsidR="00F56D03" w:rsidRPr="008B3A69" w:rsidRDefault="00F56D03" w:rsidP="006D466F">
            <w:pPr>
              <w:pStyle w:val="TableText"/>
              <w:keepLines/>
              <w:widowControl w:val="0"/>
            </w:pPr>
            <w:r w:rsidRPr="008B3A69">
              <w:t>Placebo</w:t>
            </w:r>
          </w:p>
          <w:p w14:paraId="4EA4111A" w14:textId="77777777" w:rsidR="00F56D03" w:rsidRPr="008B3A69" w:rsidRDefault="00F56D03" w:rsidP="006D466F">
            <w:pPr>
              <w:pStyle w:val="TableText"/>
              <w:keepLines/>
              <w:widowControl w:val="0"/>
            </w:pPr>
            <w:r w:rsidRPr="008B3A69">
              <w:t>N = 82</w:t>
            </w:r>
          </w:p>
        </w:tc>
        <w:tc>
          <w:tcPr>
            <w:tcW w:w="1559" w:type="dxa"/>
            <w:tcBorders>
              <w:top w:val="single" w:sz="4" w:space="0" w:color="auto"/>
              <w:left w:val="single" w:sz="4" w:space="0" w:color="auto"/>
              <w:bottom w:val="single" w:sz="4" w:space="0" w:color="auto"/>
              <w:right w:val="single" w:sz="4" w:space="0" w:color="auto"/>
            </w:tcBorders>
            <w:vAlign w:val="center"/>
          </w:tcPr>
          <w:p w14:paraId="07310384" w14:textId="77777777" w:rsidR="00F56D03" w:rsidRPr="008B3A69" w:rsidRDefault="00F56D03" w:rsidP="006D466F">
            <w:pPr>
              <w:pStyle w:val="TableText"/>
              <w:keepLines/>
              <w:widowControl w:val="0"/>
              <w:jc w:val="center"/>
            </w:pPr>
            <w:r w:rsidRPr="008B3A69">
              <w:t>16.3 (6.77)</w:t>
            </w:r>
          </w:p>
        </w:tc>
        <w:tc>
          <w:tcPr>
            <w:tcW w:w="1560" w:type="dxa"/>
            <w:tcBorders>
              <w:top w:val="single" w:sz="4" w:space="0" w:color="auto"/>
              <w:left w:val="single" w:sz="4" w:space="0" w:color="auto"/>
              <w:bottom w:val="single" w:sz="4" w:space="0" w:color="auto"/>
              <w:right w:val="single" w:sz="4" w:space="0" w:color="auto"/>
            </w:tcBorders>
            <w:vAlign w:val="center"/>
          </w:tcPr>
          <w:p w14:paraId="7E609619" w14:textId="77777777" w:rsidR="00F56D03" w:rsidRPr="008B3A69" w:rsidRDefault="00F56D03" w:rsidP="006D466F">
            <w:pPr>
              <w:pStyle w:val="TableText"/>
              <w:keepLines/>
              <w:widowControl w:val="0"/>
              <w:jc w:val="center"/>
            </w:pPr>
            <w:r w:rsidRPr="008B3A69">
              <w:t>14.1 (7.70)</w:t>
            </w:r>
          </w:p>
        </w:tc>
        <w:tc>
          <w:tcPr>
            <w:tcW w:w="1701" w:type="dxa"/>
            <w:tcBorders>
              <w:left w:val="single" w:sz="4" w:space="0" w:color="auto"/>
              <w:right w:val="single" w:sz="4" w:space="0" w:color="auto"/>
            </w:tcBorders>
            <w:vAlign w:val="center"/>
          </w:tcPr>
          <w:p w14:paraId="5A6B314B" w14:textId="77777777" w:rsidR="00F56D03" w:rsidRPr="008B3A69" w:rsidRDefault="00F56D03" w:rsidP="006D466F">
            <w:pPr>
              <w:pStyle w:val="TableText"/>
              <w:keepLines/>
              <w:widowControl w:val="0"/>
              <w:jc w:val="center"/>
            </w:pPr>
            <w:r w:rsidRPr="008B3A69">
              <w:t>-1.6 (-3.0, -0.3)</w:t>
            </w:r>
          </w:p>
        </w:tc>
        <w:tc>
          <w:tcPr>
            <w:tcW w:w="1929" w:type="dxa"/>
            <w:vMerge/>
            <w:tcBorders>
              <w:left w:val="single" w:sz="4" w:space="0" w:color="auto"/>
              <w:right w:val="single" w:sz="4" w:space="0" w:color="auto"/>
            </w:tcBorders>
            <w:vAlign w:val="center"/>
          </w:tcPr>
          <w:p w14:paraId="5D4EFFF5" w14:textId="77777777" w:rsidR="00F56D03" w:rsidRPr="008B3A69" w:rsidRDefault="00F56D03" w:rsidP="006D466F">
            <w:pPr>
              <w:pStyle w:val="TableText"/>
              <w:keepLines/>
              <w:widowControl w:val="0"/>
              <w:jc w:val="center"/>
            </w:pPr>
          </w:p>
        </w:tc>
      </w:tr>
      <w:tr w:rsidR="00F56D03" w:rsidRPr="008B3A69" w14:paraId="1BEF6B76" w14:textId="77777777" w:rsidTr="00514812">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2FE5BF7A" w14:textId="77777777" w:rsidR="00F56D03" w:rsidRPr="008B3A69" w:rsidRDefault="00F56D03" w:rsidP="006D466F">
            <w:pPr>
              <w:pStyle w:val="TableText"/>
              <w:keepLines/>
              <w:widowControl w:val="0"/>
              <w:rPr>
                <w:b/>
              </w:rPr>
            </w:pPr>
            <w:r w:rsidRPr="008B3A69">
              <w:rPr>
                <w:b/>
              </w:rPr>
              <w:t>Quality of Life in Neurological Disorders Fatigue score (Neuro-QoL Fatigue)</w:t>
            </w:r>
          </w:p>
        </w:tc>
      </w:tr>
      <w:tr w:rsidR="00F56D03" w:rsidRPr="008B3A69" w14:paraId="0A42596B"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4AFA53ED" w14:textId="77777777" w:rsidR="00F56D03" w:rsidRPr="008B3A69" w:rsidRDefault="00F56D03" w:rsidP="006D466F">
            <w:pPr>
              <w:pStyle w:val="TableText"/>
              <w:keepLines/>
              <w:widowControl w:val="0"/>
            </w:pPr>
            <w:r w:rsidRPr="008B3A69">
              <w:t>Ravulizumab</w:t>
            </w:r>
          </w:p>
          <w:p w14:paraId="00727E92" w14:textId="77777777" w:rsidR="00F56D03" w:rsidRPr="008B3A69" w:rsidRDefault="00F56D03" w:rsidP="006D466F">
            <w:pPr>
              <w:pStyle w:val="TableText"/>
              <w:keepLines/>
              <w:widowControl w:val="0"/>
            </w:pPr>
            <w:r w:rsidRPr="008B3A69">
              <w:t>N = 77</w:t>
            </w:r>
          </w:p>
        </w:tc>
        <w:tc>
          <w:tcPr>
            <w:tcW w:w="1559" w:type="dxa"/>
            <w:tcBorders>
              <w:top w:val="single" w:sz="4" w:space="0" w:color="auto"/>
              <w:left w:val="single" w:sz="4" w:space="0" w:color="auto"/>
              <w:bottom w:val="single" w:sz="4" w:space="0" w:color="auto"/>
              <w:right w:val="single" w:sz="4" w:space="0" w:color="auto"/>
            </w:tcBorders>
            <w:vAlign w:val="center"/>
          </w:tcPr>
          <w:p w14:paraId="436E67DA" w14:textId="77777777" w:rsidR="00F56D03" w:rsidRPr="008B3A69" w:rsidRDefault="00F56D03" w:rsidP="006D466F">
            <w:pPr>
              <w:pStyle w:val="TableText"/>
              <w:keepLines/>
              <w:widowControl w:val="0"/>
              <w:jc w:val="center"/>
            </w:pPr>
            <w:r w:rsidRPr="008B3A69">
              <w:t>59.0 (12.22)</w:t>
            </w:r>
          </w:p>
        </w:tc>
        <w:tc>
          <w:tcPr>
            <w:tcW w:w="1560" w:type="dxa"/>
            <w:tcBorders>
              <w:top w:val="single" w:sz="4" w:space="0" w:color="auto"/>
              <w:left w:val="single" w:sz="4" w:space="0" w:color="auto"/>
              <w:bottom w:val="single" w:sz="4" w:space="0" w:color="auto"/>
              <w:right w:val="single" w:sz="4" w:space="0" w:color="auto"/>
            </w:tcBorders>
            <w:vAlign w:val="center"/>
          </w:tcPr>
          <w:p w14:paraId="7D92F49A" w14:textId="77777777" w:rsidR="00F56D03" w:rsidRPr="008B3A69" w:rsidRDefault="00F56D03" w:rsidP="006D466F">
            <w:pPr>
              <w:pStyle w:val="TableText"/>
              <w:keepLines/>
              <w:widowControl w:val="0"/>
              <w:jc w:val="center"/>
            </w:pPr>
            <w:r w:rsidRPr="008B3A69">
              <w:t>51.1 (18.30)</w:t>
            </w:r>
          </w:p>
        </w:tc>
        <w:tc>
          <w:tcPr>
            <w:tcW w:w="1701" w:type="dxa"/>
            <w:tcBorders>
              <w:left w:val="single" w:sz="4" w:space="0" w:color="auto"/>
              <w:right w:val="single" w:sz="4" w:space="0" w:color="auto"/>
            </w:tcBorders>
            <w:vAlign w:val="center"/>
          </w:tcPr>
          <w:p w14:paraId="09BEBE85" w14:textId="77777777" w:rsidR="00F56D03" w:rsidRPr="008B3A69" w:rsidRDefault="00F56D03" w:rsidP="006D466F">
            <w:pPr>
              <w:pStyle w:val="TableText"/>
              <w:keepLines/>
              <w:widowControl w:val="0"/>
              <w:jc w:val="center"/>
            </w:pPr>
            <w:r w:rsidRPr="008B3A69">
              <w:t>-7.0 (-10.7, -3.2)</w:t>
            </w:r>
          </w:p>
        </w:tc>
        <w:tc>
          <w:tcPr>
            <w:tcW w:w="1929" w:type="dxa"/>
            <w:vMerge w:val="restart"/>
            <w:tcBorders>
              <w:left w:val="single" w:sz="4" w:space="0" w:color="auto"/>
              <w:right w:val="single" w:sz="4" w:space="0" w:color="auto"/>
            </w:tcBorders>
            <w:vAlign w:val="center"/>
          </w:tcPr>
          <w:p w14:paraId="759FB07B" w14:textId="77777777" w:rsidR="00F56D03" w:rsidRPr="008B3A69" w:rsidRDefault="00F56D03" w:rsidP="006D466F">
            <w:pPr>
              <w:pStyle w:val="TableText"/>
              <w:keepLines/>
              <w:widowControl w:val="0"/>
              <w:jc w:val="center"/>
            </w:pPr>
            <w:r w:rsidRPr="008B3A69">
              <w:t>-2.2 (-6.9, 2.6)</w:t>
            </w:r>
          </w:p>
        </w:tc>
      </w:tr>
      <w:tr w:rsidR="00F56D03" w:rsidRPr="008B3A69" w14:paraId="07DE13D3"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2E6D25BB" w14:textId="77777777" w:rsidR="00F56D03" w:rsidRPr="008B3A69" w:rsidRDefault="00F56D03" w:rsidP="006D466F">
            <w:pPr>
              <w:pStyle w:val="TableText"/>
              <w:keepLines/>
              <w:widowControl w:val="0"/>
            </w:pPr>
            <w:r w:rsidRPr="008B3A69">
              <w:t>Placebo</w:t>
            </w:r>
          </w:p>
          <w:p w14:paraId="2C4D31D4" w14:textId="77777777" w:rsidR="00F56D03" w:rsidRPr="008B3A69" w:rsidRDefault="00F56D03" w:rsidP="006D466F">
            <w:pPr>
              <w:pStyle w:val="TableText"/>
              <w:keepLines/>
              <w:widowControl w:val="0"/>
            </w:pPr>
            <w:r w:rsidRPr="008B3A69">
              <w:t>N = 82</w:t>
            </w:r>
          </w:p>
        </w:tc>
        <w:tc>
          <w:tcPr>
            <w:tcW w:w="1559" w:type="dxa"/>
            <w:tcBorders>
              <w:top w:val="single" w:sz="4" w:space="0" w:color="auto"/>
              <w:left w:val="single" w:sz="4" w:space="0" w:color="auto"/>
              <w:bottom w:val="single" w:sz="4" w:space="0" w:color="auto"/>
              <w:right w:val="single" w:sz="4" w:space="0" w:color="auto"/>
            </w:tcBorders>
            <w:vAlign w:val="center"/>
          </w:tcPr>
          <w:p w14:paraId="287D6304" w14:textId="77777777" w:rsidR="00F56D03" w:rsidRPr="008B3A69" w:rsidRDefault="00F56D03" w:rsidP="006D466F">
            <w:pPr>
              <w:pStyle w:val="TableText"/>
              <w:keepLines/>
              <w:widowControl w:val="0"/>
              <w:jc w:val="center"/>
            </w:pPr>
            <w:r w:rsidRPr="008B3A69">
              <w:t>59.9 (18.26)</w:t>
            </w:r>
          </w:p>
        </w:tc>
        <w:tc>
          <w:tcPr>
            <w:tcW w:w="1560" w:type="dxa"/>
            <w:tcBorders>
              <w:top w:val="single" w:sz="4" w:space="0" w:color="auto"/>
              <w:left w:val="single" w:sz="4" w:space="0" w:color="auto"/>
              <w:bottom w:val="single" w:sz="4" w:space="0" w:color="auto"/>
              <w:right w:val="single" w:sz="4" w:space="0" w:color="auto"/>
            </w:tcBorders>
            <w:vAlign w:val="center"/>
          </w:tcPr>
          <w:p w14:paraId="6D4C517D" w14:textId="77777777" w:rsidR="00F56D03" w:rsidRPr="008B3A69" w:rsidRDefault="00F56D03" w:rsidP="006D466F">
            <w:pPr>
              <w:pStyle w:val="TableText"/>
              <w:keepLines/>
              <w:widowControl w:val="0"/>
              <w:jc w:val="center"/>
            </w:pPr>
            <w:r w:rsidRPr="008B3A69">
              <w:t>54.7 (21.10)</w:t>
            </w:r>
          </w:p>
        </w:tc>
        <w:tc>
          <w:tcPr>
            <w:tcW w:w="1701" w:type="dxa"/>
            <w:tcBorders>
              <w:left w:val="single" w:sz="4" w:space="0" w:color="auto"/>
              <w:right w:val="single" w:sz="4" w:space="0" w:color="auto"/>
            </w:tcBorders>
            <w:vAlign w:val="center"/>
          </w:tcPr>
          <w:p w14:paraId="23DF1BBA" w14:textId="77777777" w:rsidR="00F56D03" w:rsidRPr="008B3A69" w:rsidRDefault="00F56D03" w:rsidP="006D466F">
            <w:pPr>
              <w:pStyle w:val="TableText"/>
              <w:keepLines/>
              <w:widowControl w:val="0"/>
              <w:jc w:val="center"/>
            </w:pPr>
            <w:r w:rsidRPr="008B3A69">
              <w:t>-4.8 (-8.5, -1.1)</w:t>
            </w:r>
          </w:p>
        </w:tc>
        <w:tc>
          <w:tcPr>
            <w:tcW w:w="1929" w:type="dxa"/>
            <w:vMerge/>
            <w:tcBorders>
              <w:left w:val="single" w:sz="4" w:space="0" w:color="auto"/>
              <w:right w:val="single" w:sz="4" w:space="0" w:color="auto"/>
            </w:tcBorders>
            <w:vAlign w:val="center"/>
          </w:tcPr>
          <w:p w14:paraId="41377707" w14:textId="77777777" w:rsidR="00F56D03" w:rsidRPr="008B3A69" w:rsidRDefault="00F56D03" w:rsidP="006D466F">
            <w:pPr>
              <w:pStyle w:val="TableText"/>
              <w:keepLines/>
              <w:widowControl w:val="0"/>
              <w:jc w:val="center"/>
            </w:pPr>
          </w:p>
        </w:tc>
      </w:tr>
      <w:tr w:rsidR="00F56D03" w:rsidRPr="008B3A69" w14:paraId="5C373E9C" w14:textId="77777777" w:rsidTr="00514812">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6DAB35AE" w14:textId="77777777" w:rsidR="00F56D03" w:rsidRPr="008B3A69" w:rsidRDefault="00F56D03" w:rsidP="006D466F">
            <w:pPr>
              <w:pStyle w:val="TableText"/>
              <w:keepLines/>
              <w:widowControl w:val="0"/>
              <w:rPr>
                <w:b/>
              </w:rPr>
            </w:pPr>
            <w:r w:rsidRPr="008B3A69">
              <w:rPr>
                <w:b/>
              </w:rPr>
              <w:t>EQ-5D-5L visual analogue scale</w:t>
            </w:r>
          </w:p>
        </w:tc>
      </w:tr>
      <w:tr w:rsidR="00F56D03" w:rsidRPr="008B3A69" w14:paraId="59B53F7A"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4E69BDD0" w14:textId="77777777" w:rsidR="00F56D03" w:rsidRPr="008B3A69" w:rsidRDefault="00F56D03" w:rsidP="006D466F">
            <w:pPr>
              <w:pStyle w:val="TableText"/>
              <w:keepLines/>
              <w:widowControl w:val="0"/>
            </w:pPr>
            <w:r w:rsidRPr="008B3A69">
              <w:t>Ravulizumab</w:t>
            </w:r>
          </w:p>
          <w:p w14:paraId="49A3B7EB" w14:textId="77777777" w:rsidR="00F56D03" w:rsidRPr="008B3A69" w:rsidRDefault="00F56D03" w:rsidP="006D466F">
            <w:pPr>
              <w:pStyle w:val="TableText"/>
              <w:keepLines/>
              <w:widowControl w:val="0"/>
            </w:pPr>
            <w:r w:rsidRPr="008B3A69">
              <w:t>N = 77</w:t>
            </w:r>
          </w:p>
        </w:tc>
        <w:tc>
          <w:tcPr>
            <w:tcW w:w="1559" w:type="dxa"/>
            <w:tcBorders>
              <w:top w:val="single" w:sz="4" w:space="0" w:color="auto"/>
              <w:left w:val="single" w:sz="4" w:space="0" w:color="auto"/>
              <w:bottom w:val="single" w:sz="4" w:space="0" w:color="auto"/>
              <w:right w:val="single" w:sz="4" w:space="0" w:color="auto"/>
            </w:tcBorders>
            <w:vAlign w:val="center"/>
          </w:tcPr>
          <w:p w14:paraId="28D386AB" w14:textId="77777777" w:rsidR="00F56D03" w:rsidRPr="008B3A69" w:rsidRDefault="00F56D03" w:rsidP="006D466F">
            <w:pPr>
              <w:pStyle w:val="TableText"/>
              <w:keepLines/>
              <w:widowControl w:val="0"/>
              <w:jc w:val="center"/>
            </w:pPr>
            <w:r w:rsidRPr="008B3A69">
              <w:t>60.2 (19.22)</w:t>
            </w:r>
          </w:p>
        </w:tc>
        <w:tc>
          <w:tcPr>
            <w:tcW w:w="1560" w:type="dxa"/>
            <w:tcBorders>
              <w:top w:val="single" w:sz="4" w:space="0" w:color="auto"/>
              <w:left w:val="single" w:sz="4" w:space="0" w:color="auto"/>
              <w:bottom w:val="single" w:sz="4" w:space="0" w:color="auto"/>
              <w:right w:val="single" w:sz="4" w:space="0" w:color="auto"/>
            </w:tcBorders>
            <w:vAlign w:val="center"/>
          </w:tcPr>
          <w:p w14:paraId="55E20EDC" w14:textId="77777777" w:rsidR="00F56D03" w:rsidRPr="008B3A69" w:rsidRDefault="00F56D03" w:rsidP="006D466F">
            <w:pPr>
              <w:pStyle w:val="TableText"/>
              <w:keepLines/>
              <w:widowControl w:val="0"/>
              <w:jc w:val="center"/>
            </w:pPr>
            <w:r w:rsidRPr="008B3A69">
              <w:t>65.0 (21.83)</w:t>
            </w:r>
          </w:p>
        </w:tc>
        <w:tc>
          <w:tcPr>
            <w:tcW w:w="1701" w:type="dxa"/>
            <w:tcBorders>
              <w:left w:val="single" w:sz="4" w:space="0" w:color="auto"/>
              <w:right w:val="single" w:sz="4" w:space="0" w:color="auto"/>
            </w:tcBorders>
            <w:vAlign w:val="center"/>
          </w:tcPr>
          <w:p w14:paraId="5C60E55D" w14:textId="77777777" w:rsidR="00F56D03" w:rsidRPr="008B3A69" w:rsidRDefault="00F56D03" w:rsidP="006D466F">
            <w:pPr>
              <w:pStyle w:val="TableText"/>
              <w:keepLines/>
              <w:widowControl w:val="0"/>
              <w:jc w:val="center"/>
            </w:pPr>
            <w:r w:rsidRPr="008B3A69">
              <w:t>4.0 (-0.2, 8.2)</w:t>
            </w:r>
          </w:p>
        </w:tc>
        <w:tc>
          <w:tcPr>
            <w:tcW w:w="1929" w:type="dxa"/>
            <w:vMerge w:val="restart"/>
            <w:tcBorders>
              <w:left w:val="single" w:sz="4" w:space="0" w:color="auto"/>
              <w:right w:val="single" w:sz="4" w:space="0" w:color="auto"/>
            </w:tcBorders>
            <w:vAlign w:val="center"/>
          </w:tcPr>
          <w:p w14:paraId="0C4BF9A7" w14:textId="77777777" w:rsidR="00F56D03" w:rsidRPr="008B3A69" w:rsidRDefault="00F56D03" w:rsidP="006D466F">
            <w:pPr>
              <w:pStyle w:val="TableText"/>
              <w:keepLines/>
              <w:widowControl w:val="0"/>
              <w:jc w:val="center"/>
            </w:pPr>
            <w:r w:rsidRPr="008B3A69">
              <w:t>1.3 (-4.0, 6.6)</w:t>
            </w:r>
          </w:p>
        </w:tc>
      </w:tr>
      <w:tr w:rsidR="00F56D03" w:rsidRPr="008B3A69" w14:paraId="0A32B7AE"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195113EC" w14:textId="77777777" w:rsidR="00F56D03" w:rsidRPr="008B3A69" w:rsidRDefault="00F56D03" w:rsidP="006D466F">
            <w:pPr>
              <w:pStyle w:val="TableText"/>
              <w:keepLines/>
              <w:widowControl w:val="0"/>
            </w:pPr>
            <w:r w:rsidRPr="008B3A69">
              <w:t>Placebo</w:t>
            </w:r>
          </w:p>
          <w:p w14:paraId="56760E17" w14:textId="77777777" w:rsidR="00F56D03" w:rsidRPr="008B3A69" w:rsidRDefault="00F56D03" w:rsidP="006D466F">
            <w:pPr>
              <w:pStyle w:val="TableText"/>
              <w:keepLines/>
              <w:widowControl w:val="0"/>
            </w:pPr>
            <w:r w:rsidRPr="008B3A69">
              <w:t>N = 82</w:t>
            </w:r>
          </w:p>
        </w:tc>
        <w:tc>
          <w:tcPr>
            <w:tcW w:w="1559" w:type="dxa"/>
            <w:tcBorders>
              <w:top w:val="single" w:sz="4" w:space="0" w:color="auto"/>
              <w:left w:val="single" w:sz="4" w:space="0" w:color="auto"/>
              <w:bottom w:val="single" w:sz="4" w:space="0" w:color="auto"/>
              <w:right w:val="single" w:sz="4" w:space="0" w:color="auto"/>
            </w:tcBorders>
            <w:vAlign w:val="center"/>
          </w:tcPr>
          <w:p w14:paraId="0A075B88" w14:textId="77777777" w:rsidR="00F56D03" w:rsidRPr="008B3A69" w:rsidRDefault="00F56D03" w:rsidP="006D466F">
            <w:pPr>
              <w:pStyle w:val="TableText"/>
              <w:keepLines/>
              <w:widowControl w:val="0"/>
              <w:jc w:val="center"/>
            </w:pPr>
            <w:r w:rsidRPr="008B3A69">
              <w:t>60.6 (18.41)</w:t>
            </w:r>
          </w:p>
        </w:tc>
        <w:tc>
          <w:tcPr>
            <w:tcW w:w="1560" w:type="dxa"/>
            <w:tcBorders>
              <w:top w:val="single" w:sz="4" w:space="0" w:color="auto"/>
              <w:left w:val="single" w:sz="4" w:space="0" w:color="auto"/>
              <w:bottom w:val="single" w:sz="4" w:space="0" w:color="auto"/>
              <w:right w:val="single" w:sz="4" w:space="0" w:color="auto"/>
            </w:tcBorders>
            <w:vAlign w:val="center"/>
          </w:tcPr>
          <w:p w14:paraId="574F1558" w14:textId="77777777" w:rsidR="00F56D03" w:rsidRPr="008B3A69" w:rsidRDefault="00F56D03" w:rsidP="006D466F">
            <w:pPr>
              <w:pStyle w:val="TableText"/>
              <w:keepLines/>
              <w:widowControl w:val="0"/>
              <w:jc w:val="center"/>
            </w:pPr>
            <w:r w:rsidRPr="008B3A69">
              <w:t>63.8 (19.43)</w:t>
            </w:r>
          </w:p>
        </w:tc>
        <w:tc>
          <w:tcPr>
            <w:tcW w:w="1701" w:type="dxa"/>
            <w:tcBorders>
              <w:left w:val="single" w:sz="4" w:space="0" w:color="auto"/>
              <w:right w:val="single" w:sz="4" w:space="0" w:color="auto"/>
            </w:tcBorders>
            <w:vAlign w:val="center"/>
          </w:tcPr>
          <w:p w14:paraId="0FF2BFDE" w14:textId="77777777" w:rsidR="00F56D03" w:rsidRPr="008B3A69" w:rsidRDefault="00F56D03" w:rsidP="006D466F">
            <w:pPr>
              <w:pStyle w:val="TableText"/>
              <w:keepLines/>
              <w:widowControl w:val="0"/>
              <w:jc w:val="center"/>
            </w:pPr>
            <w:r w:rsidRPr="008B3A69">
              <w:t>2.7 (-1.3, 6.8)</w:t>
            </w:r>
          </w:p>
        </w:tc>
        <w:tc>
          <w:tcPr>
            <w:tcW w:w="1929" w:type="dxa"/>
            <w:vMerge/>
            <w:tcBorders>
              <w:left w:val="single" w:sz="4" w:space="0" w:color="auto"/>
              <w:right w:val="single" w:sz="4" w:space="0" w:color="auto"/>
            </w:tcBorders>
            <w:vAlign w:val="center"/>
          </w:tcPr>
          <w:p w14:paraId="6EB75487" w14:textId="77777777" w:rsidR="00F56D03" w:rsidRPr="008B3A69" w:rsidRDefault="00F56D03" w:rsidP="006D466F">
            <w:pPr>
              <w:pStyle w:val="TableText"/>
              <w:keepLines/>
              <w:widowControl w:val="0"/>
              <w:jc w:val="center"/>
            </w:pPr>
          </w:p>
        </w:tc>
      </w:tr>
      <w:tr w:rsidR="00F56D03" w:rsidRPr="008B3A69" w14:paraId="381D3120" w14:textId="77777777" w:rsidTr="00514812">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56BD52C5" w14:textId="77777777" w:rsidR="00F56D03" w:rsidRPr="008B3A69" w:rsidRDefault="00F56D03" w:rsidP="006D466F">
            <w:pPr>
              <w:pStyle w:val="TableText"/>
              <w:keepLines/>
              <w:widowControl w:val="0"/>
              <w:rPr>
                <w:b/>
              </w:rPr>
            </w:pPr>
            <w:r w:rsidRPr="008B3A69">
              <w:rPr>
                <w:b/>
              </w:rPr>
              <w:t>EQ-5D-5L health state index (US weights)</w:t>
            </w:r>
          </w:p>
        </w:tc>
      </w:tr>
      <w:tr w:rsidR="00F56D03" w:rsidRPr="008B3A69" w14:paraId="036D1DE4"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52F25F22" w14:textId="77777777" w:rsidR="00F56D03" w:rsidRPr="008B3A69" w:rsidRDefault="00F56D03" w:rsidP="006D466F">
            <w:pPr>
              <w:pStyle w:val="TableText"/>
              <w:keepLines/>
              <w:widowControl w:val="0"/>
            </w:pPr>
            <w:r w:rsidRPr="008B3A69">
              <w:t>Ravulizumab</w:t>
            </w:r>
          </w:p>
          <w:p w14:paraId="37387245" w14:textId="77777777" w:rsidR="00F56D03" w:rsidRPr="008B3A69" w:rsidRDefault="00F56D03" w:rsidP="006D466F">
            <w:pPr>
              <w:pStyle w:val="TableText"/>
              <w:keepLines/>
              <w:widowControl w:val="0"/>
            </w:pPr>
            <w:r w:rsidRPr="008B3A69">
              <w:t>N = 76</w:t>
            </w:r>
          </w:p>
        </w:tc>
        <w:tc>
          <w:tcPr>
            <w:tcW w:w="1559" w:type="dxa"/>
            <w:tcBorders>
              <w:top w:val="single" w:sz="4" w:space="0" w:color="auto"/>
              <w:left w:val="single" w:sz="4" w:space="0" w:color="auto"/>
              <w:bottom w:val="single" w:sz="4" w:space="0" w:color="auto"/>
              <w:right w:val="single" w:sz="4" w:space="0" w:color="auto"/>
            </w:tcBorders>
            <w:vAlign w:val="center"/>
          </w:tcPr>
          <w:p w14:paraId="0B848F85" w14:textId="77777777" w:rsidR="00F56D03" w:rsidRPr="008B3A69" w:rsidRDefault="00F56D03" w:rsidP="006D466F">
            <w:pPr>
              <w:pStyle w:val="TableText"/>
              <w:keepLines/>
              <w:widowControl w:val="0"/>
              <w:jc w:val="center"/>
            </w:pPr>
            <w:r w:rsidRPr="008B3A69">
              <w:t>0.59 (0.28)</w:t>
            </w:r>
          </w:p>
        </w:tc>
        <w:tc>
          <w:tcPr>
            <w:tcW w:w="1560" w:type="dxa"/>
            <w:tcBorders>
              <w:top w:val="single" w:sz="4" w:space="0" w:color="auto"/>
              <w:left w:val="single" w:sz="4" w:space="0" w:color="auto"/>
              <w:bottom w:val="single" w:sz="4" w:space="0" w:color="auto"/>
              <w:right w:val="single" w:sz="4" w:space="0" w:color="auto"/>
            </w:tcBorders>
            <w:vAlign w:val="center"/>
          </w:tcPr>
          <w:p w14:paraId="77829B9C" w14:textId="77777777" w:rsidR="00F56D03" w:rsidRPr="008B3A69" w:rsidRDefault="00F56D03" w:rsidP="006D466F">
            <w:pPr>
              <w:pStyle w:val="TableText"/>
              <w:keepLines/>
              <w:widowControl w:val="0"/>
              <w:jc w:val="center"/>
            </w:pPr>
            <w:r w:rsidRPr="008B3A69">
              <w:t>0.67 (0.26)</w:t>
            </w:r>
          </w:p>
        </w:tc>
        <w:tc>
          <w:tcPr>
            <w:tcW w:w="1701" w:type="dxa"/>
            <w:tcBorders>
              <w:left w:val="single" w:sz="4" w:space="0" w:color="auto"/>
              <w:right w:val="single" w:sz="4" w:space="0" w:color="auto"/>
            </w:tcBorders>
            <w:vAlign w:val="center"/>
          </w:tcPr>
          <w:p w14:paraId="689895A6" w14:textId="77777777" w:rsidR="00F56D03" w:rsidRPr="008B3A69" w:rsidRDefault="00F56D03" w:rsidP="006D466F">
            <w:pPr>
              <w:pStyle w:val="TableText"/>
              <w:keepLines/>
              <w:widowControl w:val="0"/>
              <w:jc w:val="center"/>
            </w:pPr>
            <w:r w:rsidRPr="008B3A69">
              <w:t>0.06 (0.01, 0.12)</w:t>
            </w:r>
          </w:p>
        </w:tc>
        <w:tc>
          <w:tcPr>
            <w:tcW w:w="1929" w:type="dxa"/>
            <w:vMerge w:val="restart"/>
            <w:tcBorders>
              <w:left w:val="single" w:sz="4" w:space="0" w:color="auto"/>
              <w:right w:val="single" w:sz="4" w:space="0" w:color="auto"/>
            </w:tcBorders>
            <w:vAlign w:val="center"/>
          </w:tcPr>
          <w:p w14:paraId="40B1E363" w14:textId="77777777" w:rsidR="00F56D03" w:rsidRPr="008B3A69" w:rsidRDefault="00F56D03" w:rsidP="006D466F">
            <w:pPr>
              <w:pStyle w:val="TableText"/>
              <w:keepLines/>
              <w:widowControl w:val="0"/>
              <w:jc w:val="center"/>
            </w:pPr>
            <w:r w:rsidRPr="008B3A69">
              <w:t>0.07 (0.00, 0.14)</w:t>
            </w:r>
          </w:p>
        </w:tc>
      </w:tr>
      <w:tr w:rsidR="00F56D03" w:rsidRPr="008B3A69" w14:paraId="51948C74" w14:textId="77777777" w:rsidTr="00514812">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0C206DE7" w14:textId="77777777" w:rsidR="00F56D03" w:rsidRPr="008B3A69" w:rsidRDefault="00F56D03" w:rsidP="006D466F">
            <w:pPr>
              <w:pStyle w:val="TableText"/>
              <w:keepLines/>
              <w:widowControl w:val="0"/>
            </w:pPr>
            <w:r w:rsidRPr="008B3A69">
              <w:t>Placebo</w:t>
            </w:r>
          </w:p>
          <w:p w14:paraId="5324E1A0" w14:textId="77777777" w:rsidR="00F56D03" w:rsidRPr="008B3A69" w:rsidRDefault="00F56D03" w:rsidP="006D466F">
            <w:pPr>
              <w:pStyle w:val="TableText"/>
              <w:keepLines/>
              <w:widowControl w:val="0"/>
            </w:pPr>
            <w:r w:rsidRPr="008B3A69">
              <w:t>N = 82</w:t>
            </w:r>
          </w:p>
        </w:tc>
        <w:tc>
          <w:tcPr>
            <w:tcW w:w="1559" w:type="dxa"/>
            <w:tcBorders>
              <w:top w:val="single" w:sz="4" w:space="0" w:color="auto"/>
              <w:left w:val="single" w:sz="4" w:space="0" w:color="auto"/>
              <w:bottom w:val="single" w:sz="4" w:space="0" w:color="auto"/>
              <w:right w:val="single" w:sz="4" w:space="0" w:color="auto"/>
            </w:tcBorders>
            <w:vAlign w:val="center"/>
          </w:tcPr>
          <w:p w14:paraId="48F0A57F" w14:textId="77777777" w:rsidR="00F56D03" w:rsidRPr="008B3A69" w:rsidRDefault="00F56D03" w:rsidP="006D466F">
            <w:pPr>
              <w:pStyle w:val="TableText"/>
              <w:keepLines/>
              <w:widowControl w:val="0"/>
              <w:jc w:val="center"/>
            </w:pPr>
            <w:r w:rsidRPr="008B3A69">
              <w:t>0.60 (0.30)</w:t>
            </w:r>
          </w:p>
        </w:tc>
        <w:tc>
          <w:tcPr>
            <w:tcW w:w="1560" w:type="dxa"/>
            <w:tcBorders>
              <w:top w:val="single" w:sz="4" w:space="0" w:color="auto"/>
              <w:left w:val="single" w:sz="4" w:space="0" w:color="auto"/>
              <w:bottom w:val="single" w:sz="4" w:space="0" w:color="auto"/>
              <w:right w:val="single" w:sz="4" w:space="0" w:color="auto"/>
            </w:tcBorders>
            <w:vAlign w:val="center"/>
          </w:tcPr>
          <w:p w14:paraId="5309C1F7" w14:textId="77777777" w:rsidR="00F56D03" w:rsidRPr="008B3A69" w:rsidRDefault="00F56D03" w:rsidP="006D466F">
            <w:pPr>
              <w:pStyle w:val="TableText"/>
              <w:keepLines/>
              <w:widowControl w:val="0"/>
              <w:jc w:val="center"/>
            </w:pPr>
            <w:r w:rsidRPr="008B3A69">
              <w:t>0.59 (0.35)</w:t>
            </w:r>
          </w:p>
        </w:tc>
        <w:tc>
          <w:tcPr>
            <w:tcW w:w="1701" w:type="dxa"/>
            <w:tcBorders>
              <w:left w:val="single" w:sz="4" w:space="0" w:color="auto"/>
              <w:right w:val="single" w:sz="4" w:space="0" w:color="auto"/>
            </w:tcBorders>
            <w:vAlign w:val="center"/>
          </w:tcPr>
          <w:p w14:paraId="38630FDA" w14:textId="77777777" w:rsidR="00F56D03" w:rsidRPr="008B3A69" w:rsidRDefault="00F56D03" w:rsidP="006D466F">
            <w:pPr>
              <w:pStyle w:val="TableText"/>
              <w:keepLines/>
              <w:widowControl w:val="0"/>
              <w:jc w:val="center"/>
            </w:pPr>
            <w:r w:rsidRPr="008B3A69">
              <w:t>-0.01 (-0.07, 0.04)</w:t>
            </w:r>
          </w:p>
        </w:tc>
        <w:tc>
          <w:tcPr>
            <w:tcW w:w="1929" w:type="dxa"/>
            <w:vMerge/>
            <w:tcBorders>
              <w:left w:val="single" w:sz="4" w:space="0" w:color="auto"/>
              <w:right w:val="single" w:sz="4" w:space="0" w:color="auto"/>
            </w:tcBorders>
            <w:vAlign w:val="center"/>
          </w:tcPr>
          <w:p w14:paraId="4B63DFFB" w14:textId="77777777" w:rsidR="00F56D03" w:rsidRPr="008B3A69" w:rsidRDefault="00F56D03" w:rsidP="006D466F">
            <w:pPr>
              <w:pStyle w:val="TableText"/>
              <w:keepLines/>
              <w:widowControl w:val="0"/>
              <w:jc w:val="center"/>
            </w:pPr>
          </w:p>
        </w:tc>
      </w:tr>
    </w:tbl>
    <w:p w14:paraId="4ADD2A09" w14:textId="77777777" w:rsidR="00F56D03" w:rsidRPr="008B3A69" w:rsidRDefault="00F56D03" w:rsidP="006D466F">
      <w:pPr>
        <w:pStyle w:val="COMTablefooter"/>
        <w:keepNext/>
        <w:keepLines/>
      </w:pPr>
      <w:r w:rsidRPr="008B3A69">
        <w:t>Source: Table 14.2.2.3.1.1.1, p885; Table 14.2.2.3.1.11.1, pp897-898; Table 14.2.2.4.1.1.1, p920; Table 14.2.2.4.1.11.1, pp932-933; Table 14.2.3.3.1.1, p1035; Table 14.2.3.3.3.1, pp1038-1039; Table 14.2.3.3.4.1, p1040; Table 14.2.3.3.6.1, pp1043-1044 of the CHAMPION-MG trial report</w:t>
      </w:r>
    </w:p>
    <w:p w14:paraId="21A28AB1" w14:textId="77777777" w:rsidR="00F56D03" w:rsidRPr="008B3A69" w:rsidRDefault="00F56D03" w:rsidP="006D466F">
      <w:pPr>
        <w:pStyle w:val="COMTablefooter"/>
        <w:keepNext/>
        <w:keepLines/>
      </w:pPr>
      <w:r w:rsidRPr="008B3A69">
        <w:t>Abbreviations: CI, confidence interval; LS, least squares; MG-QoL15r, revised Myasthenia Gravis Quality of Life; Neuro-QoL Fatigue, Quality of Life in Neurological Disorders Fatigue subscale; SD, standard deviation; US, United States</w:t>
      </w:r>
    </w:p>
    <w:p w14:paraId="73AF5F98" w14:textId="55D67258" w:rsidR="00F56D03" w:rsidRPr="008B3A69" w:rsidRDefault="00F56D03" w:rsidP="006D466F">
      <w:pPr>
        <w:pStyle w:val="COMTablefooter"/>
        <w:keepNext/>
        <w:keepLines/>
      </w:pPr>
      <w:r w:rsidRPr="008B3A69">
        <w:t xml:space="preserve">Note: The CHAMPION-MG trial used a hierarchical testing order for outcomes to account for multiplicity of testing (with MG-QoL15r assessed before other quality of life outcomes). As the difference between arms was non-significant for MG-QoL15r, no further inferences </w:t>
      </w:r>
      <w:r w:rsidR="007F3D8D" w:rsidRPr="008B3A69">
        <w:t>should</w:t>
      </w:r>
      <w:r w:rsidRPr="008B3A69">
        <w:t xml:space="preserve"> be made for other quality of life outcomes</w:t>
      </w:r>
    </w:p>
    <w:p w14:paraId="29F34C5F" w14:textId="77777777" w:rsidR="00F56D03" w:rsidRPr="008B3A69" w:rsidRDefault="00F56D03" w:rsidP="006D466F">
      <w:pPr>
        <w:pStyle w:val="COMTablefooter"/>
        <w:keepNext/>
        <w:keepLines/>
      </w:pPr>
      <w:r w:rsidRPr="008B3A69">
        <w:t>Note: MG-QOL15r scores range from 0 to 30 with lower scores indicating better quality of life</w:t>
      </w:r>
    </w:p>
    <w:p w14:paraId="75C59F9E" w14:textId="77777777" w:rsidR="00F56D03" w:rsidRPr="008B3A69" w:rsidRDefault="00F56D03" w:rsidP="006D466F">
      <w:pPr>
        <w:pStyle w:val="COMTablefooter"/>
        <w:keepNext/>
        <w:keepLines/>
      </w:pPr>
      <w:r w:rsidRPr="008B3A69">
        <w:t>Note: Neuro-QoL Fatigue range from 19 to 95 with lower scores indicating better quality of life</w:t>
      </w:r>
    </w:p>
    <w:p w14:paraId="398958B3" w14:textId="77777777" w:rsidR="00F56D03" w:rsidRPr="008B3A69" w:rsidRDefault="00F56D03" w:rsidP="006D466F">
      <w:pPr>
        <w:pStyle w:val="COMTablefooter"/>
        <w:keepNext/>
        <w:keepLines/>
      </w:pPr>
      <w:r w:rsidRPr="008B3A69">
        <w:t xml:space="preserve">Note: EQ-5D-5L visual analogue scores range from 0 to 100 with higher scores indicating better quality of life </w:t>
      </w:r>
    </w:p>
    <w:p w14:paraId="28593FB8" w14:textId="4AB52581" w:rsidR="002C2775" w:rsidRPr="008B3A69" w:rsidRDefault="00F56D03" w:rsidP="007F3D8D">
      <w:pPr>
        <w:pStyle w:val="COMTablefooter"/>
      </w:pPr>
      <w:r w:rsidRPr="008B3A69">
        <w:t>Note: EQ-5D-5L health state index scores range from 0 to 1 with higher scores indicating better quality of life</w:t>
      </w:r>
    </w:p>
    <w:p w14:paraId="3C1DAF3A" w14:textId="70FCFF49" w:rsidR="007F3D8D" w:rsidRPr="008B3A69" w:rsidRDefault="007F3D8D" w:rsidP="00EC5836">
      <w:pPr>
        <w:pStyle w:val="COMexecsumnumberedpara"/>
      </w:pPr>
      <w:r w:rsidRPr="008B3A69">
        <w:t>There were no statistically significant differences in quality of life between treatment arms although results numerically favoured ravulizumab.</w:t>
      </w:r>
    </w:p>
    <w:p w14:paraId="11EDE07E" w14:textId="53DCFE78" w:rsidR="000146BE" w:rsidRPr="008B3A69" w:rsidRDefault="000146BE" w:rsidP="00EC5836">
      <w:pPr>
        <w:pStyle w:val="COMexecsumnumberedpara"/>
      </w:pPr>
      <w:r w:rsidRPr="008B3A69">
        <w:t xml:space="preserve">The proportion of patients classified with improved, unchanged or worsening disease at 26 weeks compared to their pre-treatment assessment in the CHAMPION-MG trial using the modified Myasthenia Gravis Foundation of America Post-Intervention Status (MGFA-PIS) instrument is summarised in </w:t>
      </w:r>
      <w:r w:rsidRPr="008B3A69">
        <w:fldChar w:fldCharType="begin" w:fldLock="1"/>
      </w:r>
      <w:r w:rsidRPr="008B3A69">
        <w:instrText xml:space="preserve"> REF _Ref155295059 \h </w:instrText>
      </w:r>
      <w:r w:rsidR="00291F22" w:rsidRPr="008B3A69">
        <w:instrText xml:space="preserve"> \* MERGEFORMAT </w:instrText>
      </w:r>
      <w:r w:rsidRPr="008B3A69">
        <w:fldChar w:fldCharType="separate"/>
      </w:r>
      <w:r w:rsidR="0081771C" w:rsidRPr="008B3A69">
        <w:t xml:space="preserve">Figure </w:t>
      </w:r>
      <w:r w:rsidR="0081771C">
        <w:rPr>
          <w:noProof/>
        </w:rPr>
        <w:t>2</w:t>
      </w:r>
      <w:r w:rsidRPr="008B3A69">
        <w:fldChar w:fldCharType="end"/>
      </w:r>
      <w:r w:rsidRPr="008B3A69">
        <w:t>.</w:t>
      </w:r>
    </w:p>
    <w:p w14:paraId="601B8161" w14:textId="27BB6FC6" w:rsidR="000146BE" w:rsidRPr="008B3A69" w:rsidRDefault="000146BE" w:rsidP="00B80FC2">
      <w:pPr>
        <w:pStyle w:val="COMtablefigcaption"/>
      </w:pPr>
      <w:bookmarkStart w:id="37" w:name="_Ref155295059"/>
      <w:r w:rsidRPr="008B3A69">
        <w:t xml:space="preserve">Figure </w:t>
      </w:r>
      <w:r w:rsidR="0065138C">
        <w:fldChar w:fldCharType="begin" w:fldLock="1"/>
      </w:r>
      <w:r w:rsidR="0065138C">
        <w:instrText xml:space="preserve"> SEQ Figure \* ARABIC </w:instrText>
      </w:r>
      <w:r w:rsidR="0065138C">
        <w:fldChar w:fldCharType="separate"/>
      </w:r>
      <w:r w:rsidR="0081771C">
        <w:rPr>
          <w:noProof/>
        </w:rPr>
        <w:t>2</w:t>
      </w:r>
      <w:r w:rsidR="0065138C">
        <w:rPr>
          <w:noProof/>
        </w:rPr>
        <w:fldChar w:fldCharType="end"/>
      </w:r>
      <w:bookmarkEnd w:id="37"/>
      <w:r w:rsidRPr="008B3A69">
        <w:t>: Proportion of Patients in Each Category of the MGFA-PIS at Week 26</w:t>
      </w:r>
    </w:p>
    <w:p w14:paraId="26EEAA4F" w14:textId="1FA65E33" w:rsidR="000146BE" w:rsidRPr="008B3A69" w:rsidRDefault="000146BE" w:rsidP="00B80FC2">
      <w:pPr>
        <w:pStyle w:val="COMTablefooter"/>
        <w:keepNext/>
        <w:spacing w:after="0"/>
      </w:pPr>
      <w:r w:rsidRPr="008B3A69">
        <w:rPr>
          <w:noProof/>
        </w:rPr>
        <w:drawing>
          <wp:inline distT="0" distB="0" distL="0" distR="0" wp14:anchorId="4C789648" wp14:editId="08205F84">
            <wp:extent cx="5732145" cy="2824480"/>
            <wp:effectExtent l="0" t="0" r="1905" b="0"/>
            <wp:docPr id="1718456490" name="Picture 1718456490" descr="A picture containing text, screenshot, pl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screenshot, plot, line&#10;&#10;Description automatically generated"/>
                    <pic:cNvPicPr/>
                  </pic:nvPicPr>
                  <pic:blipFill>
                    <a:blip r:embed="rId10"/>
                    <a:stretch>
                      <a:fillRect/>
                    </a:stretch>
                  </pic:blipFill>
                  <pic:spPr>
                    <a:xfrm>
                      <a:off x="0" y="0"/>
                      <a:ext cx="5732145" cy="2824480"/>
                    </a:xfrm>
                    <a:prstGeom prst="rect">
                      <a:avLst/>
                    </a:prstGeom>
                  </pic:spPr>
                </pic:pic>
              </a:graphicData>
            </a:graphic>
          </wp:inline>
        </w:drawing>
      </w:r>
    </w:p>
    <w:p w14:paraId="0A10D3D8" w14:textId="1D7B86CA" w:rsidR="000146BE" w:rsidRPr="008B3A69" w:rsidRDefault="000146BE" w:rsidP="00B80FC2">
      <w:pPr>
        <w:pStyle w:val="COMTablefooter"/>
        <w:keepNext/>
      </w:pPr>
      <w:r w:rsidRPr="008B3A69">
        <w:t>Source: Figure 2-14, p87 of the submission</w:t>
      </w:r>
    </w:p>
    <w:p w14:paraId="5BFA7BE0" w14:textId="5F320F1B" w:rsidR="000146BE" w:rsidRPr="008B3A69" w:rsidRDefault="000146BE" w:rsidP="000146BE">
      <w:pPr>
        <w:pStyle w:val="COMTablefooter"/>
      </w:pPr>
      <w:r w:rsidRPr="008B3A69">
        <w:t>Abbreviations: MGFA-PIS, modified Myasthenia Gravis Foundation of America Post-Intervention Status</w:t>
      </w:r>
    </w:p>
    <w:p w14:paraId="17576FE0" w14:textId="16F72FB0" w:rsidR="000146BE" w:rsidRPr="008B3A69" w:rsidRDefault="000146BE" w:rsidP="00EC5836">
      <w:pPr>
        <w:pStyle w:val="COMexecsumnumberedpara"/>
      </w:pPr>
      <w:r w:rsidRPr="008B3A69">
        <w:t>Treatment with ravulizumab was associated with a numerically higher proportion of patients achieving improvement with minimal manifestation (patient has no functional limitations but may have some residual muscle weakness) compared to placebo. More patients in the placebo arm also reported unchanged or worsening disease.</w:t>
      </w:r>
    </w:p>
    <w:p w14:paraId="44506D9D" w14:textId="468B5FEE" w:rsidR="000146BE" w:rsidRDefault="000146BE" w:rsidP="00EC5836">
      <w:pPr>
        <w:pStyle w:val="COMexecsumnumberedpara"/>
      </w:pPr>
      <w:r w:rsidRPr="008B3A69">
        <w:t xml:space="preserve">There were no statistically significant differences in clinical deterioration events </w:t>
      </w:r>
      <w:r w:rsidR="005F1B85" w:rsidRPr="008B3A69">
        <w:t xml:space="preserve">(significant symptom worsening, use of rescue medication, myasthenic crisis events) </w:t>
      </w:r>
      <w:r w:rsidRPr="008B3A69">
        <w:t>between treatment arms although results numerically favoured ravulizumab.</w:t>
      </w:r>
      <w:r w:rsidR="006506E6" w:rsidRPr="008B3A69">
        <w:t xml:space="preserve"> The PSCR emphasized the importance of reducing the frequency of exacerbations and myasthenic crises and of improving quality of life, although the clinical trial failed to demonstrate these benefits. </w:t>
      </w:r>
    </w:p>
    <w:p w14:paraId="1BB27759" w14:textId="71D3F308" w:rsidR="00327952" w:rsidRPr="008B3A69" w:rsidRDefault="005310F5">
      <w:pPr>
        <w:pStyle w:val="COMexecsumnumberedpara"/>
      </w:pPr>
      <w:bookmarkStart w:id="38" w:name="_Ref174113932"/>
      <w:r w:rsidRPr="005310F5">
        <w:t xml:space="preserve">The submission noted that the efficacy of ravulizumab was consistent across </w:t>
      </w:r>
      <w:r w:rsidR="00A6592A" w:rsidRPr="00A6592A">
        <w:t>pre-specified</w:t>
      </w:r>
      <w:r w:rsidRPr="005310F5">
        <w:t xml:space="preserve"> subgroups </w:t>
      </w:r>
      <w:r w:rsidR="00ED1C29">
        <w:t>including</w:t>
      </w:r>
      <w:r w:rsidRPr="005310F5">
        <w:t xml:space="preserve"> immunosuppress</w:t>
      </w:r>
      <w:r w:rsidR="00144E82">
        <w:t xml:space="preserve">ant use at baseline </w:t>
      </w:r>
      <w:r w:rsidR="008C1019">
        <w:t>(</w:t>
      </w:r>
      <w:r w:rsidR="00646399">
        <w:t xml:space="preserve">based on four categories: </w:t>
      </w:r>
      <w:r w:rsidR="008C1019">
        <w:t>only corticosteroid</w:t>
      </w:r>
      <w:r w:rsidR="00646399">
        <w:t>;</w:t>
      </w:r>
      <w:r w:rsidR="008C1019">
        <w:t xml:space="preserve"> only </w:t>
      </w:r>
      <w:r w:rsidR="00E070C6">
        <w:t>non-steroid</w:t>
      </w:r>
      <w:r w:rsidR="008C1019">
        <w:t xml:space="preserve"> </w:t>
      </w:r>
      <w:r w:rsidR="00EB2260" w:rsidRPr="00EB2260">
        <w:rPr>
          <w:lang w:val="en-GB" w:eastAsia="en-US"/>
        </w:rPr>
        <w:t>immunosuppressive therap</w:t>
      </w:r>
      <w:r w:rsidR="00EB2260">
        <w:rPr>
          <w:lang w:val="en-GB" w:eastAsia="en-US"/>
        </w:rPr>
        <w:t>y</w:t>
      </w:r>
      <w:r w:rsidR="00E070C6">
        <w:t>;</w:t>
      </w:r>
      <w:r w:rsidR="008C1019">
        <w:t xml:space="preserve"> corticosteroid</w:t>
      </w:r>
      <w:r w:rsidR="00631CB2">
        <w:t xml:space="preserve"> + </w:t>
      </w:r>
      <w:r w:rsidR="00E070C6">
        <w:t>non-steroid</w:t>
      </w:r>
      <w:r w:rsidR="00631CB2">
        <w:t xml:space="preserve"> </w:t>
      </w:r>
      <w:r w:rsidR="00EB2260" w:rsidRPr="00EB2260">
        <w:rPr>
          <w:lang w:val="en-GB" w:eastAsia="en-US"/>
        </w:rPr>
        <w:t>immunosuppressive therap</w:t>
      </w:r>
      <w:r w:rsidR="00EB2260">
        <w:rPr>
          <w:lang w:val="en-GB" w:eastAsia="en-US"/>
        </w:rPr>
        <w:t>y</w:t>
      </w:r>
      <w:r w:rsidR="00E070C6">
        <w:t>;</w:t>
      </w:r>
      <w:r w:rsidR="00631CB2">
        <w:t xml:space="preserve"> and none). </w:t>
      </w:r>
      <w:r w:rsidR="003B21F3">
        <w:t>However, t</w:t>
      </w:r>
      <w:r w:rsidR="007A49D3">
        <w:t xml:space="preserve">he pre-PBAC response stated </w:t>
      </w:r>
      <w:r w:rsidR="00AB5096" w:rsidRPr="00AB5096">
        <w:t>the greatest reduction of MG-ADL score was observed when ravulizumab was added early to standard therapy</w:t>
      </w:r>
      <w:r w:rsidR="00467FCB">
        <w:t xml:space="preserve"> including in </w:t>
      </w:r>
      <w:r w:rsidR="00095091">
        <w:t>patients</w:t>
      </w:r>
      <w:r w:rsidR="00467FCB">
        <w:t xml:space="preserve"> who had not received prior chro</w:t>
      </w:r>
      <w:r w:rsidR="00095091">
        <w:t xml:space="preserve">nic IVIg/PLEX, </w:t>
      </w:r>
      <w:r w:rsidR="004B7E9D">
        <w:t>referencing ‘data on file’</w:t>
      </w:r>
      <w:r w:rsidR="00095091">
        <w:t xml:space="preserve">. </w:t>
      </w:r>
      <w:r w:rsidR="00CD1A3B">
        <w:t xml:space="preserve">Further, </w:t>
      </w:r>
      <w:r w:rsidR="00D6781E">
        <w:t xml:space="preserve">the pre-PBAC response stated that </w:t>
      </w:r>
      <w:r w:rsidR="00CD1A3B">
        <w:t>a</w:t>
      </w:r>
      <w:r w:rsidR="00CD1A3B" w:rsidRPr="000F247A">
        <w:t xml:space="preserve"> </w:t>
      </w:r>
      <w:r w:rsidR="00CD1A3B" w:rsidRPr="00E63BA9">
        <w:rPr>
          <w:i/>
          <w:iCs/>
        </w:rPr>
        <w:t>post hoc</w:t>
      </w:r>
      <w:r w:rsidR="00CD1A3B" w:rsidRPr="000F247A">
        <w:t xml:space="preserve"> </w:t>
      </w:r>
      <w:r w:rsidR="000762C5">
        <w:t xml:space="preserve">subgroup </w:t>
      </w:r>
      <w:r w:rsidR="00CD1A3B" w:rsidRPr="000F247A">
        <w:t xml:space="preserve">analysis </w:t>
      </w:r>
      <w:r w:rsidR="000762C5">
        <w:t>of</w:t>
      </w:r>
      <w:r w:rsidR="00CD1A3B">
        <w:t xml:space="preserve"> time from g</w:t>
      </w:r>
      <w:r w:rsidR="00CD1A3B" w:rsidRPr="000F247A">
        <w:t xml:space="preserve">MG diagnosis </w:t>
      </w:r>
      <w:r w:rsidR="00CD1A3B">
        <w:t>(≤</w:t>
      </w:r>
      <w:r w:rsidR="00B80FC2">
        <w:t> </w:t>
      </w:r>
      <w:r w:rsidR="00CD1A3B">
        <w:t>2, &gt;</w:t>
      </w:r>
      <w:r w:rsidR="00B80FC2">
        <w:t> 2 </w:t>
      </w:r>
      <w:r w:rsidR="00CD1A3B">
        <w:t>years)</w:t>
      </w:r>
      <w:r w:rsidR="000762C5">
        <w:t xml:space="preserve"> found </w:t>
      </w:r>
      <w:r w:rsidR="00CC6785" w:rsidRPr="00CC6785">
        <w:t xml:space="preserve">a trend toward a greater </w:t>
      </w:r>
      <w:r w:rsidR="003B5C22">
        <w:t>improvement in MG-ADL</w:t>
      </w:r>
      <w:r w:rsidR="00CC6785" w:rsidRPr="00CC6785">
        <w:t xml:space="preserve"> in patients who initiated ravulizumab earlier after MG </w:t>
      </w:r>
      <w:r w:rsidR="00CC6785" w:rsidRPr="00467FCB">
        <w:t>diagnosis compared with later</w:t>
      </w:r>
      <w:r w:rsidR="006D4389" w:rsidRPr="00467FCB">
        <w:t xml:space="preserve">. </w:t>
      </w:r>
      <w:r w:rsidR="0038749F" w:rsidRPr="00467FCB">
        <w:t xml:space="preserve">However, the </w:t>
      </w:r>
      <w:r w:rsidR="00082FEB" w:rsidRPr="00467FCB">
        <w:t xml:space="preserve">PBAC </w:t>
      </w:r>
      <w:r w:rsidR="002C07D1">
        <w:t>noted</w:t>
      </w:r>
      <w:r w:rsidR="00082FEB" w:rsidRPr="00467FCB">
        <w:t xml:space="preserve"> </w:t>
      </w:r>
      <w:r w:rsidR="0054476F" w:rsidRPr="00467FCB">
        <w:t>n</w:t>
      </w:r>
      <w:r w:rsidR="006D4389" w:rsidRPr="00467FCB">
        <w:t xml:space="preserve">o treatment interaction testing was presented in the </w:t>
      </w:r>
      <w:r w:rsidR="0054476F" w:rsidRPr="00467FCB">
        <w:t xml:space="preserve">submission and </w:t>
      </w:r>
      <w:r w:rsidR="00B9520C" w:rsidRPr="00467FCB">
        <w:t>these analyses were not adjusted for multiplicity.</w:t>
      </w:r>
      <w:bookmarkEnd w:id="38"/>
      <w:r w:rsidR="00B9520C" w:rsidRPr="00E63BA9">
        <w:rPr>
          <w:i/>
          <w:iCs/>
        </w:rPr>
        <w:t xml:space="preserve"> </w:t>
      </w:r>
    </w:p>
    <w:p w14:paraId="65FB53C6" w14:textId="2CE91D0A" w:rsidR="0004307F" w:rsidRPr="008B3A69" w:rsidRDefault="0004307F" w:rsidP="00EC5836">
      <w:pPr>
        <w:pStyle w:val="COMexecsumnumberedpara"/>
      </w:pPr>
      <w:r w:rsidRPr="008B3A69">
        <w:t xml:space="preserve">During the evaluation, a recently published network meta-analysis (Sacca 2023) was identified which compared ravulizumab with </w:t>
      </w:r>
      <w:r w:rsidR="005F1B85" w:rsidRPr="008B3A69">
        <w:t>near-market comparators (zilucoplan, efgartigimod and rozanolixizumab) and other therapies (</w:t>
      </w:r>
      <w:r w:rsidRPr="008B3A69">
        <w:t>eculizumab and rituximab</w:t>
      </w:r>
      <w:r w:rsidR="005F1B85" w:rsidRPr="008B3A69">
        <w:t>)</w:t>
      </w:r>
      <w:r w:rsidRPr="008B3A69">
        <w:t xml:space="preserve"> for the treatment of myasthenia gravis. </w:t>
      </w:r>
    </w:p>
    <w:p w14:paraId="30C6BE26" w14:textId="32264999" w:rsidR="0004307F" w:rsidRPr="008B3A69" w:rsidRDefault="0004307F" w:rsidP="0004307F">
      <w:pPr>
        <w:pStyle w:val="COMexecsumnumberedpara"/>
      </w:pPr>
      <w:r w:rsidRPr="008B3A69">
        <w:t>The complement inhibitor trials (ravulizumab, eculizumab, zilucoplan) generally used similar study designs although there were some differences between trials in baseline disease severity, background therapies and trial durations. However, transitivity between complement inhibitor trials and the other trials was less clear, with major differences in study designs and patient populations. In particular, neonatal Fc receptor blockers (efgartigimod, rozanolixizumab) are administered as cyclical therapies with on/off treatment periods however treatment effects were assessed at their peak efficacy timepoint (4-6 weeks, at the end of a treatment cycle) which does not account for the gradual loss of effect over time in the off-treatment period. Additionally, the rituximab trials allowed for changes in background therapies over time (which is likely to impact the comparative efficacy of treatments) while trials of newer agents typically required patients to remain on stable background therapies.</w:t>
      </w:r>
    </w:p>
    <w:p w14:paraId="7D67FEEA" w14:textId="477667C1" w:rsidR="0004307F" w:rsidRPr="008B3A69" w:rsidRDefault="0004307F" w:rsidP="0004307F">
      <w:pPr>
        <w:pStyle w:val="COMexecsumnumberedpara"/>
      </w:pPr>
      <w:r w:rsidRPr="008B3A69">
        <w:t>A simple meta-analysis of trials within each drug class suggest</w:t>
      </w:r>
      <w:r w:rsidR="00D041AD" w:rsidRPr="008B3A69">
        <w:t>ed</w:t>
      </w:r>
      <w:r w:rsidRPr="008B3A69">
        <w:t xml:space="preserve"> that treatment effects were broadly similar between members of each drug class. The network meta-analysis suggested that neonatal Fc receptor blockers may be slightly more effective than complement inhibitors, while rituximab was the least effective treatment for generalised myasthenia gravis. However, the results of the network meta-analysis should be interpreted with caution given that it is unclear whether trials were sufficiently similar to justify their use in a network meta-analysis.</w:t>
      </w:r>
    </w:p>
    <w:p w14:paraId="1452C351" w14:textId="04F85588" w:rsidR="00B60939" w:rsidRPr="008B3A69" w:rsidRDefault="00B60939" w:rsidP="00D86231">
      <w:pPr>
        <w:pStyle w:val="COMH2-non-numbered"/>
        <w:rPr>
          <w:iCs/>
        </w:rPr>
      </w:pPr>
      <w:bookmarkStart w:id="39" w:name="_Toc22897642"/>
      <w:bookmarkStart w:id="40" w:name="_Toc156986103"/>
      <w:r w:rsidRPr="008B3A69">
        <w:rPr>
          <w:iCs/>
        </w:rPr>
        <w:t>Comparative harms</w:t>
      </w:r>
      <w:bookmarkEnd w:id="39"/>
      <w:bookmarkEnd w:id="40"/>
    </w:p>
    <w:p w14:paraId="204D5846" w14:textId="238AB013" w:rsidR="000146BE" w:rsidRPr="008B3A69" w:rsidRDefault="000146BE" w:rsidP="00D86231">
      <w:pPr>
        <w:pStyle w:val="COMexecsumnumberedpara"/>
      </w:pPr>
      <w:r w:rsidRPr="008B3A69">
        <w:t>An overall summary of the adverse events reported in the CHAMPION-MG trial is presented in</w:t>
      </w:r>
      <w:r w:rsidR="006D2B90" w:rsidRPr="008B3A69">
        <w:t xml:space="preserve"> </w:t>
      </w:r>
      <w:r w:rsidR="006D2B90" w:rsidRPr="008B3A69">
        <w:fldChar w:fldCharType="begin" w:fldLock="1"/>
      </w:r>
      <w:r w:rsidR="006D2B90" w:rsidRPr="008B3A69">
        <w:instrText xml:space="preserve"> REF _Ref155295666 \h </w:instrText>
      </w:r>
      <w:r w:rsidR="008B3A69" w:rsidRPr="008B3A69">
        <w:instrText xml:space="preserve"> \* MERGEFORMAT </w:instrText>
      </w:r>
      <w:r w:rsidR="006D2B90" w:rsidRPr="008B3A69">
        <w:fldChar w:fldCharType="separate"/>
      </w:r>
      <w:r w:rsidR="0081771C" w:rsidRPr="008B3A69">
        <w:t xml:space="preserve">Table </w:t>
      </w:r>
      <w:r w:rsidR="0081771C">
        <w:rPr>
          <w:noProof/>
        </w:rPr>
        <w:t>6</w:t>
      </w:r>
      <w:r w:rsidR="006D2B90" w:rsidRPr="008B3A69">
        <w:fldChar w:fldCharType="end"/>
      </w:r>
      <w:r w:rsidR="006D2B90" w:rsidRPr="008B3A69">
        <w:t>.</w:t>
      </w:r>
    </w:p>
    <w:p w14:paraId="3D88DFE6" w14:textId="2C9C33E3" w:rsidR="006D2B90" w:rsidRPr="008B3A69" w:rsidRDefault="006D2B90" w:rsidP="00FE7FE7">
      <w:pPr>
        <w:pStyle w:val="COMtablefigcaption"/>
        <w:keepLines/>
      </w:pPr>
      <w:bookmarkStart w:id="41" w:name="_Ref155295666"/>
      <w:bookmarkStart w:id="42" w:name="_Ref155295645"/>
      <w:r w:rsidRPr="008B3A69">
        <w:t xml:space="preserve">Table </w:t>
      </w:r>
      <w:r w:rsidR="0065138C">
        <w:fldChar w:fldCharType="begin" w:fldLock="1"/>
      </w:r>
      <w:r w:rsidR="0065138C">
        <w:instrText xml:space="preserve"> SEQ Table \* ARABIC </w:instrText>
      </w:r>
      <w:r w:rsidR="0065138C">
        <w:fldChar w:fldCharType="separate"/>
      </w:r>
      <w:r w:rsidR="0081771C">
        <w:rPr>
          <w:noProof/>
        </w:rPr>
        <w:t>6</w:t>
      </w:r>
      <w:r w:rsidR="0065138C">
        <w:rPr>
          <w:noProof/>
        </w:rPr>
        <w:fldChar w:fldCharType="end"/>
      </w:r>
      <w:bookmarkEnd w:id="41"/>
      <w:r w:rsidRPr="008B3A69">
        <w:t>: Summary of key adverse events in the CHAMPION-MG trial</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7"/>
        <w:gridCol w:w="2425"/>
        <w:gridCol w:w="2425"/>
      </w:tblGrid>
      <w:tr w:rsidR="006D2B90" w:rsidRPr="008B3A69" w14:paraId="6CE4FF84" w14:textId="77777777" w:rsidTr="00514812">
        <w:trPr>
          <w:tblHeader/>
        </w:trPr>
        <w:tc>
          <w:tcPr>
            <w:tcW w:w="4167" w:type="dxa"/>
            <w:vAlign w:val="center"/>
          </w:tcPr>
          <w:p w14:paraId="47025AEA" w14:textId="77777777" w:rsidR="006D2B90" w:rsidRPr="008B3A69" w:rsidRDefault="006D2B90" w:rsidP="00FE7FE7">
            <w:pPr>
              <w:pStyle w:val="COMTableheadingrow"/>
              <w:keepLines/>
              <w:rPr>
                <w:lang w:val="en-AU"/>
              </w:rPr>
            </w:pPr>
            <w:r w:rsidRPr="008B3A69">
              <w:rPr>
                <w:lang w:val="en-AU"/>
              </w:rPr>
              <w:t>Patients, n (%)</w:t>
            </w:r>
          </w:p>
        </w:tc>
        <w:tc>
          <w:tcPr>
            <w:tcW w:w="2425" w:type="dxa"/>
            <w:vAlign w:val="center"/>
          </w:tcPr>
          <w:p w14:paraId="40668D1D" w14:textId="77777777" w:rsidR="006D2B90" w:rsidRPr="008B3A69" w:rsidRDefault="006D2B90" w:rsidP="00FE7FE7">
            <w:pPr>
              <w:pStyle w:val="TableText"/>
              <w:keepLines/>
              <w:jc w:val="center"/>
              <w:rPr>
                <w:b/>
              </w:rPr>
            </w:pPr>
            <w:r w:rsidRPr="008B3A69">
              <w:rPr>
                <w:b/>
              </w:rPr>
              <w:t>Ravulizumab</w:t>
            </w:r>
          </w:p>
          <w:p w14:paraId="39405DAA" w14:textId="77777777" w:rsidR="006D2B90" w:rsidRPr="008B3A69" w:rsidRDefault="006D2B90" w:rsidP="00FE7FE7">
            <w:pPr>
              <w:pStyle w:val="COMTableheadingrow"/>
              <w:keepLines/>
              <w:jc w:val="center"/>
              <w:rPr>
                <w:lang w:val="en-AU"/>
              </w:rPr>
            </w:pPr>
            <w:r w:rsidRPr="008B3A69">
              <w:rPr>
                <w:lang w:val="en-AU"/>
              </w:rPr>
              <w:t>N = 86</w:t>
            </w:r>
          </w:p>
        </w:tc>
        <w:tc>
          <w:tcPr>
            <w:tcW w:w="2425" w:type="dxa"/>
            <w:vAlign w:val="center"/>
          </w:tcPr>
          <w:p w14:paraId="75560B36" w14:textId="77777777" w:rsidR="006D2B90" w:rsidRPr="008B3A69" w:rsidRDefault="006D2B90" w:rsidP="00FE7FE7">
            <w:pPr>
              <w:pStyle w:val="TableText"/>
              <w:keepLines/>
              <w:jc w:val="center"/>
              <w:rPr>
                <w:b/>
              </w:rPr>
            </w:pPr>
            <w:r w:rsidRPr="008B3A69">
              <w:rPr>
                <w:b/>
              </w:rPr>
              <w:t>Placebo</w:t>
            </w:r>
          </w:p>
          <w:p w14:paraId="00F90943" w14:textId="77777777" w:rsidR="006D2B90" w:rsidRPr="008B3A69" w:rsidRDefault="006D2B90" w:rsidP="00FE7FE7">
            <w:pPr>
              <w:pStyle w:val="COMTableheadingrow"/>
              <w:keepLines/>
              <w:jc w:val="center"/>
              <w:rPr>
                <w:lang w:val="en-AU"/>
              </w:rPr>
            </w:pPr>
            <w:r w:rsidRPr="008B3A69">
              <w:rPr>
                <w:lang w:val="en-AU"/>
              </w:rPr>
              <w:t>N = 89</w:t>
            </w:r>
          </w:p>
        </w:tc>
      </w:tr>
      <w:tr w:rsidR="006D2B90" w:rsidRPr="008B3A69" w14:paraId="38C46141" w14:textId="77777777" w:rsidTr="00514812">
        <w:tc>
          <w:tcPr>
            <w:tcW w:w="4167" w:type="dxa"/>
            <w:vAlign w:val="center"/>
          </w:tcPr>
          <w:p w14:paraId="282B634A" w14:textId="77777777" w:rsidR="006D2B90" w:rsidRPr="008B3A69" w:rsidRDefault="006D2B90" w:rsidP="00FE7FE7">
            <w:pPr>
              <w:pStyle w:val="COMTabletext"/>
              <w:keepLines/>
            </w:pPr>
            <w:r w:rsidRPr="008B3A69">
              <w:t>Any adverse event</w:t>
            </w:r>
          </w:p>
        </w:tc>
        <w:tc>
          <w:tcPr>
            <w:tcW w:w="2425" w:type="dxa"/>
            <w:vAlign w:val="center"/>
          </w:tcPr>
          <w:p w14:paraId="238CE853" w14:textId="77777777" w:rsidR="006D2B90" w:rsidRPr="008B3A69" w:rsidRDefault="006D2B90" w:rsidP="00FE7FE7">
            <w:pPr>
              <w:pStyle w:val="COMTabletext"/>
              <w:keepLines/>
              <w:jc w:val="center"/>
            </w:pPr>
            <w:r w:rsidRPr="008B3A69">
              <w:t>78 (90.7%)</w:t>
            </w:r>
          </w:p>
        </w:tc>
        <w:tc>
          <w:tcPr>
            <w:tcW w:w="2425" w:type="dxa"/>
            <w:vAlign w:val="center"/>
          </w:tcPr>
          <w:p w14:paraId="6FB974D7" w14:textId="77777777" w:rsidR="006D2B90" w:rsidRPr="008B3A69" w:rsidRDefault="006D2B90" w:rsidP="00FE7FE7">
            <w:pPr>
              <w:pStyle w:val="COMTabletext"/>
              <w:keepLines/>
              <w:jc w:val="center"/>
            </w:pPr>
            <w:r w:rsidRPr="008B3A69">
              <w:t>77 (86.5%)</w:t>
            </w:r>
          </w:p>
        </w:tc>
      </w:tr>
      <w:tr w:rsidR="006D2B90" w:rsidRPr="008B3A69" w14:paraId="4BEB4AC0" w14:textId="77777777" w:rsidTr="00514812">
        <w:tc>
          <w:tcPr>
            <w:tcW w:w="4167" w:type="dxa"/>
            <w:vAlign w:val="center"/>
          </w:tcPr>
          <w:p w14:paraId="60D3CBE9" w14:textId="77777777" w:rsidR="006D2B90" w:rsidRPr="008B3A69" w:rsidRDefault="006D2B90" w:rsidP="00FE7FE7">
            <w:pPr>
              <w:pStyle w:val="COMTabletext"/>
              <w:keepLines/>
            </w:pPr>
            <w:r w:rsidRPr="008B3A69">
              <w:t>Treatment-related adverse event</w:t>
            </w:r>
          </w:p>
        </w:tc>
        <w:tc>
          <w:tcPr>
            <w:tcW w:w="2425" w:type="dxa"/>
            <w:vAlign w:val="center"/>
          </w:tcPr>
          <w:p w14:paraId="3842868E" w14:textId="77777777" w:rsidR="006D2B90" w:rsidRPr="008B3A69" w:rsidRDefault="006D2B90" w:rsidP="00FE7FE7">
            <w:pPr>
              <w:pStyle w:val="COMTabletext"/>
              <w:keepLines/>
              <w:jc w:val="center"/>
            </w:pPr>
            <w:r w:rsidRPr="008B3A69">
              <w:t>29 (33.7%)</w:t>
            </w:r>
          </w:p>
        </w:tc>
        <w:tc>
          <w:tcPr>
            <w:tcW w:w="2425" w:type="dxa"/>
            <w:vAlign w:val="center"/>
          </w:tcPr>
          <w:p w14:paraId="6B30D86A" w14:textId="77777777" w:rsidR="006D2B90" w:rsidRPr="008B3A69" w:rsidRDefault="006D2B90" w:rsidP="00FE7FE7">
            <w:pPr>
              <w:pStyle w:val="COMTabletext"/>
              <w:keepLines/>
              <w:jc w:val="center"/>
            </w:pPr>
            <w:r w:rsidRPr="008B3A69">
              <w:t>30 (33.7%)</w:t>
            </w:r>
          </w:p>
        </w:tc>
      </w:tr>
      <w:tr w:rsidR="006D2B90" w:rsidRPr="008B3A69" w14:paraId="117E0619" w14:textId="77777777" w:rsidTr="00514812">
        <w:tc>
          <w:tcPr>
            <w:tcW w:w="4167" w:type="dxa"/>
            <w:vAlign w:val="center"/>
          </w:tcPr>
          <w:p w14:paraId="1C9F857D" w14:textId="77777777" w:rsidR="006D2B90" w:rsidRPr="008B3A69" w:rsidRDefault="006D2B90" w:rsidP="00FE7FE7">
            <w:pPr>
              <w:pStyle w:val="COMTabletext"/>
              <w:keepLines/>
            </w:pPr>
            <w:r w:rsidRPr="008B3A69">
              <w:t>Serious adverse event</w:t>
            </w:r>
          </w:p>
        </w:tc>
        <w:tc>
          <w:tcPr>
            <w:tcW w:w="2425" w:type="dxa"/>
            <w:vAlign w:val="center"/>
          </w:tcPr>
          <w:p w14:paraId="2ED0C8CE" w14:textId="77777777" w:rsidR="006D2B90" w:rsidRPr="008B3A69" w:rsidRDefault="006D2B90" w:rsidP="00FE7FE7">
            <w:pPr>
              <w:pStyle w:val="COMTabletext"/>
              <w:keepLines/>
              <w:jc w:val="center"/>
            </w:pPr>
            <w:r w:rsidRPr="008B3A69">
              <w:t>20 (23.3%)</w:t>
            </w:r>
          </w:p>
        </w:tc>
        <w:tc>
          <w:tcPr>
            <w:tcW w:w="2425" w:type="dxa"/>
            <w:vAlign w:val="center"/>
          </w:tcPr>
          <w:p w14:paraId="1AB449C0" w14:textId="77777777" w:rsidR="006D2B90" w:rsidRPr="008B3A69" w:rsidRDefault="006D2B90" w:rsidP="00FE7FE7">
            <w:pPr>
              <w:pStyle w:val="COMTabletext"/>
              <w:keepLines/>
              <w:jc w:val="center"/>
            </w:pPr>
            <w:r w:rsidRPr="008B3A69">
              <w:t>14 (15.7%)</w:t>
            </w:r>
          </w:p>
        </w:tc>
      </w:tr>
      <w:tr w:rsidR="006D2B90" w:rsidRPr="008B3A69" w14:paraId="25B287CC" w14:textId="77777777" w:rsidTr="00514812">
        <w:tc>
          <w:tcPr>
            <w:tcW w:w="4167" w:type="dxa"/>
            <w:vAlign w:val="center"/>
          </w:tcPr>
          <w:p w14:paraId="2ABC9B2A" w14:textId="77777777" w:rsidR="006D2B90" w:rsidRPr="008B3A69" w:rsidRDefault="006D2B90" w:rsidP="00FE7FE7">
            <w:pPr>
              <w:pStyle w:val="COMTabletext"/>
              <w:keepLines/>
            </w:pPr>
            <w:r w:rsidRPr="008B3A69">
              <w:t>Adverse events leading to treatment discontinuation</w:t>
            </w:r>
          </w:p>
        </w:tc>
        <w:tc>
          <w:tcPr>
            <w:tcW w:w="2425" w:type="dxa"/>
            <w:vAlign w:val="center"/>
          </w:tcPr>
          <w:p w14:paraId="209968EF" w14:textId="77777777" w:rsidR="006D2B90" w:rsidRPr="008B3A69" w:rsidRDefault="006D2B90" w:rsidP="00FE7FE7">
            <w:pPr>
              <w:pStyle w:val="COMTabletext"/>
              <w:keepLines/>
              <w:jc w:val="center"/>
            </w:pPr>
            <w:r w:rsidRPr="008B3A69">
              <w:t>2 (2.3%)</w:t>
            </w:r>
          </w:p>
        </w:tc>
        <w:tc>
          <w:tcPr>
            <w:tcW w:w="2425" w:type="dxa"/>
            <w:vAlign w:val="center"/>
          </w:tcPr>
          <w:p w14:paraId="385B6806" w14:textId="77777777" w:rsidR="006D2B90" w:rsidRPr="008B3A69" w:rsidRDefault="006D2B90" w:rsidP="00FE7FE7">
            <w:pPr>
              <w:pStyle w:val="COMTabletext"/>
              <w:keepLines/>
              <w:jc w:val="center"/>
            </w:pPr>
            <w:r w:rsidRPr="008B3A69">
              <w:t>3 (3.4%)</w:t>
            </w:r>
          </w:p>
        </w:tc>
      </w:tr>
      <w:tr w:rsidR="006D2B90" w:rsidRPr="008B3A69" w14:paraId="230CD7AD" w14:textId="77777777" w:rsidTr="00514812">
        <w:tc>
          <w:tcPr>
            <w:tcW w:w="4167" w:type="dxa"/>
            <w:vAlign w:val="center"/>
          </w:tcPr>
          <w:p w14:paraId="4D1059E0" w14:textId="77777777" w:rsidR="006D2B90" w:rsidRPr="008B3A69" w:rsidRDefault="006D2B90" w:rsidP="00FE7FE7">
            <w:pPr>
              <w:pStyle w:val="COMTabletext"/>
              <w:keepLines/>
            </w:pPr>
            <w:r w:rsidRPr="008B3A69">
              <w:t>Deaths</w:t>
            </w:r>
          </w:p>
        </w:tc>
        <w:tc>
          <w:tcPr>
            <w:tcW w:w="2425" w:type="dxa"/>
            <w:vAlign w:val="center"/>
          </w:tcPr>
          <w:p w14:paraId="0754CC22" w14:textId="77777777" w:rsidR="006D2B90" w:rsidRPr="008B3A69" w:rsidRDefault="006D2B90" w:rsidP="00FE7FE7">
            <w:pPr>
              <w:pStyle w:val="COMTabletext"/>
              <w:keepLines/>
              <w:jc w:val="center"/>
            </w:pPr>
            <w:r w:rsidRPr="008B3A69">
              <w:t>2 (2.3%)</w:t>
            </w:r>
          </w:p>
        </w:tc>
        <w:tc>
          <w:tcPr>
            <w:tcW w:w="2425" w:type="dxa"/>
            <w:vAlign w:val="center"/>
          </w:tcPr>
          <w:p w14:paraId="5B27DB17" w14:textId="77777777" w:rsidR="006D2B90" w:rsidRPr="008B3A69" w:rsidRDefault="006D2B90" w:rsidP="00FE7FE7">
            <w:pPr>
              <w:pStyle w:val="COMTabletext"/>
              <w:keepLines/>
              <w:jc w:val="center"/>
            </w:pPr>
            <w:r w:rsidRPr="008B3A69">
              <w:t>0 (0.0%)</w:t>
            </w:r>
          </w:p>
        </w:tc>
      </w:tr>
      <w:tr w:rsidR="006D2B90" w:rsidRPr="008B3A69" w14:paraId="1E212046" w14:textId="77777777" w:rsidTr="00514812">
        <w:tc>
          <w:tcPr>
            <w:tcW w:w="9017" w:type="dxa"/>
            <w:gridSpan w:val="3"/>
            <w:vAlign w:val="center"/>
          </w:tcPr>
          <w:p w14:paraId="3EBAC4EA" w14:textId="77777777" w:rsidR="006D2B90" w:rsidRPr="008B3A69" w:rsidRDefault="006D2B90" w:rsidP="00FE7FE7">
            <w:pPr>
              <w:pStyle w:val="COMTableheadingrow"/>
              <w:keepLines/>
              <w:rPr>
                <w:lang w:val="en-AU"/>
              </w:rPr>
            </w:pPr>
            <w:r w:rsidRPr="008B3A69">
              <w:rPr>
                <w:lang w:val="en-AU"/>
              </w:rPr>
              <w:t>Adverse events of special interest</w:t>
            </w:r>
          </w:p>
        </w:tc>
      </w:tr>
      <w:tr w:rsidR="006D2B90" w:rsidRPr="008B3A69" w14:paraId="2A57C8DF" w14:textId="77777777" w:rsidTr="00514812">
        <w:tc>
          <w:tcPr>
            <w:tcW w:w="4167" w:type="dxa"/>
            <w:vAlign w:val="center"/>
          </w:tcPr>
          <w:p w14:paraId="77DFDA0B" w14:textId="77777777" w:rsidR="006D2B90" w:rsidRPr="008B3A69" w:rsidRDefault="006D2B90" w:rsidP="00FE7FE7">
            <w:pPr>
              <w:pStyle w:val="COMTabletext"/>
              <w:keepLines/>
            </w:pPr>
            <w:r w:rsidRPr="008B3A69">
              <w:t>Meningococcal infection</w:t>
            </w:r>
          </w:p>
        </w:tc>
        <w:tc>
          <w:tcPr>
            <w:tcW w:w="2425" w:type="dxa"/>
            <w:vAlign w:val="center"/>
          </w:tcPr>
          <w:p w14:paraId="61BCD62C" w14:textId="77777777" w:rsidR="006D2B90" w:rsidRPr="008B3A69" w:rsidRDefault="006D2B90" w:rsidP="00FE7FE7">
            <w:pPr>
              <w:pStyle w:val="COMTabletext"/>
              <w:keepLines/>
              <w:jc w:val="center"/>
            </w:pPr>
            <w:r w:rsidRPr="008B3A69">
              <w:t>0 (0.0%)</w:t>
            </w:r>
          </w:p>
        </w:tc>
        <w:tc>
          <w:tcPr>
            <w:tcW w:w="2425" w:type="dxa"/>
            <w:vAlign w:val="center"/>
          </w:tcPr>
          <w:p w14:paraId="247151B1" w14:textId="77777777" w:rsidR="006D2B90" w:rsidRPr="008B3A69" w:rsidRDefault="006D2B90" w:rsidP="00FE7FE7">
            <w:pPr>
              <w:pStyle w:val="COMTabletext"/>
              <w:keepLines/>
              <w:jc w:val="center"/>
            </w:pPr>
            <w:r w:rsidRPr="008B3A69">
              <w:t>0 (0.0%)</w:t>
            </w:r>
          </w:p>
        </w:tc>
      </w:tr>
      <w:tr w:rsidR="006D2B90" w:rsidRPr="008B3A69" w14:paraId="223C510F" w14:textId="77777777" w:rsidTr="00514812">
        <w:tc>
          <w:tcPr>
            <w:tcW w:w="4167" w:type="dxa"/>
            <w:vAlign w:val="center"/>
          </w:tcPr>
          <w:p w14:paraId="04C1D720" w14:textId="77777777" w:rsidR="006D2B90" w:rsidRPr="008B3A69" w:rsidRDefault="006D2B90" w:rsidP="00FE7FE7">
            <w:pPr>
              <w:pStyle w:val="COMTabletext"/>
              <w:keepLines/>
            </w:pPr>
            <w:r w:rsidRPr="008B3A69">
              <w:t>Infusion-related reactions</w:t>
            </w:r>
          </w:p>
        </w:tc>
        <w:tc>
          <w:tcPr>
            <w:tcW w:w="2425" w:type="dxa"/>
            <w:vAlign w:val="center"/>
          </w:tcPr>
          <w:p w14:paraId="1B669E60" w14:textId="77777777" w:rsidR="006D2B90" w:rsidRPr="008B3A69" w:rsidRDefault="006D2B90" w:rsidP="00FE7FE7">
            <w:pPr>
              <w:pStyle w:val="COMTabletext"/>
              <w:keepLines/>
              <w:jc w:val="center"/>
            </w:pPr>
            <w:r w:rsidRPr="008B3A69">
              <w:t>28 (32.6%)</w:t>
            </w:r>
          </w:p>
        </w:tc>
        <w:tc>
          <w:tcPr>
            <w:tcW w:w="2425" w:type="dxa"/>
            <w:vAlign w:val="center"/>
          </w:tcPr>
          <w:p w14:paraId="4AD681BF" w14:textId="77777777" w:rsidR="006D2B90" w:rsidRPr="008B3A69" w:rsidRDefault="006D2B90" w:rsidP="00FE7FE7">
            <w:pPr>
              <w:pStyle w:val="COMTabletext"/>
              <w:keepLines/>
              <w:jc w:val="center"/>
            </w:pPr>
            <w:r w:rsidRPr="008B3A69">
              <w:t>28 (31.5%)</w:t>
            </w:r>
          </w:p>
        </w:tc>
      </w:tr>
      <w:tr w:rsidR="00D47047" w:rsidRPr="008B3A69" w14:paraId="5DD80A5C" w14:textId="77777777" w:rsidTr="00767A5C">
        <w:tc>
          <w:tcPr>
            <w:tcW w:w="9017" w:type="dxa"/>
            <w:gridSpan w:val="3"/>
            <w:vAlign w:val="center"/>
          </w:tcPr>
          <w:p w14:paraId="7F0D80AC" w14:textId="3302302A" w:rsidR="00667469" w:rsidRPr="008B3A69" w:rsidRDefault="00667469" w:rsidP="00FE7FE7">
            <w:pPr>
              <w:pStyle w:val="COMTabletext"/>
              <w:keepLines/>
              <w:rPr>
                <w:b/>
                <w:bCs w:val="0"/>
              </w:rPr>
            </w:pPr>
            <w:r w:rsidRPr="008B3A69">
              <w:rPr>
                <w:b/>
                <w:bCs w:val="0"/>
              </w:rPr>
              <w:t xml:space="preserve">Selected treatment-emergent adverse events </w:t>
            </w:r>
          </w:p>
        </w:tc>
      </w:tr>
      <w:tr w:rsidR="00D47047" w:rsidRPr="008B3A69" w14:paraId="6369E2DC" w14:textId="77777777" w:rsidTr="00667469">
        <w:tc>
          <w:tcPr>
            <w:tcW w:w="4167" w:type="dxa"/>
          </w:tcPr>
          <w:p w14:paraId="71603F4E" w14:textId="5D4C9E05" w:rsidR="00667469" w:rsidRPr="008B3A69" w:rsidRDefault="00667469" w:rsidP="00FE7FE7">
            <w:pPr>
              <w:pStyle w:val="COMTabletext"/>
              <w:keepLines/>
            </w:pPr>
            <w:r w:rsidRPr="008B3A69">
              <w:t>Infections and infestations</w:t>
            </w:r>
          </w:p>
        </w:tc>
        <w:tc>
          <w:tcPr>
            <w:tcW w:w="2425" w:type="dxa"/>
          </w:tcPr>
          <w:p w14:paraId="1469750C" w14:textId="769BE6BD" w:rsidR="00667469" w:rsidRPr="008B3A69" w:rsidRDefault="00667469" w:rsidP="00FE7FE7">
            <w:pPr>
              <w:pStyle w:val="COMTabletext"/>
              <w:keepLines/>
              <w:jc w:val="center"/>
            </w:pPr>
            <w:r w:rsidRPr="008B3A69">
              <w:t>38 (44.2%)</w:t>
            </w:r>
          </w:p>
        </w:tc>
        <w:tc>
          <w:tcPr>
            <w:tcW w:w="2425" w:type="dxa"/>
          </w:tcPr>
          <w:p w14:paraId="2CBBFB71" w14:textId="39C7653C" w:rsidR="00667469" w:rsidRPr="008B3A69" w:rsidRDefault="00667469" w:rsidP="00FE7FE7">
            <w:pPr>
              <w:pStyle w:val="COMTabletext"/>
              <w:keepLines/>
              <w:jc w:val="center"/>
            </w:pPr>
            <w:r w:rsidRPr="008B3A69">
              <w:t>28 (31.5%)</w:t>
            </w:r>
          </w:p>
        </w:tc>
      </w:tr>
      <w:tr w:rsidR="00D47047" w:rsidRPr="008B3A69" w14:paraId="33263186" w14:textId="77777777" w:rsidTr="00514812">
        <w:tc>
          <w:tcPr>
            <w:tcW w:w="4167" w:type="dxa"/>
            <w:vAlign w:val="center"/>
          </w:tcPr>
          <w:p w14:paraId="46F7216F" w14:textId="3090A90A" w:rsidR="00667469" w:rsidRPr="008B3A69" w:rsidRDefault="00667469" w:rsidP="00FE7FE7">
            <w:pPr>
              <w:pStyle w:val="COMTabletext"/>
              <w:keepLines/>
              <w:jc w:val="right"/>
            </w:pPr>
            <w:r w:rsidRPr="008B3A69">
              <w:rPr>
                <w:lang w:val="en-US"/>
              </w:rPr>
              <w:t>COVID-19</w:t>
            </w:r>
          </w:p>
        </w:tc>
        <w:tc>
          <w:tcPr>
            <w:tcW w:w="2425" w:type="dxa"/>
            <w:vAlign w:val="center"/>
          </w:tcPr>
          <w:p w14:paraId="11CA86A7" w14:textId="09F46940" w:rsidR="00667469" w:rsidRPr="008B3A69" w:rsidRDefault="00667469" w:rsidP="00FE7FE7">
            <w:pPr>
              <w:pStyle w:val="COMTabletext"/>
              <w:keepLines/>
              <w:jc w:val="center"/>
            </w:pPr>
            <w:r w:rsidRPr="008B3A69">
              <w:rPr>
                <w:lang w:val="en-US"/>
              </w:rPr>
              <w:t>5 (5.8%)</w:t>
            </w:r>
          </w:p>
        </w:tc>
        <w:tc>
          <w:tcPr>
            <w:tcW w:w="2425" w:type="dxa"/>
            <w:vAlign w:val="center"/>
          </w:tcPr>
          <w:p w14:paraId="219C7AA7" w14:textId="0B4B7CD4" w:rsidR="00667469" w:rsidRPr="008B3A69" w:rsidRDefault="00667469" w:rsidP="00FE7FE7">
            <w:pPr>
              <w:pStyle w:val="COMTabletext"/>
              <w:keepLines/>
              <w:jc w:val="center"/>
            </w:pPr>
            <w:r w:rsidRPr="008B3A69">
              <w:rPr>
                <w:lang w:val="en-US"/>
              </w:rPr>
              <w:t>3 (3.4%)</w:t>
            </w:r>
          </w:p>
        </w:tc>
      </w:tr>
      <w:tr w:rsidR="00D47047" w:rsidRPr="008B3A69" w14:paraId="631EE8BC" w14:textId="77777777" w:rsidTr="00514812">
        <w:tc>
          <w:tcPr>
            <w:tcW w:w="4167" w:type="dxa"/>
            <w:vAlign w:val="center"/>
          </w:tcPr>
          <w:p w14:paraId="0510CDEC" w14:textId="38B1C418" w:rsidR="00667469" w:rsidRPr="008B3A69" w:rsidRDefault="00667469" w:rsidP="00FE7FE7">
            <w:pPr>
              <w:pStyle w:val="COMTabletext"/>
              <w:keepLines/>
              <w:jc w:val="right"/>
            </w:pPr>
            <w:r w:rsidRPr="008B3A69">
              <w:rPr>
                <w:lang w:val="en-US"/>
              </w:rPr>
              <w:t>Urinary tract infection</w:t>
            </w:r>
          </w:p>
        </w:tc>
        <w:tc>
          <w:tcPr>
            <w:tcW w:w="2425" w:type="dxa"/>
            <w:vAlign w:val="center"/>
          </w:tcPr>
          <w:p w14:paraId="70B88E67" w14:textId="2058B6D1" w:rsidR="00667469" w:rsidRPr="008B3A69" w:rsidRDefault="00667469" w:rsidP="00FE7FE7">
            <w:pPr>
              <w:pStyle w:val="COMTabletext"/>
              <w:keepLines/>
              <w:jc w:val="center"/>
            </w:pPr>
            <w:r w:rsidRPr="008B3A69">
              <w:rPr>
                <w:lang w:val="en-US"/>
              </w:rPr>
              <w:t>5 (5.8%)</w:t>
            </w:r>
          </w:p>
        </w:tc>
        <w:tc>
          <w:tcPr>
            <w:tcW w:w="2425" w:type="dxa"/>
            <w:vAlign w:val="center"/>
          </w:tcPr>
          <w:p w14:paraId="733C040B" w14:textId="481B62F5" w:rsidR="00667469" w:rsidRPr="008B3A69" w:rsidRDefault="00667469" w:rsidP="00FE7FE7">
            <w:pPr>
              <w:pStyle w:val="COMTabletext"/>
              <w:keepLines/>
              <w:jc w:val="center"/>
            </w:pPr>
            <w:r w:rsidRPr="008B3A69">
              <w:rPr>
                <w:lang w:val="en-US"/>
              </w:rPr>
              <w:t>4 (4.5%)</w:t>
            </w:r>
          </w:p>
        </w:tc>
      </w:tr>
      <w:tr w:rsidR="00D47047" w:rsidRPr="008B3A69" w14:paraId="46C2BE02" w14:textId="77777777" w:rsidTr="00514812">
        <w:tc>
          <w:tcPr>
            <w:tcW w:w="4167" w:type="dxa"/>
            <w:vAlign w:val="center"/>
          </w:tcPr>
          <w:p w14:paraId="4F5CD2F2" w14:textId="16BC8FEF" w:rsidR="00667469" w:rsidRPr="008B3A69" w:rsidRDefault="00667469" w:rsidP="00FE7FE7">
            <w:pPr>
              <w:pStyle w:val="COMTabletext"/>
              <w:keepLines/>
              <w:jc w:val="right"/>
            </w:pPr>
            <w:r w:rsidRPr="008B3A69">
              <w:rPr>
                <w:lang w:val="en-US"/>
              </w:rPr>
              <w:t>Nasopharyngitis</w:t>
            </w:r>
          </w:p>
        </w:tc>
        <w:tc>
          <w:tcPr>
            <w:tcW w:w="2425" w:type="dxa"/>
            <w:vAlign w:val="center"/>
          </w:tcPr>
          <w:p w14:paraId="371576D1" w14:textId="15DBF405" w:rsidR="00667469" w:rsidRPr="008B3A69" w:rsidRDefault="00667469" w:rsidP="00FE7FE7">
            <w:pPr>
              <w:pStyle w:val="COMTabletext"/>
              <w:keepLines/>
              <w:jc w:val="center"/>
            </w:pPr>
            <w:r w:rsidRPr="008B3A69">
              <w:rPr>
                <w:lang w:val="en-US"/>
              </w:rPr>
              <w:t>3 (3.5%)</w:t>
            </w:r>
          </w:p>
        </w:tc>
        <w:tc>
          <w:tcPr>
            <w:tcW w:w="2425" w:type="dxa"/>
            <w:vAlign w:val="center"/>
          </w:tcPr>
          <w:p w14:paraId="4D7BEECA" w14:textId="7FEE4DE3" w:rsidR="00667469" w:rsidRPr="008B3A69" w:rsidRDefault="00667469" w:rsidP="00FE7FE7">
            <w:pPr>
              <w:pStyle w:val="COMTabletext"/>
              <w:keepLines/>
              <w:jc w:val="center"/>
            </w:pPr>
            <w:r w:rsidRPr="008B3A69">
              <w:rPr>
                <w:lang w:val="en-US"/>
              </w:rPr>
              <w:t>5 (5.6%)</w:t>
            </w:r>
          </w:p>
        </w:tc>
      </w:tr>
    </w:tbl>
    <w:p w14:paraId="2E383653" w14:textId="5B6B0DDA" w:rsidR="006D2B90" w:rsidRPr="008B3A69" w:rsidRDefault="006D2B90" w:rsidP="00FE7FE7">
      <w:pPr>
        <w:pStyle w:val="COMTablefooter"/>
        <w:keepNext/>
        <w:keepLines/>
      </w:pPr>
      <w:r w:rsidRPr="008B3A69">
        <w:t>Source: Table 2-26, p91 of the submission</w:t>
      </w:r>
      <w:r w:rsidR="00667469" w:rsidRPr="008B3A69">
        <w:t xml:space="preserve">, Table 2-28, pp92-93 of the submission </w:t>
      </w:r>
    </w:p>
    <w:p w14:paraId="4F0D8C92" w14:textId="5AC448B7" w:rsidR="006D2B90" w:rsidRPr="008B3A69" w:rsidRDefault="006D2B90" w:rsidP="006D2B90">
      <w:pPr>
        <w:pStyle w:val="COMexecsumnumberedpara"/>
      </w:pPr>
      <w:r w:rsidRPr="008B3A69">
        <w:t>The most frequently reported adverse events (&gt; 5% of patients) in either treatment arm were COVID-19, urinary tract infection, nasopharyngitis, headache, dizziness, diarrhoea, nausea, abdominal pain, back pain, arthralgia, fatigue and pyrexia.</w:t>
      </w:r>
    </w:p>
    <w:p w14:paraId="072BA94C" w14:textId="693DB88A" w:rsidR="000A32D1" w:rsidRPr="008B3A69" w:rsidRDefault="006D2B90" w:rsidP="006D2B90">
      <w:pPr>
        <w:pStyle w:val="COMexecsumnumberedpara"/>
      </w:pPr>
      <w:r w:rsidRPr="008B3A69">
        <w:t>Treatment with ravulizumab was associated with a higher rate of serious adverse events compared to the placebo arm</w:t>
      </w:r>
      <w:r w:rsidR="00667469" w:rsidRPr="008B3A69">
        <w:t>. The ESC noted ravulizumab was associated with</w:t>
      </w:r>
      <w:r w:rsidRPr="008B3A69">
        <w:t xml:space="preserve"> a higher rate of infections and infestations</w:t>
      </w:r>
      <w:r w:rsidR="00667469" w:rsidRPr="008B3A69">
        <w:t xml:space="preserve"> (44.2% versus 31.5% for treatment-emergent adverse events</w:t>
      </w:r>
      <w:r w:rsidRPr="008B3A69">
        <w:t xml:space="preserve">). </w:t>
      </w:r>
      <w:r w:rsidR="000A32D1" w:rsidRPr="008B3A69">
        <w:t xml:space="preserve">The ESC considered this was a particular concern in the context of concomitant use of immunosuppressive therapies. </w:t>
      </w:r>
    </w:p>
    <w:p w14:paraId="0A185598" w14:textId="3FD27051" w:rsidR="006D2B90" w:rsidRPr="008B3A69" w:rsidRDefault="006D2B90" w:rsidP="006D2B90">
      <w:pPr>
        <w:pStyle w:val="COMexecsumnumberedpara"/>
      </w:pPr>
      <w:r w:rsidRPr="008B3A69">
        <w:t>Two serious adverse events were considered related to ravulizumab including one case each of dysphagia and tendonitis. Two patients died in the ravulizumab treatment arm, one due to cerebral haemorrhage and one due to COVID-19 infection.</w:t>
      </w:r>
    </w:p>
    <w:p w14:paraId="0F099A8F" w14:textId="629854A6" w:rsidR="006D2B90" w:rsidRPr="008B3A69" w:rsidRDefault="006D2B90" w:rsidP="006D2B90">
      <w:pPr>
        <w:pStyle w:val="COMexecsumnumberedpara"/>
      </w:pPr>
      <w:r w:rsidRPr="008B3A69">
        <w:t>The 60-week interim analysis of the CHAMPION-MG open-label extension study was suggestive of declining adverse event rates over time and did not identify any additional safety concerns with ravulizumab treatment.</w:t>
      </w:r>
    </w:p>
    <w:p w14:paraId="04908C7F" w14:textId="381F8EE6" w:rsidR="007F1017" w:rsidRPr="008B3A69" w:rsidRDefault="007F1017" w:rsidP="00D86231">
      <w:pPr>
        <w:pStyle w:val="COMH2-non-numbered"/>
        <w:rPr>
          <w:i w:val="0"/>
        </w:rPr>
      </w:pPr>
      <w:bookmarkStart w:id="43" w:name="_Toc22897643"/>
      <w:bookmarkStart w:id="44" w:name="_Toc156986104"/>
      <w:r w:rsidRPr="008B3A69">
        <w:rPr>
          <w:i w:val="0"/>
        </w:rPr>
        <w:t>Benefits/harms</w:t>
      </w:r>
      <w:bookmarkEnd w:id="43"/>
      <w:bookmarkEnd w:id="44"/>
    </w:p>
    <w:p w14:paraId="6371F28E" w14:textId="669C9077" w:rsidR="00E7427B" w:rsidRPr="008B3A69" w:rsidRDefault="00E7427B" w:rsidP="00E7427B">
      <w:pPr>
        <w:pStyle w:val="COMexecsumnumberedpara"/>
      </w:pPr>
      <w:r w:rsidRPr="008B3A69">
        <w:t xml:space="preserve">A summary of the comparative benefits and harms for ravulizumab versus placebo is presented in </w:t>
      </w:r>
      <w:r w:rsidR="003C3BCA" w:rsidRPr="008B3A69">
        <w:fldChar w:fldCharType="begin" w:fldLock="1"/>
      </w:r>
      <w:r w:rsidR="003C3BCA" w:rsidRPr="008B3A69">
        <w:instrText xml:space="preserve"> REF _Ref155297203 \h </w:instrText>
      </w:r>
      <w:r w:rsidR="008B3A69" w:rsidRPr="008B3A69">
        <w:instrText xml:space="preserve"> \* MERGEFORMAT </w:instrText>
      </w:r>
      <w:r w:rsidR="003C3BCA" w:rsidRPr="008B3A69">
        <w:fldChar w:fldCharType="separate"/>
      </w:r>
      <w:r w:rsidR="0081771C" w:rsidRPr="008B3A69">
        <w:t xml:space="preserve">Table </w:t>
      </w:r>
      <w:r w:rsidR="0081771C">
        <w:rPr>
          <w:noProof/>
        </w:rPr>
        <w:t>7</w:t>
      </w:r>
      <w:r w:rsidR="003C3BCA" w:rsidRPr="008B3A69">
        <w:fldChar w:fldCharType="end"/>
      </w:r>
      <w:r w:rsidRPr="008B3A69">
        <w:t>.</w:t>
      </w:r>
    </w:p>
    <w:p w14:paraId="459DE0D0" w14:textId="67D529B9" w:rsidR="00E7427B" w:rsidRPr="008B3A69" w:rsidRDefault="003C3BCA" w:rsidP="00051656">
      <w:pPr>
        <w:pStyle w:val="COMtablefigcaption"/>
        <w:keepLines/>
        <w:rPr>
          <w:color w:val="3366FF"/>
        </w:rPr>
      </w:pPr>
      <w:bookmarkStart w:id="45" w:name="_Ref155297203"/>
      <w:bookmarkStart w:id="46" w:name="_Ref155874101"/>
      <w:r w:rsidRPr="008B3A69">
        <w:t xml:space="preserve">Table </w:t>
      </w:r>
      <w:r w:rsidR="0065138C">
        <w:fldChar w:fldCharType="begin" w:fldLock="1"/>
      </w:r>
      <w:r w:rsidR="0065138C">
        <w:instrText xml:space="preserve"> SEQ Table \* ARABIC </w:instrText>
      </w:r>
      <w:r w:rsidR="0065138C">
        <w:fldChar w:fldCharType="separate"/>
      </w:r>
      <w:r w:rsidR="0081771C">
        <w:rPr>
          <w:noProof/>
        </w:rPr>
        <w:t>7</w:t>
      </w:r>
      <w:r w:rsidR="0065138C">
        <w:rPr>
          <w:noProof/>
        </w:rPr>
        <w:fldChar w:fldCharType="end"/>
      </w:r>
      <w:bookmarkEnd w:id="45"/>
      <w:r w:rsidR="00E7427B" w:rsidRPr="008B3A69">
        <w:rPr>
          <w:snapToGrid w:val="0"/>
        </w:rPr>
        <w:t>: Summary of comparative benefits and harms for ravulizumab and placebo</w:t>
      </w:r>
      <w:bookmarkEnd w:id="46"/>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591"/>
        <w:gridCol w:w="1592"/>
        <w:gridCol w:w="1865"/>
      </w:tblGrid>
      <w:tr w:rsidR="00E7427B" w:rsidRPr="008B3A69" w14:paraId="216A346E" w14:textId="77777777" w:rsidTr="003C3BCA">
        <w:trPr>
          <w:cantSplit/>
          <w:tblHeader/>
        </w:trPr>
        <w:tc>
          <w:tcPr>
            <w:tcW w:w="2201" w:type="pct"/>
            <w:tcBorders>
              <w:right w:val="single" w:sz="4" w:space="0" w:color="auto"/>
            </w:tcBorders>
            <w:shd w:val="clear" w:color="auto" w:fill="auto"/>
            <w:vAlign w:val="center"/>
          </w:tcPr>
          <w:p w14:paraId="54C67523" w14:textId="77777777" w:rsidR="00E7427B" w:rsidRPr="008B3A69" w:rsidRDefault="00E7427B" w:rsidP="00051656">
            <w:pPr>
              <w:pStyle w:val="COMTableheadingrow"/>
              <w:keepLines/>
              <w:rPr>
                <w:snapToGrid w:val="0"/>
                <w:lang w:val="en-AU"/>
              </w:rPr>
            </w:pPr>
            <w:r w:rsidRPr="008B3A69">
              <w:rPr>
                <w:snapToGrid w:val="0"/>
                <w:lang w:val="en-AU"/>
              </w:rPr>
              <w:t>Subgroup</w:t>
            </w:r>
          </w:p>
        </w:tc>
        <w:tc>
          <w:tcPr>
            <w:tcW w:w="882" w:type="pct"/>
            <w:tcBorders>
              <w:left w:val="single" w:sz="4" w:space="0" w:color="auto"/>
              <w:right w:val="single" w:sz="4" w:space="0" w:color="auto"/>
            </w:tcBorders>
            <w:shd w:val="clear" w:color="auto" w:fill="auto"/>
            <w:vAlign w:val="center"/>
          </w:tcPr>
          <w:p w14:paraId="5C8896EE" w14:textId="567FCC85" w:rsidR="00E7427B" w:rsidRPr="008B3A69" w:rsidRDefault="00E7427B" w:rsidP="00051656">
            <w:pPr>
              <w:pStyle w:val="COMTableheadingrow"/>
              <w:keepLines/>
              <w:jc w:val="center"/>
              <w:rPr>
                <w:snapToGrid w:val="0"/>
                <w:lang w:val="en-AU"/>
              </w:rPr>
            </w:pPr>
            <w:r w:rsidRPr="008B3A69">
              <w:rPr>
                <w:snapToGrid w:val="0"/>
                <w:lang w:val="en-AU"/>
              </w:rPr>
              <w:t>Ravulizumab</w:t>
            </w:r>
          </w:p>
        </w:tc>
        <w:tc>
          <w:tcPr>
            <w:tcW w:w="883" w:type="pct"/>
            <w:tcBorders>
              <w:left w:val="single" w:sz="4" w:space="0" w:color="auto"/>
              <w:right w:val="single" w:sz="4" w:space="0" w:color="auto"/>
            </w:tcBorders>
            <w:shd w:val="clear" w:color="auto" w:fill="auto"/>
            <w:vAlign w:val="center"/>
          </w:tcPr>
          <w:p w14:paraId="7F1312C8" w14:textId="77777777" w:rsidR="00E7427B" w:rsidRPr="008B3A69" w:rsidRDefault="00E7427B" w:rsidP="00051656">
            <w:pPr>
              <w:pStyle w:val="COMTableheadingrow"/>
              <w:keepLines/>
              <w:jc w:val="center"/>
              <w:rPr>
                <w:snapToGrid w:val="0"/>
                <w:lang w:val="en-AU"/>
              </w:rPr>
            </w:pPr>
            <w:r w:rsidRPr="008B3A69">
              <w:rPr>
                <w:snapToGrid w:val="0"/>
                <w:lang w:val="en-AU"/>
              </w:rPr>
              <w:t>Placebo</w:t>
            </w:r>
          </w:p>
        </w:tc>
        <w:tc>
          <w:tcPr>
            <w:tcW w:w="1034" w:type="pct"/>
            <w:tcBorders>
              <w:left w:val="single" w:sz="4" w:space="0" w:color="auto"/>
            </w:tcBorders>
            <w:shd w:val="clear" w:color="auto" w:fill="auto"/>
            <w:vAlign w:val="center"/>
          </w:tcPr>
          <w:p w14:paraId="19C47932" w14:textId="77777777" w:rsidR="00E7427B" w:rsidRPr="008B3A69" w:rsidRDefault="00E7427B" w:rsidP="00051656">
            <w:pPr>
              <w:pStyle w:val="COMTableheadingrow"/>
              <w:keepLines/>
              <w:jc w:val="center"/>
              <w:rPr>
                <w:snapToGrid w:val="0"/>
                <w:lang w:val="en-AU"/>
              </w:rPr>
            </w:pPr>
            <w:r w:rsidRPr="008B3A69">
              <w:rPr>
                <w:snapToGrid w:val="0"/>
                <w:lang w:val="en-AU"/>
              </w:rPr>
              <w:t>Treatment difference</w:t>
            </w:r>
          </w:p>
        </w:tc>
      </w:tr>
      <w:tr w:rsidR="00E7427B" w:rsidRPr="008B3A69" w14:paraId="356CB9EA" w14:textId="77777777" w:rsidTr="003C3BCA">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026A1B75" w14:textId="65A36BE7" w:rsidR="00E7427B" w:rsidRPr="008B3A69" w:rsidRDefault="00E7427B" w:rsidP="00051656">
            <w:pPr>
              <w:pStyle w:val="COMTabletext"/>
              <w:keepLines/>
              <w:rPr>
                <w:snapToGrid w:val="0"/>
              </w:rPr>
            </w:pPr>
            <w:r w:rsidRPr="008B3A69">
              <w:rPr>
                <w:snapToGrid w:val="0"/>
              </w:rPr>
              <w:t xml:space="preserve">Proportion of patients with </w:t>
            </w:r>
            <w:r w:rsidR="00C9505A" w:rsidRPr="008B3A69">
              <w:rPr>
                <w:snapToGrid w:val="0"/>
              </w:rPr>
              <w:t>≥</w:t>
            </w:r>
            <w:r w:rsidRPr="008B3A69">
              <w:rPr>
                <w:snapToGrid w:val="0"/>
              </w:rPr>
              <w:t xml:space="preserve"> 2-point reduction in MG-ADL scores from baseline to Week </w:t>
            </w:r>
            <w:r w:rsidR="0004307F" w:rsidRPr="008B3A69">
              <w:rPr>
                <w:snapToGrid w:val="0"/>
              </w:rPr>
              <w:t>26</w:t>
            </w:r>
          </w:p>
        </w:tc>
        <w:tc>
          <w:tcPr>
            <w:tcW w:w="882" w:type="pct"/>
            <w:tcBorders>
              <w:top w:val="single" w:sz="4" w:space="0" w:color="auto"/>
              <w:left w:val="single" w:sz="4" w:space="0" w:color="auto"/>
              <w:bottom w:val="single" w:sz="4" w:space="0" w:color="auto"/>
              <w:right w:val="single" w:sz="4" w:space="0" w:color="auto"/>
            </w:tcBorders>
            <w:vAlign w:val="center"/>
          </w:tcPr>
          <w:p w14:paraId="3BAC1386" w14:textId="44110046" w:rsidR="00E7427B" w:rsidRPr="008B3A69" w:rsidRDefault="00BC666C" w:rsidP="00051656">
            <w:pPr>
              <w:pStyle w:val="COMTabletext"/>
              <w:keepLines/>
              <w:jc w:val="center"/>
              <w:rPr>
                <w:snapToGrid w:val="0"/>
              </w:rPr>
            </w:pPr>
            <w:r w:rsidRPr="008B3A69">
              <w:rPr>
                <w:snapToGrid w:val="0"/>
              </w:rPr>
              <w:t>63.9%</w:t>
            </w:r>
          </w:p>
        </w:tc>
        <w:tc>
          <w:tcPr>
            <w:tcW w:w="883" w:type="pct"/>
            <w:tcBorders>
              <w:top w:val="single" w:sz="4" w:space="0" w:color="auto"/>
              <w:left w:val="single" w:sz="4" w:space="0" w:color="auto"/>
              <w:bottom w:val="single" w:sz="4" w:space="0" w:color="auto"/>
              <w:right w:val="single" w:sz="4" w:space="0" w:color="auto"/>
            </w:tcBorders>
            <w:vAlign w:val="center"/>
          </w:tcPr>
          <w:p w14:paraId="5375C21D" w14:textId="6466498B" w:rsidR="00E7427B" w:rsidRPr="008B3A69" w:rsidRDefault="00BC666C" w:rsidP="00051656">
            <w:pPr>
              <w:pStyle w:val="COMTabletext"/>
              <w:keepLines/>
              <w:jc w:val="center"/>
              <w:rPr>
                <w:snapToGrid w:val="0"/>
              </w:rPr>
            </w:pPr>
            <w:r w:rsidRPr="008B3A69">
              <w:rPr>
                <w:snapToGrid w:val="0"/>
              </w:rPr>
              <w:t>53.0%</w:t>
            </w:r>
          </w:p>
        </w:tc>
        <w:tc>
          <w:tcPr>
            <w:tcW w:w="1034" w:type="pct"/>
            <w:tcBorders>
              <w:top w:val="single" w:sz="4" w:space="0" w:color="auto"/>
              <w:left w:val="single" w:sz="4" w:space="0" w:color="auto"/>
              <w:bottom w:val="single" w:sz="4" w:space="0" w:color="auto"/>
              <w:right w:val="single" w:sz="4" w:space="0" w:color="auto"/>
            </w:tcBorders>
            <w:vAlign w:val="center"/>
          </w:tcPr>
          <w:p w14:paraId="67A4B97C" w14:textId="5E6432AE" w:rsidR="00E7427B" w:rsidRPr="008B3A69" w:rsidRDefault="00BC666C" w:rsidP="00051656">
            <w:pPr>
              <w:pStyle w:val="COMTabletext"/>
              <w:keepLines/>
              <w:jc w:val="center"/>
              <w:rPr>
                <w:snapToGrid w:val="0"/>
              </w:rPr>
            </w:pPr>
            <w:r w:rsidRPr="008B3A69">
              <w:rPr>
                <w:snapToGrid w:val="0"/>
              </w:rPr>
              <w:t>10.9%</w:t>
            </w:r>
          </w:p>
        </w:tc>
      </w:tr>
      <w:tr w:rsidR="00E7427B" w:rsidRPr="008B3A69" w14:paraId="480538A6" w14:textId="77777777" w:rsidTr="003C3BCA">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2725271E" w14:textId="496F5F26" w:rsidR="00E7427B" w:rsidRPr="008B3A69" w:rsidRDefault="00E7427B" w:rsidP="00051656">
            <w:pPr>
              <w:pStyle w:val="COMTabletext"/>
              <w:keepLines/>
              <w:rPr>
                <w:snapToGrid w:val="0"/>
              </w:rPr>
            </w:pPr>
            <w:r w:rsidRPr="008B3A69">
              <w:rPr>
                <w:snapToGrid w:val="0"/>
              </w:rPr>
              <w:t xml:space="preserve">Proportion of patients with </w:t>
            </w:r>
            <w:r w:rsidR="003A6EE7" w:rsidRPr="008B3A69">
              <w:rPr>
                <w:snapToGrid w:val="0"/>
              </w:rPr>
              <w:t>≥</w:t>
            </w:r>
            <w:r w:rsidRPr="008B3A69">
              <w:rPr>
                <w:snapToGrid w:val="0"/>
              </w:rPr>
              <w:t xml:space="preserve"> 3-point reduction in MG-ADL scores from baseline to Week </w:t>
            </w:r>
            <w:r w:rsidR="0004307F" w:rsidRPr="008B3A69">
              <w:rPr>
                <w:snapToGrid w:val="0"/>
              </w:rPr>
              <w:t>26</w:t>
            </w:r>
          </w:p>
        </w:tc>
        <w:tc>
          <w:tcPr>
            <w:tcW w:w="882" w:type="pct"/>
            <w:tcBorders>
              <w:top w:val="single" w:sz="4" w:space="0" w:color="auto"/>
              <w:left w:val="single" w:sz="4" w:space="0" w:color="auto"/>
              <w:bottom w:val="single" w:sz="4" w:space="0" w:color="auto"/>
              <w:right w:val="single" w:sz="4" w:space="0" w:color="auto"/>
            </w:tcBorders>
            <w:vAlign w:val="center"/>
          </w:tcPr>
          <w:p w14:paraId="575A6CF5" w14:textId="5BD3E755" w:rsidR="00E7427B" w:rsidRPr="008B3A69" w:rsidRDefault="00BC666C" w:rsidP="00051656">
            <w:pPr>
              <w:pStyle w:val="COMTabletext"/>
              <w:keepLines/>
              <w:jc w:val="center"/>
              <w:rPr>
                <w:snapToGrid w:val="0"/>
              </w:rPr>
            </w:pPr>
            <w:r w:rsidRPr="008B3A69">
              <w:rPr>
                <w:snapToGrid w:val="0"/>
              </w:rPr>
              <w:t>56.7%</w:t>
            </w:r>
          </w:p>
        </w:tc>
        <w:tc>
          <w:tcPr>
            <w:tcW w:w="883" w:type="pct"/>
            <w:tcBorders>
              <w:top w:val="single" w:sz="4" w:space="0" w:color="auto"/>
              <w:left w:val="single" w:sz="4" w:space="0" w:color="auto"/>
              <w:bottom w:val="single" w:sz="4" w:space="0" w:color="auto"/>
              <w:right w:val="single" w:sz="4" w:space="0" w:color="auto"/>
            </w:tcBorders>
            <w:vAlign w:val="center"/>
          </w:tcPr>
          <w:p w14:paraId="4312E2A6" w14:textId="127F8036" w:rsidR="00E7427B" w:rsidRPr="008B3A69" w:rsidRDefault="00BC666C" w:rsidP="00051656">
            <w:pPr>
              <w:pStyle w:val="COMTabletext"/>
              <w:keepLines/>
              <w:jc w:val="center"/>
              <w:rPr>
                <w:snapToGrid w:val="0"/>
              </w:rPr>
            </w:pPr>
            <w:r w:rsidRPr="008B3A69">
              <w:rPr>
                <w:snapToGrid w:val="0"/>
              </w:rPr>
              <w:t>34.1%</w:t>
            </w:r>
          </w:p>
        </w:tc>
        <w:tc>
          <w:tcPr>
            <w:tcW w:w="1034" w:type="pct"/>
            <w:tcBorders>
              <w:top w:val="single" w:sz="4" w:space="0" w:color="auto"/>
              <w:left w:val="single" w:sz="4" w:space="0" w:color="auto"/>
              <w:bottom w:val="single" w:sz="4" w:space="0" w:color="auto"/>
              <w:right w:val="single" w:sz="4" w:space="0" w:color="auto"/>
            </w:tcBorders>
            <w:vAlign w:val="center"/>
          </w:tcPr>
          <w:p w14:paraId="468DC682" w14:textId="1663E921" w:rsidR="00E7427B" w:rsidRPr="008B3A69" w:rsidRDefault="00BC666C" w:rsidP="00051656">
            <w:pPr>
              <w:pStyle w:val="COMTabletext"/>
              <w:keepLines/>
              <w:jc w:val="center"/>
              <w:rPr>
                <w:snapToGrid w:val="0"/>
              </w:rPr>
            </w:pPr>
            <w:r w:rsidRPr="008B3A69">
              <w:rPr>
                <w:snapToGrid w:val="0"/>
              </w:rPr>
              <w:t>22.6%</w:t>
            </w:r>
          </w:p>
        </w:tc>
      </w:tr>
      <w:tr w:rsidR="00E7427B" w:rsidRPr="008B3A69" w14:paraId="63212834" w14:textId="77777777" w:rsidTr="003C3BCA">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069B3924" w14:textId="50A213AA" w:rsidR="00E7427B" w:rsidRPr="008B3A69" w:rsidRDefault="00E7427B" w:rsidP="00051656">
            <w:pPr>
              <w:pStyle w:val="COMTabletext"/>
              <w:keepLines/>
              <w:rPr>
                <w:snapToGrid w:val="0"/>
              </w:rPr>
            </w:pPr>
            <w:r w:rsidRPr="008B3A69">
              <w:rPr>
                <w:snapToGrid w:val="0"/>
              </w:rPr>
              <w:t xml:space="preserve">Proportion of patients with </w:t>
            </w:r>
            <w:r w:rsidR="003A6EE7" w:rsidRPr="008B3A69">
              <w:rPr>
                <w:snapToGrid w:val="0"/>
              </w:rPr>
              <w:t>≥</w:t>
            </w:r>
            <w:r w:rsidRPr="008B3A69">
              <w:rPr>
                <w:snapToGrid w:val="0"/>
              </w:rPr>
              <w:t xml:space="preserve"> 3-point reduction in QMG scores from baseline to Week </w:t>
            </w:r>
            <w:r w:rsidR="0004307F" w:rsidRPr="008B3A69">
              <w:rPr>
                <w:snapToGrid w:val="0"/>
              </w:rPr>
              <w:t>26</w:t>
            </w:r>
          </w:p>
        </w:tc>
        <w:tc>
          <w:tcPr>
            <w:tcW w:w="882" w:type="pct"/>
            <w:tcBorders>
              <w:top w:val="single" w:sz="4" w:space="0" w:color="auto"/>
              <w:left w:val="single" w:sz="4" w:space="0" w:color="auto"/>
              <w:bottom w:val="single" w:sz="4" w:space="0" w:color="auto"/>
              <w:right w:val="single" w:sz="4" w:space="0" w:color="auto"/>
            </w:tcBorders>
            <w:vAlign w:val="center"/>
          </w:tcPr>
          <w:p w14:paraId="0BEBC4F1" w14:textId="1C03B354" w:rsidR="00E7427B" w:rsidRPr="008B3A69" w:rsidRDefault="00BC666C" w:rsidP="00051656">
            <w:pPr>
              <w:pStyle w:val="COMTabletext"/>
              <w:keepLines/>
              <w:jc w:val="center"/>
              <w:rPr>
                <w:snapToGrid w:val="0"/>
              </w:rPr>
            </w:pPr>
            <w:r w:rsidRPr="008B3A69">
              <w:rPr>
                <w:snapToGrid w:val="0"/>
              </w:rPr>
              <w:t>44.8%</w:t>
            </w:r>
          </w:p>
        </w:tc>
        <w:tc>
          <w:tcPr>
            <w:tcW w:w="883" w:type="pct"/>
            <w:tcBorders>
              <w:top w:val="single" w:sz="4" w:space="0" w:color="auto"/>
              <w:left w:val="single" w:sz="4" w:space="0" w:color="auto"/>
              <w:bottom w:val="single" w:sz="4" w:space="0" w:color="auto"/>
              <w:right w:val="single" w:sz="4" w:space="0" w:color="auto"/>
            </w:tcBorders>
            <w:vAlign w:val="center"/>
          </w:tcPr>
          <w:p w14:paraId="6EEF0121" w14:textId="71CAB1C7" w:rsidR="00E7427B" w:rsidRPr="008B3A69" w:rsidRDefault="00BC666C" w:rsidP="00051656">
            <w:pPr>
              <w:pStyle w:val="COMTabletext"/>
              <w:keepLines/>
              <w:jc w:val="center"/>
              <w:rPr>
                <w:snapToGrid w:val="0"/>
              </w:rPr>
            </w:pPr>
            <w:r w:rsidRPr="008B3A69">
              <w:rPr>
                <w:snapToGrid w:val="0"/>
              </w:rPr>
              <w:t>24.2%</w:t>
            </w:r>
          </w:p>
        </w:tc>
        <w:tc>
          <w:tcPr>
            <w:tcW w:w="1034" w:type="pct"/>
            <w:tcBorders>
              <w:top w:val="single" w:sz="4" w:space="0" w:color="auto"/>
              <w:left w:val="single" w:sz="4" w:space="0" w:color="auto"/>
              <w:bottom w:val="single" w:sz="4" w:space="0" w:color="auto"/>
              <w:right w:val="single" w:sz="4" w:space="0" w:color="auto"/>
            </w:tcBorders>
            <w:vAlign w:val="center"/>
          </w:tcPr>
          <w:p w14:paraId="620B35F0" w14:textId="34720CDA" w:rsidR="00E7427B" w:rsidRPr="008B3A69" w:rsidRDefault="00BC666C" w:rsidP="00051656">
            <w:pPr>
              <w:pStyle w:val="COMTabletext"/>
              <w:keepLines/>
              <w:jc w:val="center"/>
              <w:rPr>
                <w:snapToGrid w:val="0"/>
              </w:rPr>
            </w:pPr>
            <w:r w:rsidRPr="008B3A69">
              <w:rPr>
                <w:snapToGrid w:val="0"/>
              </w:rPr>
              <w:t>20.6%</w:t>
            </w:r>
          </w:p>
        </w:tc>
      </w:tr>
      <w:tr w:rsidR="00E7427B" w:rsidRPr="008B3A69" w14:paraId="0EA8FCC4" w14:textId="77777777" w:rsidTr="003C3BCA">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56D1A897" w14:textId="74D938F2" w:rsidR="00E7427B" w:rsidRPr="008B3A69" w:rsidRDefault="00E7427B" w:rsidP="00051656">
            <w:pPr>
              <w:pStyle w:val="COMTabletext"/>
              <w:keepLines/>
              <w:rPr>
                <w:snapToGrid w:val="0"/>
              </w:rPr>
            </w:pPr>
            <w:r w:rsidRPr="008B3A69">
              <w:rPr>
                <w:snapToGrid w:val="0"/>
              </w:rPr>
              <w:t xml:space="preserve">Proportion of patients with </w:t>
            </w:r>
            <w:r w:rsidR="003A6EE7" w:rsidRPr="008B3A69">
              <w:rPr>
                <w:snapToGrid w:val="0"/>
              </w:rPr>
              <w:t>≥</w:t>
            </w:r>
            <w:r w:rsidRPr="008B3A69">
              <w:rPr>
                <w:snapToGrid w:val="0"/>
              </w:rPr>
              <w:t xml:space="preserve"> 5-point reduction in QMG scores from baseline to Week </w:t>
            </w:r>
            <w:r w:rsidR="0004307F" w:rsidRPr="008B3A69">
              <w:rPr>
                <w:snapToGrid w:val="0"/>
              </w:rPr>
              <w:t>26</w:t>
            </w:r>
          </w:p>
        </w:tc>
        <w:tc>
          <w:tcPr>
            <w:tcW w:w="882" w:type="pct"/>
            <w:tcBorders>
              <w:top w:val="single" w:sz="4" w:space="0" w:color="auto"/>
              <w:left w:val="single" w:sz="4" w:space="0" w:color="auto"/>
              <w:bottom w:val="single" w:sz="4" w:space="0" w:color="auto"/>
              <w:right w:val="single" w:sz="4" w:space="0" w:color="auto"/>
            </w:tcBorders>
            <w:vAlign w:val="center"/>
          </w:tcPr>
          <w:p w14:paraId="443D8FE2" w14:textId="17973459" w:rsidR="00E7427B" w:rsidRPr="008B3A69" w:rsidRDefault="00BC666C" w:rsidP="00051656">
            <w:pPr>
              <w:pStyle w:val="COMTabletext"/>
              <w:keepLines/>
              <w:jc w:val="center"/>
              <w:rPr>
                <w:snapToGrid w:val="0"/>
              </w:rPr>
            </w:pPr>
            <w:r w:rsidRPr="008B3A69">
              <w:rPr>
                <w:snapToGrid w:val="0"/>
              </w:rPr>
              <w:t>30.0%</w:t>
            </w:r>
          </w:p>
        </w:tc>
        <w:tc>
          <w:tcPr>
            <w:tcW w:w="883" w:type="pct"/>
            <w:tcBorders>
              <w:top w:val="single" w:sz="4" w:space="0" w:color="auto"/>
              <w:left w:val="single" w:sz="4" w:space="0" w:color="auto"/>
              <w:bottom w:val="single" w:sz="4" w:space="0" w:color="auto"/>
              <w:right w:val="single" w:sz="4" w:space="0" w:color="auto"/>
            </w:tcBorders>
            <w:vAlign w:val="center"/>
          </w:tcPr>
          <w:p w14:paraId="08C5A194" w14:textId="1F198958" w:rsidR="00E7427B" w:rsidRPr="008B3A69" w:rsidRDefault="00BC666C" w:rsidP="00051656">
            <w:pPr>
              <w:pStyle w:val="COMTabletext"/>
              <w:keepLines/>
              <w:jc w:val="center"/>
              <w:rPr>
                <w:snapToGrid w:val="0"/>
              </w:rPr>
            </w:pPr>
            <w:r w:rsidRPr="008B3A69">
              <w:rPr>
                <w:snapToGrid w:val="0"/>
              </w:rPr>
              <w:t>11.3%</w:t>
            </w:r>
          </w:p>
        </w:tc>
        <w:tc>
          <w:tcPr>
            <w:tcW w:w="1034" w:type="pct"/>
            <w:tcBorders>
              <w:top w:val="single" w:sz="4" w:space="0" w:color="auto"/>
              <w:left w:val="single" w:sz="4" w:space="0" w:color="auto"/>
              <w:bottom w:val="single" w:sz="4" w:space="0" w:color="auto"/>
              <w:right w:val="single" w:sz="4" w:space="0" w:color="auto"/>
            </w:tcBorders>
            <w:vAlign w:val="center"/>
          </w:tcPr>
          <w:p w14:paraId="20D46164" w14:textId="4813A371" w:rsidR="00E7427B" w:rsidRPr="008B3A69" w:rsidRDefault="00BC666C" w:rsidP="00051656">
            <w:pPr>
              <w:pStyle w:val="COMTabletext"/>
              <w:keepLines/>
              <w:jc w:val="center"/>
              <w:rPr>
                <w:snapToGrid w:val="0"/>
              </w:rPr>
            </w:pPr>
            <w:r w:rsidRPr="008B3A69">
              <w:rPr>
                <w:snapToGrid w:val="0"/>
              </w:rPr>
              <w:t>18.7%</w:t>
            </w:r>
          </w:p>
        </w:tc>
      </w:tr>
      <w:tr w:rsidR="00E7427B" w:rsidRPr="008B3A69" w14:paraId="6B885089" w14:textId="77777777" w:rsidTr="003C3BCA">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279C0DEF" w14:textId="4C6A9419" w:rsidR="00E7427B" w:rsidRPr="008B3A69" w:rsidRDefault="00E7427B" w:rsidP="00051656">
            <w:pPr>
              <w:pStyle w:val="COMTabletext"/>
              <w:keepLines/>
              <w:rPr>
                <w:snapToGrid w:val="0"/>
              </w:rPr>
            </w:pPr>
            <w:r w:rsidRPr="008B3A69">
              <w:rPr>
                <w:snapToGrid w:val="0"/>
              </w:rPr>
              <w:t xml:space="preserve">Proportion of patients with </w:t>
            </w:r>
            <w:r w:rsidR="003A6EE7" w:rsidRPr="008B3A69">
              <w:rPr>
                <w:snapToGrid w:val="0"/>
              </w:rPr>
              <w:t>≥</w:t>
            </w:r>
            <w:r w:rsidRPr="008B3A69">
              <w:rPr>
                <w:snapToGrid w:val="0"/>
              </w:rPr>
              <w:t xml:space="preserve"> 3-point reduction in MGC scores from baseline to Week </w:t>
            </w:r>
            <w:r w:rsidR="0004307F" w:rsidRPr="008B3A69">
              <w:rPr>
                <w:snapToGrid w:val="0"/>
              </w:rPr>
              <w:t>26</w:t>
            </w:r>
          </w:p>
        </w:tc>
        <w:tc>
          <w:tcPr>
            <w:tcW w:w="882" w:type="pct"/>
            <w:tcBorders>
              <w:top w:val="single" w:sz="4" w:space="0" w:color="auto"/>
              <w:left w:val="single" w:sz="4" w:space="0" w:color="auto"/>
              <w:bottom w:val="single" w:sz="4" w:space="0" w:color="auto"/>
              <w:right w:val="single" w:sz="4" w:space="0" w:color="auto"/>
            </w:tcBorders>
            <w:vAlign w:val="center"/>
          </w:tcPr>
          <w:p w14:paraId="28CF5EB8" w14:textId="3EC633E2" w:rsidR="00E7427B" w:rsidRPr="008B3A69" w:rsidRDefault="003C3BCA" w:rsidP="00051656">
            <w:pPr>
              <w:pStyle w:val="COMTabletext"/>
              <w:keepLines/>
              <w:jc w:val="center"/>
              <w:rPr>
                <w:snapToGrid w:val="0"/>
              </w:rPr>
            </w:pPr>
            <w:r w:rsidRPr="008B3A69">
              <w:rPr>
                <w:snapToGrid w:val="0"/>
              </w:rPr>
              <w:t>71.1%</w:t>
            </w:r>
          </w:p>
        </w:tc>
        <w:tc>
          <w:tcPr>
            <w:tcW w:w="883" w:type="pct"/>
            <w:tcBorders>
              <w:top w:val="single" w:sz="4" w:space="0" w:color="auto"/>
              <w:left w:val="single" w:sz="4" w:space="0" w:color="auto"/>
              <w:bottom w:val="single" w:sz="4" w:space="0" w:color="auto"/>
              <w:right w:val="single" w:sz="4" w:space="0" w:color="auto"/>
            </w:tcBorders>
            <w:vAlign w:val="center"/>
          </w:tcPr>
          <w:p w14:paraId="36718AF7" w14:textId="27317C28" w:rsidR="00E7427B" w:rsidRPr="008B3A69" w:rsidRDefault="003C3BCA" w:rsidP="00051656">
            <w:pPr>
              <w:pStyle w:val="COMTabletext"/>
              <w:keepLines/>
              <w:jc w:val="center"/>
              <w:rPr>
                <w:snapToGrid w:val="0"/>
              </w:rPr>
            </w:pPr>
            <w:r w:rsidRPr="008B3A69">
              <w:rPr>
                <w:snapToGrid w:val="0"/>
              </w:rPr>
              <w:t>50.3%</w:t>
            </w:r>
          </w:p>
        </w:tc>
        <w:tc>
          <w:tcPr>
            <w:tcW w:w="1034" w:type="pct"/>
            <w:tcBorders>
              <w:top w:val="single" w:sz="4" w:space="0" w:color="auto"/>
              <w:left w:val="single" w:sz="4" w:space="0" w:color="auto"/>
              <w:bottom w:val="single" w:sz="4" w:space="0" w:color="auto"/>
              <w:right w:val="single" w:sz="4" w:space="0" w:color="auto"/>
            </w:tcBorders>
            <w:vAlign w:val="center"/>
          </w:tcPr>
          <w:p w14:paraId="3CED0291" w14:textId="489DB6B8" w:rsidR="00E7427B" w:rsidRPr="008B3A69" w:rsidRDefault="003C3BCA" w:rsidP="00051656">
            <w:pPr>
              <w:pStyle w:val="COMTabletext"/>
              <w:keepLines/>
              <w:jc w:val="center"/>
              <w:rPr>
                <w:snapToGrid w:val="0"/>
              </w:rPr>
            </w:pPr>
            <w:r w:rsidRPr="008B3A69">
              <w:rPr>
                <w:snapToGrid w:val="0"/>
              </w:rPr>
              <w:t>20.8%</w:t>
            </w:r>
          </w:p>
        </w:tc>
      </w:tr>
      <w:tr w:rsidR="00E7427B" w:rsidRPr="008B3A69" w14:paraId="7E8333BF" w14:textId="77777777" w:rsidTr="003C3BCA">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0B5B26D4" w14:textId="0B954F1B" w:rsidR="00E7427B" w:rsidRPr="008B3A69" w:rsidRDefault="00E7427B" w:rsidP="00051656">
            <w:pPr>
              <w:pStyle w:val="COMTabletext"/>
              <w:keepLines/>
              <w:rPr>
                <w:snapToGrid w:val="0"/>
              </w:rPr>
            </w:pPr>
            <w:r w:rsidRPr="008B3A69">
              <w:rPr>
                <w:snapToGrid w:val="0"/>
              </w:rPr>
              <w:t>Proportion of patients with serious adverse events</w:t>
            </w:r>
          </w:p>
        </w:tc>
        <w:tc>
          <w:tcPr>
            <w:tcW w:w="882" w:type="pct"/>
            <w:tcBorders>
              <w:top w:val="single" w:sz="4" w:space="0" w:color="auto"/>
              <w:left w:val="single" w:sz="4" w:space="0" w:color="auto"/>
              <w:bottom w:val="single" w:sz="4" w:space="0" w:color="auto"/>
              <w:right w:val="single" w:sz="4" w:space="0" w:color="auto"/>
            </w:tcBorders>
            <w:vAlign w:val="center"/>
          </w:tcPr>
          <w:p w14:paraId="42ED436B" w14:textId="2B9B7CC1" w:rsidR="00E7427B" w:rsidRPr="008B3A69" w:rsidRDefault="00BC666C" w:rsidP="00051656">
            <w:pPr>
              <w:pStyle w:val="COMTabletext"/>
              <w:keepLines/>
              <w:jc w:val="center"/>
              <w:rPr>
                <w:snapToGrid w:val="0"/>
              </w:rPr>
            </w:pPr>
            <w:r w:rsidRPr="008B3A69">
              <w:rPr>
                <w:snapToGrid w:val="0"/>
              </w:rPr>
              <w:t>23.3%</w:t>
            </w:r>
          </w:p>
        </w:tc>
        <w:tc>
          <w:tcPr>
            <w:tcW w:w="883" w:type="pct"/>
            <w:tcBorders>
              <w:top w:val="single" w:sz="4" w:space="0" w:color="auto"/>
              <w:left w:val="single" w:sz="4" w:space="0" w:color="auto"/>
              <w:bottom w:val="single" w:sz="4" w:space="0" w:color="auto"/>
              <w:right w:val="single" w:sz="4" w:space="0" w:color="auto"/>
            </w:tcBorders>
            <w:vAlign w:val="center"/>
          </w:tcPr>
          <w:p w14:paraId="234046C0" w14:textId="44EB1304" w:rsidR="00E7427B" w:rsidRPr="008B3A69" w:rsidRDefault="00BC666C" w:rsidP="00051656">
            <w:pPr>
              <w:pStyle w:val="COMTabletext"/>
              <w:keepLines/>
              <w:jc w:val="center"/>
              <w:rPr>
                <w:snapToGrid w:val="0"/>
              </w:rPr>
            </w:pPr>
            <w:r w:rsidRPr="008B3A69">
              <w:rPr>
                <w:snapToGrid w:val="0"/>
              </w:rPr>
              <w:t>15.7%</w:t>
            </w:r>
          </w:p>
        </w:tc>
        <w:tc>
          <w:tcPr>
            <w:tcW w:w="1034" w:type="pct"/>
            <w:tcBorders>
              <w:top w:val="single" w:sz="4" w:space="0" w:color="auto"/>
              <w:left w:val="single" w:sz="4" w:space="0" w:color="auto"/>
              <w:bottom w:val="single" w:sz="4" w:space="0" w:color="auto"/>
              <w:right w:val="single" w:sz="4" w:space="0" w:color="auto"/>
            </w:tcBorders>
            <w:vAlign w:val="center"/>
          </w:tcPr>
          <w:p w14:paraId="73E6F649" w14:textId="4E1649A2" w:rsidR="00E7427B" w:rsidRPr="008B3A69" w:rsidRDefault="00BC666C" w:rsidP="00051656">
            <w:pPr>
              <w:pStyle w:val="COMTabletext"/>
              <w:keepLines/>
              <w:jc w:val="center"/>
              <w:rPr>
                <w:snapToGrid w:val="0"/>
              </w:rPr>
            </w:pPr>
            <w:r w:rsidRPr="008B3A69">
              <w:rPr>
                <w:snapToGrid w:val="0"/>
              </w:rPr>
              <w:t>7.6%</w:t>
            </w:r>
          </w:p>
        </w:tc>
      </w:tr>
      <w:tr w:rsidR="00D47047" w:rsidRPr="008B3A69" w14:paraId="6D5181EF" w14:textId="77777777" w:rsidTr="003C3BCA">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0FF3B4D3" w14:textId="5FD80C6E" w:rsidR="00667469" w:rsidRPr="008B3A69" w:rsidRDefault="00667469" w:rsidP="00051656">
            <w:pPr>
              <w:pStyle w:val="COMTabletext"/>
              <w:keepLines/>
              <w:rPr>
                <w:snapToGrid w:val="0"/>
              </w:rPr>
            </w:pPr>
            <w:r w:rsidRPr="008B3A69">
              <w:rPr>
                <w:snapToGrid w:val="0"/>
              </w:rPr>
              <w:t>Proportion of patients with a treatment-emergent infection</w:t>
            </w:r>
          </w:p>
        </w:tc>
        <w:tc>
          <w:tcPr>
            <w:tcW w:w="882" w:type="pct"/>
            <w:tcBorders>
              <w:top w:val="single" w:sz="4" w:space="0" w:color="auto"/>
              <w:left w:val="single" w:sz="4" w:space="0" w:color="auto"/>
              <w:bottom w:val="single" w:sz="4" w:space="0" w:color="auto"/>
              <w:right w:val="single" w:sz="4" w:space="0" w:color="auto"/>
            </w:tcBorders>
            <w:vAlign w:val="center"/>
          </w:tcPr>
          <w:p w14:paraId="136CC245" w14:textId="25F14843" w:rsidR="00667469" w:rsidRPr="008B3A69" w:rsidRDefault="00667469" w:rsidP="00051656">
            <w:pPr>
              <w:pStyle w:val="COMTabletext"/>
              <w:keepLines/>
              <w:jc w:val="center"/>
              <w:rPr>
                <w:snapToGrid w:val="0"/>
              </w:rPr>
            </w:pPr>
            <w:r w:rsidRPr="008B3A69">
              <w:rPr>
                <w:snapToGrid w:val="0"/>
              </w:rPr>
              <w:t>44.2%</w:t>
            </w:r>
          </w:p>
        </w:tc>
        <w:tc>
          <w:tcPr>
            <w:tcW w:w="883" w:type="pct"/>
            <w:tcBorders>
              <w:top w:val="single" w:sz="4" w:space="0" w:color="auto"/>
              <w:left w:val="single" w:sz="4" w:space="0" w:color="auto"/>
              <w:bottom w:val="single" w:sz="4" w:space="0" w:color="auto"/>
              <w:right w:val="single" w:sz="4" w:space="0" w:color="auto"/>
            </w:tcBorders>
            <w:vAlign w:val="center"/>
          </w:tcPr>
          <w:p w14:paraId="4E658CB5" w14:textId="2A1107D2" w:rsidR="00667469" w:rsidRPr="008B3A69" w:rsidRDefault="00667469" w:rsidP="00051656">
            <w:pPr>
              <w:pStyle w:val="COMTabletext"/>
              <w:keepLines/>
              <w:jc w:val="center"/>
              <w:rPr>
                <w:snapToGrid w:val="0"/>
              </w:rPr>
            </w:pPr>
            <w:r w:rsidRPr="008B3A69">
              <w:rPr>
                <w:snapToGrid w:val="0"/>
              </w:rPr>
              <w:t>31.5%</w:t>
            </w:r>
          </w:p>
        </w:tc>
        <w:tc>
          <w:tcPr>
            <w:tcW w:w="1034" w:type="pct"/>
            <w:tcBorders>
              <w:top w:val="single" w:sz="4" w:space="0" w:color="auto"/>
              <w:left w:val="single" w:sz="4" w:space="0" w:color="auto"/>
              <w:bottom w:val="single" w:sz="4" w:space="0" w:color="auto"/>
              <w:right w:val="single" w:sz="4" w:space="0" w:color="auto"/>
            </w:tcBorders>
            <w:vAlign w:val="center"/>
          </w:tcPr>
          <w:p w14:paraId="28D3EC13" w14:textId="32E9DC10" w:rsidR="00667469" w:rsidRPr="008B3A69" w:rsidRDefault="00667469" w:rsidP="00051656">
            <w:pPr>
              <w:pStyle w:val="COMTabletext"/>
              <w:keepLines/>
              <w:jc w:val="center"/>
              <w:rPr>
                <w:snapToGrid w:val="0"/>
              </w:rPr>
            </w:pPr>
            <w:r w:rsidRPr="008B3A69">
              <w:rPr>
                <w:snapToGrid w:val="0"/>
              </w:rPr>
              <w:t>12.7%</w:t>
            </w:r>
          </w:p>
        </w:tc>
      </w:tr>
    </w:tbl>
    <w:p w14:paraId="66C4943E" w14:textId="60A0E6B1" w:rsidR="00E7427B" w:rsidRPr="008B3A69" w:rsidRDefault="00E7427B" w:rsidP="00051656">
      <w:pPr>
        <w:pStyle w:val="COMTablefooter"/>
        <w:keepNext/>
        <w:keepLines/>
      </w:pPr>
      <w:r w:rsidRPr="008B3A69">
        <w:t xml:space="preserve">Source: </w:t>
      </w:r>
      <w:r w:rsidR="003C3BCA" w:rsidRPr="008B3A69">
        <w:t>Figure 2-10, p83; Section 2.5.1.2.4, p84; Table 2-21, p85; Table 2-26, p91</w:t>
      </w:r>
      <w:r w:rsidR="00667469" w:rsidRPr="008B3A69">
        <w:t xml:space="preserve">; Table 2-28, pp92-93 </w:t>
      </w:r>
      <w:r w:rsidR="003C3BCA" w:rsidRPr="008B3A69">
        <w:t>of the submission</w:t>
      </w:r>
    </w:p>
    <w:p w14:paraId="1E77FFBE" w14:textId="2FC06A69" w:rsidR="00E7427B" w:rsidRPr="008B3A69" w:rsidRDefault="003C3BCA" w:rsidP="00051656">
      <w:pPr>
        <w:pStyle w:val="COMTablefooter"/>
        <w:keepNext/>
        <w:keepLines/>
      </w:pPr>
      <w:r w:rsidRPr="008B3A69">
        <w:t>Abbreviations: MG-ADL, Myasthenia Gravis Activities of Daily Living; MGC, myasthenia gravis composite score; QMG, Quantitative Myasthenia Gravis scor</w:t>
      </w:r>
    </w:p>
    <w:p w14:paraId="16168EA6" w14:textId="72D3C861" w:rsidR="00E7427B" w:rsidRPr="008B3A69" w:rsidRDefault="00E7427B" w:rsidP="00051656">
      <w:pPr>
        <w:pStyle w:val="COMTablefooter"/>
        <w:keepNext/>
        <w:keepLines/>
      </w:pPr>
      <w:r w:rsidRPr="008B3A69">
        <w:t xml:space="preserve">Note: </w:t>
      </w:r>
      <w:r w:rsidR="003C3BCA" w:rsidRPr="008B3A69">
        <w:t>All changes in functional measures met or exceed the nominated minimal clinically important difference for each outcome</w:t>
      </w:r>
      <w:r w:rsidR="00056D9E" w:rsidRPr="008B3A69">
        <w:t xml:space="preserve"> (MCID for MG-ADL ≥ 2 point reduction; MCID for QMG ≥ 3 point reduction; MCID for MGC ≥ 3 point reduction). The proportion of patients with ≥ 3 point reduction in MG-ADL and the proportion of patients with ≥ 5 point reduction in QMG were key secondary outcomes of the CHAMPION-MG trial. The other thresholds were reported as exploratory outcomes.</w:t>
      </w:r>
    </w:p>
    <w:p w14:paraId="7E475028" w14:textId="48B3A0E8" w:rsidR="00E33957" w:rsidRPr="008B3A69" w:rsidRDefault="00E33957" w:rsidP="00E33957">
      <w:pPr>
        <w:pStyle w:val="COMexecsumnumberedpara"/>
      </w:pPr>
      <w:r w:rsidRPr="008B3A69">
        <w:t>On the basis of direct evidence presented in the submission, for every 100 patients treated with ravulizumab in comparison with placebo for 26 weeks:</w:t>
      </w:r>
    </w:p>
    <w:p w14:paraId="10DB194D" w14:textId="2EF265EE" w:rsidR="00E33957" w:rsidRPr="008B3A69" w:rsidRDefault="00E33957" w:rsidP="00CF4D0B">
      <w:pPr>
        <w:pStyle w:val="COMexecsummbulletlist"/>
        <w:ind w:left="1134"/>
      </w:pPr>
      <w:r w:rsidRPr="008B3A69">
        <w:t>Approximately 11 additional patients would experience a clinically important improvement in functional outcomes</w:t>
      </w:r>
      <w:r w:rsidR="006506E6" w:rsidRPr="008B3A69">
        <w:rPr>
          <w:u w:val="single"/>
        </w:rPr>
        <w:t xml:space="preserve"> </w:t>
      </w:r>
      <w:r w:rsidR="006506E6" w:rsidRPr="008B3A69">
        <w:t>(&gt; 2-point reduction in MG-ADL scores)</w:t>
      </w:r>
      <w:r w:rsidRPr="008B3A69">
        <w:t xml:space="preserve">. </w:t>
      </w:r>
    </w:p>
    <w:p w14:paraId="6DD4A2AC" w14:textId="0776552B" w:rsidR="00E33957" w:rsidRPr="008B3A69" w:rsidRDefault="00E33957" w:rsidP="00CF4D0B">
      <w:pPr>
        <w:pStyle w:val="COMexecsummbulletlist"/>
        <w:ind w:left="1134"/>
      </w:pPr>
      <w:r w:rsidRPr="008B3A69">
        <w:t>Approximately 8 additional patients would experience a serious adverse event.</w:t>
      </w:r>
    </w:p>
    <w:p w14:paraId="785ACFD0" w14:textId="3B8C9448" w:rsidR="00667469" w:rsidRPr="008B3A69" w:rsidRDefault="00667469" w:rsidP="00CF4D0B">
      <w:pPr>
        <w:pStyle w:val="COMexecsummbulletlist"/>
        <w:ind w:left="1134"/>
      </w:pPr>
      <w:r w:rsidRPr="008B3A69">
        <w:t>Approximately 13 additional patients would experience an infection (treatment-emergent).</w:t>
      </w:r>
    </w:p>
    <w:p w14:paraId="7A1772B6" w14:textId="21023AE6" w:rsidR="00B60939" w:rsidRPr="008B3A69" w:rsidRDefault="00B60939" w:rsidP="00E9094A">
      <w:pPr>
        <w:pStyle w:val="COMH2-non-numbered"/>
        <w:rPr>
          <w:iCs/>
        </w:rPr>
      </w:pPr>
      <w:bookmarkStart w:id="47" w:name="_Toc22897644"/>
      <w:bookmarkStart w:id="48" w:name="_Toc156986105"/>
      <w:r w:rsidRPr="008B3A69">
        <w:rPr>
          <w:iCs/>
        </w:rPr>
        <w:t>Clinical claim</w:t>
      </w:r>
      <w:bookmarkEnd w:id="47"/>
      <w:bookmarkEnd w:id="48"/>
    </w:p>
    <w:p w14:paraId="1B747132" w14:textId="19C6860C" w:rsidR="00A62F40" w:rsidRPr="008B3A69" w:rsidRDefault="0088200E" w:rsidP="00E9094A">
      <w:pPr>
        <w:pStyle w:val="COMexecsumnumberedpara"/>
      </w:pPr>
      <w:r w:rsidRPr="008B3A69">
        <w:t>The submission described ravulizumab in combination with standard therapy as superior in terms of efficacy and inferior in terms of safety compared to placebo in combination with standard therapy.</w:t>
      </w:r>
      <w:r w:rsidR="00A62F40" w:rsidRPr="008B3A69">
        <w:t xml:space="preserve"> </w:t>
      </w:r>
      <w:r w:rsidR="003B0804">
        <w:t>The evaluation and the ESC considered that, w</w:t>
      </w:r>
      <w:r w:rsidR="00A62F40" w:rsidRPr="008B3A69">
        <w:t>hile t</w:t>
      </w:r>
      <w:r w:rsidRPr="008B3A69">
        <w:t>his claim was reasonable</w:t>
      </w:r>
      <w:r w:rsidR="00A62F40" w:rsidRPr="008B3A69">
        <w:t>:</w:t>
      </w:r>
    </w:p>
    <w:p w14:paraId="31E26F5A" w14:textId="70A57BE9" w:rsidR="00291A86" w:rsidRPr="008B3A69" w:rsidRDefault="00DE159B" w:rsidP="00CF4D0B">
      <w:pPr>
        <w:pStyle w:val="COMexecsumnumberedpara"/>
        <w:numPr>
          <w:ilvl w:val="0"/>
          <w:numId w:val="11"/>
        </w:numPr>
        <w:ind w:left="1134"/>
      </w:pPr>
      <w:r w:rsidRPr="008B3A69">
        <w:t>The ESC noted that a similar proportion of patients in both treatment arms achieved a ≥ 2-point reduction in MG-ADL scores from baseline to Week 26, with no statistically significant difference between ravulizumab and placebo (63.9% versus 53.0% at Week 26; nominal p-value = 0.1621). The ESC considered that</w:t>
      </w:r>
      <w:r w:rsidR="00A62F40" w:rsidRPr="008B3A69">
        <w:t xml:space="preserve"> the benefit of ravulizumab </w:t>
      </w:r>
      <w:r w:rsidR="00476485" w:rsidRPr="008B3A69">
        <w:t xml:space="preserve">versus placebo </w:t>
      </w:r>
      <w:r w:rsidRPr="008B3A69">
        <w:t>wa</w:t>
      </w:r>
      <w:r w:rsidR="00A62F40" w:rsidRPr="008B3A69">
        <w:t>s modest and the clinical</w:t>
      </w:r>
      <w:r w:rsidR="00C87B87" w:rsidRPr="008B3A69">
        <w:t xml:space="preserve"> meaningfulness </w:t>
      </w:r>
      <w:r w:rsidR="00A62F40" w:rsidRPr="008B3A69">
        <w:t xml:space="preserve">to the </w:t>
      </w:r>
      <w:r w:rsidRPr="008B3A69">
        <w:t xml:space="preserve">proposed </w:t>
      </w:r>
      <w:r w:rsidR="00A62F40" w:rsidRPr="008B3A69">
        <w:t xml:space="preserve">PBS population </w:t>
      </w:r>
      <w:r w:rsidR="00C87B87" w:rsidRPr="008B3A69">
        <w:t>wa</w:t>
      </w:r>
      <w:r w:rsidR="00A62F40" w:rsidRPr="008B3A69">
        <w:t>s unclear</w:t>
      </w:r>
      <w:r w:rsidR="0088200E" w:rsidRPr="008B3A69">
        <w:t>.</w:t>
      </w:r>
      <w:r w:rsidR="00C87B87" w:rsidRPr="008B3A69">
        <w:t xml:space="preserve"> </w:t>
      </w:r>
    </w:p>
    <w:p w14:paraId="3A135D65" w14:textId="48931CFA" w:rsidR="00C87B87" w:rsidRPr="008B3A69" w:rsidRDefault="002049AF" w:rsidP="00CF4D0B">
      <w:pPr>
        <w:pStyle w:val="COMexecsumnumberedpara"/>
        <w:numPr>
          <w:ilvl w:val="0"/>
          <w:numId w:val="11"/>
        </w:numPr>
        <w:ind w:left="1134"/>
      </w:pPr>
      <w:r w:rsidRPr="008B3A69">
        <w:t>T</w:t>
      </w:r>
      <w:r w:rsidR="00C87B87" w:rsidRPr="008B3A69">
        <w:t xml:space="preserve">he ESC </w:t>
      </w:r>
      <w:r w:rsidR="00DE159B" w:rsidRPr="008B3A69">
        <w:t>consider</w:t>
      </w:r>
      <w:r w:rsidR="00C87B87" w:rsidRPr="008B3A69">
        <w:t>ed that the placebo response rate</w:t>
      </w:r>
      <w:r w:rsidR="00D041AD" w:rsidRPr="008B3A69">
        <w:t>s were</w:t>
      </w:r>
      <w:r w:rsidR="00C87B87" w:rsidRPr="008B3A69">
        <w:t xml:space="preserve"> high which </w:t>
      </w:r>
      <w:r w:rsidR="00476485" w:rsidRPr="008B3A69">
        <w:t>may</w:t>
      </w:r>
      <w:r w:rsidR="00C87B87" w:rsidRPr="008B3A69">
        <w:t xml:space="preserve"> </w:t>
      </w:r>
      <w:r w:rsidR="00D041AD" w:rsidRPr="008B3A69">
        <w:t xml:space="preserve">have </w:t>
      </w:r>
      <w:r w:rsidR="00C87B87" w:rsidRPr="008B3A69">
        <w:t>be</w:t>
      </w:r>
      <w:r w:rsidR="00D041AD" w:rsidRPr="008B3A69">
        <w:t>en</w:t>
      </w:r>
      <w:r w:rsidR="00C87B87" w:rsidRPr="008B3A69">
        <w:t xml:space="preserve"> due to</w:t>
      </w:r>
      <w:r w:rsidR="00D041AD" w:rsidRPr="008B3A69">
        <w:t>:</w:t>
      </w:r>
      <w:r w:rsidR="00C87B87" w:rsidRPr="008B3A69">
        <w:t xml:space="preserve"> disease variability</w:t>
      </w:r>
      <w:r w:rsidR="00D041AD" w:rsidRPr="008B3A69">
        <w:t>;</w:t>
      </w:r>
      <w:r w:rsidR="00C87B87" w:rsidRPr="008B3A69">
        <w:t xml:space="preserve"> </w:t>
      </w:r>
      <w:r w:rsidR="00DE159B" w:rsidRPr="008B3A69">
        <w:t xml:space="preserve">the potentially </w:t>
      </w:r>
      <w:r w:rsidR="00C87B87" w:rsidRPr="008B3A69">
        <w:t>subjective</w:t>
      </w:r>
      <w:r w:rsidR="00DE159B" w:rsidRPr="008B3A69">
        <w:t xml:space="preserve"> nature of the instruments used to </w:t>
      </w:r>
      <w:r w:rsidR="00C87B87" w:rsidRPr="008B3A69">
        <w:t>assess</w:t>
      </w:r>
      <w:r w:rsidR="00DE159B" w:rsidRPr="008B3A69">
        <w:t xml:space="preserve"> response</w:t>
      </w:r>
      <w:r w:rsidR="00D041AD" w:rsidRPr="008B3A69">
        <w:t>;</w:t>
      </w:r>
      <w:r w:rsidR="00DE159B" w:rsidRPr="008B3A69">
        <w:t xml:space="preserve"> and patients in the placebo arm continu</w:t>
      </w:r>
      <w:r w:rsidR="00D041AD" w:rsidRPr="008B3A69">
        <w:t>ing</w:t>
      </w:r>
      <w:r w:rsidR="00DE159B" w:rsidRPr="008B3A69">
        <w:t xml:space="preserve"> to receive active background therapy. </w:t>
      </w:r>
    </w:p>
    <w:p w14:paraId="16C0EC4E" w14:textId="62CAFBC3" w:rsidR="004D6BFF" w:rsidRPr="008B3A69" w:rsidRDefault="002049AF" w:rsidP="00CF4D0B">
      <w:pPr>
        <w:pStyle w:val="COMexecsumnumberedpara"/>
        <w:numPr>
          <w:ilvl w:val="0"/>
          <w:numId w:val="11"/>
        </w:numPr>
        <w:ind w:left="1134"/>
      </w:pPr>
      <w:r w:rsidRPr="008B3A69">
        <w:t>T</w:t>
      </w:r>
      <w:r w:rsidR="00C87B87" w:rsidRPr="008B3A69">
        <w:t xml:space="preserve">he ESC noted the inferior safety of ravulizumab versus </w:t>
      </w:r>
      <w:r w:rsidR="00476485" w:rsidRPr="008B3A69">
        <w:t>placebo</w:t>
      </w:r>
      <w:r w:rsidR="00C87B87" w:rsidRPr="008B3A69">
        <w:t xml:space="preserve">, particularly the potential for serious infections </w:t>
      </w:r>
      <w:r w:rsidR="00D041AD" w:rsidRPr="008B3A69">
        <w:t>and</w:t>
      </w:r>
      <w:r w:rsidR="00C87B87" w:rsidRPr="008B3A69">
        <w:t xml:space="preserve"> </w:t>
      </w:r>
      <w:r w:rsidR="00D041AD" w:rsidRPr="008B3A69">
        <w:t xml:space="preserve">the known risk of </w:t>
      </w:r>
      <w:r w:rsidR="00D041AD" w:rsidRPr="0054389F">
        <w:rPr>
          <w:i/>
          <w:iCs/>
        </w:rPr>
        <w:t>Neisseria meningitis</w:t>
      </w:r>
      <w:r w:rsidR="004D6BFF" w:rsidRPr="008B3A69">
        <w:t>.</w:t>
      </w:r>
      <w:r w:rsidR="00F86AD5" w:rsidRPr="008B3A69">
        <w:t xml:space="preserve"> </w:t>
      </w:r>
    </w:p>
    <w:p w14:paraId="06F27B59" w14:textId="3270EE9A" w:rsidR="00A62F40" w:rsidRDefault="004D6BFF" w:rsidP="004D6BFF">
      <w:pPr>
        <w:pStyle w:val="COMexecsumnumberedpara"/>
      </w:pPr>
      <w:bookmarkStart w:id="49" w:name="_Ref158973967"/>
      <w:r w:rsidRPr="008B3A69">
        <w:t>Overall, the ESC</w:t>
      </w:r>
      <w:r w:rsidR="00C87B87" w:rsidRPr="008B3A69">
        <w:t xml:space="preserve"> considered that, </w:t>
      </w:r>
      <w:r w:rsidR="000A32D1" w:rsidRPr="008B3A69">
        <w:t>given</w:t>
      </w:r>
      <w:r w:rsidR="00C87B87" w:rsidRPr="008B3A69">
        <w:t xml:space="preserve"> the </w:t>
      </w:r>
      <w:r w:rsidR="00F86AD5" w:rsidRPr="008B3A69">
        <w:t xml:space="preserve">availability of effective therapies for many patients, the </w:t>
      </w:r>
      <w:r w:rsidRPr="008B3A69">
        <w:t xml:space="preserve">modest treatment benefit </w:t>
      </w:r>
      <w:r w:rsidR="004D0411" w:rsidRPr="008B3A69">
        <w:t xml:space="preserve">shown in the key trial and the inferior safety (particularly the risk of serious infections), </w:t>
      </w:r>
      <w:r w:rsidR="00C87B87" w:rsidRPr="008B3A69">
        <w:t>the most appropriate patient population would need to be identified.</w:t>
      </w:r>
      <w:bookmarkEnd w:id="49"/>
      <w:r w:rsidR="00C87B87" w:rsidRPr="008B3A69">
        <w:t xml:space="preserve"> </w:t>
      </w:r>
    </w:p>
    <w:p w14:paraId="280EFD4D" w14:textId="05FEB9F5" w:rsidR="00980461" w:rsidRDefault="00980461" w:rsidP="008B3A69">
      <w:pPr>
        <w:pStyle w:val="COMexecsumnumberedpara"/>
      </w:pPr>
      <w:r>
        <w:t>T</w:t>
      </w:r>
      <w:r w:rsidRPr="00600018">
        <w:t xml:space="preserve">he PBAC considered </w:t>
      </w:r>
      <w:r w:rsidR="00500E68" w:rsidRPr="00600018">
        <w:t>th</w:t>
      </w:r>
      <w:r w:rsidR="00500E68">
        <w:t>at</w:t>
      </w:r>
      <w:r w:rsidR="00500E68" w:rsidRPr="00600018">
        <w:t xml:space="preserve"> </w:t>
      </w:r>
      <w:r w:rsidR="008C38B2">
        <w:t xml:space="preserve">while the claim of superior comparative effectiveness versus </w:t>
      </w:r>
      <w:r w:rsidR="008C38B2">
        <w:rPr>
          <w:lang w:val="en-GB" w:eastAsia="en-US"/>
        </w:rPr>
        <w:t>standard therapy alone</w:t>
      </w:r>
      <w:r w:rsidR="008C38B2">
        <w:t xml:space="preserve"> was adequately supported, the incremental benefit shown in the trial was modest</w:t>
      </w:r>
      <w:r>
        <w:t>.</w:t>
      </w:r>
    </w:p>
    <w:p w14:paraId="3A1D4E59" w14:textId="16A7E3DB" w:rsidR="008B3A69" w:rsidRDefault="005245DF" w:rsidP="008B3A69">
      <w:pPr>
        <w:pStyle w:val="COMexecsumnumberedpara"/>
      </w:pPr>
      <w:r w:rsidRPr="005245DF">
        <w:t>The PBAC considered that the claim of inferior comparative safety versus standard therapy alone was reasonable</w:t>
      </w:r>
      <w:r>
        <w:t>.</w:t>
      </w:r>
    </w:p>
    <w:p w14:paraId="74A1172E" w14:textId="1F2EDB1F" w:rsidR="00B60939" w:rsidRPr="008B3A69" w:rsidRDefault="00B60939" w:rsidP="00E9094A">
      <w:pPr>
        <w:pStyle w:val="COMH2-non-numbered"/>
        <w:rPr>
          <w:iCs/>
        </w:rPr>
      </w:pPr>
      <w:bookmarkStart w:id="50" w:name="_Toc22897645"/>
      <w:bookmarkStart w:id="51" w:name="_Toc156986106"/>
      <w:r w:rsidRPr="008B3A69">
        <w:rPr>
          <w:iCs/>
        </w:rPr>
        <w:t>Economic analysis</w:t>
      </w:r>
      <w:bookmarkEnd w:id="50"/>
      <w:bookmarkEnd w:id="51"/>
      <w:r w:rsidR="00491B3A" w:rsidRPr="008B3A69">
        <w:rPr>
          <w:iCs/>
        </w:rPr>
        <w:t xml:space="preserve"> </w:t>
      </w:r>
    </w:p>
    <w:p w14:paraId="7D2A4363" w14:textId="722DDB84" w:rsidR="00A87175" w:rsidRPr="008B3A69" w:rsidRDefault="00A87175" w:rsidP="00641FB3">
      <w:pPr>
        <w:pStyle w:val="COMexecsumnumberedpara"/>
      </w:pPr>
      <w:r w:rsidRPr="008B3A69">
        <w:t>The submission presented a stepped economic evaluation of ravulizumab in combination with standard therapy compared to placebo in combination with standard therapy for the treatment of A</w:t>
      </w:r>
      <w:r w:rsidR="00673C4D" w:rsidRPr="008B3A69">
        <w:t>c</w:t>
      </w:r>
      <w:r w:rsidRPr="008B3A69">
        <w:t xml:space="preserve">hR positive generalised myasthenia gravis in </w:t>
      </w:r>
      <w:r w:rsidR="000C166F" w:rsidRPr="008B3A69">
        <w:t>patients with functional impair</w:t>
      </w:r>
      <w:r w:rsidRPr="008B3A69">
        <w:t>ment. The economic evaluation was based on a direct randomised trial (CHAMPION-MG) with additional modelled data. The economic evaluation was presented as a cost-effectiveness/cost-utility analysis.</w:t>
      </w:r>
    </w:p>
    <w:p w14:paraId="72AB097A" w14:textId="3DA3DFF9" w:rsidR="002619C7" w:rsidRPr="008B3A69" w:rsidRDefault="002619C7" w:rsidP="00641FB3">
      <w:pPr>
        <w:pStyle w:val="COMexecsumnumberedpara"/>
      </w:pPr>
      <w:r w:rsidRPr="008B3A69">
        <w:t xml:space="preserve">Key components of the economic evaluation are summarised in </w:t>
      </w:r>
      <w:r w:rsidRPr="008B3A69">
        <w:fldChar w:fldCharType="begin" w:fldLock="1"/>
      </w:r>
      <w:r w:rsidRPr="008B3A69">
        <w:instrText xml:space="preserve"> REF _Ref155447641 \h </w:instrText>
      </w:r>
      <w:r w:rsidR="00291F22" w:rsidRPr="008B3A69">
        <w:instrText xml:space="preserve"> \* MERGEFORMAT </w:instrText>
      </w:r>
      <w:r w:rsidRPr="008B3A69">
        <w:fldChar w:fldCharType="separate"/>
      </w:r>
      <w:r w:rsidR="0081771C" w:rsidRPr="008B3A69">
        <w:t xml:space="preserve">Table </w:t>
      </w:r>
      <w:r w:rsidR="0081771C">
        <w:rPr>
          <w:noProof/>
        </w:rPr>
        <w:t>8</w:t>
      </w:r>
      <w:r w:rsidRPr="008B3A69">
        <w:fldChar w:fldCharType="end"/>
      </w:r>
      <w:r w:rsidR="00791ED6" w:rsidRPr="008B3A69">
        <w:t>.</w:t>
      </w:r>
      <w:r w:rsidRPr="008B3A69">
        <w:t xml:space="preserve"> </w:t>
      </w:r>
    </w:p>
    <w:p w14:paraId="37961267" w14:textId="37353538" w:rsidR="002619C7" w:rsidRPr="008B3A69" w:rsidRDefault="002619C7" w:rsidP="002619C7">
      <w:pPr>
        <w:pStyle w:val="COMtablefigcaption"/>
      </w:pPr>
      <w:bookmarkStart w:id="52" w:name="_Ref155447641"/>
      <w:r w:rsidRPr="008B3A69">
        <w:t xml:space="preserve">Table </w:t>
      </w:r>
      <w:r w:rsidR="0065138C">
        <w:fldChar w:fldCharType="begin" w:fldLock="1"/>
      </w:r>
      <w:r w:rsidR="0065138C">
        <w:instrText xml:space="preserve"> SEQ Table \* ARABIC </w:instrText>
      </w:r>
      <w:r w:rsidR="0065138C">
        <w:fldChar w:fldCharType="separate"/>
      </w:r>
      <w:r w:rsidR="0081771C">
        <w:rPr>
          <w:noProof/>
        </w:rPr>
        <w:t>8</w:t>
      </w:r>
      <w:r w:rsidR="0065138C">
        <w:rPr>
          <w:noProof/>
        </w:rPr>
        <w:fldChar w:fldCharType="end"/>
      </w:r>
      <w:bookmarkEnd w:id="52"/>
      <w:r w:rsidRPr="008B3A69">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7573"/>
      </w:tblGrid>
      <w:tr w:rsidR="002619C7" w:rsidRPr="008B3A69" w14:paraId="6480B858" w14:textId="77777777" w:rsidTr="004C0A2F">
        <w:trPr>
          <w:cantSplit/>
          <w:tblHeader/>
        </w:trPr>
        <w:tc>
          <w:tcPr>
            <w:tcW w:w="800" w:type="pct"/>
            <w:shd w:val="clear" w:color="auto" w:fill="auto"/>
          </w:tcPr>
          <w:p w14:paraId="134CC938" w14:textId="77777777" w:rsidR="002619C7" w:rsidRPr="008B3A69" w:rsidRDefault="002619C7" w:rsidP="004B7132">
            <w:pPr>
              <w:pStyle w:val="TableText"/>
              <w:keepNext w:val="0"/>
              <w:rPr>
                <w:b/>
              </w:rPr>
            </w:pPr>
            <w:r w:rsidRPr="008B3A69">
              <w:rPr>
                <w:b/>
              </w:rPr>
              <w:t xml:space="preserve">Component </w:t>
            </w:r>
          </w:p>
        </w:tc>
        <w:tc>
          <w:tcPr>
            <w:tcW w:w="4200" w:type="pct"/>
            <w:shd w:val="clear" w:color="auto" w:fill="auto"/>
          </w:tcPr>
          <w:p w14:paraId="03D02DFB" w14:textId="77777777" w:rsidR="002619C7" w:rsidRPr="008B3A69" w:rsidRDefault="002619C7" w:rsidP="004B7132">
            <w:pPr>
              <w:pStyle w:val="TableText"/>
              <w:keepNext w:val="0"/>
              <w:rPr>
                <w:b/>
              </w:rPr>
            </w:pPr>
            <w:r w:rsidRPr="008B3A69">
              <w:rPr>
                <w:b/>
              </w:rPr>
              <w:t>Description</w:t>
            </w:r>
          </w:p>
        </w:tc>
      </w:tr>
      <w:tr w:rsidR="002619C7" w:rsidRPr="008B3A69" w14:paraId="19F4FBA5" w14:textId="77777777" w:rsidTr="004C0A2F">
        <w:trPr>
          <w:cantSplit/>
        </w:trPr>
        <w:tc>
          <w:tcPr>
            <w:tcW w:w="800" w:type="pct"/>
            <w:shd w:val="clear" w:color="auto" w:fill="auto"/>
            <w:vAlign w:val="center"/>
          </w:tcPr>
          <w:p w14:paraId="392CF0B8" w14:textId="77777777" w:rsidR="002619C7" w:rsidRPr="008B3A69" w:rsidRDefault="002619C7" w:rsidP="004B7132">
            <w:pPr>
              <w:pStyle w:val="TableText"/>
              <w:keepNext w:val="0"/>
            </w:pPr>
            <w:r w:rsidRPr="008B3A69">
              <w:t xml:space="preserve">Type of analysis </w:t>
            </w:r>
          </w:p>
        </w:tc>
        <w:tc>
          <w:tcPr>
            <w:tcW w:w="4200" w:type="pct"/>
            <w:shd w:val="clear" w:color="auto" w:fill="auto"/>
            <w:vAlign w:val="center"/>
          </w:tcPr>
          <w:p w14:paraId="0C1B9A24" w14:textId="77777777" w:rsidR="002619C7" w:rsidRPr="008B3A69" w:rsidRDefault="002619C7" w:rsidP="004B7132">
            <w:pPr>
              <w:pStyle w:val="TableText"/>
              <w:keepNext w:val="0"/>
              <w:rPr>
                <w:rFonts w:ascii="Times" w:eastAsia="Times New Roman" w:hAnsi="Times" w:cs="Times New Roman"/>
                <w:szCs w:val="20"/>
              </w:rPr>
            </w:pPr>
            <w:r w:rsidRPr="008B3A69">
              <w:t>Cost-effectiveness analysis/cost-utility analysis</w:t>
            </w:r>
          </w:p>
        </w:tc>
      </w:tr>
      <w:tr w:rsidR="002619C7" w:rsidRPr="008B3A69" w14:paraId="12ED0807" w14:textId="77777777" w:rsidTr="004C0A2F">
        <w:trPr>
          <w:cantSplit/>
        </w:trPr>
        <w:tc>
          <w:tcPr>
            <w:tcW w:w="800" w:type="pct"/>
            <w:shd w:val="clear" w:color="auto" w:fill="auto"/>
            <w:vAlign w:val="center"/>
          </w:tcPr>
          <w:p w14:paraId="6666B4FE" w14:textId="77777777" w:rsidR="002619C7" w:rsidRPr="008B3A69" w:rsidRDefault="002619C7" w:rsidP="004B7132">
            <w:pPr>
              <w:pStyle w:val="TableText"/>
              <w:keepNext w:val="0"/>
              <w:rPr>
                <w:rFonts w:ascii="Times" w:eastAsia="Times New Roman" w:hAnsi="Times" w:cs="Times New Roman"/>
                <w:szCs w:val="20"/>
              </w:rPr>
            </w:pPr>
            <w:r w:rsidRPr="008B3A69">
              <w:t>Outcomes</w:t>
            </w:r>
          </w:p>
        </w:tc>
        <w:tc>
          <w:tcPr>
            <w:tcW w:w="4200" w:type="pct"/>
            <w:shd w:val="clear" w:color="auto" w:fill="auto"/>
            <w:vAlign w:val="center"/>
          </w:tcPr>
          <w:p w14:paraId="0D3A5C21" w14:textId="77777777" w:rsidR="002619C7" w:rsidRPr="008B3A69" w:rsidRDefault="002619C7" w:rsidP="004B7132">
            <w:pPr>
              <w:pStyle w:val="TableText"/>
              <w:keepNext w:val="0"/>
            </w:pPr>
            <w:r w:rsidRPr="008B3A69">
              <w:t>Patients with response; responder years; quality adjusted life years</w:t>
            </w:r>
          </w:p>
        </w:tc>
      </w:tr>
      <w:tr w:rsidR="002619C7" w:rsidRPr="008B3A69" w14:paraId="43F91160" w14:textId="77777777" w:rsidTr="004C0A2F">
        <w:trPr>
          <w:cantSplit/>
        </w:trPr>
        <w:tc>
          <w:tcPr>
            <w:tcW w:w="800" w:type="pct"/>
            <w:shd w:val="clear" w:color="auto" w:fill="auto"/>
            <w:vAlign w:val="center"/>
          </w:tcPr>
          <w:p w14:paraId="2A59A433" w14:textId="77777777" w:rsidR="002619C7" w:rsidRPr="008B3A69" w:rsidRDefault="002619C7" w:rsidP="004B7132">
            <w:pPr>
              <w:pStyle w:val="TableText"/>
              <w:keepNext w:val="0"/>
              <w:rPr>
                <w:rFonts w:ascii="Times" w:eastAsia="Times New Roman" w:hAnsi="Times" w:cs="Times New Roman"/>
                <w:szCs w:val="20"/>
              </w:rPr>
            </w:pPr>
            <w:r w:rsidRPr="008B3A69">
              <w:t>Time horizon</w:t>
            </w:r>
          </w:p>
        </w:tc>
        <w:tc>
          <w:tcPr>
            <w:tcW w:w="4200" w:type="pct"/>
            <w:shd w:val="clear" w:color="auto" w:fill="auto"/>
            <w:vAlign w:val="center"/>
          </w:tcPr>
          <w:p w14:paraId="4BFD0015" w14:textId="77777777" w:rsidR="002619C7" w:rsidRPr="008B3A69" w:rsidRDefault="002619C7" w:rsidP="004B7132">
            <w:pPr>
              <w:pStyle w:val="TableText"/>
              <w:keepNext w:val="0"/>
              <w:rPr>
                <w:rFonts w:ascii="Times" w:eastAsia="Times New Roman" w:hAnsi="Times" w:cs="Times New Roman"/>
                <w:szCs w:val="20"/>
              </w:rPr>
            </w:pPr>
            <w:r w:rsidRPr="008B3A69">
              <w:t>15 years</w:t>
            </w:r>
          </w:p>
        </w:tc>
      </w:tr>
      <w:tr w:rsidR="002619C7" w:rsidRPr="008B3A69" w14:paraId="75C6D967" w14:textId="77777777" w:rsidTr="004C0A2F">
        <w:trPr>
          <w:cantSplit/>
        </w:trPr>
        <w:tc>
          <w:tcPr>
            <w:tcW w:w="800" w:type="pct"/>
            <w:shd w:val="clear" w:color="auto" w:fill="auto"/>
            <w:vAlign w:val="center"/>
          </w:tcPr>
          <w:p w14:paraId="451C715B" w14:textId="77777777" w:rsidR="002619C7" w:rsidRPr="008B3A69" w:rsidRDefault="002619C7" w:rsidP="004B7132">
            <w:pPr>
              <w:pStyle w:val="TableText"/>
              <w:keepNext w:val="0"/>
              <w:rPr>
                <w:rFonts w:ascii="Times" w:eastAsia="Times New Roman" w:hAnsi="Times" w:cs="Times New Roman"/>
                <w:szCs w:val="20"/>
              </w:rPr>
            </w:pPr>
            <w:r w:rsidRPr="008B3A69">
              <w:t>Methods used to generate results</w:t>
            </w:r>
          </w:p>
        </w:tc>
        <w:tc>
          <w:tcPr>
            <w:tcW w:w="4200" w:type="pct"/>
            <w:shd w:val="clear" w:color="auto" w:fill="auto"/>
            <w:vAlign w:val="center"/>
          </w:tcPr>
          <w:p w14:paraId="6F3595F5" w14:textId="77777777" w:rsidR="002619C7" w:rsidRPr="008B3A69" w:rsidRDefault="002619C7" w:rsidP="004B7132">
            <w:pPr>
              <w:pStyle w:val="TableText"/>
              <w:keepNext w:val="0"/>
              <w:rPr>
                <w:rFonts w:ascii="Times" w:eastAsia="Times New Roman" w:hAnsi="Times" w:cs="Times New Roman"/>
                <w:szCs w:val="20"/>
              </w:rPr>
            </w:pPr>
            <w:r w:rsidRPr="008B3A69">
              <w:t xml:space="preserve">Markov cohort model </w:t>
            </w:r>
          </w:p>
        </w:tc>
      </w:tr>
      <w:tr w:rsidR="002619C7" w:rsidRPr="008B3A69" w14:paraId="4EB629A4" w14:textId="77777777" w:rsidTr="004C0A2F">
        <w:trPr>
          <w:cantSplit/>
        </w:trPr>
        <w:tc>
          <w:tcPr>
            <w:tcW w:w="800" w:type="pct"/>
            <w:shd w:val="clear" w:color="auto" w:fill="auto"/>
            <w:vAlign w:val="center"/>
          </w:tcPr>
          <w:p w14:paraId="688F38EE" w14:textId="77777777" w:rsidR="002619C7" w:rsidRPr="008B3A69" w:rsidRDefault="002619C7" w:rsidP="004B7132">
            <w:pPr>
              <w:pStyle w:val="TableText"/>
              <w:keepNext w:val="0"/>
            </w:pPr>
            <w:r w:rsidRPr="008B3A69">
              <w:t>Treatments</w:t>
            </w:r>
          </w:p>
        </w:tc>
        <w:tc>
          <w:tcPr>
            <w:tcW w:w="4200" w:type="pct"/>
            <w:shd w:val="clear" w:color="auto" w:fill="auto"/>
            <w:vAlign w:val="center"/>
          </w:tcPr>
          <w:p w14:paraId="5987EDAF" w14:textId="56DDDA5C" w:rsidR="002619C7" w:rsidRPr="008B3A69" w:rsidRDefault="002619C7" w:rsidP="004B7132">
            <w:pPr>
              <w:pStyle w:val="TableText"/>
              <w:keepNext w:val="0"/>
            </w:pPr>
            <w:r w:rsidRPr="008B3A69">
              <w:t xml:space="preserve">Ravulizumab </w:t>
            </w:r>
            <w:r w:rsidR="00492DBB" w:rsidRPr="008B3A69">
              <w:t>and</w:t>
            </w:r>
            <w:r w:rsidRPr="008B3A69">
              <w:t xml:space="preserve"> placebo</w:t>
            </w:r>
            <w:r w:rsidR="000C166F" w:rsidRPr="008B3A69">
              <w:t xml:space="preserve">. For both treatment arms second-line therapy included chronic </w:t>
            </w:r>
            <w:r w:rsidR="00E04586" w:rsidRPr="008B3A69">
              <w:t>IVIg</w:t>
            </w:r>
            <w:r w:rsidR="000C166F" w:rsidRPr="008B3A69">
              <w:t xml:space="preserve"> and chronic PLEX, </w:t>
            </w:r>
            <w:r w:rsidR="00AF0070" w:rsidRPr="008B3A69">
              <w:t xml:space="preserve">and </w:t>
            </w:r>
            <w:r w:rsidR="000C166F" w:rsidRPr="008B3A69">
              <w:t>third-line therapy included rituximab and cyclophosphamide.</w:t>
            </w:r>
            <w:r w:rsidR="00492DBB" w:rsidRPr="008B3A69">
              <w:t xml:space="preserve"> All patients also continued to receive standard therapy (consisting of anticholinesterases, corticosteroids and other immunosuppressive agents such as mycophenolate mofetil, azathioprine, tacrolimus) for all lines of therapy</w:t>
            </w:r>
          </w:p>
        </w:tc>
      </w:tr>
      <w:tr w:rsidR="002619C7" w:rsidRPr="008B3A69" w14:paraId="4BC5522B" w14:textId="77777777" w:rsidTr="004C0A2F">
        <w:trPr>
          <w:cantSplit/>
        </w:trPr>
        <w:tc>
          <w:tcPr>
            <w:tcW w:w="800" w:type="pct"/>
            <w:shd w:val="clear" w:color="auto" w:fill="auto"/>
            <w:vAlign w:val="center"/>
          </w:tcPr>
          <w:p w14:paraId="3D6854F7" w14:textId="77777777" w:rsidR="002619C7" w:rsidRPr="008B3A69" w:rsidRDefault="002619C7" w:rsidP="004B7132">
            <w:pPr>
              <w:pStyle w:val="TableText"/>
              <w:keepNext w:val="0"/>
              <w:rPr>
                <w:rFonts w:ascii="Times" w:eastAsia="Times New Roman" w:hAnsi="Times" w:cs="Times New Roman"/>
                <w:szCs w:val="20"/>
              </w:rPr>
            </w:pPr>
            <w:r w:rsidRPr="008B3A69">
              <w:t>Health states</w:t>
            </w:r>
          </w:p>
        </w:tc>
        <w:tc>
          <w:tcPr>
            <w:tcW w:w="4200" w:type="pct"/>
            <w:shd w:val="clear" w:color="auto" w:fill="auto"/>
            <w:vAlign w:val="center"/>
          </w:tcPr>
          <w:p w14:paraId="66906025" w14:textId="0F45D716" w:rsidR="002619C7" w:rsidRPr="008B3A69" w:rsidRDefault="002619C7" w:rsidP="004B7132">
            <w:pPr>
              <w:pStyle w:val="TableText"/>
              <w:keepNext w:val="0"/>
            </w:pPr>
            <w:r w:rsidRPr="008B3A69">
              <w:t xml:space="preserve">9 health states defined by treatment status (treatment initiator, responder, non-responder) and lines of therapy (first-line, second-line or third-line treatment) and death. </w:t>
            </w:r>
          </w:p>
        </w:tc>
      </w:tr>
      <w:tr w:rsidR="002619C7" w:rsidRPr="008B3A69" w14:paraId="20C5B8F6" w14:textId="77777777" w:rsidTr="004C0A2F">
        <w:trPr>
          <w:cantSplit/>
        </w:trPr>
        <w:tc>
          <w:tcPr>
            <w:tcW w:w="800" w:type="pct"/>
            <w:shd w:val="clear" w:color="auto" w:fill="auto"/>
            <w:vAlign w:val="center"/>
          </w:tcPr>
          <w:p w14:paraId="6BEE1695" w14:textId="77777777" w:rsidR="002619C7" w:rsidRPr="008B3A69" w:rsidRDefault="002619C7" w:rsidP="004B7132">
            <w:pPr>
              <w:pStyle w:val="TableText"/>
              <w:keepNext w:val="0"/>
              <w:rPr>
                <w:rFonts w:ascii="Times" w:eastAsia="Times New Roman" w:hAnsi="Times" w:cs="Times New Roman"/>
                <w:szCs w:val="20"/>
              </w:rPr>
            </w:pPr>
            <w:r w:rsidRPr="008B3A69">
              <w:t>Cycle length</w:t>
            </w:r>
          </w:p>
        </w:tc>
        <w:tc>
          <w:tcPr>
            <w:tcW w:w="4200" w:type="pct"/>
            <w:shd w:val="clear" w:color="auto" w:fill="auto"/>
            <w:vAlign w:val="center"/>
          </w:tcPr>
          <w:p w14:paraId="27E53F9A" w14:textId="77777777" w:rsidR="002619C7" w:rsidRPr="008B3A69" w:rsidRDefault="002619C7" w:rsidP="004B7132">
            <w:pPr>
              <w:pStyle w:val="TableText"/>
              <w:keepNext w:val="0"/>
            </w:pPr>
            <w:r w:rsidRPr="008B3A69">
              <w:t>13-weeks (with no half-cycle correction)</w:t>
            </w:r>
          </w:p>
        </w:tc>
      </w:tr>
      <w:tr w:rsidR="002619C7" w:rsidRPr="008B3A69" w14:paraId="1FB24295" w14:textId="77777777" w:rsidTr="004C0A2F">
        <w:trPr>
          <w:cantSplit/>
        </w:trPr>
        <w:tc>
          <w:tcPr>
            <w:tcW w:w="800" w:type="pct"/>
            <w:shd w:val="clear" w:color="auto" w:fill="auto"/>
            <w:vAlign w:val="center"/>
          </w:tcPr>
          <w:p w14:paraId="4D063C6D" w14:textId="5284447B" w:rsidR="002619C7" w:rsidRPr="008B3A69" w:rsidRDefault="002619C7" w:rsidP="004B7132">
            <w:pPr>
              <w:pStyle w:val="TableText"/>
              <w:keepNext w:val="0"/>
            </w:pPr>
            <w:r w:rsidRPr="008B3A69">
              <w:t>Circumstances of use</w:t>
            </w:r>
          </w:p>
        </w:tc>
        <w:tc>
          <w:tcPr>
            <w:tcW w:w="4200" w:type="pct"/>
            <w:shd w:val="clear" w:color="auto" w:fill="auto"/>
            <w:vAlign w:val="center"/>
          </w:tcPr>
          <w:p w14:paraId="13A56AEB" w14:textId="03F5B44B" w:rsidR="002619C7" w:rsidRPr="008B3A69" w:rsidRDefault="002619C7" w:rsidP="002619C7">
            <w:pPr>
              <w:pStyle w:val="TableText"/>
              <w:spacing w:after="120"/>
              <w:rPr>
                <w:szCs w:val="20"/>
              </w:rPr>
            </w:pPr>
            <w:r w:rsidRPr="008B3A69">
              <w:rPr>
                <w:szCs w:val="20"/>
              </w:rPr>
              <w:t>Ravulizumab was positioned as a new line of therapy immediately prior to the classification of patients as having treatment-refractory disease.</w:t>
            </w:r>
          </w:p>
          <w:p w14:paraId="1257B769" w14:textId="76DD930C" w:rsidR="002619C7" w:rsidRPr="008B3A69" w:rsidRDefault="002619C7" w:rsidP="002619C7">
            <w:pPr>
              <w:pStyle w:val="TableText"/>
              <w:keepNext w:val="0"/>
              <w:rPr>
                <w:szCs w:val="20"/>
              </w:rPr>
            </w:pPr>
            <w:r w:rsidRPr="008B3A69">
              <w:rPr>
                <w:szCs w:val="20"/>
              </w:rPr>
              <w:t>The model assumed limited treatment durations for all therapies (1-2 years) with the exception of standard therapy which was assumed to have perfect compliance (adherence and persistence) for the duration of the model. It was assumed that ravulizumab is the only treatment capable of inducing remission</w:t>
            </w:r>
            <w:r w:rsidR="00056D9E" w:rsidRPr="008B3A69">
              <w:rPr>
                <w:szCs w:val="20"/>
              </w:rPr>
              <w:t xml:space="preserve"> (minimal manifestations of disease)</w:t>
            </w:r>
            <w:r w:rsidRPr="008B3A69">
              <w:rPr>
                <w:szCs w:val="20"/>
              </w:rPr>
              <w:t>.</w:t>
            </w:r>
          </w:p>
          <w:p w14:paraId="623401AB" w14:textId="77777777" w:rsidR="004B1453" w:rsidRPr="008B3A69" w:rsidRDefault="004B1453" w:rsidP="002619C7">
            <w:pPr>
              <w:pStyle w:val="TableText"/>
              <w:keepNext w:val="0"/>
              <w:rPr>
                <w:szCs w:val="20"/>
              </w:rPr>
            </w:pPr>
          </w:p>
          <w:p w14:paraId="0348ECD4" w14:textId="62B631A8" w:rsidR="004B1453" w:rsidRPr="008B3A69" w:rsidRDefault="004B1453" w:rsidP="002619C7">
            <w:pPr>
              <w:pStyle w:val="TableText"/>
              <w:keepNext w:val="0"/>
              <w:rPr>
                <w:szCs w:val="20"/>
              </w:rPr>
            </w:pPr>
            <w:r w:rsidRPr="008B3A69">
              <w:rPr>
                <w:szCs w:val="20"/>
              </w:rPr>
              <w:t xml:space="preserve">The model assumed that </w:t>
            </w:r>
            <w:r w:rsidR="003F1980" w:rsidRPr="008B3A69">
              <w:rPr>
                <w:szCs w:val="20"/>
              </w:rPr>
              <w:t xml:space="preserve">no </w:t>
            </w:r>
            <w:r w:rsidRPr="008B3A69">
              <w:rPr>
                <w:szCs w:val="20"/>
              </w:rPr>
              <w:t>patients who relapse after ravulizumab treatment would restart treatment with ravulizumab.</w:t>
            </w:r>
          </w:p>
        </w:tc>
      </w:tr>
      <w:tr w:rsidR="002619C7" w:rsidRPr="008B3A69" w14:paraId="72A14EF4" w14:textId="77777777" w:rsidTr="004C0A2F">
        <w:trPr>
          <w:cantSplit/>
        </w:trPr>
        <w:tc>
          <w:tcPr>
            <w:tcW w:w="800" w:type="pct"/>
            <w:shd w:val="clear" w:color="auto" w:fill="auto"/>
            <w:vAlign w:val="center"/>
          </w:tcPr>
          <w:p w14:paraId="5C5569D1" w14:textId="77777777" w:rsidR="002619C7" w:rsidRPr="008B3A69" w:rsidRDefault="002619C7" w:rsidP="004B7132">
            <w:pPr>
              <w:pStyle w:val="TableText"/>
              <w:keepNext w:val="0"/>
            </w:pPr>
            <w:r w:rsidRPr="008B3A69">
              <w:t xml:space="preserve">Transition probability </w:t>
            </w:r>
          </w:p>
        </w:tc>
        <w:tc>
          <w:tcPr>
            <w:tcW w:w="4200" w:type="pct"/>
            <w:shd w:val="clear" w:color="auto" w:fill="auto"/>
            <w:vAlign w:val="center"/>
          </w:tcPr>
          <w:p w14:paraId="5379FA62" w14:textId="53E312F7" w:rsidR="00CC424C" w:rsidRPr="008B3A69" w:rsidRDefault="00CC424C" w:rsidP="002619C7">
            <w:pPr>
              <w:pStyle w:val="TableText"/>
              <w:keepNext w:val="0"/>
              <w:spacing w:after="120"/>
              <w:rPr>
                <w:szCs w:val="20"/>
              </w:rPr>
            </w:pPr>
            <w:r w:rsidRPr="008B3A69">
              <w:rPr>
                <w:szCs w:val="20"/>
              </w:rPr>
              <w:t>All first-line patients were assumed to remain in the treatment initiator state for 6 months (consistent with the duration of the CHAMPION-MG trial).</w:t>
            </w:r>
          </w:p>
          <w:p w14:paraId="752ED0A6" w14:textId="6C74EE77" w:rsidR="00E65E75" w:rsidRPr="008B3A69" w:rsidRDefault="002619C7" w:rsidP="002619C7">
            <w:pPr>
              <w:pStyle w:val="TableText"/>
              <w:keepNext w:val="0"/>
              <w:spacing w:after="120"/>
              <w:rPr>
                <w:szCs w:val="20"/>
              </w:rPr>
            </w:pPr>
            <w:r w:rsidRPr="008B3A69">
              <w:rPr>
                <w:szCs w:val="20"/>
              </w:rPr>
              <w:t>Treatment response rates for ravulizumab and placebo were based on the CHAMPION-MG trial</w:t>
            </w:r>
            <w:r w:rsidR="00F06ED3" w:rsidRPr="008B3A69">
              <w:rPr>
                <w:szCs w:val="20"/>
              </w:rPr>
              <w:t xml:space="preserve"> (based on the proportion of patients achieving a </w:t>
            </w:r>
            <w:r w:rsidR="00056D9E" w:rsidRPr="008B3A69">
              <w:rPr>
                <w:snapToGrid w:val="0"/>
              </w:rPr>
              <w:t>≥</w:t>
            </w:r>
            <w:r w:rsidR="00F06ED3" w:rsidRPr="008B3A69">
              <w:rPr>
                <w:szCs w:val="20"/>
              </w:rPr>
              <w:t xml:space="preserve"> 2-point reduction in MG-ADL scores from baseline to Week 26 in the CHAMPION-MG trial)</w:t>
            </w:r>
            <w:r w:rsidRPr="008B3A69">
              <w:rPr>
                <w:szCs w:val="20"/>
              </w:rPr>
              <w:t xml:space="preserve">. Response rates for chronic IVIg (Zinman 2007, Barth 2011) and rituximab (Zhao 2021, Li 2021) were based on published literature. </w:t>
            </w:r>
            <w:r w:rsidR="00E65E75" w:rsidRPr="008B3A69">
              <w:rPr>
                <w:szCs w:val="20"/>
              </w:rPr>
              <w:t xml:space="preserve">The response rate for chronic PLEX was assumed to be the same as chronic IVIg and the response rate for cyclophosphamide was assumed to be the same as rituximab. </w:t>
            </w:r>
          </w:p>
          <w:p w14:paraId="7C68BEE9" w14:textId="51EE416F" w:rsidR="002619C7" w:rsidRPr="008B3A69" w:rsidRDefault="002619C7" w:rsidP="002619C7">
            <w:pPr>
              <w:pStyle w:val="TableText"/>
              <w:keepNext w:val="0"/>
              <w:spacing w:after="120"/>
              <w:rPr>
                <w:szCs w:val="20"/>
              </w:rPr>
            </w:pPr>
            <w:r w:rsidRPr="008B3A69">
              <w:rPr>
                <w:szCs w:val="20"/>
              </w:rPr>
              <w:t>Patients in the treatment initiation health states were assumed to not discontinue therapy. Discontinuation rates in the responder states were based on the CHAMPION-MG extension study for ravulizumab and assumed for other therapies. All patients in the non-responder states were assumed to have discontinued therapy.</w:t>
            </w:r>
          </w:p>
          <w:p w14:paraId="5BE5F13D" w14:textId="4F106FE1" w:rsidR="002619C7" w:rsidRPr="008B3A69" w:rsidRDefault="002619C7" w:rsidP="002619C7">
            <w:pPr>
              <w:pStyle w:val="TableText"/>
              <w:keepNext w:val="0"/>
              <w:spacing w:after="120"/>
              <w:rPr>
                <w:szCs w:val="20"/>
              </w:rPr>
            </w:pPr>
            <w:r w:rsidRPr="008B3A69">
              <w:rPr>
                <w:szCs w:val="20"/>
              </w:rPr>
              <w:t xml:space="preserve">The submission assumed that all patients with treatment response at 2 years in the ravulizumab arm achieved disease remission </w:t>
            </w:r>
            <w:r w:rsidR="002C364D" w:rsidRPr="008B3A69">
              <w:rPr>
                <w:szCs w:val="20"/>
              </w:rPr>
              <w:t xml:space="preserve">(i.e. they remain in the response health state) </w:t>
            </w:r>
            <w:r w:rsidRPr="008B3A69">
              <w:rPr>
                <w:szCs w:val="20"/>
              </w:rPr>
              <w:t>and no longer required any further therapy with ravulizumab. The submission estimated the risk of relapse using a linear function assuming all patients will have relapsed by 15 years.</w:t>
            </w:r>
          </w:p>
          <w:p w14:paraId="6EA87702" w14:textId="28E13055" w:rsidR="002619C7" w:rsidRPr="008B3A69" w:rsidRDefault="002619C7" w:rsidP="002619C7">
            <w:pPr>
              <w:pStyle w:val="TableText"/>
              <w:keepNext w:val="0"/>
              <w:spacing w:after="120"/>
              <w:rPr>
                <w:szCs w:val="20"/>
              </w:rPr>
            </w:pPr>
            <w:r w:rsidRPr="008B3A69">
              <w:rPr>
                <w:szCs w:val="20"/>
              </w:rPr>
              <w:t xml:space="preserve">Patients who discontinue therapy (all therapies) or experience relapse (ravulizumab only) were assumed to initiate later lines of therapy after a 1 cycle break in therapy. Patients who discontinue third-line therapy are assumed to remain on standard therapy alone. </w:t>
            </w:r>
          </w:p>
          <w:p w14:paraId="6F2098A9" w14:textId="783AF01F" w:rsidR="002619C7" w:rsidRPr="008B3A69" w:rsidRDefault="002619C7" w:rsidP="002619C7">
            <w:pPr>
              <w:pStyle w:val="TableText"/>
              <w:keepNext w:val="0"/>
              <w:spacing w:after="120"/>
              <w:rPr>
                <w:szCs w:val="20"/>
              </w:rPr>
            </w:pPr>
            <w:r w:rsidRPr="008B3A69">
              <w:rPr>
                <w:szCs w:val="20"/>
              </w:rPr>
              <w:t>The incidence of adverse events with ravulizumab and placebo were based on the CHAMPION-MG trial. Adverse events for chronic IVIg (Bril 2022), chronic PLEX (MSAC Assessment Report 1566), cyclophosphamide (Buzzard 2015) and rituximab (Nowak 2021) were based on published literature. Adverse events were assumed to only occur in the first cycle of each therapy.</w:t>
            </w:r>
          </w:p>
          <w:p w14:paraId="61F1D5BD" w14:textId="231F158D" w:rsidR="002619C7" w:rsidRPr="008B3A69" w:rsidRDefault="002619C7" w:rsidP="002619C7">
            <w:pPr>
              <w:pStyle w:val="TableText"/>
              <w:keepNext w:val="0"/>
              <w:spacing w:after="120"/>
              <w:rPr>
                <w:szCs w:val="20"/>
              </w:rPr>
            </w:pPr>
            <w:r w:rsidRPr="008B3A69">
              <w:rPr>
                <w:szCs w:val="20"/>
              </w:rPr>
              <w:t xml:space="preserve">The risk of disease exacerbations and myasthenic crisis were based on a post hoc analysis of CHAMPION-MG trial and extension using a Poisson regression on data from both treatment arms to determine an association between disease exacerbations and MG-ADL score. Responders/non-responders to second/third-line therapies were assumed to have the same change in MG-ADL scores as first-line therapies for calculating event risk. </w:t>
            </w:r>
          </w:p>
          <w:p w14:paraId="15A1936C" w14:textId="435869A6" w:rsidR="002619C7" w:rsidRPr="008B3A69" w:rsidRDefault="002619C7" w:rsidP="004B7132">
            <w:pPr>
              <w:pStyle w:val="TableText"/>
              <w:keepNext w:val="0"/>
              <w:rPr>
                <w:szCs w:val="20"/>
              </w:rPr>
            </w:pPr>
            <w:r w:rsidRPr="008B3A69">
              <w:rPr>
                <w:szCs w:val="20"/>
              </w:rPr>
              <w:t>Transition probabilities for myasthenic crisis-related death were based on published estimates (Alshekhlee 2009). Transition probabilities for general mortality were based on Australian life tables</w:t>
            </w:r>
            <w:r w:rsidR="00791ED6" w:rsidRPr="008B3A69">
              <w:rPr>
                <w:szCs w:val="20"/>
              </w:rPr>
              <w:t>.</w:t>
            </w:r>
            <w:r w:rsidRPr="008B3A69">
              <w:rPr>
                <w:szCs w:val="20"/>
              </w:rPr>
              <w:t xml:space="preserve"> </w:t>
            </w:r>
          </w:p>
        </w:tc>
      </w:tr>
      <w:tr w:rsidR="002619C7" w:rsidRPr="008B3A69" w14:paraId="45890049" w14:textId="77777777" w:rsidTr="004C0A2F">
        <w:trPr>
          <w:cantSplit/>
        </w:trPr>
        <w:tc>
          <w:tcPr>
            <w:tcW w:w="800" w:type="pct"/>
            <w:shd w:val="clear" w:color="auto" w:fill="auto"/>
            <w:vAlign w:val="center"/>
          </w:tcPr>
          <w:p w14:paraId="7B4B3CD6" w14:textId="21EBB2D8" w:rsidR="002619C7" w:rsidRPr="008B3A69" w:rsidRDefault="002619C7" w:rsidP="002619C7">
            <w:pPr>
              <w:pStyle w:val="TableText"/>
              <w:keepNext w:val="0"/>
            </w:pPr>
            <w:r w:rsidRPr="008B3A69">
              <w:t>Utility values</w:t>
            </w:r>
          </w:p>
        </w:tc>
        <w:tc>
          <w:tcPr>
            <w:tcW w:w="4200" w:type="pct"/>
            <w:shd w:val="clear" w:color="auto" w:fill="auto"/>
            <w:vAlign w:val="center"/>
          </w:tcPr>
          <w:p w14:paraId="225D4D3D" w14:textId="09D26A88" w:rsidR="002619C7" w:rsidRPr="008B3A69" w:rsidRDefault="00020946" w:rsidP="002619C7">
            <w:pPr>
              <w:pStyle w:val="Tabletext0"/>
              <w:spacing w:after="120"/>
              <w:rPr>
                <w:rFonts w:eastAsia="Calibri"/>
              </w:rPr>
            </w:pPr>
            <w:r w:rsidRPr="008B3A69">
              <w:rPr>
                <w:rFonts w:eastAsia="Calibri"/>
              </w:rPr>
              <w:t>The h</w:t>
            </w:r>
            <w:r w:rsidR="003F1980" w:rsidRPr="008B3A69">
              <w:rPr>
                <w:rFonts w:eastAsia="Calibri"/>
              </w:rPr>
              <w:t>ealth state utility value for first</w:t>
            </w:r>
            <w:r w:rsidR="004F6B2B" w:rsidRPr="008B3A69">
              <w:rPr>
                <w:rFonts w:eastAsia="Calibri"/>
              </w:rPr>
              <w:t>-</w:t>
            </w:r>
            <w:r w:rsidR="003F1980" w:rsidRPr="008B3A69">
              <w:rPr>
                <w:rFonts w:eastAsia="Calibri"/>
              </w:rPr>
              <w:t>line treatment initiators w</w:t>
            </w:r>
            <w:r w:rsidRPr="008B3A69">
              <w:rPr>
                <w:rFonts w:eastAsia="Calibri"/>
              </w:rPr>
              <w:t>as</w:t>
            </w:r>
            <w:r w:rsidR="003F1980" w:rsidRPr="008B3A69">
              <w:rPr>
                <w:rFonts w:eastAsia="Calibri"/>
              </w:rPr>
              <w:t xml:space="preserve"> estimated based on </w:t>
            </w:r>
            <w:r w:rsidRPr="008B3A69">
              <w:rPr>
                <w:rFonts w:eastAsia="Calibri"/>
              </w:rPr>
              <w:t xml:space="preserve">the </w:t>
            </w:r>
            <w:r w:rsidR="003F1980" w:rsidRPr="008B3A69">
              <w:rPr>
                <w:rFonts w:eastAsia="Calibri"/>
              </w:rPr>
              <w:t>pooled baseline EQ-5D-5L values (Australian weights, Norman 2023) from both treatment arms of the CHAMPION-MG trials</w:t>
            </w:r>
            <w:r w:rsidR="00373B6B" w:rsidRPr="008B3A69">
              <w:rPr>
                <w:rFonts w:eastAsia="Calibri"/>
              </w:rPr>
              <w:t xml:space="preserve"> (0.740)</w:t>
            </w:r>
            <w:r w:rsidR="003F1980" w:rsidRPr="008B3A69">
              <w:rPr>
                <w:rFonts w:eastAsia="Calibri"/>
              </w:rPr>
              <w:t xml:space="preserve">. </w:t>
            </w:r>
            <w:r w:rsidR="002619C7" w:rsidRPr="008B3A69">
              <w:rPr>
                <w:rFonts w:eastAsia="Calibri"/>
              </w:rPr>
              <w:t>First-line health state utilities for responders and non-responders were based on a post hoc analysis of EQ-5D-5L data (Australian weights, Norman 2023) from each treatment arm of the CHAMPION-MG trial</w:t>
            </w:r>
            <w:r w:rsidR="00373B6B" w:rsidRPr="008B3A69">
              <w:rPr>
                <w:rFonts w:eastAsia="Calibri"/>
              </w:rPr>
              <w:t xml:space="preserve"> (ravulizumab responder: 0.830; ravulizumab non-responder: 0.730; placebo responder: 0.810; placebo non-responder: 0.650)</w:t>
            </w:r>
            <w:r w:rsidR="002619C7" w:rsidRPr="008B3A69">
              <w:rPr>
                <w:rFonts w:eastAsia="Calibri"/>
              </w:rPr>
              <w:t>. Health state utility values for treatment initiators to second/third-line therapy were assumed to be equivalent to the non-response value of the preceding line of therapy. Utility values for responders to second/third-line therapy were assumed to be equivalent to published estimates for mild myasthenia gravis while non-responders were assumed to have utility values equivalent to severe myasthenia gravis (</w:t>
            </w:r>
            <w:r w:rsidR="00766061" w:rsidRPr="008B3A69">
              <w:rPr>
                <w:rFonts w:eastAsia="Calibri"/>
              </w:rPr>
              <w:t xml:space="preserve">responder: 0.766; non-responder: 0.530; </w:t>
            </w:r>
            <w:r w:rsidR="002619C7" w:rsidRPr="008B3A69">
              <w:rPr>
                <w:rFonts w:eastAsia="Calibri"/>
              </w:rPr>
              <w:t>Dewilde 2023).</w:t>
            </w:r>
          </w:p>
          <w:p w14:paraId="002A0E1D" w14:textId="7269CC01" w:rsidR="002619C7" w:rsidRPr="008B3A69" w:rsidRDefault="002619C7" w:rsidP="002619C7">
            <w:pPr>
              <w:pStyle w:val="Tabletext0"/>
              <w:spacing w:after="120"/>
              <w:rPr>
                <w:rFonts w:eastAsia="Calibri"/>
              </w:rPr>
            </w:pPr>
            <w:r w:rsidRPr="008B3A69">
              <w:rPr>
                <w:rFonts w:eastAsia="Calibri"/>
              </w:rPr>
              <w:t>Utility values were age-adjusted based on Australian general population EQ-5D-3L data (Clemens 2014).</w:t>
            </w:r>
          </w:p>
          <w:p w14:paraId="195B8801" w14:textId="2A802554" w:rsidR="002619C7" w:rsidRPr="008B3A69" w:rsidRDefault="002619C7" w:rsidP="002619C7">
            <w:pPr>
              <w:pStyle w:val="Tabletext0"/>
              <w:spacing w:after="120"/>
              <w:rPr>
                <w:rFonts w:eastAsia="Calibri"/>
              </w:rPr>
            </w:pPr>
            <w:r w:rsidRPr="008B3A69">
              <w:rPr>
                <w:rFonts w:eastAsia="Calibri"/>
              </w:rPr>
              <w:t>Exacerbation and myasthenic crisis disutility values were based on a post hoc analysis of EQ-5D-5L data from the combined treatment arms of the CHAMPION-MG trial. The duration of events was assumed based on published literature (Ramsaroop 2023).</w:t>
            </w:r>
          </w:p>
          <w:p w14:paraId="1069CA77" w14:textId="677D535F" w:rsidR="002619C7" w:rsidRPr="008B3A69" w:rsidRDefault="002619C7" w:rsidP="002619C7">
            <w:pPr>
              <w:pStyle w:val="TableText"/>
              <w:keepNext w:val="0"/>
              <w:rPr>
                <w:szCs w:val="20"/>
              </w:rPr>
            </w:pPr>
            <w:r w:rsidRPr="008B3A69">
              <w:rPr>
                <w:rFonts w:eastAsia="Calibri"/>
              </w:rPr>
              <w:t xml:space="preserve">The disutility for adverse events was assumed to be included in health state utility values for first-line therapies. Adverse event QALY decrements for chronic PLEX were derived from MSAC Assessment Report 1566. The QALY decrement associated with adverse events for other therapies was assumed to be equivalent to an exacerbation. </w:t>
            </w:r>
          </w:p>
        </w:tc>
      </w:tr>
      <w:tr w:rsidR="002619C7" w:rsidRPr="008B3A69" w14:paraId="388B6FA0" w14:textId="77777777" w:rsidTr="004C0A2F">
        <w:trPr>
          <w:cantSplit/>
        </w:trPr>
        <w:tc>
          <w:tcPr>
            <w:tcW w:w="800" w:type="pct"/>
            <w:shd w:val="clear" w:color="auto" w:fill="auto"/>
            <w:vAlign w:val="center"/>
          </w:tcPr>
          <w:p w14:paraId="4E407388" w14:textId="3AD4DB73" w:rsidR="002619C7" w:rsidRPr="008B3A69" w:rsidRDefault="002619C7" w:rsidP="002619C7">
            <w:pPr>
              <w:pStyle w:val="TableText"/>
              <w:keepNext w:val="0"/>
            </w:pPr>
            <w:r w:rsidRPr="008B3A69">
              <w:t>Costs</w:t>
            </w:r>
          </w:p>
        </w:tc>
        <w:tc>
          <w:tcPr>
            <w:tcW w:w="4200" w:type="pct"/>
            <w:shd w:val="clear" w:color="auto" w:fill="auto"/>
            <w:vAlign w:val="center"/>
          </w:tcPr>
          <w:p w14:paraId="2522140D" w14:textId="72048B2D" w:rsidR="002619C7" w:rsidRPr="008B3A69" w:rsidRDefault="002619C7" w:rsidP="002619C7">
            <w:pPr>
              <w:pStyle w:val="TableText"/>
              <w:spacing w:after="120"/>
            </w:pPr>
            <w:r w:rsidRPr="008B3A69">
              <w:t xml:space="preserve">Treatment costs (drug, vaccination, administration, procedure and monitoring costs) were based on proposed or current PBS/MBS items. </w:t>
            </w:r>
          </w:p>
          <w:p w14:paraId="5AC0FEFB" w14:textId="574EF9DC" w:rsidR="002619C7" w:rsidRPr="008B3A69" w:rsidRDefault="002619C7" w:rsidP="002619C7">
            <w:pPr>
              <w:pStyle w:val="TableText"/>
              <w:spacing w:after="120"/>
            </w:pPr>
            <w:r w:rsidRPr="008B3A69">
              <w:t>The costs associated with exacerbations and myasthenic crises were calculated assuming all patients are hospitalised and receive rescue IVIg or PLEX. Costs for IVIg and PLEX were based on MSAC Assessment Report 1566. The cost of hospitalisation was based on AR-DRG weights (B81A/B, B42A) with myasthenic crisis assumed to require ventilator support.</w:t>
            </w:r>
          </w:p>
          <w:p w14:paraId="3956BE23" w14:textId="27147F39" w:rsidR="002619C7" w:rsidRPr="008B3A69" w:rsidRDefault="002619C7" w:rsidP="002619C7">
            <w:pPr>
              <w:pStyle w:val="TableText"/>
              <w:spacing w:after="120"/>
            </w:pPr>
            <w:r w:rsidRPr="008B3A69">
              <w:t>The cost of serious adverse events was based on AR-DRG cost weights (B81A, B81B). The cost of retroperitoneal haematoma, femoral thrombosis and sepsis associated with chronic PLEX treatment were based on MSAC Assessment Report 1566.</w:t>
            </w:r>
          </w:p>
          <w:p w14:paraId="701C30F9" w14:textId="18F49F42" w:rsidR="002619C7" w:rsidRPr="008B3A69" w:rsidRDefault="002619C7" w:rsidP="002619C7">
            <w:pPr>
              <w:pStyle w:val="TableText"/>
              <w:spacing w:after="120"/>
            </w:pPr>
            <w:r w:rsidRPr="008B3A69">
              <w:t xml:space="preserve">Disease management costs were based on expert opinion of resource use (GP and specialist visits) for treatment responders and non-responders. The costs of physician visits were based on MBS items (Items 23 and 105). </w:t>
            </w:r>
          </w:p>
          <w:p w14:paraId="199D09BE" w14:textId="048FB559" w:rsidR="002619C7" w:rsidRPr="008B3A69" w:rsidRDefault="002619C7" w:rsidP="002619C7">
            <w:pPr>
              <w:pStyle w:val="TableText"/>
              <w:keepNext w:val="0"/>
              <w:rPr>
                <w:szCs w:val="20"/>
              </w:rPr>
            </w:pPr>
            <w:r w:rsidRPr="008B3A69">
              <w:t xml:space="preserve">Terminal care costs were based on AR-DRG sub-acute cost weights (4BT1) and were assumed to apply to all patients that died in the model. </w:t>
            </w:r>
          </w:p>
        </w:tc>
      </w:tr>
      <w:tr w:rsidR="002619C7" w:rsidRPr="008B3A69" w14:paraId="44C9CA59" w14:textId="77777777" w:rsidTr="004C0A2F">
        <w:trPr>
          <w:cantSplit/>
        </w:trPr>
        <w:tc>
          <w:tcPr>
            <w:tcW w:w="800" w:type="pct"/>
            <w:shd w:val="clear" w:color="auto" w:fill="auto"/>
            <w:vAlign w:val="center"/>
          </w:tcPr>
          <w:p w14:paraId="315ED3BD" w14:textId="77777777" w:rsidR="002619C7" w:rsidRPr="008B3A69" w:rsidRDefault="002619C7" w:rsidP="002619C7">
            <w:pPr>
              <w:pStyle w:val="TableText"/>
              <w:keepNext w:val="0"/>
            </w:pPr>
            <w:r w:rsidRPr="008B3A69">
              <w:t>Discount rate</w:t>
            </w:r>
          </w:p>
        </w:tc>
        <w:tc>
          <w:tcPr>
            <w:tcW w:w="4200" w:type="pct"/>
            <w:shd w:val="clear" w:color="auto" w:fill="auto"/>
            <w:vAlign w:val="center"/>
          </w:tcPr>
          <w:p w14:paraId="1DEDBF1F" w14:textId="77777777" w:rsidR="002619C7" w:rsidRPr="008B3A69" w:rsidRDefault="002619C7" w:rsidP="002619C7">
            <w:pPr>
              <w:pStyle w:val="TableText"/>
              <w:keepNext w:val="0"/>
            </w:pPr>
            <w:r w:rsidRPr="008B3A69">
              <w:t>5% for costs and outcomes</w:t>
            </w:r>
          </w:p>
        </w:tc>
      </w:tr>
      <w:tr w:rsidR="002619C7" w:rsidRPr="008B3A69" w14:paraId="64B1A5D4" w14:textId="77777777" w:rsidTr="004C0A2F">
        <w:trPr>
          <w:cantSplit/>
        </w:trPr>
        <w:tc>
          <w:tcPr>
            <w:tcW w:w="800" w:type="pct"/>
            <w:shd w:val="clear" w:color="auto" w:fill="auto"/>
            <w:vAlign w:val="center"/>
          </w:tcPr>
          <w:p w14:paraId="0C649A1E" w14:textId="77777777" w:rsidR="002619C7" w:rsidRPr="008B3A69" w:rsidRDefault="002619C7" w:rsidP="002619C7">
            <w:pPr>
              <w:pStyle w:val="TableText"/>
              <w:keepNext w:val="0"/>
              <w:rPr>
                <w:rFonts w:ascii="Times" w:eastAsia="Times New Roman" w:hAnsi="Times" w:cs="Times New Roman"/>
                <w:szCs w:val="20"/>
              </w:rPr>
            </w:pPr>
            <w:r w:rsidRPr="008B3A69">
              <w:t>Software package</w:t>
            </w:r>
          </w:p>
        </w:tc>
        <w:tc>
          <w:tcPr>
            <w:tcW w:w="4200" w:type="pct"/>
            <w:shd w:val="clear" w:color="auto" w:fill="auto"/>
            <w:vAlign w:val="center"/>
          </w:tcPr>
          <w:p w14:paraId="0A7925F4" w14:textId="77777777" w:rsidR="002619C7" w:rsidRPr="008B3A69" w:rsidRDefault="002619C7" w:rsidP="002619C7">
            <w:pPr>
              <w:pStyle w:val="TableText"/>
              <w:keepNext w:val="0"/>
            </w:pPr>
            <w:r w:rsidRPr="008B3A69">
              <w:t>Microsoft Excel 365</w:t>
            </w:r>
          </w:p>
        </w:tc>
      </w:tr>
    </w:tbl>
    <w:p w14:paraId="13C75721" w14:textId="77777777" w:rsidR="002619C7" w:rsidRPr="008B3A69" w:rsidRDefault="002619C7" w:rsidP="002619C7">
      <w:pPr>
        <w:pStyle w:val="COMTablefooter"/>
      </w:pPr>
      <w:r w:rsidRPr="008B3A69">
        <w:t>Source: Section 3, pp106-149 of the submission</w:t>
      </w:r>
    </w:p>
    <w:p w14:paraId="14FFDC76" w14:textId="168A40D6" w:rsidR="002619C7" w:rsidRPr="008B3A69" w:rsidRDefault="002619C7" w:rsidP="002619C7">
      <w:pPr>
        <w:pStyle w:val="COMTablefooter"/>
      </w:pPr>
      <w:r w:rsidRPr="008B3A69">
        <w:t>Abbreviations: AR-DRG, Australian Refined Diagnosis Related Groups; GP, general practitioner; IVIg, intravenous immunoglobulin; MBS, Medicare Benefits Schedule; MG-ADL, Myasthenia Gravis Activities of Daily Living; MSAC, Medicare Services Advisory Committee; PBS, Pharmaceutical Benefits Scheme; PLEX, plasma exchange; QALY, quality-adjusted life year.</w:t>
      </w:r>
    </w:p>
    <w:p w14:paraId="62D26425" w14:textId="64FB04B8" w:rsidR="00D5672D" w:rsidRPr="008B3A69" w:rsidRDefault="00D5672D" w:rsidP="00D5672D">
      <w:pPr>
        <w:pStyle w:val="COMexecsumnumberedpara"/>
      </w:pPr>
      <w:r w:rsidRPr="008B3A69">
        <w:t>All patients begin the model in the first-line treatment initiator health state. Patients can remain in this state for up to 6 months or die due to general mortality or crisis-related mortality but cannot discontinue therapy due to other reasons. During this period, patients may experience adverse events (first cycle only) and exacerbations or myasthenic crisis events.</w:t>
      </w:r>
    </w:p>
    <w:p w14:paraId="379CD938" w14:textId="09B32A85" w:rsidR="00D5672D" w:rsidRPr="008B3A69" w:rsidRDefault="00D5672D" w:rsidP="00D5672D">
      <w:pPr>
        <w:pStyle w:val="COMexecsumnumberedpara"/>
      </w:pPr>
      <w:r w:rsidRPr="008B3A69">
        <w:t xml:space="preserve">After 6 months, patients are assigned to </w:t>
      </w:r>
      <w:r w:rsidR="00AD32F5">
        <w:t xml:space="preserve">the </w:t>
      </w:r>
      <w:r w:rsidRPr="008B3A69">
        <w:t>response and non-response health states. Responders may remain in this state, die due to general mortality or crisis-related mortality, or prematurely discontinue therapy (with different therapies having different maximum treatment durations). Patients who discontinue therapy switch to the non-response health state with the exception of patients who have been treated with ravulizumab for 2 years who are assumed to achieve disease remission. Patients in disease remission are assumed to remain in the response health state but no longer require active treatment with ravulizumab. Patients in disease remission have a risk of disease relapse over time requiring the initiation of a new line of therapy. All patients in the non-response health state are assumed to discontinue therapy. During this period, patients may experience exacerbations or myasthenic crisis events.</w:t>
      </w:r>
    </w:p>
    <w:p w14:paraId="09FD7CCE" w14:textId="664070E4" w:rsidR="00D5672D" w:rsidRPr="008B3A69" w:rsidRDefault="00D5672D" w:rsidP="00D5672D">
      <w:pPr>
        <w:pStyle w:val="COMexecsumnumberedpara"/>
      </w:pPr>
      <w:r w:rsidRPr="008B3A69">
        <w:t>After</w:t>
      </w:r>
      <w:r w:rsidR="00954543" w:rsidRPr="008B3A69">
        <w:t xml:space="preserve"> premature</w:t>
      </w:r>
      <w:r w:rsidRPr="008B3A69">
        <w:t xml:space="preserve"> discontinuation</w:t>
      </w:r>
      <w:r w:rsidR="00954543" w:rsidRPr="008B3A69">
        <w:t>,</w:t>
      </w:r>
      <w:r w:rsidRPr="008B3A69">
        <w:t xml:space="preserve"> patients are assumed to enter a subsequent treatment initiator health state for up to 3 months before being assigned to response and non-response health states similar to first-line therapy (however no therapy other than ravulizumab can achieve disease remission). During this period, patients may die due to general mortality or crisis-related mortality and may experience adverse events (first cycle of treatment only) and exacerbations or myasthenic crisis events. Patients who have discontinued three lines of therapy are assumed to remain on treatment with standard therapy alone.</w:t>
      </w:r>
    </w:p>
    <w:p w14:paraId="475B5BCD" w14:textId="70EFDFA2" w:rsidR="001C203E" w:rsidRPr="008B3A69" w:rsidRDefault="00305E03" w:rsidP="00653571">
      <w:pPr>
        <w:pStyle w:val="COMexecsumnumberedpara"/>
      </w:pPr>
      <w:bookmarkStart w:id="53" w:name="_Ref159226934"/>
      <w:r w:rsidRPr="008B3A69">
        <w:t xml:space="preserve">The economic model assessed the use of ravulizumab as a new line of therapy immediately prior to </w:t>
      </w:r>
      <w:r w:rsidR="00653571" w:rsidRPr="008B3A69">
        <w:t>‘</w:t>
      </w:r>
      <w:r w:rsidRPr="008B3A69">
        <w:t>treatment-refractory</w:t>
      </w:r>
      <w:r w:rsidR="00653571" w:rsidRPr="008B3A69">
        <w:t>’</w:t>
      </w:r>
      <w:r w:rsidRPr="008B3A69">
        <w:t xml:space="preserve"> disease</w:t>
      </w:r>
      <w:r w:rsidR="00EC75BA" w:rsidRPr="008B3A69">
        <w:t>, using a</w:t>
      </w:r>
      <w:r w:rsidRPr="008B3A69">
        <w:t xml:space="preserve"> sequential treatment model (i.e. where patients start on first line therapy and then move to subsequent lines as each line of therapy fails)</w:t>
      </w:r>
      <w:r w:rsidR="00EC75BA" w:rsidRPr="008B3A69">
        <w:t>.</w:t>
      </w:r>
      <w:r w:rsidRPr="008B3A69">
        <w:t xml:space="preserve"> </w:t>
      </w:r>
      <w:r w:rsidR="00EC75BA" w:rsidRPr="008B3A69">
        <w:t xml:space="preserve">The ESC considered that this </w:t>
      </w:r>
      <w:r w:rsidRPr="008B3A69">
        <w:t>did not reflect the</w:t>
      </w:r>
      <w:r w:rsidR="00653571" w:rsidRPr="008B3A69">
        <w:t xml:space="preserve"> proposed restriction nor the </w:t>
      </w:r>
      <w:r w:rsidRPr="008B3A69">
        <w:t>PSCR’s intended place in therapy</w:t>
      </w:r>
      <w:r w:rsidR="001C203E" w:rsidRPr="008B3A69">
        <w:t>.</w:t>
      </w:r>
      <w:r w:rsidRPr="008B3A69">
        <w:t xml:space="preserve"> </w:t>
      </w:r>
      <w:r w:rsidR="00653571" w:rsidRPr="008B3A69">
        <w:t>While the PSCR stated that ravulizumab could be used as a bridging therapy for symptom reduction until immunosuppressive therapies can achieve optimal control, th</w:t>
      </w:r>
      <w:r w:rsidR="001C203E" w:rsidRPr="008B3A69">
        <w:t xml:space="preserve">e </w:t>
      </w:r>
      <w:bookmarkStart w:id="54" w:name="_Hlk158976783"/>
      <w:r w:rsidR="001C203E" w:rsidRPr="008B3A69">
        <w:t>economic analysis assumed</w:t>
      </w:r>
      <w:r w:rsidR="001C0A33" w:rsidRPr="008B3A69">
        <w:t xml:space="preserve"> that patients on standard therapy alone, including immunosuppressive therapy, would never achieve long-term symptom control (i.e. in the economic model only patients on ravulizumab could </w:t>
      </w:r>
      <w:r w:rsidR="001C203E" w:rsidRPr="008B3A69">
        <w:t>achieve</w:t>
      </w:r>
      <w:r w:rsidR="001C0A33" w:rsidRPr="008B3A69">
        <w:t xml:space="preserve"> remission, as</w:t>
      </w:r>
      <w:bookmarkEnd w:id="54"/>
      <w:r w:rsidR="000D005B" w:rsidRPr="008B3A69">
        <w:t xml:space="preserve"> shown in </w:t>
      </w:r>
      <w:r w:rsidR="000D005B" w:rsidRPr="008B3A69">
        <w:fldChar w:fldCharType="begin" w:fldLock="1"/>
      </w:r>
      <w:r w:rsidR="000D005B" w:rsidRPr="008B3A69">
        <w:instrText xml:space="preserve"> REF _Ref156567234 \h </w:instrText>
      </w:r>
      <w:r w:rsidR="001C0A33" w:rsidRPr="008B3A69">
        <w:instrText xml:space="preserve"> \* MERGEFORMAT </w:instrText>
      </w:r>
      <w:r w:rsidR="000D005B" w:rsidRPr="008B3A69">
        <w:fldChar w:fldCharType="separate"/>
      </w:r>
      <w:r w:rsidR="0081771C" w:rsidRPr="008B3A69">
        <w:t xml:space="preserve">Figure </w:t>
      </w:r>
      <w:r w:rsidR="0081771C">
        <w:rPr>
          <w:noProof/>
        </w:rPr>
        <w:t>3</w:t>
      </w:r>
      <w:r w:rsidR="000D005B" w:rsidRPr="008B3A69">
        <w:fldChar w:fldCharType="end"/>
      </w:r>
      <w:r w:rsidR="001C0A33" w:rsidRPr="008B3A69">
        <w:t>)</w:t>
      </w:r>
      <w:r w:rsidR="00653571" w:rsidRPr="008B3A69">
        <w:t xml:space="preserve">. </w:t>
      </w:r>
    </w:p>
    <w:p w14:paraId="64158F11" w14:textId="2B91C4DC" w:rsidR="00D5672D" w:rsidRPr="008B3A69" w:rsidRDefault="00EF4F6F" w:rsidP="00641FB3">
      <w:pPr>
        <w:pStyle w:val="COMexecsumnumberedpara"/>
      </w:pPr>
      <w:r w:rsidRPr="008B3A69">
        <w:t xml:space="preserve">Additionally, there </w:t>
      </w:r>
      <w:r w:rsidR="00EC75BA" w:rsidRPr="008B3A69">
        <w:t>we</w:t>
      </w:r>
      <w:r w:rsidRPr="008B3A69">
        <w:t>re insufficient clinical data to populate a sequential treatment model and therefore the economic analysis required the use of a substantial number of data assumptions. Finally, despite the added complexity of including lines of therapy in the model, most of the additional variables had only a modest impact on the economic analysis, with the exception of the utility value for non-response to second/third-line therapies (assumed to be the same as severe disease), which was a key driver of the economic analysis.</w:t>
      </w:r>
      <w:bookmarkEnd w:id="53"/>
      <w:r w:rsidR="00572BD3" w:rsidRPr="008B3A69">
        <w:t xml:space="preserve"> </w:t>
      </w:r>
      <w:r w:rsidR="007E5237" w:rsidRPr="008B3A69">
        <w:t xml:space="preserve">The ESC considered that these assumptions were poorly justified and the complexity of the model with 9 health states compounded the uncertainty and </w:t>
      </w:r>
      <w:r w:rsidR="00572BD3" w:rsidRPr="008B3A69">
        <w:t xml:space="preserve">limited the </w:t>
      </w:r>
      <w:r w:rsidR="007E5237" w:rsidRPr="008B3A69">
        <w:t>usefulness of the estimated ICER.</w:t>
      </w:r>
    </w:p>
    <w:p w14:paraId="2BFD5496" w14:textId="3600AAB8" w:rsidR="00EF4F6F" w:rsidRPr="008B3A69" w:rsidRDefault="00EF4F6F" w:rsidP="00641FB3">
      <w:pPr>
        <w:pStyle w:val="COMexecsumnumberedpara"/>
      </w:pPr>
      <w:r w:rsidRPr="008B3A69">
        <w:t xml:space="preserve">Key drivers of the economic model are summarised in </w:t>
      </w:r>
      <w:r w:rsidR="003124DD" w:rsidRPr="008B3A69">
        <w:fldChar w:fldCharType="begin" w:fldLock="1"/>
      </w:r>
      <w:r w:rsidR="003124DD" w:rsidRPr="008B3A69">
        <w:instrText xml:space="preserve"> REF _Ref155448566 \h </w:instrText>
      </w:r>
      <w:r w:rsidR="00291F22" w:rsidRPr="008B3A69">
        <w:instrText xml:space="preserve"> \* MERGEFORMAT </w:instrText>
      </w:r>
      <w:r w:rsidR="003124DD" w:rsidRPr="008B3A69">
        <w:fldChar w:fldCharType="separate"/>
      </w:r>
      <w:r w:rsidR="0081771C" w:rsidRPr="008B3A69">
        <w:t xml:space="preserve">Table </w:t>
      </w:r>
      <w:r w:rsidR="0081771C">
        <w:rPr>
          <w:noProof/>
        </w:rPr>
        <w:t>9</w:t>
      </w:r>
      <w:r w:rsidR="003124DD" w:rsidRPr="008B3A69">
        <w:fldChar w:fldCharType="end"/>
      </w:r>
      <w:r w:rsidRPr="008B3A69">
        <w:t>.</w:t>
      </w:r>
    </w:p>
    <w:p w14:paraId="774D46B7" w14:textId="3263CF1E" w:rsidR="00D110BD" w:rsidRPr="008B3A69" w:rsidRDefault="003124DD" w:rsidP="003124DD">
      <w:pPr>
        <w:pStyle w:val="COMtablefigcaption"/>
      </w:pPr>
      <w:bookmarkStart w:id="55" w:name="_Ref155448566"/>
      <w:r w:rsidRPr="008B3A69">
        <w:t xml:space="preserve">Table </w:t>
      </w:r>
      <w:r w:rsidR="0065138C">
        <w:fldChar w:fldCharType="begin" w:fldLock="1"/>
      </w:r>
      <w:r w:rsidR="0065138C">
        <w:instrText xml:space="preserve"> SEQ Table \* ARABIC </w:instrText>
      </w:r>
      <w:r w:rsidR="0065138C">
        <w:fldChar w:fldCharType="separate"/>
      </w:r>
      <w:r w:rsidR="0081771C">
        <w:rPr>
          <w:noProof/>
        </w:rPr>
        <w:t>9</w:t>
      </w:r>
      <w:r w:rsidR="0065138C">
        <w:rPr>
          <w:noProof/>
        </w:rPr>
        <w:fldChar w:fldCharType="end"/>
      </w:r>
      <w:bookmarkEnd w:id="55"/>
      <w:r w:rsidR="00E16AD8" w:rsidRPr="008B3A69">
        <w:t>:</w:t>
      </w:r>
      <w:r w:rsidR="00D110BD" w:rsidRPr="008B3A69">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5"/>
        <w:gridCol w:w="5969"/>
        <w:gridCol w:w="1793"/>
      </w:tblGrid>
      <w:tr w:rsidR="00537182" w:rsidRPr="008B3A69" w14:paraId="4DD8026E" w14:textId="77777777" w:rsidTr="005A6B82">
        <w:trPr>
          <w:tblHeader/>
        </w:trPr>
        <w:tc>
          <w:tcPr>
            <w:tcW w:w="696" w:type="pct"/>
            <w:shd w:val="clear" w:color="auto" w:fill="auto"/>
            <w:vAlign w:val="center"/>
          </w:tcPr>
          <w:p w14:paraId="6A9EC2DA" w14:textId="77777777" w:rsidR="00D110BD" w:rsidRPr="008B3A69" w:rsidRDefault="00D110BD" w:rsidP="00BB00B3">
            <w:pPr>
              <w:pStyle w:val="COMTableheadingrow"/>
              <w:jc w:val="center"/>
              <w:rPr>
                <w:lang w:val="en-AU"/>
              </w:rPr>
            </w:pPr>
            <w:r w:rsidRPr="008B3A69">
              <w:rPr>
                <w:lang w:val="en-AU"/>
              </w:rPr>
              <w:t>Description</w:t>
            </w:r>
          </w:p>
        </w:tc>
        <w:tc>
          <w:tcPr>
            <w:tcW w:w="3310" w:type="pct"/>
            <w:shd w:val="clear" w:color="auto" w:fill="auto"/>
            <w:vAlign w:val="center"/>
          </w:tcPr>
          <w:p w14:paraId="67A62672" w14:textId="77777777" w:rsidR="00D110BD" w:rsidRPr="008B3A69" w:rsidRDefault="00D110BD" w:rsidP="000A7453">
            <w:pPr>
              <w:pStyle w:val="COMTableheadingrow"/>
              <w:jc w:val="center"/>
              <w:rPr>
                <w:lang w:val="en-AU"/>
              </w:rPr>
            </w:pPr>
            <w:r w:rsidRPr="008B3A69">
              <w:rPr>
                <w:lang w:val="en-AU"/>
              </w:rPr>
              <w:t>Method/Value</w:t>
            </w:r>
          </w:p>
        </w:tc>
        <w:tc>
          <w:tcPr>
            <w:tcW w:w="994" w:type="pct"/>
            <w:shd w:val="clear" w:color="auto" w:fill="auto"/>
            <w:vAlign w:val="center"/>
          </w:tcPr>
          <w:p w14:paraId="6C1DC9EA" w14:textId="47092BF5" w:rsidR="00490B17" w:rsidRPr="008B3A69" w:rsidRDefault="00D110BD" w:rsidP="005A6B82">
            <w:pPr>
              <w:pStyle w:val="COMTableheadingrow"/>
              <w:jc w:val="center"/>
              <w:rPr>
                <w:lang w:val="en-AU"/>
              </w:rPr>
            </w:pPr>
            <w:r w:rsidRPr="008B3A69">
              <w:rPr>
                <w:lang w:val="en-AU"/>
              </w:rPr>
              <w:t>Impact</w:t>
            </w:r>
          </w:p>
        </w:tc>
      </w:tr>
      <w:tr w:rsidR="00537182" w:rsidRPr="008B3A69" w14:paraId="3483847F" w14:textId="77777777" w:rsidTr="005A6B82">
        <w:tc>
          <w:tcPr>
            <w:tcW w:w="696" w:type="pct"/>
            <w:shd w:val="clear" w:color="auto" w:fill="auto"/>
            <w:vAlign w:val="center"/>
          </w:tcPr>
          <w:p w14:paraId="2724D8D9" w14:textId="5A1C1A97" w:rsidR="00D110BD" w:rsidRPr="008B3A69" w:rsidRDefault="005A6B82" w:rsidP="00C127B9">
            <w:pPr>
              <w:pStyle w:val="COMTabletext"/>
            </w:pPr>
            <w:r w:rsidRPr="008B3A69">
              <w:t xml:space="preserve">Ravulizumab </w:t>
            </w:r>
            <w:r w:rsidR="006D14F0" w:rsidRPr="008B3A69">
              <w:t xml:space="preserve">responder </w:t>
            </w:r>
            <w:r w:rsidRPr="008B3A69">
              <w:t>treatment duration</w:t>
            </w:r>
          </w:p>
        </w:tc>
        <w:tc>
          <w:tcPr>
            <w:tcW w:w="3310" w:type="pct"/>
            <w:shd w:val="clear" w:color="auto" w:fill="auto"/>
            <w:vAlign w:val="center"/>
          </w:tcPr>
          <w:p w14:paraId="14FB2C16" w14:textId="01FD3DEC" w:rsidR="00730565" w:rsidRDefault="00730565" w:rsidP="00730565">
            <w:pPr>
              <w:pStyle w:val="COMTabletext"/>
            </w:pPr>
            <w:r w:rsidRPr="008B3A69">
              <w:t xml:space="preserve">The submission assumed that treatment responders to ravulizumab would have a maximum treatment duration of 2 years on </w:t>
            </w:r>
            <w:r w:rsidR="006D14F0" w:rsidRPr="008B3A69">
              <w:t>the</w:t>
            </w:r>
            <w:r w:rsidRPr="008B3A69">
              <w:t xml:space="preserve"> basis</w:t>
            </w:r>
            <w:r w:rsidR="006D14F0" w:rsidRPr="008B3A69">
              <w:t xml:space="preserve"> that</w:t>
            </w:r>
            <w:r w:rsidRPr="008B3A69">
              <w:t xml:space="preserve"> patients treated with ravulizumab for this length of time would achieve disease remission (minimal manifestations of disease) and would not require any further treatment with ravulizumab.</w:t>
            </w:r>
            <w:r w:rsidR="006D14F0" w:rsidRPr="008B3A69">
              <w:t xml:space="preserve"> </w:t>
            </w:r>
            <w:r w:rsidRPr="008B3A69">
              <w:t xml:space="preserve">The submission argued that a 2-year treatment window was consistent with </w:t>
            </w:r>
            <w:r w:rsidR="00923F54" w:rsidRPr="008B3A69">
              <w:t xml:space="preserve">the </w:t>
            </w:r>
            <w:r w:rsidRPr="008B3A69">
              <w:t xml:space="preserve">natural history of myasthenia gravis and aligns with the general management principles for myasthenia gravis which are to manage symptoms with the lowest treatment burden. </w:t>
            </w:r>
            <w:r w:rsidR="0012505F" w:rsidRPr="008B3A69">
              <w:t xml:space="preserve">The PSCR (p3) stated </w:t>
            </w:r>
            <w:r w:rsidR="00741CE7" w:rsidRPr="008B3A69">
              <w:t>that it estimated that “a patient on average will be treated for 2 years (not a maximum of 2 years)”. However, the ESC noted</w:t>
            </w:r>
            <w:r w:rsidR="00461086" w:rsidRPr="008B3A69">
              <w:t xml:space="preserve"> that the economic model used a maximum treatment duration of 2 years (</w:t>
            </w:r>
            <w:r w:rsidR="00EA30FF" w:rsidRPr="008B3A69">
              <w:t xml:space="preserve">i.e. </w:t>
            </w:r>
            <w:r w:rsidR="00461086" w:rsidRPr="008B3A69">
              <w:t>patients could receive less than 2 years of treatment but could not receive more than 2 years of treatment)</w:t>
            </w:r>
            <w:r w:rsidR="00EA30FF" w:rsidRPr="008B3A69">
              <w:t>.</w:t>
            </w:r>
          </w:p>
          <w:p w14:paraId="264562EC" w14:textId="77777777" w:rsidR="00ED2AE3" w:rsidRPr="008B3A69" w:rsidRDefault="00ED2AE3" w:rsidP="00730565">
            <w:pPr>
              <w:pStyle w:val="COMTabletext"/>
            </w:pPr>
          </w:p>
          <w:p w14:paraId="4B9FCE0E" w14:textId="35438558" w:rsidR="00D110BD" w:rsidRPr="008B3A69" w:rsidRDefault="00730565" w:rsidP="00BB00B3">
            <w:pPr>
              <w:pStyle w:val="COMTabletext"/>
            </w:pPr>
            <w:r w:rsidRPr="008B3A69">
              <w:t>The submiss</w:t>
            </w:r>
            <w:r w:rsidR="00923F54" w:rsidRPr="008B3A69">
              <w:t>ion</w:t>
            </w:r>
            <w:r w:rsidRPr="008B3A69">
              <w:t xml:space="preserve"> provided no clinical data on the duration of ravulizumab therapy required to induce remission. While it is plausible that ravulizumab may induce remission in some patients, it is unlikely to occur in all treatment re</w:t>
            </w:r>
            <w:r w:rsidR="00923F54" w:rsidRPr="008B3A69">
              <w:t>sponders, and the submission</w:t>
            </w:r>
            <w:r w:rsidRPr="008B3A69">
              <w:t xml:space="preserve"> provided no clinical data to support this assumption. It should be noted that while many patients experienced an improvement in functional outcomes during the CHAMPION-MG trial (ravulizumab: 63.9%) only a minority of patients achieved minimal manifestations of disease (ravulizumab: 25.6%)</w:t>
            </w:r>
            <w:r w:rsidR="00ED31C0" w:rsidRPr="008B3A69">
              <w:t xml:space="preserve"> at the end of 26 weeks</w:t>
            </w:r>
            <w:r w:rsidRPr="008B3A69">
              <w:t>. Therefore, it is unclear whether the majority of treatment responders would meet clinical definitions for disease remission.</w:t>
            </w:r>
          </w:p>
        </w:tc>
        <w:tc>
          <w:tcPr>
            <w:tcW w:w="994" w:type="pct"/>
            <w:shd w:val="clear" w:color="auto" w:fill="auto"/>
            <w:vAlign w:val="center"/>
          </w:tcPr>
          <w:p w14:paraId="4CB0C507" w14:textId="4F8965DC" w:rsidR="00D110BD" w:rsidRPr="008B3A69" w:rsidRDefault="00537182" w:rsidP="004F5659">
            <w:pPr>
              <w:pStyle w:val="COMTabletext"/>
              <w:jc w:val="center"/>
            </w:pPr>
            <w:r w:rsidRPr="008B3A69">
              <w:t>High, favours</w:t>
            </w:r>
            <w:r w:rsidR="004F5659" w:rsidRPr="008B3A69">
              <w:t xml:space="preserve"> ravulizumab</w:t>
            </w:r>
          </w:p>
        </w:tc>
      </w:tr>
      <w:tr w:rsidR="005A6B82" w:rsidRPr="008B3A69" w14:paraId="0A8CCD13" w14:textId="77777777" w:rsidTr="005A6B82">
        <w:tc>
          <w:tcPr>
            <w:tcW w:w="696" w:type="pct"/>
            <w:shd w:val="clear" w:color="auto" w:fill="auto"/>
            <w:vAlign w:val="center"/>
          </w:tcPr>
          <w:p w14:paraId="2F2F1228" w14:textId="17885907" w:rsidR="005A6B82" w:rsidRPr="008B3A69" w:rsidRDefault="005A6B82" w:rsidP="00C127B9">
            <w:pPr>
              <w:pStyle w:val="COMTabletext"/>
            </w:pPr>
            <w:r w:rsidRPr="008B3A69">
              <w:t xml:space="preserve">Placebo </w:t>
            </w:r>
            <w:r w:rsidR="006D14F0" w:rsidRPr="008B3A69">
              <w:t xml:space="preserve">responder </w:t>
            </w:r>
            <w:r w:rsidRPr="008B3A69">
              <w:t>treatment duration</w:t>
            </w:r>
          </w:p>
        </w:tc>
        <w:tc>
          <w:tcPr>
            <w:tcW w:w="3310" w:type="pct"/>
            <w:shd w:val="clear" w:color="auto" w:fill="auto"/>
            <w:vAlign w:val="center"/>
          </w:tcPr>
          <w:p w14:paraId="3BD85B1A" w14:textId="311078D8" w:rsidR="005A6B82" w:rsidRPr="008B3A69" w:rsidRDefault="00730565" w:rsidP="00BB00B3">
            <w:pPr>
              <w:pStyle w:val="COMTabletext"/>
            </w:pPr>
            <w:r w:rsidRPr="008B3A69">
              <w:t xml:space="preserve">The submission assumed that treatment responders to placebo would have a maximum treatment duration of 1 year. The submission claimed that this argument was reasonable as patients were only receiving active therapy with stable doses of standard therapy and therefore discontinuation rates would be expected to be high. All patients discontinuing placebo were switched to non-response health states. </w:t>
            </w:r>
            <w:r w:rsidR="00906D9D" w:rsidRPr="008B3A69">
              <w:t>The evaluation and the ESC considered that t</w:t>
            </w:r>
            <w:r w:rsidRPr="008B3A69">
              <w:t xml:space="preserve">his assumption was </w:t>
            </w:r>
            <w:r w:rsidR="00E37D40" w:rsidRPr="008B3A69">
              <w:t>implausible</w:t>
            </w:r>
            <w:r w:rsidRPr="008B3A69">
              <w:t xml:space="preserve"> as treatment responders in the placebo arm had achieved a clinically important improvement in functional outcomes using the same thresholds as applied to ravulizumab. There are no clinical data to support differential handling of ravulizumab and placebo arm treatment durations after the clinical trial period.</w:t>
            </w:r>
          </w:p>
        </w:tc>
        <w:tc>
          <w:tcPr>
            <w:tcW w:w="994" w:type="pct"/>
            <w:shd w:val="clear" w:color="auto" w:fill="auto"/>
            <w:vAlign w:val="center"/>
          </w:tcPr>
          <w:p w14:paraId="762BD4BA" w14:textId="2493FA7A" w:rsidR="005A6B82" w:rsidRPr="008B3A69" w:rsidRDefault="004F5659" w:rsidP="004F5659">
            <w:pPr>
              <w:pStyle w:val="COMTabletext"/>
              <w:jc w:val="center"/>
            </w:pPr>
            <w:r w:rsidRPr="008B3A69">
              <w:t>High, favours ravulizumab</w:t>
            </w:r>
          </w:p>
        </w:tc>
      </w:tr>
      <w:tr w:rsidR="005A6B82" w:rsidRPr="008B3A69" w14:paraId="5AB7D251" w14:textId="77777777" w:rsidTr="005A6B82">
        <w:tc>
          <w:tcPr>
            <w:tcW w:w="696" w:type="pct"/>
            <w:shd w:val="clear" w:color="auto" w:fill="auto"/>
            <w:vAlign w:val="center"/>
          </w:tcPr>
          <w:p w14:paraId="4647624F" w14:textId="458B1F15" w:rsidR="005A6B82" w:rsidRPr="008B3A69" w:rsidRDefault="005A6B82" w:rsidP="00C127B9">
            <w:pPr>
              <w:pStyle w:val="COMTabletext"/>
            </w:pPr>
            <w:r w:rsidRPr="008B3A69">
              <w:t>Ravulizumab remission duration</w:t>
            </w:r>
          </w:p>
        </w:tc>
        <w:tc>
          <w:tcPr>
            <w:tcW w:w="3310" w:type="pct"/>
            <w:shd w:val="clear" w:color="auto" w:fill="auto"/>
            <w:vAlign w:val="center"/>
          </w:tcPr>
          <w:p w14:paraId="3B9349CA" w14:textId="4EF0CEBA" w:rsidR="005A6B82" w:rsidRPr="008B3A69" w:rsidRDefault="004F5659" w:rsidP="00BB00B3">
            <w:pPr>
              <w:pStyle w:val="COMTabletext"/>
            </w:pPr>
            <w:r w:rsidRPr="008B3A69">
              <w:t xml:space="preserve">The submission predicted that patients in disease remission would gradually relapse over time which was modelled using a linear function based on the assumption that all patients in remission at 2 years had relapsed by 15 years. </w:t>
            </w:r>
            <w:r w:rsidR="00923F54" w:rsidRPr="008B3A69">
              <w:t>No clinical data were</w:t>
            </w:r>
            <w:r w:rsidRPr="008B3A69">
              <w:t xml:space="preserve"> provided to support this assumption. </w:t>
            </w:r>
            <w:r w:rsidR="00210516" w:rsidRPr="008B3A69">
              <w:t xml:space="preserve">The ESC considered this highly simplistic and not supported by clinical data or evidence from the literature. </w:t>
            </w:r>
          </w:p>
        </w:tc>
        <w:tc>
          <w:tcPr>
            <w:tcW w:w="994" w:type="pct"/>
            <w:shd w:val="clear" w:color="auto" w:fill="auto"/>
            <w:vAlign w:val="center"/>
          </w:tcPr>
          <w:p w14:paraId="1C82A31A" w14:textId="63361E0A" w:rsidR="005A6B82" w:rsidRPr="008B3A69" w:rsidRDefault="004F5659" w:rsidP="004F5659">
            <w:pPr>
              <w:pStyle w:val="COMTabletext"/>
              <w:jc w:val="center"/>
            </w:pPr>
            <w:r w:rsidRPr="008B3A69">
              <w:t>High, favours ravulizumab</w:t>
            </w:r>
          </w:p>
        </w:tc>
      </w:tr>
      <w:tr w:rsidR="00537182" w:rsidRPr="008B3A69" w14:paraId="39E46D5B" w14:textId="77777777" w:rsidTr="005A6B82">
        <w:tc>
          <w:tcPr>
            <w:tcW w:w="696" w:type="pct"/>
            <w:shd w:val="clear" w:color="auto" w:fill="auto"/>
            <w:vAlign w:val="center"/>
          </w:tcPr>
          <w:p w14:paraId="347EC5A4" w14:textId="1A5C7FC1" w:rsidR="00D110BD" w:rsidRPr="008B3A69" w:rsidRDefault="005A6B82" w:rsidP="00C127B9">
            <w:pPr>
              <w:pStyle w:val="COMTabletext"/>
            </w:pPr>
            <w:r w:rsidRPr="008B3A69">
              <w:t>Health utility for 2</w:t>
            </w:r>
            <w:r w:rsidRPr="008B3A69">
              <w:rPr>
                <w:vertAlign w:val="superscript"/>
              </w:rPr>
              <w:t>nd</w:t>
            </w:r>
            <w:r w:rsidRPr="008B3A69">
              <w:t>/3</w:t>
            </w:r>
            <w:r w:rsidRPr="008B3A69">
              <w:rPr>
                <w:vertAlign w:val="superscript"/>
              </w:rPr>
              <w:t>rd</w:t>
            </w:r>
            <w:r w:rsidRPr="008B3A69">
              <w:t xml:space="preserve"> line non-responder</w:t>
            </w:r>
            <w:r w:rsidR="00923F54" w:rsidRPr="008B3A69">
              <w:t>s</w:t>
            </w:r>
          </w:p>
        </w:tc>
        <w:tc>
          <w:tcPr>
            <w:tcW w:w="3310" w:type="pct"/>
            <w:shd w:val="clear" w:color="auto" w:fill="auto"/>
            <w:vAlign w:val="center"/>
          </w:tcPr>
          <w:p w14:paraId="7E7105AF" w14:textId="2FECA308" w:rsidR="00D110BD" w:rsidRPr="008B3A69" w:rsidRDefault="006D14F0" w:rsidP="006D14F0">
            <w:pPr>
              <w:pStyle w:val="COMTabletext"/>
            </w:pPr>
            <w:r w:rsidRPr="008B3A69">
              <w:t xml:space="preserve">In the absence of any available clinical data, the submission assumed that second/third-line treatment non-responders would have the same utility value as patients with severe (MGFA Class IV) myasthenia gravis. </w:t>
            </w:r>
            <w:r w:rsidR="00EC75BA" w:rsidRPr="008B3A69">
              <w:t>The evaluation and the ESC considered t</w:t>
            </w:r>
            <w:r w:rsidRPr="008B3A69">
              <w:t xml:space="preserve">his assumption was </w:t>
            </w:r>
            <w:r w:rsidR="009F67B6" w:rsidRPr="008B3A69">
              <w:t xml:space="preserve">implausible </w:t>
            </w:r>
            <w:r w:rsidR="00906D9D" w:rsidRPr="008B3A69">
              <w:t>as</w:t>
            </w:r>
            <w:r w:rsidRPr="008B3A69">
              <w:t xml:space="preserve"> the vast majority of patients in the CHAMPION-MG trial only had mild-to-moderate disease (44.6% mild, 49.1% moderate).</w:t>
            </w:r>
          </w:p>
        </w:tc>
        <w:tc>
          <w:tcPr>
            <w:tcW w:w="994" w:type="pct"/>
            <w:shd w:val="clear" w:color="auto" w:fill="auto"/>
            <w:vAlign w:val="center"/>
          </w:tcPr>
          <w:p w14:paraId="50F3F3FF" w14:textId="1EFECA82" w:rsidR="00D110BD" w:rsidRPr="008B3A69" w:rsidRDefault="006D14F0" w:rsidP="000A7453">
            <w:pPr>
              <w:pStyle w:val="COMTabletext"/>
              <w:jc w:val="center"/>
            </w:pPr>
            <w:r w:rsidRPr="008B3A69">
              <w:t>High, favours ravulizumab</w:t>
            </w:r>
          </w:p>
        </w:tc>
      </w:tr>
    </w:tbl>
    <w:p w14:paraId="30E97087" w14:textId="444A608E" w:rsidR="00D110BD" w:rsidRPr="008B3A69" w:rsidRDefault="009D792E" w:rsidP="00BB00B3">
      <w:pPr>
        <w:pStyle w:val="COMTablefooter"/>
      </w:pPr>
      <w:r w:rsidRPr="008B3A69">
        <w:t xml:space="preserve">Source: </w:t>
      </w:r>
      <w:r w:rsidR="006D14F0" w:rsidRPr="008B3A69">
        <w:t>Constructed during the evaluation</w:t>
      </w:r>
    </w:p>
    <w:p w14:paraId="7F1343A1" w14:textId="11AB0DCB" w:rsidR="00F55BC1" w:rsidRPr="008B3A69" w:rsidRDefault="00F55BC1" w:rsidP="005A6B82">
      <w:pPr>
        <w:pStyle w:val="COMexecsumnumberedpara"/>
      </w:pPr>
      <w:r w:rsidRPr="008B3A69">
        <w:t xml:space="preserve">A model trace of the proportion of responders over time is summarised in </w:t>
      </w:r>
      <w:r w:rsidRPr="008B3A69">
        <w:fldChar w:fldCharType="begin" w:fldLock="1"/>
      </w:r>
      <w:r w:rsidRPr="008B3A69">
        <w:instrText xml:space="preserve"> REF _Ref156567234 \h </w:instrText>
      </w:r>
      <w:r w:rsidR="00291F22" w:rsidRPr="008B3A69">
        <w:instrText xml:space="preserve"> \* MERGEFORMAT </w:instrText>
      </w:r>
      <w:r w:rsidRPr="008B3A69">
        <w:fldChar w:fldCharType="separate"/>
      </w:r>
      <w:r w:rsidR="0081771C" w:rsidRPr="008B3A69">
        <w:t xml:space="preserve">Figure </w:t>
      </w:r>
      <w:r w:rsidR="0081771C">
        <w:rPr>
          <w:noProof/>
        </w:rPr>
        <w:t>3</w:t>
      </w:r>
      <w:r w:rsidRPr="008B3A69">
        <w:fldChar w:fldCharType="end"/>
      </w:r>
      <w:r w:rsidRPr="008B3A69">
        <w:t>.</w:t>
      </w:r>
    </w:p>
    <w:p w14:paraId="6905037F" w14:textId="37491C4E" w:rsidR="00F55BC1" w:rsidRPr="008B3A69" w:rsidRDefault="00F55BC1" w:rsidP="00756E90">
      <w:pPr>
        <w:pStyle w:val="COMtablefigcaption"/>
      </w:pPr>
      <w:bookmarkStart w:id="56" w:name="_Ref156567234"/>
      <w:r w:rsidRPr="008B3A69">
        <w:t xml:space="preserve">Figure </w:t>
      </w:r>
      <w:r w:rsidR="0065138C">
        <w:fldChar w:fldCharType="begin" w:fldLock="1"/>
      </w:r>
      <w:r w:rsidR="0065138C">
        <w:instrText xml:space="preserve"> SEQ Figure \* ARABIC </w:instrText>
      </w:r>
      <w:r w:rsidR="0065138C">
        <w:fldChar w:fldCharType="separate"/>
      </w:r>
      <w:r w:rsidR="0081771C">
        <w:rPr>
          <w:noProof/>
        </w:rPr>
        <w:t>3</w:t>
      </w:r>
      <w:r w:rsidR="0065138C">
        <w:rPr>
          <w:noProof/>
        </w:rPr>
        <w:fldChar w:fldCharType="end"/>
      </w:r>
      <w:bookmarkEnd w:id="56"/>
      <w:r w:rsidRPr="008B3A69">
        <w:t>: Model trace of responders by line of therapy</w:t>
      </w:r>
    </w:p>
    <w:p w14:paraId="00641288" w14:textId="77777777" w:rsidR="00F55BC1" w:rsidRPr="008B3A69" w:rsidRDefault="00F55BC1" w:rsidP="00B05850">
      <w:pPr>
        <w:pStyle w:val="COMTablefooter"/>
        <w:keepNext/>
      </w:pPr>
      <w:r w:rsidRPr="008B3A69">
        <w:rPr>
          <w:noProof/>
        </w:rPr>
        <w:drawing>
          <wp:inline distT="0" distB="0" distL="0" distR="0" wp14:anchorId="7B74A7E1" wp14:editId="45594BFE">
            <wp:extent cx="5694045" cy="3523615"/>
            <wp:effectExtent l="0" t="0" r="1905" b="635"/>
            <wp:docPr id="512126589" name="Picture 512126589" descr="A graph of a number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4013" name="Picture 2" descr="A graph of a number of different colored lin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4045" cy="3523615"/>
                    </a:xfrm>
                    <a:prstGeom prst="rect">
                      <a:avLst/>
                    </a:prstGeom>
                    <a:noFill/>
                  </pic:spPr>
                </pic:pic>
              </a:graphicData>
            </a:graphic>
          </wp:inline>
        </w:drawing>
      </w:r>
      <w:r w:rsidRPr="008B3A69">
        <w:t>Source: Constructed during the evaluation based on Attachment 7 Economic Model Excel Spreadsheet</w:t>
      </w:r>
    </w:p>
    <w:p w14:paraId="6E74B076" w14:textId="4ABE62CF" w:rsidR="00F55BC1" w:rsidRPr="008B3A69" w:rsidRDefault="00F55BC1" w:rsidP="00756E90">
      <w:pPr>
        <w:pStyle w:val="COMTablefooter"/>
      </w:pPr>
      <w:r w:rsidRPr="008B3A69">
        <w:t>Abbreviations: PBO, placebo; R1, responders to first-line treatment; R2, responders to second-line treatment; R3, responders to third-line treatment; RAVU, ravulizumab.</w:t>
      </w:r>
    </w:p>
    <w:p w14:paraId="39FF1C55" w14:textId="77777777" w:rsidR="00AB3B4A" w:rsidRPr="008B3A69" w:rsidRDefault="00F55BC1" w:rsidP="005A6B82">
      <w:pPr>
        <w:pStyle w:val="COMexecsumnumberedpara"/>
      </w:pPr>
      <w:bookmarkStart w:id="57" w:name="_Ref159229751"/>
      <w:r w:rsidRPr="008B3A69">
        <w:t>The Markov trace indicates that a substantial proportion of patients in both treatment arms achieve a response to first-line therapy (consistent with the clinical trial data) but arms rapidly separate after 6 months due to different assumptions in the extrapolated period (all placebo patients discontinue by one year, ravulizumab patients responding at 6 months will maintain response for 2 years unless discontinued for other reasons, ravulizumab patients responding for 2 years will achieve disease remission). The trace also indicates that patients rapidly progress through later lines of therapy.</w:t>
      </w:r>
      <w:bookmarkEnd w:id="57"/>
      <w:r w:rsidR="00AB3B4A" w:rsidRPr="008B3A69">
        <w:t xml:space="preserve"> </w:t>
      </w:r>
    </w:p>
    <w:p w14:paraId="4C810203" w14:textId="7FFE114F" w:rsidR="005A6B82" w:rsidRPr="008B3A69" w:rsidRDefault="005A6B82" w:rsidP="005A6B82">
      <w:pPr>
        <w:pStyle w:val="COMexecsumnumberedpara"/>
      </w:pPr>
      <w:r w:rsidRPr="008B3A69">
        <w:t xml:space="preserve">The results of the stepped economic evaluation are summarised in </w:t>
      </w:r>
      <w:r w:rsidR="003124DD" w:rsidRPr="008B3A69">
        <w:fldChar w:fldCharType="begin" w:fldLock="1"/>
      </w:r>
      <w:r w:rsidR="003124DD" w:rsidRPr="008B3A69">
        <w:instrText xml:space="preserve"> REF _Ref155448604 \h </w:instrText>
      </w:r>
      <w:r w:rsidR="00291F22" w:rsidRPr="008B3A69">
        <w:instrText xml:space="preserve"> \* MERGEFORMAT </w:instrText>
      </w:r>
      <w:r w:rsidR="003124DD" w:rsidRPr="008B3A69">
        <w:fldChar w:fldCharType="separate"/>
      </w:r>
      <w:r w:rsidR="0081771C" w:rsidRPr="008B3A69">
        <w:t xml:space="preserve">Table </w:t>
      </w:r>
      <w:r w:rsidR="0081771C">
        <w:rPr>
          <w:noProof/>
        </w:rPr>
        <w:t>10</w:t>
      </w:r>
      <w:r w:rsidR="003124DD" w:rsidRPr="008B3A69">
        <w:fldChar w:fldCharType="end"/>
      </w:r>
      <w:r w:rsidRPr="008B3A69">
        <w:t>.</w:t>
      </w:r>
    </w:p>
    <w:p w14:paraId="63E0759B" w14:textId="37A7AE99" w:rsidR="003124DD" w:rsidRPr="008B3A69" w:rsidRDefault="003124DD" w:rsidP="00FE7FE7">
      <w:pPr>
        <w:pStyle w:val="COMtablefigcaption"/>
        <w:keepLines/>
      </w:pPr>
      <w:bookmarkStart w:id="58" w:name="_Ref155448604"/>
      <w:r w:rsidRPr="008B3A69">
        <w:t xml:space="preserve">Table </w:t>
      </w:r>
      <w:r w:rsidR="0065138C">
        <w:fldChar w:fldCharType="begin" w:fldLock="1"/>
      </w:r>
      <w:r w:rsidR="0065138C">
        <w:instrText xml:space="preserve"> SEQ Table \* ARABIC </w:instrText>
      </w:r>
      <w:r w:rsidR="0065138C">
        <w:fldChar w:fldCharType="separate"/>
      </w:r>
      <w:r w:rsidR="0081771C">
        <w:rPr>
          <w:noProof/>
        </w:rPr>
        <w:t>10</w:t>
      </w:r>
      <w:r w:rsidR="0065138C">
        <w:rPr>
          <w:noProof/>
        </w:rPr>
        <w:fldChar w:fldCharType="end"/>
      </w:r>
      <w:bookmarkEnd w:id="58"/>
      <w:r w:rsidRPr="008B3A69">
        <w:t xml:space="preserve">: Stepped economic evaluation of ravulizumab compared to placebo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44"/>
        <w:gridCol w:w="1946"/>
        <w:gridCol w:w="2585"/>
      </w:tblGrid>
      <w:tr w:rsidR="003124DD" w:rsidRPr="008B3A69" w14:paraId="475C5CB9" w14:textId="77777777" w:rsidTr="7FB11F68">
        <w:trPr>
          <w:trHeight w:val="43"/>
        </w:trPr>
        <w:tc>
          <w:tcPr>
            <w:tcW w:w="1406" w:type="pct"/>
            <w:vAlign w:val="center"/>
          </w:tcPr>
          <w:p w14:paraId="350C9526" w14:textId="77777777" w:rsidR="003124DD" w:rsidRPr="008B3A69" w:rsidRDefault="003124DD" w:rsidP="00FE7FE7">
            <w:pPr>
              <w:pStyle w:val="TableText"/>
              <w:keepLines/>
              <w:jc w:val="center"/>
              <w:rPr>
                <w:b/>
              </w:rPr>
            </w:pPr>
            <w:r w:rsidRPr="008B3A69">
              <w:rPr>
                <w:b/>
              </w:rPr>
              <w:t>Type of resource item</w:t>
            </w:r>
          </w:p>
        </w:tc>
        <w:tc>
          <w:tcPr>
            <w:tcW w:w="1079" w:type="pct"/>
            <w:vAlign w:val="center"/>
          </w:tcPr>
          <w:p w14:paraId="3EC2A47A" w14:textId="77777777" w:rsidR="003124DD" w:rsidRPr="008B3A69" w:rsidRDefault="003124DD" w:rsidP="00FE7FE7">
            <w:pPr>
              <w:pStyle w:val="TableText"/>
              <w:keepLines/>
              <w:jc w:val="center"/>
              <w:rPr>
                <w:b/>
              </w:rPr>
            </w:pPr>
            <w:r w:rsidRPr="008B3A69">
              <w:rPr>
                <w:b/>
              </w:rPr>
              <w:t>Ravulizumab</w:t>
            </w:r>
          </w:p>
        </w:tc>
        <w:tc>
          <w:tcPr>
            <w:tcW w:w="1080" w:type="pct"/>
            <w:vAlign w:val="center"/>
          </w:tcPr>
          <w:p w14:paraId="4C2CB5B6" w14:textId="77777777" w:rsidR="003124DD" w:rsidRPr="008B3A69" w:rsidRDefault="003124DD" w:rsidP="00FE7FE7">
            <w:pPr>
              <w:pStyle w:val="TableText"/>
              <w:keepLines/>
              <w:jc w:val="center"/>
              <w:rPr>
                <w:b/>
              </w:rPr>
            </w:pPr>
            <w:r w:rsidRPr="008B3A69">
              <w:rPr>
                <w:b/>
              </w:rPr>
              <w:t>Placebo</w:t>
            </w:r>
          </w:p>
        </w:tc>
        <w:tc>
          <w:tcPr>
            <w:tcW w:w="1435" w:type="pct"/>
          </w:tcPr>
          <w:p w14:paraId="6A43D557" w14:textId="77777777" w:rsidR="003124DD" w:rsidRPr="008B3A69" w:rsidRDefault="003124DD" w:rsidP="00FE7FE7">
            <w:pPr>
              <w:pStyle w:val="TableText"/>
              <w:keepLines/>
              <w:jc w:val="center"/>
              <w:rPr>
                <w:b/>
              </w:rPr>
            </w:pPr>
            <w:r w:rsidRPr="008B3A69">
              <w:rPr>
                <w:b/>
              </w:rPr>
              <w:t>Increment</w:t>
            </w:r>
          </w:p>
        </w:tc>
      </w:tr>
      <w:tr w:rsidR="003124DD" w:rsidRPr="008B3A69" w14:paraId="57FA78F5" w14:textId="77777777" w:rsidTr="7FB11F68">
        <w:tc>
          <w:tcPr>
            <w:tcW w:w="5000" w:type="pct"/>
            <w:gridSpan w:val="4"/>
          </w:tcPr>
          <w:p w14:paraId="3D5DF12F" w14:textId="77777777" w:rsidR="003124DD" w:rsidRPr="008B3A69" w:rsidRDefault="003124DD" w:rsidP="00FE7FE7">
            <w:pPr>
              <w:pStyle w:val="TableText"/>
              <w:keepLines/>
              <w:jc w:val="both"/>
              <w:rPr>
                <w:b/>
              </w:rPr>
            </w:pPr>
            <w:r w:rsidRPr="008B3A69">
              <w:rPr>
                <w:b/>
              </w:rPr>
              <w:t>Step 1: Modelled estimate based on trial duration of 26 weeks</w:t>
            </w:r>
          </w:p>
        </w:tc>
      </w:tr>
      <w:tr w:rsidR="003124DD" w:rsidRPr="008B3A69" w14:paraId="2877D3D8" w14:textId="77777777" w:rsidTr="7FB11F68">
        <w:tc>
          <w:tcPr>
            <w:tcW w:w="1406" w:type="pct"/>
          </w:tcPr>
          <w:p w14:paraId="3EFF2386" w14:textId="77777777" w:rsidR="003124DD" w:rsidRPr="008B3A69" w:rsidRDefault="003124DD" w:rsidP="00FE7FE7">
            <w:pPr>
              <w:pStyle w:val="TableText"/>
              <w:keepLines/>
            </w:pPr>
            <w:r w:rsidRPr="008B3A69">
              <w:t>Costs</w:t>
            </w:r>
          </w:p>
        </w:tc>
        <w:tc>
          <w:tcPr>
            <w:tcW w:w="1079" w:type="pct"/>
            <w:vAlign w:val="bottom"/>
          </w:tcPr>
          <w:p w14:paraId="5D02A152" w14:textId="2EB19599" w:rsidR="003124DD" w:rsidRPr="008B3A69" w:rsidRDefault="003124DD" w:rsidP="00FE7FE7">
            <w:pPr>
              <w:pStyle w:val="TableText"/>
              <w:keepLines/>
              <w:jc w:val="center"/>
            </w:pPr>
            <w:r w:rsidRPr="008B3A69">
              <w:t>$</w:t>
            </w:r>
            <w:r w:rsidR="00AA076A" w:rsidRPr="00AA076A">
              <w:rPr>
                <w:color w:val="000000"/>
                <w:shd w:val="solid" w:color="000000" w:fill="000000"/>
                <w14:textFill>
                  <w14:solidFill>
                    <w14:srgbClr w14:val="000000">
                      <w14:alpha w14:val="100000"/>
                    </w14:srgbClr>
                  </w14:solidFill>
                </w14:textFill>
              </w:rPr>
              <w:t>|</w:t>
            </w:r>
          </w:p>
        </w:tc>
        <w:tc>
          <w:tcPr>
            <w:tcW w:w="1080" w:type="pct"/>
            <w:vAlign w:val="bottom"/>
          </w:tcPr>
          <w:p w14:paraId="48F3B83B" w14:textId="77777777" w:rsidR="003124DD" w:rsidRPr="008B3A69" w:rsidRDefault="003124DD" w:rsidP="00FE7FE7">
            <w:pPr>
              <w:pStyle w:val="TableText"/>
              <w:keepLines/>
              <w:jc w:val="center"/>
            </w:pPr>
            <w:r w:rsidRPr="008B3A69">
              <w:t>$</w:t>
            </w:r>
            <w:r w:rsidRPr="00B05850">
              <w:t>4,948</w:t>
            </w:r>
          </w:p>
        </w:tc>
        <w:tc>
          <w:tcPr>
            <w:tcW w:w="1435" w:type="pct"/>
            <w:vAlign w:val="center"/>
          </w:tcPr>
          <w:p w14:paraId="48EF896C" w14:textId="6D5255F1" w:rsidR="003124DD" w:rsidRPr="008B3A69" w:rsidRDefault="201111AC" w:rsidP="00FE7FE7">
            <w:pPr>
              <w:pStyle w:val="TableText"/>
              <w:keepLines/>
              <w:jc w:val="center"/>
              <w:rPr>
                <w:highlight w:val="darkGray"/>
              </w:rPr>
            </w:pPr>
            <w:r>
              <w:t>$</w:t>
            </w:r>
            <w:r w:rsidR="00AA076A" w:rsidRPr="00AA076A">
              <w:rPr>
                <w:color w:val="000000"/>
                <w:shd w:val="solid" w:color="000000" w:fill="000000"/>
                <w14:textFill>
                  <w14:solidFill>
                    <w14:srgbClr w14:val="000000">
                      <w14:alpha w14:val="100000"/>
                    </w14:srgbClr>
                  </w14:solidFill>
                </w14:textFill>
              </w:rPr>
              <w:t>|</w:t>
            </w:r>
          </w:p>
        </w:tc>
      </w:tr>
      <w:tr w:rsidR="003124DD" w:rsidRPr="008B3A69" w14:paraId="7A47D063" w14:textId="77777777" w:rsidTr="7FB11F68">
        <w:tc>
          <w:tcPr>
            <w:tcW w:w="1406" w:type="pct"/>
          </w:tcPr>
          <w:p w14:paraId="1806D69E" w14:textId="77777777" w:rsidR="003124DD" w:rsidRPr="008B3A69" w:rsidRDefault="003124DD" w:rsidP="00FE7FE7">
            <w:pPr>
              <w:pStyle w:val="TableText"/>
              <w:keepLines/>
            </w:pPr>
            <w:r w:rsidRPr="008B3A69">
              <w:t>Patients with response</w:t>
            </w:r>
          </w:p>
        </w:tc>
        <w:tc>
          <w:tcPr>
            <w:tcW w:w="1079" w:type="pct"/>
            <w:vAlign w:val="bottom"/>
          </w:tcPr>
          <w:p w14:paraId="59643A5F" w14:textId="77777777" w:rsidR="003124DD" w:rsidRPr="008B3A69" w:rsidRDefault="003124DD" w:rsidP="00FE7FE7">
            <w:pPr>
              <w:pStyle w:val="TableText"/>
              <w:keepLines/>
              <w:jc w:val="center"/>
            </w:pPr>
            <w:r w:rsidRPr="008B3A69">
              <w:t>0.639</w:t>
            </w:r>
          </w:p>
        </w:tc>
        <w:tc>
          <w:tcPr>
            <w:tcW w:w="1080" w:type="pct"/>
            <w:vAlign w:val="bottom"/>
          </w:tcPr>
          <w:p w14:paraId="75203995" w14:textId="77777777" w:rsidR="003124DD" w:rsidRPr="008B3A69" w:rsidRDefault="003124DD" w:rsidP="00FE7FE7">
            <w:pPr>
              <w:pStyle w:val="TableText"/>
              <w:keepLines/>
              <w:jc w:val="center"/>
            </w:pPr>
            <w:r w:rsidRPr="008B3A69">
              <w:t>0.530</w:t>
            </w:r>
          </w:p>
        </w:tc>
        <w:tc>
          <w:tcPr>
            <w:tcW w:w="1435" w:type="pct"/>
            <w:vAlign w:val="center"/>
          </w:tcPr>
          <w:p w14:paraId="704DF89F" w14:textId="77777777" w:rsidR="003124DD" w:rsidRPr="008B3A69" w:rsidRDefault="003124DD" w:rsidP="00FE7FE7">
            <w:pPr>
              <w:pStyle w:val="TableText"/>
              <w:keepLines/>
              <w:jc w:val="center"/>
            </w:pPr>
            <w:r w:rsidRPr="008B3A69">
              <w:t>0.109</w:t>
            </w:r>
          </w:p>
        </w:tc>
      </w:tr>
      <w:tr w:rsidR="003124DD" w:rsidRPr="008B3A69" w14:paraId="2B18CE92" w14:textId="77777777" w:rsidTr="7FB11F68">
        <w:tc>
          <w:tcPr>
            <w:tcW w:w="3565" w:type="pct"/>
            <w:gridSpan w:val="3"/>
          </w:tcPr>
          <w:p w14:paraId="30126412" w14:textId="77777777" w:rsidR="003124DD" w:rsidRPr="008B3A69" w:rsidRDefault="003124DD" w:rsidP="00FE7FE7">
            <w:pPr>
              <w:pStyle w:val="TableText"/>
              <w:keepLines/>
              <w:jc w:val="right"/>
              <w:rPr>
                <w:b/>
              </w:rPr>
            </w:pPr>
            <w:r w:rsidRPr="008B3A69">
              <w:rPr>
                <w:b/>
              </w:rPr>
              <w:t>Incremental cost per additional patient with response</w:t>
            </w:r>
          </w:p>
        </w:tc>
        <w:tc>
          <w:tcPr>
            <w:tcW w:w="1435" w:type="pct"/>
            <w:vAlign w:val="center"/>
          </w:tcPr>
          <w:p w14:paraId="4C95D4FD" w14:textId="63D4F9FA" w:rsidR="003124DD" w:rsidRPr="00B05850" w:rsidRDefault="003124DD" w:rsidP="00FE7FE7">
            <w:pPr>
              <w:pStyle w:val="TableText"/>
              <w:keepLines/>
              <w:jc w:val="center"/>
              <w:rPr>
                <w:vertAlign w:val="superscript"/>
              </w:rPr>
            </w:pPr>
            <w:r w:rsidRPr="008B3A69">
              <w:t>$</w:t>
            </w:r>
            <w:r w:rsidR="00AA076A" w:rsidRPr="00AA076A">
              <w:rPr>
                <w:color w:val="000000"/>
                <w:shd w:val="solid" w:color="000000" w:fill="000000"/>
                <w14:textFill>
                  <w14:solidFill>
                    <w14:srgbClr w14:val="000000">
                      <w14:alpha w14:val="100000"/>
                    </w14:srgbClr>
                  </w14:solidFill>
                </w14:textFill>
              </w:rPr>
              <w:t>|</w:t>
            </w:r>
            <w:r w:rsidR="00B05850">
              <w:rPr>
                <w:vertAlign w:val="superscript"/>
              </w:rPr>
              <w:t xml:space="preserve"> 1</w:t>
            </w:r>
          </w:p>
        </w:tc>
      </w:tr>
      <w:tr w:rsidR="003124DD" w:rsidRPr="008B3A69" w14:paraId="7309C6AC" w14:textId="77777777" w:rsidTr="7FB11F68">
        <w:tc>
          <w:tcPr>
            <w:tcW w:w="5000" w:type="pct"/>
            <w:gridSpan w:val="4"/>
          </w:tcPr>
          <w:p w14:paraId="71B976A7" w14:textId="77777777" w:rsidR="003124DD" w:rsidRPr="008B3A69" w:rsidRDefault="003124DD" w:rsidP="00FE7FE7">
            <w:pPr>
              <w:pStyle w:val="TableText"/>
              <w:keepLines/>
              <w:jc w:val="both"/>
              <w:rPr>
                <w:b/>
              </w:rPr>
            </w:pPr>
            <w:r w:rsidRPr="008B3A69">
              <w:rPr>
                <w:b/>
              </w:rPr>
              <w:t>Step 2: Modelled estimate extrapolated to 15 years</w:t>
            </w:r>
          </w:p>
        </w:tc>
      </w:tr>
      <w:tr w:rsidR="003124DD" w:rsidRPr="008B3A69" w14:paraId="5A81581A" w14:textId="77777777" w:rsidTr="7FB11F68">
        <w:tc>
          <w:tcPr>
            <w:tcW w:w="1406" w:type="pct"/>
          </w:tcPr>
          <w:p w14:paraId="5917A4CD" w14:textId="77777777" w:rsidR="003124DD" w:rsidRPr="008B3A69" w:rsidRDefault="003124DD" w:rsidP="00FE7FE7">
            <w:pPr>
              <w:pStyle w:val="TableText"/>
              <w:keepLines/>
            </w:pPr>
            <w:r w:rsidRPr="008B3A69">
              <w:t>Costs</w:t>
            </w:r>
          </w:p>
        </w:tc>
        <w:tc>
          <w:tcPr>
            <w:tcW w:w="1079" w:type="pct"/>
            <w:vAlign w:val="bottom"/>
          </w:tcPr>
          <w:p w14:paraId="7B1A3119" w14:textId="6F9BA28A" w:rsidR="003124DD" w:rsidRPr="008B3A69" w:rsidRDefault="003124DD" w:rsidP="00FE7FE7">
            <w:pPr>
              <w:pStyle w:val="TableText"/>
              <w:keepLines/>
              <w:jc w:val="center"/>
            </w:pPr>
            <w:r w:rsidRPr="008B3A69">
              <w:t>$</w:t>
            </w:r>
            <w:r w:rsidR="00AA076A" w:rsidRPr="00AA076A">
              <w:rPr>
                <w:color w:val="000000"/>
                <w:shd w:val="solid" w:color="000000" w:fill="000000"/>
                <w14:textFill>
                  <w14:solidFill>
                    <w14:srgbClr w14:val="000000">
                      <w14:alpha w14:val="100000"/>
                    </w14:srgbClr>
                  </w14:solidFill>
                </w14:textFill>
              </w:rPr>
              <w:t>|</w:t>
            </w:r>
          </w:p>
        </w:tc>
        <w:tc>
          <w:tcPr>
            <w:tcW w:w="1080" w:type="pct"/>
            <w:vAlign w:val="bottom"/>
          </w:tcPr>
          <w:p w14:paraId="36DA8A1D" w14:textId="77777777" w:rsidR="003124DD" w:rsidRPr="008B3A69" w:rsidRDefault="003124DD" w:rsidP="00FE7FE7">
            <w:pPr>
              <w:pStyle w:val="TableText"/>
              <w:keepLines/>
              <w:jc w:val="center"/>
            </w:pPr>
            <w:r w:rsidRPr="008B3A69">
              <w:t>$</w:t>
            </w:r>
            <w:r w:rsidRPr="00B05850">
              <w:t>251,052</w:t>
            </w:r>
          </w:p>
        </w:tc>
        <w:tc>
          <w:tcPr>
            <w:tcW w:w="1435" w:type="pct"/>
            <w:vAlign w:val="center"/>
          </w:tcPr>
          <w:p w14:paraId="78F14217" w14:textId="78286695" w:rsidR="003124DD" w:rsidRPr="008B3A69" w:rsidRDefault="003124DD" w:rsidP="00FE7FE7">
            <w:pPr>
              <w:pStyle w:val="TableText"/>
              <w:keepLines/>
              <w:jc w:val="center"/>
            </w:pPr>
            <w:r w:rsidRPr="00B05850">
              <w:t>$</w:t>
            </w:r>
            <w:r w:rsidR="00AA076A" w:rsidRPr="00AA076A">
              <w:rPr>
                <w:color w:val="000000"/>
                <w:shd w:val="solid" w:color="000000" w:fill="000000"/>
                <w14:textFill>
                  <w14:solidFill>
                    <w14:srgbClr w14:val="000000">
                      <w14:alpha w14:val="100000"/>
                    </w14:srgbClr>
                  </w14:solidFill>
                </w14:textFill>
              </w:rPr>
              <w:t>|</w:t>
            </w:r>
          </w:p>
        </w:tc>
      </w:tr>
      <w:tr w:rsidR="003124DD" w:rsidRPr="008B3A69" w14:paraId="234CCEAC" w14:textId="77777777" w:rsidTr="7FB11F68">
        <w:tc>
          <w:tcPr>
            <w:tcW w:w="1406" w:type="pct"/>
          </w:tcPr>
          <w:p w14:paraId="2F1DBF14" w14:textId="77777777" w:rsidR="003124DD" w:rsidRPr="008B3A69" w:rsidRDefault="003124DD" w:rsidP="00FE7FE7">
            <w:pPr>
              <w:pStyle w:val="TableText"/>
              <w:keepLines/>
            </w:pPr>
            <w:r w:rsidRPr="008B3A69">
              <w:t>Responder years</w:t>
            </w:r>
          </w:p>
        </w:tc>
        <w:tc>
          <w:tcPr>
            <w:tcW w:w="1079" w:type="pct"/>
            <w:vAlign w:val="bottom"/>
          </w:tcPr>
          <w:p w14:paraId="23382FBE" w14:textId="77777777" w:rsidR="003124DD" w:rsidRPr="008B3A69" w:rsidRDefault="003124DD" w:rsidP="00FE7FE7">
            <w:pPr>
              <w:pStyle w:val="TableText"/>
              <w:keepLines/>
              <w:jc w:val="center"/>
            </w:pPr>
            <w:r w:rsidRPr="008B3A69">
              <w:t>4.749</w:t>
            </w:r>
          </w:p>
        </w:tc>
        <w:tc>
          <w:tcPr>
            <w:tcW w:w="1080" w:type="pct"/>
            <w:vAlign w:val="bottom"/>
          </w:tcPr>
          <w:p w14:paraId="3D8C5ED2" w14:textId="77777777" w:rsidR="003124DD" w:rsidRPr="008B3A69" w:rsidRDefault="003124DD" w:rsidP="00FE7FE7">
            <w:pPr>
              <w:pStyle w:val="TableText"/>
              <w:keepLines/>
              <w:jc w:val="center"/>
            </w:pPr>
            <w:r w:rsidRPr="008B3A69">
              <w:t>0.753</w:t>
            </w:r>
          </w:p>
        </w:tc>
        <w:tc>
          <w:tcPr>
            <w:tcW w:w="1435" w:type="pct"/>
            <w:vAlign w:val="center"/>
          </w:tcPr>
          <w:p w14:paraId="4D1E6D1D" w14:textId="77777777" w:rsidR="003124DD" w:rsidRPr="008B3A69" w:rsidRDefault="003124DD" w:rsidP="00FE7FE7">
            <w:pPr>
              <w:pStyle w:val="TableText"/>
              <w:keepLines/>
              <w:jc w:val="center"/>
            </w:pPr>
            <w:r w:rsidRPr="008B3A69">
              <w:t>3.996</w:t>
            </w:r>
          </w:p>
        </w:tc>
      </w:tr>
      <w:tr w:rsidR="003124DD" w:rsidRPr="008B3A69" w14:paraId="36CDFD66" w14:textId="77777777" w:rsidTr="7FB11F68">
        <w:tc>
          <w:tcPr>
            <w:tcW w:w="3565" w:type="pct"/>
            <w:gridSpan w:val="3"/>
          </w:tcPr>
          <w:p w14:paraId="54A16DDB" w14:textId="77777777" w:rsidR="003124DD" w:rsidRPr="008B3A69" w:rsidRDefault="003124DD" w:rsidP="00FE7FE7">
            <w:pPr>
              <w:pStyle w:val="TableText"/>
              <w:keepLines/>
              <w:jc w:val="right"/>
              <w:rPr>
                <w:b/>
              </w:rPr>
            </w:pPr>
            <w:r w:rsidRPr="008B3A69">
              <w:rPr>
                <w:b/>
              </w:rPr>
              <w:t>Incremental cost per year in response</w:t>
            </w:r>
          </w:p>
        </w:tc>
        <w:tc>
          <w:tcPr>
            <w:tcW w:w="1435" w:type="pct"/>
            <w:vAlign w:val="center"/>
          </w:tcPr>
          <w:p w14:paraId="50004E70" w14:textId="0A63D7D1" w:rsidR="003124DD" w:rsidRPr="008B3A69" w:rsidRDefault="003124DD" w:rsidP="00FE7FE7">
            <w:pPr>
              <w:pStyle w:val="TableText"/>
              <w:keepLines/>
              <w:jc w:val="center"/>
            </w:pPr>
            <w:r w:rsidRPr="008B3A69">
              <w:t>$</w:t>
            </w:r>
            <w:r w:rsidR="00AA076A" w:rsidRPr="00AA076A">
              <w:rPr>
                <w:color w:val="000000"/>
                <w:shd w:val="solid" w:color="000000" w:fill="000000"/>
                <w14:textFill>
                  <w14:solidFill>
                    <w14:srgbClr w14:val="000000">
                      <w14:alpha w14:val="100000"/>
                    </w14:srgbClr>
                  </w14:solidFill>
                </w14:textFill>
              </w:rPr>
              <w:t>|</w:t>
            </w:r>
            <w:r w:rsidR="00493DC7">
              <w:rPr>
                <w:vertAlign w:val="superscript"/>
              </w:rPr>
              <w:t xml:space="preserve"> 2</w:t>
            </w:r>
          </w:p>
        </w:tc>
      </w:tr>
      <w:tr w:rsidR="003124DD" w:rsidRPr="008B3A69" w14:paraId="7DA23CC2" w14:textId="77777777" w:rsidTr="7FB11F68">
        <w:tc>
          <w:tcPr>
            <w:tcW w:w="5000" w:type="pct"/>
            <w:gridSpan w:val="4"/>
          </w:tcPr>
          <w:p w14:paraId="177EFC50" w14:textId="77777777" w:rsidR="003124DD" w:rsidRPr="008B3A69" w:rsidRDefault="003124DD" w:rsidP="00FE7FE7">
            <w:pPr>
              <w:pStyle w:val="TableText"/>
              <w:keepLines/>
              <w:jc w:val="both"/>
              <w:rPr>
                <w:b/>
              </w:rPr>
            </w:pPr>
            <w:r w:rsidRPr="008B3A69">
              <w:rPr>
                <w:b/>
              </w:rPr>
              <w:t xml:space="preserve">Step 3: Modelled estimate extrapolated to 15 years with utility weights applied </w:t>
            </w:r>
          </w:p>
        </w:tc>
      </w:tr>
      <w:tr w:rsidR="003124DD" w:rsidRPr="008B3A69" w14:paraId="5D4E71C2" w14:textId="77777777" w:rsidTr="7FB11F68">
        <w:tc>
          <w:tcPr>
            <w:tcW w:w="1406" w:type="pct"/>
          </w:tcPr>
          <w:p w14:paraId="5401EB6A" w14:textId="77777777" w:rsidR="003124DD" w:rsidRPr="008B3A69" w:rsidRDefault="003124DD" w:rsidP="00FE7FE7">
            <w:pPr>
              <w:pStyle w:val="TableText"/>
              <w:keepLines/>
            </w:pPr>
            <w:r w:rsidRPr="008B3A69">
              <w:t>Costs</w:t>
            </w:r>
          </w:p>
        </w:tc>
        <w:tc>
          <w:tcPr>
            <w:tcW w:w="1079" w:type="pct"/>
            <w:vAlign w:val="bottom"/>
          </w:tcPr>
          <w:p w14:paraId="68B134F8" w14:textId="6D2A0A00" w:rsidR="003124DD" w:rsidRPr="008B3A69" w:rsidRDefault="003124DD" w:rsidP="00FE7FE7">
            <w:pPr>
              <w:pStyle w:val="TableText"/>
              <w:keepLines/>
              <w:jc w:val="center"/>
            </w:pPr>
            <w:r w:rsidRPr="008B3A69">
              <w:t>$</w:t>
            </w:r>
            <w:r w:rsidR="00AA076A" w:rsidRPr="00AA076A">
              <w:rPr>
                <w:color w:val="000000"/>
                <w:shd w:val="solid" w:color="000000" w:fill="000000"/>
                <w14:textFill>
                  <w14:solidFill>
                    <w14:srgbClr w14:val="000000">
                      <w14:alpha w14:val="100000"/>
                    </w14:srgbClr>
                  </w14:solidFill>
                </w14:textFill>
              </w:rPr>
              <w:t>|</w:t>
            </w:r>
          </w:p>
        </w:tc>
        <w:tc>
          <w:tcPr>
            <w:tcW w:w="1080" w:type="pct"/>
            <w:vAlign w:val="bottom"/>
          </w:tcPr>
          <w:p w14:paraId="714A0AC6" w14:textId="77777777" w:rsidR="003124DD" w:rsidRPr="008B3A69" w:rsidRDefault="003124DD" w:rsidP="00FE7FE7">
            <w:pPr>
              <w:pStyle w:val="TableText"/>
              <w:keepLines/>
              <w:jc w:val="center"/>
            </w:pPr>
            <w:r w:rsidRPr="008B3A69">
              <w:t>$</w:t>
            </w:r>
            <w:r w:rsidRPr="00B05850">
              <w:t>251,052</w:t>
            </w:r>
          </w:p>
        </w:tc>
        <w:tc>
          <w:tcPr>
            <w:tcW w:w="1435" w:type="pct"/>
            <w:vAlign w:val="center"/>
          </w:tcPr>
          <w:p w14:paraId="408C315C" w14:textId="79AC96A0" w:rsidR="003124DD" w:rsidRPr="008B3A69" w:rsidRDefault="003124DD" w:rsidP="00FE7FE7">
            <w:pPr>
              <w:pStyle w:val="TableText"/>
              <w:keepLines/>
              <w:jc w:val="center"/>
            </w:pPr>
            <w:r w:rsidRPr="008B3A69">
              <w:t>$</w:t>
            </w:r>
            <w:r w:rsidR="00AA076A" w:rsidRPr="00AA076A">
              <w:rPr>
                <w:color w:val="000000"/>
                <w:shd w:val="solid" w:color="000000" w:fill="000000"/>
                <w14:textFill>
                  <w14:solidFill>
                    <w14:srgbClr w14:val="000000">
                      <w14:alpha w14:val="100000"/>
                    </w14:srgbClr>
                  </w14:solidFill>
                </w14:textFill>
              </w:rPr>
              <w:t>|</w:t>
            </w:r>
          </w:p>
        </w:tc>
      </w:tr>
      <w:tr w:rsidR="003124DD" w:rsidRPr="008B3A69" w14:paraId="51F25129" w14:textId="77777777" w:rsidTr="7FB11F68">
        <w:tc>
          <w:tcPr>
            <w:tcW w:w="1406" w:type="pct"/>
          </w:tcPr>
          <w:p w14:paraId="256F096D" w14:textId="77777777" w:rsidR="003124DD" w:rsidRPr="008B3A69" w:rsidRDefault="003124DD" w:rsidP="00FE7FE7">
            <w:pPr>
              <w:pStyle w:val="TableText"/>
              <w:keepLines/>
            </w:pPr>
            <w:r w:rsidRPr="008B3A69">
              <w:t>QALYs</w:t>
            </w:r>
          </w:p>
        </w:tc>
        <w:tc>
          <w:tcPr>
            <w:tcW w:w="1079" w:type="pct"/>
            <w:vAlign w:val="bottom"/>
          </w:tcPr>
          <w:p w14:paraId="2FC96E4B" w14:textId="77777777" w:rsidR="003124DD" w:rsidRPr="008B3A69" w:rsidRDefault="003124DD" w:rsidP="00FE7FE7">
            <w:pPr>
              <w:pStyle w:val="TableText"/>
              <w:keepLines/>
              <w:jc w:val="center"/>
            </w:pPr>
            <w:r w:rsidRPr="008B3A69">
              <w:t>8.949</w:t>
            </w:r>
          </w:p>
        </w:tc>
        <w:tc>
          <w:tcPr>
            <w:tcW w:w="1080" w:type="pct"/>
            <w:vAlign w:val="bottom"/>
          </w:tcPr>
          <w:p w14:paraId="5D9908F6" w14:textId="77777777" w:rsidR="003124DD" w:rsidRPr="008B3A69" w:rsidRDefault="003124DD" w:rsidP="00FE7FE7">
            <w:pPr>
              <w:pStyle w:val="TableText"/>
              <w:keepLines/>
              <w:jc w:val="center"/>
            </w:pPr>
            <w:r w:rsidRPr="008B3A69">
              <w:t>7.651</w:t>
            </w:r>
          </w:p>
        </w:tc>
        <w:tc>
          <w:tcPr>
            <w:tcW w:w="1435" w:type="pct"/>
            <w:vAlign w:val="center"/>
          </w:tcPr>
          <w:p w14:paraId="52F9BDC7" w14:textId="77777777" w:rsidR="003124DD" w:rsidRPr="008B3A69" w:rsidRDefault="003124DD" w:rsidP="00FE7FE7">
            <w:pPr>
              <w:pStyle w:val="TableText"/>
              <w:keepLines/>
              <w:jc w:val="center"/>
            </w:pPr>
            <w:r w:rsidRPr="008B3A69">
              <w:t>1.298</w:t>
            </w:r>
          </w:p>
        </w:tc>
      </w:tr>
      <w:tr w:rsidR="003124DD" w:rsidRPr="008B3A69" w14:paraId="56A4DA84" w14:textId="77777777" w:rsidTr="7FB11F68">
        <w:tc>
          <w:tcPr>
            <w:tcW w:w="3565" w:type="pct"/>
            <w:gridSpan w:val="3"/>
          </w:tcPr>
          <w:p w14:paraId="582071E0" w14:textId="77777777" w:rsidR="003124DD" w:rsidRPr="008B3A69" w:rsidRDefault="003124DD" w:rsidP="00FE7FE7">
            <w:pPr>
              <w:pStyle w:val="TableText"/>
              <w:keepLines/>
              <w:jc w:val="right"/>
              <w:rPr>
                <w:b/>
              </w:rPr>
            </w:pPr>
            <w:r w:rsidRPr="008B3A69">
              <w:rPr>
                <w:b/>
              </w:rPr>
              <w:t>Incremental cost per QALY gained</w:t>
            </w:r>
          </w:p>
        </w:tc>
        <w:tc>
          <w:tcPr>
            <w:tcW w:w="1435" w:type="pct"/>
            <w:vAlign w:val="center"/>
          </w:tcPr>
          <w:p w14:paraId="6FBD925D" w14:textId="2664D556" w:rsidR="003124DD" w:rsidRPr="008B3A69" w:rsidRDefault="003124DD" w:rsidP="00FE7FE7">
            <w:pPr>
              <w:pStyle w:val="TableText"/>
              <w:keepLines/>
              <w:jc w:val="center"/>
            </w:pPr>
            <w:r w:rsidRPr="008B3A69">
              <w:t>$</w:t>
            </w:r>
            <w:r w:rsidR="00AA076A" w:rsidRPr="00AA076A">
              <w:rPr>
                <w:color w:val="000000"/>
                <w:shd w:val="solid" w:color="000000" w:fill="000000"/>
                <w14:textFill>
                  <w14:solidFill>
                    <w14:srgbClr w14:val="000000">
                      <w14:alpha w14:val="100000"/>
                    </w14:srgbClr>
                  </w14:solidFill>
                </w14:textFill>
              </w:rPr>
              <w:t>|</w:t>
            </w:r>
            <w:r w:rsidR="00493DC7">
              <w:rPr>
                <w:vertAlign w:val="superscript"/>
              </w:rPr>
              <w:t xml:space="preserve"> 3</w:t>
            </w:r>
          </w:p>
        </w:tc>
      </w:tr>
      <w:tr w:rsidR="003124DD" w:rsidRPr="008B3A69" w14:paraId="332CC350" w14:textId="77777777" w:rsidTr="7FB11F68">
        <w:tc>
          <w:tcPr>
            <w:tcW w:w="5000" w:type="pct"/>
            <w:gridSpan w:val="4"/>
          </w:tcPr>
          <w:p w14:paraId="0D5FE6FA" w14:textId="77777777" w:rsidR="003124DD" w:rsidRPr="008B3A69" w:rsidRDefault="003124DD" w:rsidP="00FE7FE7">
            <w:pPr>
              <w:pStyle w:val="TableText"/>
              <w:keepLines/>
              <w:jc w:val="both"/>
              <w:rPr>
                <w:b/>
              </w:rPr>
            </w:pPr>
            <w:r w:rsidRPr="008B3A69">
              <w:rPr>
                <w:b/>
              </w:rPr>
              <w:t>Step 4: Modelled estimate extrapolated to 15 years with utility weights and discounting applied</w:t>
            </w:r>
          </w:p>
        </w:tc>
      </w:tr>
      <w:tr w:rsidR="003124DD" w:rsidRPr="008B3A69" w14:paraId="377ACE9D" w14:textId="77777777" w:rsidTr="7FB11F68">
        <w:tc>
          <w:tcPr>
            <w:tcW w:w="1406" w:type="pct"/>
          </w:tcPr>
          <w:p w14:paraId="574D9A45" w14:textId="77777777" w:rsidR="003124DD" w:rsidRPr="008B3A69" w:rsidRDefault="003124DD" w:rsidP="00FE7FE7">
            <w:pPr>
              <w:pStyle w:val="TableText"/>
              <w:keepLines/>
            </w:pPr>
            <w:r w:rsidRPr="008B3A69">
              <w:t>Costs</w:t>
            </w:r>
          </w:p>
        </w:tc>
        <w:tc>
          <w:tcPr>
            <w:tcW w:w="1079" w:type="pct"/>
            <w:vAlign w:val="bottom"/>
          </w:tcPr>
          <w:p w14:paraId="57242A79" w14:textId="68A12ED1" w:rsidR="003124DD" w:rsidRPr="008B3A69" w:rsidRDefault="003124DD" w:rsidP="00FE7FE7">
            <w:pPr>
              <w:pStyle w:val="TableText"/>
              <w:keepLines/>
              <w:jc w:val="center"/>
            </w:pPr>
            <w:r w:rsidRPr="008B3A69">
              <w:t>$</w:t>
            </w:r>
            <w:r w:rsidR="00AA076A" w:rsidRPr="00AA076A">
              <w:rPr>
                <w:color w:val="000000"/>
                <w:shd w:val="solid" w:color="000000" w:fill="000000"/>
                <w14:textFill>
                  <w14:solidFill>
                    <w14:srgbClr w14:val="000000">
                      <w14:alpha w14:val="100000"/>
                    </w14:srgbClr>
                  </w14:solidFill>
                </w14:textFill>
              </w:rPr>
              <w:t>|</w:t>
            </w:r>
          </w:p>
        </w:tc>
        <w:tc>
          <w:tcPr>
            <w:tcW w:w="1080" w:type="pct"/>
            <w:vAlign w:val="bottom"/>
          </w:tcPr>
          <w:p w14:paraId="217E42E5" w14:textId="77777777" w:rsidR="003124DD" w:rsidRPr="008B3A69" w:rsidRDefault="003124DD" w:rsidP="00FE7FE7">
            <w:pPr>
              <w:pStyle w:val="TableText"/>
              <w:keepLines/>
              <w:jc w:val="center"/>
            </w:pPr>
            <w:r w:rsidRPr="00B05850">
              <w:t>$182,986</w:t>
            </w:r>
          </w:p>
        </w:tc>
        <w:tc>
          <w:tcPr>
            <w:tcW w:w="1435" w:type="pct"/>
            <w:vAlign w:val="center"/>
          </w:tcPr>
          <w:p w14:paraId="03D903FE" w14:textId="25DA261E" w:rsidR="003124DD" w:rsidRPr="004027B3" w:rsidRDefault="7FB11F68" w:rsidP="00FE7FE7">
            <w:pPr>
              <w:pStyle w:val="TableText"/>
              <w:keepLines/>
              <w:jc w:val="center"/>
              <w:rPr>
                <w:vertAlign w:val="superscript"/>
              </w:rPr>
            </w:pPr>
            <w:r>
              <w:t>$</w:t>
            </w:r>
            <w:r w:rsidR="00AA076A" w:rsidRPr="00AA076A">
              <w:rPr>
                <w:color w:val="000000"/>
                <w:shd w:val="solid" w:color="000000" w:fill="000000"/>
                <w14:textFill>
                  <w14:solidFill>
                    <w14:srgbClr w14:val="000000">
                      <w14:alpha w14:val="100000"/>
                    </w14:srgbClr>
                  </w14:solidFill>
                </w14:textFill>
              </w:rPr>
              <w:t>|</w:t>
            </w:r>
          </w:p>
        </w:tc>
      </w:tr>
      <w:tr w:rsidR="003124DD" w:rsidRPr="008B3A69" w14:paraId="7ECD8BCC" w14:textId="77777777" w:rsidTr="7FB11F68">
        <w:tc>
          <w:tcPr>
            <w:tcW w:w="1406" w:type="pct"/>
          </w:tcPr>
          <w:p w14:paraId="7D551E5F" w14:textId="77777777" w:rsidR="003124DD" w:rsidRPr="008B3A69" w:rsidRDefault="003124DD" w:rsidP="00FE7FE7">
            <w:pPr>
              <w:pStyle w:val="TableText"/>
              <w:keepLines/>
            </w:pPr>
            <w:r w:rsidRPr="008B3A69">
              <w:t>QALYs</w:t>
            </w:r>
          </w:p>
        </w:tc>
        <w:tc>
          <w:tcPr>
            <w:tcW w:w="1079" w:type="pct"/>
            <w:vAlign w:val="bottom"/>
          </w:tcPr>
          <w:p w14:paraId="457B0B56" w14:textId="77777777" w:rsidR="003124DD" w:rsidRPr="008B3A69" w:rsidRDefault="003124DD" w:rsidP="00FE7FE7">
            <w:pPr>
              <w:pStyle w:val="TableText"/>
              <w:keepLines/>
              <w:jc w:val="center"/>
            </w:pPr>
            <w:r w:rsidRPr="008B3A69">
              <w:t>6.589</w:t>
            </w:r>
          </w:p>
        </w:tc>
        <w:tc>
          <w:tcPr>
            <w:tcW w:w="1080" w:type="pct"/>
            <w:vAlign w:val="bottom"/>
          </w:tcPr>
          <w:p w14:paraId="1C6EC094" w14:textId="77777777" w:rsidR="003124DD" w:rsidRPr="008B3A69" w:rsidRDefault="003124DD" w:rsidP="00FE7FE7">
            <w:pPr>
              <w:pStyle w:val="TableText"/>
              <w:keepLines/>
              <w:jc w:val="center"/>
            </w:pPr>
            <w:r w:rsidRPr="008B3A69">
              <w:t>5.557</w:t>
            </w:r>
          </w:p>
        </w:tc>
        <w:tc>
          <w:tcPr>
            <w:tcW w:w="1435" w:type="pct"/>
            <w:vAlign w:val="center"/>
          </w:tcPr>
          <w:p w14:paraId="5FDEBB8A" w14:textId="77777777" w:rsidR="003124DD" w:rsidRPr="008B3A69" w:rsidRDefault="003124DD" w:rsidP="00FE7FE7">
            <w:pPr>
              <w:pStyle w:val="TableText"/>
              <w:keepLines/>
              <w:jc w:val="center"/>
            </w:pPr>
            <w:r w:rsidRPr="008B3A69">
              <w:t>1.032</w:t>
            </w:r>
          </w:p>
        </w:tc>
      </w:tr>
      <w:tr w:rsidR="003124DD" w:rsidRPr="008B3A69" w14:paraId="253D2ED6" w14:textId="77777777" w:rsidTr="7FB11F68">
        <w:tc>
          <w:tcPr>
            <w:tcW w:w="3565" w:type="pct"/>
            <w:gridSpan w:val="3"/>
          </w:tcPr>
          <w:p w14:paraId="2E791C2D" w14:textId="77777777" w:rsidR="003124DD" w:rsidRPr="008B3A69" w:rsidRDefault="003124DD" w:rsidP="00FE7FE7">
            <w:pPr>
              <w:pStyle w:val="TableText"/>
              <w:keepLines/>
              <w:jc w:val="right"/>
              <w:rPr>
                <w:b/>
              </w:rPr>
            </w:pPr>
            <w:r w:rsidRPr="008B3A69">
              <w:rPr>
                <w:b/>
              </w:rPr>
              <w:t>Incremental cost per QALY gained</w:t>
            </w:r>
          </w:p>
        </w:tc>
        <w:tc>
          <w:tcPr>
            <w:tcW w:w="1435" w:type="pct"/>
            <w:vAlign w:val="center"/>
          </w:tcPr>
          <w:p w14:paraId="773AC8FB" w14:textId="4FDAFB37" w:rsidR="003124DD" w:rsidRPr="008B3A69" w:rsidRDefault="003124DD" w:rsidP="00FE7FE7">
            <w:pPr>
              <w:pStyle w:val="TableText"/>
              <w:keepLines/>
              <w:jc w:val="center"/>
            </w:pPr>
            <w:r w:rsidRPr="008B3A69">
              <w:t>$</w:t>
            </w:r>
            <w:r w:rsidR="00AA076A" w:rsidRPr="00AA076A">
              <w:rPr>
                <w:color w:val="000000"/>
                <w:shd w:val="solid" w:color="000000" w:fill="000000"/>
                <w14:textFill>
                  <w14:solidFill>
                    <w14:srgbClr w14:val="000000">
                      <w14:alpha w14:val="100000"/>
                    </w14:srgbClr>
                  </w14:solidFill>
                </w14:textFill>
              </w:rPr>
              <w:t>|</w:t>
            </w:r>
            <w:r w:rsidR="00493DC7">
              <w:rPr>
                <w:vertAlign w:val="superscript"/>
              </w:rPr>
              <w:t xml:space="preserve"> 4</w:t>
            </w:r>
          </w:p>
        </w:tc>
      </w:tr>
    </w:tbl>
    <w:p w14:paraId="373A7FB7" w14:textId="77777777" w:rsidR="003124DD" w:rsidRPr="008B3A69" w:rsidRDefault="003124DD" w:rsidP="00FE7FE7">
      <w:pPr>
        <w:pStyle w:val="COMTablefooter"/>
        <w:keepNext/>
        <w:keepLines/>
      </w:pPr>
      <w:r w:rsidRPr="008B3A69">
        <w:t>Source: Table 3-33, p146 of the submission</w:t>
      </w:r>
    </w:p>
    <w:p w14:paraId="5A425D41" w14:textId="77777777" w:rsidR="003124DD" w:rsidRDefault="003124DD" w:rsidP="00FE7FE7">
      <w:pPr>
        <w:pStyle w:val="COMTablefooter"/>
        <w:keepNext/>
        <w:keepLines/>
        <w:spacing w:after="0"/>
      </w:pPr>
      <w:r w:rsidRPr="008B3A69">
        <w:t>Abbreviations: QALY, quality-adjusted life year</w:t>
      </w:r>
    </w:p>
    <w:p w14:paraId="43DB6C2E" w14:textId="77777777" w:rsidR="00C447C4" w:rsidRPr="009A6D58" w:rsidRDefault="00C447C4" w:rsidP="00FE7FE7">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3D207BD" w14:textId="2369E12E" w:rsidR="00C447C4" w:rsidRPr="009A6D58" w:rsidRDefault="00C447C4" w:rsidP="00FE7FE7">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611EF2" w:rsidRPr="00611EF2">
        <w:rPr>
          <w:rFonts w:ascii="Arial Narrow" w:hAnsi="Arial Narrow"/>
          <w:i/>
          <w:sz w:val="18"/>
          <w:szCs w:val="18"/>
        </w:rPr>
        <w:t>&gt; $1,055,000</w:t>
      </w:r>
    </w:p>
    <w:p w14:paraId="3B7FAE22" w14:textId="1B2CB7DC" w:rsidR="00C447C4" w:rsidRPr="009A6D58" w:rsidRDefault="00C447C4" w:rsidP="00FE7FE7">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C06AF9" w:rsidRPr="00C06AF9">
        <w:rPr>
          <w:rFonts w:ascii="Arial Narrow" w:hAnsi="Arial Narrow"/>
          <w:i/>
          <w:sz w:val="18"/>
          <w:szCs w:val="18"/>
        </w:rPr>
        <w:t>$75,000 to &lt; $95,000</w:t>
      </w:r>
    </w:p>
    <w:p w14:paraId="2C482B57" w14:textId="643BCE18" w:rsidR="00C447C4" w:rsidRDefault="00C447C4" w:rsidP="00FE7FE7">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687F6D" w:rsidRPr="00687F6D">
        <w:rPr>
          <w:rFonts w:ascii="Arial Narrow" w:hAnsi="Arial Narrow"/>
          <w:i/>
          <w:sz w:val="18"/>
          <w:szCs w:val="18"/>
        </w:rPr>
        <w:t>$155,000 to &lt; $255,000</w:t>
      </w:r>
    </w:p>
    <w:p w14:paraId="603C296E" w14:textId="1AE52D24" w:rsidR="00C447C4" w:rsidRPr="00C447C4" w:rsidRDefault="00C447C4" w:rsidP="00FE7FE7">
      <w:pPr>
        <w:keepNext/>
        <w:keepLines/>
        <w:spacing w:after="120"/>
      </w:pPr>
      <w:r>
        <w:rPr>
          <w:rFonts w:ascii="Arial Narrow" w:hAnsi="Arial Narrow"/>
          <w:i/>
          <w:sz w:val="18"/>
          <w:szCs w:val="18"/>
          <w:vertAlign w:val="superscript"/>
        </w:rPr>
        <w:t>4</w:t>
      </w:r>
      <w:r>
        <w:rPr>
          <w:rFonts w:ascii="Arial Narrow" w:hAnsi="Arial Narrow"/>
          <w:i/>
          <w:sz w:val="18"/>
          <w:szCs w:val="18"/>
        </w:rPr>
        <w:t xml:space="preserve"> </w:t>
      </w:r>
      <w:r w:rsidR="00C50A7F" w:rsidRPr="00C50A7F">
        <w:rPr>
          <w:rFonts w:ascii="Arial Narrow" w:hAnsi="Arial Narrow"/>
          <w:i/>
          <w:sz w:val="18"/>
          <w:szCs w:val="18"/>
        </w:rPr>
        <w:t>$255,000 to &lt; $355,000</w:t>
      </w:r>
    </w:p>
    <w:p w14:paraId="31A71BE6" w14:textId="0036F6C5" w:rsidR="003124DD" w:rsidRPr="008B3A69" w:rsidRDefault="003124DD" w:rsidP="003124DD">
      <w:pPr>
        <w:pStyle w:val="COMexecsumnumberedpara"/>
      </w:pPr>
      <w:r w:rsidRPr="008B3A69">
        <w:t xml:space="preserve">Based on the economic model, treatment with ravulizumab in combination with standard therapy was associated with a cost per QALY gained of </w:t>
      </w:r>
      <w:r w:rsidR="00C50A7F" w:rsidRPr="00C50A7F">
        <w:t>$255,000 to &lt; $355,000</w:t>
      </w:r>
      <w:r w:rsidRPr="008B3A69">
        <w:t xml:space="preserve">compared to placebo in combination with standard therapy for the treatment of myasthenia gravis. </w:t>
      </w:r>
      <w:r w:rsidR="00B131CC" w:rsidRPr="008B3A69">
        <w:t xml:space="preserve">The ESC noted that the trial-based </w:t>
      </w:r>
      <w:r w:rsidR="00305E03" w:rsidRPr="008B3A69">
        <w:t>(</w:t>
      </w:r>
      <w:r w:rsidR="004606F3" w:rsidRPr="008B3A69">
        <w:t>26</w:t>
      </w:r>
      <w:r w:rsidR="004606F3">
        <w:t> </w:t>
      </w:r>
      <w:r w:rsidR="00305E03" w:rsidRPr="008B3A69">
        <w:t xml:space="preserve">weeks) estimate was </w:t>
      </w:r>
      <w:r w:rsidR="004606F3" w:rsidRPr="004606F3">
        <w:t>&gt; $1,055,000</w:t>
      </w:r>
      <w:r w:rsidR="004606F3">
        <w:t xml:space="preserve"> </w:t>
      </w:r>
      <w:r w:rsidR="00305E03" w:rsidRPr="008B3A69">
        <w:t>per responder.</w:t>
      </w:r>
    </w:p>
    <w:p w14:paraId="022D8C17" w14:textId="17D11915" w:rsidR="003124DD" w:rsidRPr="008B3A69" w:rsidRDefault="003124DD" w:rsidP="003124DD">
      <w:pPr>
        <w:pStyle w:val="COMexecsumnumberedpara"/>
      </w:pPr>
      <w:r w:rsidRPr="008B3A69">
        <w:t xml:space="preserve">The </w:t>
      </w:r>
      <w:r w:rsidR="00305E03" w:rsidRPr="008B3A69">
        <w:t xml:space="preserve">evaluation and the ESC considered that the </w:t>
      </w:r>
      <w:r w:rsidRPr="008B3A69">
        <w:t xml:space="preserve">estimated </w:t>
      </w:r>
      <w:r w:rsidR="00305E03" w:rsidRPr="008B3A69">
        <w:t>ICER</w:t>
      </w:r>
      <w:r w:rsidRPr="008B3A69">
        <w:t xml:space="preserve"> was highly uncertain</w:t>
      </w:r>
      <w:r w:rsidR="00FF1434" w:rsidRPr="008B3A69">
        <w:t xml:space="preserve"> as it </w:t>
      </w:r>
      <w:r w:rsidRPr="008B3A69">
        <w:t xml:space="preserve">was dependent on three </w:t>
      </w:r>
      <w:r w:rsidR="00FF1434" w:rsidRPr="008B3A69">
        <w:t xml:space="preserve">highly </w:t>
      </w:r>
      <w:r w:rsidRPr="008B3A69">
        <w:t xml:space="preserve">optimistic </w:t>
      </w:r>
      <w:r w:rsidR="00E37D40" w:rsidRPr="008B3A69">
        <w:t xml:space="preserve">and implausible </w:t>
      </w:r>
      <w:r w:rsidRPr="008B3A69">
        <w:t>core assumptions:</w:t>
      </w:r>
    </w:p>
    <w:p w14:paraId="28640654" w14:textId="47AC3512" w:rsidR="003124DD" w:rsidRPr="008B3A69" w:rsidRDefault="003124DD" w:rsidP="003112BD">
      <w:pPr>
        <w:pStyle w:val="COMexecsummbulletlist"/>
        <w:ind w:left="1134"/>
      </w:pPr>
      <w:r w:rsidRPr="008B3A69">
        <w:t xml:space="preserve">All patients in the ravulizumab arm who maintain response for two years will achieve disease remission </w:t>
      </w:r>
      <w:r w:rsidR="002C364D" w:rsidRPr="008B3A69">
        <w:t xml:space="preserve">(i.e. remain in a response health state) </w:t>
      </w:r>
      <w:r w:rsidRPr="008B3A69">
        <w:t>and will require no further treatment with ravulizumab. The model also assume</w:t>
      </w:r>
      <w:r w:rsidR="003C1E2F">
        <w:t>d</w:t>
      </w:r>
      <w:r w:rsidRPr="008B3A69">
        <w:t xml:space="preserve"> that if relapse occurs then patients would use other non-ravulizumab therapies.</w:t>
      </w:r>
    </w:p>
    <w:p w14:paraId="2053924C" w14:textId="57A5A08F" w:rsidR="003124DD" w:rsidRPr="008B3A69" w:rsidRDefault="003124DD" w:rsidP="003112BD">
      <w:pPr>
        <w:pStyle w:val="COMexecsummbulletlist"/>
        <w:ind w:left="1134"/>
      </w:pPr>
      <w:r w:rsidRPr="008B3A69">
        <w:t>All patients in the placebo arm will lose treatment response within one year and can never achieve disease remission.</w:t>
      </w:r>
      <w:r w:rsidR="00E37D40" w:rsidRPr="008B3A69">
        <w:t xml:space="preserve"> The ESC </w:t>
      </w:r>
      <w:r w:rsidR="00AB3B4A" w:rsidRPr="008B3A69">
        <w:t>consider</w:t>
      </w:r>
      <w:r w:rsidR="00E37D40" w:rsidRPr="008B3A69">
        <w:t xml:space="preserve">ed this was inconsistent with the </w:t>
      </w:r>
      <w:r w:rsidR="00AB3B4A" w:rsidRPr="008B3A69">
        <w:t>PSCR’s description of the natural history of generalised myasthenia gravis, which outlined that the condition reaches maximum or near-maximum severity in 37% of patients within six months of symptom</w:t>
      </w:r>
      <w:r w:rsidR="00907D1C" w:rsidRPr="008B3A69">
        <w:t xml:space="preserve"> onset</w:t>
      </w:r>
      <w:r w:rsidR="00AB3B4A" w:rsidRPr="008B3A69">
        <w:t>, in 29% during the next six months, in 17% during the next year, and in only 18% after two years from onset</w:t>
      </w:r>
      <w:r w:rsidR="00907D1C" w:rsidRPr="008B3A69">
        <w:t>.</w:t>
      </w:r>
      <w:r w:rsidR="00907D1C" w:rsidRPr="008B3A69">
        <w:rPr>
          <w:rStyle w:val="FootnoteReference"/>
        </w:rPr>
        <w:footnoteReference w:id="6"/>
      </w:r>
      <w:r w:rsidR="00E37D40" w:rsidRPr="008B3A69">
        <w:t xml:space="preserve"> </w:t>
      </w:r>
    </w:p>
    <w:p w14:paraId="0973F13A" w14:textId="0020140D" w:rsidR="003124DD" w:rsidRPr="008B3A69" w:rsidRDefault="003124DD" w:rsidP="003112BD">
      <w:pPr>
        <w:pStyle w:val="COMexecsummbulletlist"/>
        <w:ind w:left="1134"/>
      </w:pPr>
      <w:r w:rsidRPr="008B3A69">
        <w:t>Patients with non-response to se</w:t>
      </w:r>
      <w:r w:rsidR="000A4257" w:rsidRPr="008B3A69">
        <w:t>cond/third-line treatments</w:t>
      </w:r>
      <w:r w:rsidRPr="008B3A69">
        <w:t xml:space="preserve"> have the same utility values as patients with severe myasthenia gravis (0.53) despite the vast majority of patients having mild to moderate disease. The assumed utility for non-response to second/third-line therapy was substantially lower than trial-based estimates of non-response (0.69) from the CHAMPION-MG trial. </w:t>
      </w:r>
    </w:p>
    <w:p w14:paraId="0BF2D1BA" w14:textId="5EB0512E" w:rsidR="003124DD" w:rsidRPr="008B3A69" w:rsidRDefault="003124DD" w:rsidP="003124DD">
      <w:pPr>
        <w:pStyle w:val="COMexecsumnumberedpara"/>
      </w:pPr>
      <w:r w:rsidRPr="008B3A69">
        <w:t>Additionally, the model only estimate</w:t>
      </w:r>
      <w:r w:rsidR="005B2580">
        <w:t>d</w:t>
      </w:r>
      <w:r w:rsidRPr="008B3A69">
        <w:t xml:space="preserve"> the cost-effectiveness of ravulizumab when used as a new line of therapy immediately prior to the classification of patients as having treatment-refractory disease and does not assess the use of ravulizumab in other clinical roles covered by the proposed PBS listing</w:t>
      </w:r>
      <w:r w:rsidR="00117AAF" w:rsidRPr="008B3A69">
        <w:t>.</w:t>
      </w:r>
      <w:r w:rsidR="00AE2478">
        <w:t xml:space="preserve"> The pre-PBAC response </w:t>
      </w:r>
      <w:r w:rsidR="00F45147">
        <w:t xml:space="preserve">stated that </w:t>
      </w:r>
      <w:r w:rsidR="00B647BF">
        <w:t xml:space="preserve">the </w:t>
      </w:r>
      <w:r w:rsidR="00B647BF" w:rsidRPr="00B647BF">
        <w:t xml:space="preserve">structure of the model is aligned with the proposed restriction for ravulizumab use early and upfront as </w:t>
      </w:r>
      <w:r w:rsidR="00B647BF">
        <w:t xml:space="preserve">an </w:t>
      </w:r>
      <w:r w:rsidR="00B647BF" w:rsidRPr="00B647BF">
        <w:t xml:space="preserve">add-on to </w:t>
      </w:r>
      <w:r w:rsidR="00B647BF">
        <w:t xml:space="preserve">immunosuppressive therapy </w:t>
      </w:r>
      <w:r w:rsidR="00B647BF" w:rsidRPr="00B647BF">
        <w:t>(Level 1</w:t>
      </w:r>
      <w:r w:rsidR="00B647BF">
        <w:t xml:space="preserve"> of the treatment algorithm proposed in </w:t>
      </w:r>
      <w:r w:rsidR="00B647BF">
        <w:fldChar w:fldCharType="begin" w:fldLock="1"/>
      </w:r>
      <w:r w:rsidR="00B647BF">
        <w:instrText xml:space="preserve"> REF _Ref158885036 \h </w:instrText>
      </w:r>
      <w:r w:rsidR="00B647BF">
        <w:fldChar w:fldCharType="separate"/>
      </w:r>
      <w:r w:rsidR="0081771C" w:rsidRPr="008B3A69">
        <w:t xml:space="preserve">Figure </w:t>
      </w:r>
      <w:r w:rsidR="0081771C">
        <w:rPr>
          <w:noProof/>
        </w:rPr>
        <w:t>1</w:t>
      </w:r>
      <w:r w:rsidR="00B647BF">
        <w:fldChar w:fldCharType="end"/>
      </w:r>
      <w:r w:rsidR="00B647BF">
        <w:t>)</w:t>
      </w:r>
      <w:r w:rsidR="008C6188">
        <w:t>, and that the propose</w:t>
      </w:r>
      <w:r w:rsidR="00A43E3F">
        <w:t>d</w:t>
      </w:r>
      <w:r w:rsidR="008C6188">
        <w:t xml:space="preserve"> restriction </w:t>
      </w:r>
      <w:r w:rsidR="007D58D7">
        <w:t>‘e</w:t>
      </w:r>
      <w:r w:rsidR="007D58D7" w:rsidRPr="007D58D7">
        <w:t>nsures that ravulizumab is not used as an add-on to Level 2 (chronic IVIg</w:t>
      </w:r>
      <w:r w:rsidR="00E730E9">
        <w:t xml:space="preserve"> or </w:t>
      </w:r>
      <w:r w:rsidR="007D58D7" w:rsidRPr="007D58D7">
        <w:t>PLEX) or Level 3 (rituximab or other) treatments. Therefore, add</w:t>
      </w:r>
      <w:r w:rsidR="00E730E9">
        <w:t>-</w:t>
      </w:r>
      <w:r w:rsidR="007D58D7" w:rsidRPr="007D58D7">
        <w:t>on to Level 2 or 3 treatments have not been displayed in the economic evaluation</w:t>
      </w:r>
      <w:r w:rsidR="007D58D7">
        <w:t>’</w:t>
      </w:r>
      <w:r w:rsidR="007D58D7" w:rsidRPr="007D58D7">
        <w:t>.</w:t>
      </w:r>
      <w:r w:rsidR="007D58D7">
        <w:t xml:space="preserve"> However, the PBAC noted that the proposed restriction would allow use of ravulizumab in later-lines of therapy</w:t>
      </w:r>
      <w:r w:rsidR="00636139">
        <w:t>.</w:t>
      </w:r>
      <w:r w:rsidR="00F94277">
        <w:t xml:space="preserve"> </w:t>
      </w:r>
    </w:p>
    <w:p w14:paraId="47981D06" w14:textId="2EF6583B" w:rsidR="003124DD" w:rsidRPr="008B3A69" w:rsidRDefault="00D23D11" w:rsidP="003124DD">
      <w:pPr>
        <w:pStyle w:val="COMexecsumnumberedpara"/>
      </w:pPr>
      <w:r w:rsidRPr="008B3A69">
        <w:t xml:space="preserve">The results of key univariate sensitivity analyses are summarised </w:t>
      </w:r>
      <w:r w:rsidR="00E16AD8" w:rsidRPr="008B3A69">
        <w:t>i</w:t>
      </w:r>
      <w:r w:rsidR="004B1453" w:rsidRPr="008B3A69">
        <w:t xml:space="preserve">n </w:t>
      </w:r>
      <w:r w:rsidR="004B1453" w:rsidRPr="008B3A69">
        <w:fldChar w:fldCharType="begin" w:fldLock="1"/>
      </w:r>
      <w:r w:rsidR="004B1453" w:rsidRPr="008B3A69">
        <w:instrText xml:space="preserve"> REF _Ref155449101 \h </w:instrText>
      </w:r>
      <w:r w:rsidR="00291F22" w:rsidRPr="008B3A69">
        <w:instrText xml:space="preserve"> \* MERGEFORMAT </w:instrText>
      </w:r>
      <w:r w:rsidR="004B1453" w:rsidRPr="008B3A69">
        <w:fldChar w:fldCharType="separate"/>
      </w:r>
      <w:r w:rsidR="0081771C" w:rsidRPr="008B3A69">
        <w:t xml:space="preserve">Table </w:t>
      </w:r>
      <w:r w:rsidR="0081771C">
        <w:rPr>
          <w:noProof/>
        </w:rPr>
        <w:t>11</w:t>
      </w:r>
      <w:r w:rsidR="004B1453" w:rsidRPr="008B3A69">
        <w:fldChar w:fldCharType="end"/>
      </w:r>
      <w:r w:rsidRPr="008B3A69">
        <w:t xml:space="preserve">. </w:t>
      </w:r>
    </w:p>
    <w:p w14:paraId="5B6525DC" w14:textId="07378AFE" w:rsidR="003124DD" w:rsidRPr="008B3A69" w:rsidRDefault="003124DD" w:rsidP="007E70F7">
      <w:pPr>
        <w:pStyle w:val="COMtablefigcaption"/>
        <w:rPr>
          <w:rStyle w:val="CommentReference"/>
          <w:b/>
          <w:szCs w:val="24"/>
        </w:rPr>
      </w:pPr>
      <w:bookmarkStart w:id="59" w:name="_Ref155449101"/>
      <w:r w:rsidRPr="008B3A69">
        <w:t xml:space="preserve">Table </w:t>
      </w:r>
      <w:r w:rsidR="0065138C">
        <w:fldChar w:fldCharType="begin" w:fldLock="1"/>
      </w:r>
      <w:r w:rsidR="0065138C">
        <w:instrText xml:space="preserve"> SEQ Table \* ARABIC </w:instrText>
      </w:r>
      <w:r w:rsidR="0065138C">
        <w:fldChar w:fldCharType="separate"/>
      </w:r>
      <w:r w:rsidR="0081771C">
        <w:rPr>
          <w:noProof/>
        </w:rPr>
        <w:t>11</w:t>
      </w:r>
      <w:r w:rsidR="0065138C">
        <w:rPr>
          <w:noProof/>
        </w:rPr>
        <w:fldChar w:fldCharType="end"/>
      </w:r>
      <w:bookmarkEnd w:id="59"/>
      <w:r w:rsidRPr="008B3A69">
        <w:rPr>
          <w:rStyle w:val="CommentReference"/>
          <w:b/>
          <w:szCs w:val="24"/>
        </w:rPr>
        <w:t xml:space="preserve">: Results of univariate sensitivity analyses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992"/>
        <w:gridCol w:w="851"/>
        <w:gridCol w:w="1140"/>
        <w:gridCol w:w="1368"/>
      </w:tblGrid>
      <w:tr w:rsidR="003124DD" w:rsidRPr="008B3A69" w14:paraId="4C457163" w14:textId="77777777" w:rsidTr="00D4556B">
        <w:trPr>
          <w:trHeight w:val="113"/>
          <w:tblHeader/>
        </w:trPr>
        <w:tc>
          <w:tcPr>
            <w:tcW w:w="4678" w:type="dxa"/>
            <w:tcMar>
              <w:top w:w="0" w:type="dxa"/>
              <w:left w:w="108" w:type="dxa"/>
              <w:bottom w:w="0" w:type="dxa"/>
              <w:right w:w="108" w:type="dxa"/>
            </w:tcMar>
            <w:vAlign w:val="center"/>
            <w:hideMark/>
          </w:tcPr>
          <w:p w14:paraId="526A4861" w14:textId="77777777" w:rsidR="003124DD" w:rsidRPr="008B3A69" w:rsidRDefault="003124DD" w:rsidP="007E70F7">
            <w:pPr>
              <w:pStyle w:val="Tabletext0"/>
              <w:keepNext/>
              <w:rPr>
                <w:szCs w:val="20"/>
              </w:rPr>
            </w:pPr>
            <w:r w:rsidRPr="008B3A69">
              <w:rPr>
                <w:b/>
                <w:bCs/>
                <w:szCs w:val="20"/>
              </w:rPr>
              <w:t>Analyses</w:t>
            </w:r>
          </w:p>
        </w:tc>
        <w:tc>
          <w:tcPr>
            <w:tcW w:w="992" w:type="dxa"/>
            <w:tcMar>
              <w:top w:w="0" w:type="dxa"/>
              <w:left w:w="108" w:type="dxa"/>
              <w:bottom w:w="0" w:type="dxa"/>
              <w:right w:w="108" w:type="dxa"/>
            </w:tcMar>
            <w:vAlign w:val="center"/>
            <w:hideMark/>
          </w:tcPr>
          <w:p w14:paraId="52679AD0" w14:textId="080D6240" w:rsidR="003124DD" w:rsidRPr="008B3A69" w:rsidRDefault="00D4556B" w:rsidP="007E70F7">
            <w:pPr>
              <w:pStyle w:val="Tabletext0"/>
              <w:keepNext/>
              <w:jc w:val="center"/>
              <w:rPr>
                <w:b/>
                <w:bCs/>
                <w:szCs w:val="20"/>
              </w:rPr>
            </w:pPr>
            <w:r w:rsidRPr="008B3A69">
              <w:rPr>
                <w:b/>
                <w:bCs/>
                <w:szCs w:val="20"/>
              </w:rPr>
              <w:t>Incr</w:t>
            </w:r>
            <w:r>
              <w:rPr>
                <w:b/>
                <w:bCs/>
                <w:szCs w:val="20"/>
              </w:rPr>
              <w:t>.</w:t>
            </w:r>
            <w:r w:rsidRPr="008B3A69">
              <w:rPr>
                <w:b/>
                <w:bCs/>
                <w:szCs w:val="20"/>
              </w:rPr>
              <w:t xml:space="preserve"> </w:t>
            </w:r>
            <w:r w:rsidR="003124DD" w:rsidRPr="008B3A69">
              <w:rPr>
                <w:b/>
                <w:bCs/>
                <w:szCs w:val="20"/>
              </w:rPr>
              <w:t>cost</w:t>
            </w:r>
          </w:p>
        </w:tc>
        <w:tc>
          <w:tcPr>
            <w:tcW w:w="851" w:type="dxa"/>
            <w:tcMar>
              <w:top w:w="0" w:type="dxa"/>
              <w:left w:w="108" w:type="dxa"/>
              <w:bottom w:w="0" w:type="dxa"/>
              <w:right w:w="108" w:type="dxa"/>
            </w:tcMar>
            <w:vAlign w:val="center"/>
            <w:hideMark/>
          </w:tcPr>
          <w:p w14:paraId="6BAAF4C7" w14:textId="047EDA04" w:rsidR="003124DD" w:rsidRPr="008B3A69" w:rsidRDefault="00D4556B" w:rsidP="007E70F7">
            <w:pPr>
              <w:pStyle w:val="Tabletext0"/>
              <w:keepNext/>
              <w:jc w:val="center"/>
              <w:rPr>
                <w:b/>
                <w:bCs/>
                <w:szCs w:val="20"/>
              </w:rPr>
            </w:pPr>
            <w:r w:rsidRPr="008B3A69">
              <w:rPr>
                <w:b/>
                <w:bCs/>
                <w:szCs w:val="20"/>
              </w:rPr>
              <w:t>Incr</w:t>
            </w:r>
            <w:r>
              <w:rPr>
                <w:b/>
                <w:bCs/>
                <w:szCs w:val="20"/>
              </w:rPr>
              <w:t>.</w:t>
            </w:r>
            <w:r w:rsidRPr="008B3A69">
              <w:rPr>
                <w:b/>
                <w:bCs/>
                <w:szCs w:val="20"/>
              </w:rPr>
              <w:t xml:space="preserve"> </w:t>
            </w:r>
            <w:r w:rsidR="003124DD" w:rsidRPr="008B3A69">
              <w:rPr>
                <w:b/>
                <w:bCs/>
                <w:szCs w:val="20"/>
              </w:rPr>
              <w:t>QALYs</w:t>
            </w:r>
          </w:p>
        </w:tc>
        <w:tc>
          <w:tcPr>
            <w:tcW w:w="1140" w:type="dxa"/>
            <w:tcMar>
              <w:top w:w="0" w:type="dxa"/>
              <w:left w:w="108" w:type="dxa"/>
              <w:bottom w:w="0" w:type="dxa"/>
              <w:right w:w="108" w:type="dxa"/>
            </w:tcMar>
            <w:vAlign w:val="center"/>
            <w:hideMark/>
          </w:tcPr>
          <w:p w14:paraId="187D609E" w14:textId="77777777" w:rsidR="003124DD" w:rsidRPr="008B3A69" w:rsidRDefault="003124DD" w:rsidP="007E70F7">
            <w:pPr>
              <w:pStyle w:val="Tabletext0"/>
              <w:keepNext/>
              <w:jc w:val="center"/>
              <w:rPr>
                <w:b/>
                <w:bCs/>
                <w:szCs w:val="20"/>
              </w:rPr>
            </w:pPr>
            <w:r w:rsidRPr="008B3A69">
              <w:rPr>
                <w:b/>
                <w:bCs/>
                <w:szCs w:val="20"/>
              </w:rPr>
              <w:t>ICER</w:t>
            </w:r>
          </w:p>
        </w:tc>
        <w:tc>
          <w:tcPr>
            <w:tcW w:w="1368" w:type="dxa"/>
            <w:vAlign w:val="center"/>
          </w:tcPr>
          <w:p w14:paraId="1CF05DA6" w14:textId="77777777" w:rsidR="003124DD" w:rsidRPr="008B3A69" w:rsidRDefault="003124DD" w:rsidP="007E70F7">
            <w:pPr>
              <w:pStyle w:val="Tabletext0"/>
              <w:keepNext/>
              <w:jc w:val="center"/>
              <w:rPr>
                <w:b/>
                <w:bCs/>
                <w:szCs w:val="20"/>
              </w:rPr>
            </w:pPr>
            <w:r w:rsidRPr="008B3A69">
              <w:rPr>
                <w:b/>
                <w:bCs/>
              </w:rPr>
              <w:t>Change from base case ICER</w:t>
            </w:r>
          </w:p>
        </w:tc>
      </w:tr>
      <w:tr w:rsidR="003124DD" w:rsidRPr="008B3A69" w14:paraId="452E0241" w14:textId="77777777" w:rsidTr="00D4556B">
        <w:trPr>
          <w:trHeight w:val="113"/>
          <w:tblHeader/>
        </w:trPr>
        <w:tc>
          <w:tcPr>
            <w:tcW w:w="4678" w:type="dxa"/>
            <w:tcMar>
              <w:top w:w="0" w:type="dxa"/>
              <w:left w:w="108" w:type="dxa"/>
              <w:bottom w:w="0" w:type="dxa"/>
              <w:right w:w="108" w:type="dxa"/>
            </w:tcMar>
            <w:hideMark/>
          </w:tcPr>
          <w:p w14:paraId="1F1BB2C4" w14:textId="77777777" w:rsidR="003124DD" w:rsidRPr="008B3A69" w:rsidRDefault="003124DD" w:rsidP="007E70F7">
            <w:pPr>
              <w:pStyle w:val="Tabletext0"/>
              <w:keepNext/>
              <w:rPr>
                <w:b/>
                <w:bCs/>
                <w:szCs w:val="20"/>
                <w:vertAlign w:val="superscript"/>
              </w:rPr>
            </w:pPr>
            <w:r w:rsidRPr="008B3A69">
              <w:rPr>
                <w:b/>
                <w:bCs/>
                <w:szCs w:val="20"/>
              </w:rPr>
              <w:t>Base case</w:t>
            </w:r>
          </w:p>
        </w:tc>
        <w:tc>
          <w:tcPr>
            <w:tcW w:w="992" w:type="dxa"/>
            <w:tcMar>
              <w:top w:w="0" w:type="dxa"/>
              <w:left w:w="108" w:type="dxa"/>
              <w:bottom w:w="0" w:type="dxa"/>
              <w:right w:w="108" w:type="dxa"/>
            </w:tcMar>
          </w:tcPr>
          <w:p w14:paraId="04A5CDD7" w14:textId="0E32202F" w:rsidR="003124DD" w:rsidRPr="008B3A69" w:rsidRDefault="003124DD" w:rsidP="007E70F7">
            <w:pPr>
              <w:pStyle w:val="Tabletext0"/>
              <w:keepNext/>
              <w:jc w:val="center"/>
              <w:rPr>
                <w:b/>
                <w:bCs/>
                <w:szCs w:val="20"/>
              </w:rPr>
            </w:pPr>
            <w:r w:rsidRPr="008B3A69">
              <w:rPr>
                <w:b/>
                <w:bCs/>
                <w:szCs w:val="20"/>
              </w:rPr>
              <w:t>$</w:t>
            </w:r>
            <w:r w:rsidR="00AA076A" w:rsidRPr="00AA076A">
              <w:rPr>
                <w:b/>
                <w:bCs/>
                <w:color w:val="000000"/>
                <w:spacing w:val="148"/>
                <w:szCs w:val="20"/>
                <w:shd w:val="solid" w:color="000000" w:fill="000000"/>
                <w:fitText w:val="240" w:id="-893118720"/>
                <w14:textFill>
                  <w14:solidFill>
                    <w14:srgbClr w14:val="000000">
                      <w14:alpha w14:val="100000"/>
                    </w14:srgbClr>
                  </w14:solidFill>
                </w14:textFill>
              </w:rPr>
              <w:t>|</w:t>
            </w:r>
            <w:r w:rsidR="00AA076A" w:rsidRPr="00AA076A">
              <w:rPr>
                <w:b/>
                <w:bCs/>
                <w:color w:val="000000"/>
                <w:spacing w:val="1"/>
                <w:szCs w:val="20"/>
                <w:shd w:val="solid" w:color="000000" w:fill="000000"/>
                <w:fitText w:val="240" w:id="-893118720"/>
                <w14:textFill>
                  <w14:solidFill>
                    <w14:srgbClr w14:val="000000">
                      <w14:alpha w14:val="100000"/>
                    </w14:srgbClr>
                  </w14:solidFill>
                </w14:textFill>
              </w:rPr>
              <w:t>|</w:t>
            </w:r>
          </w:p>
        </w:tc>
        <w:tc>
          <w:tcPr>
            <w:tcW w:w="851" w:type="dxa"/>
            <w:tcMar>
              <w:top w:w="0" w:type="dxa"/>
              <w:left w:w="108" w:type="dxa"/>
              <w:bottom w:w="0" w:type="dxa"/>
              <w:right w:w="108" w:type="dxa"/>
            </w:tcMar>
          </w:tcPr>
          <w:p w14:paraId="67D67344" w14:textId="77777777" w:rsidR="003124DD" w:rsidRPr="008B3A69" w:rsidRDefault="003124DD" w:rsidP="007E70F7">
            <w:pPr>
              <w:pStyle w:val="Tabletext0"/>
              <w:keepNext/>
              <w:jc w:val="center"/>
              <w:rPr>
                <w:b/>
                <w:bCs/>
                <w:szCs w:val="20"/>
              </w:rPr>
            </w:pPr>
            <w:r w:rsidRPr="008B3A69">
              <w:rPr>
                <w:b/>
                <w:bCs/>
                <w:szCs w:val="20"/>
              </w:rPr>
              <w:t>1.0319</w:t>
            </w:r>
          </w:p>
        </w:tc>
        <w:tc>
          <w:tcPr>
            <w:tcW w:w="1140" w:type="dxa"/>
            <w:tcMar>
              <w:top w:w="0" w:type="dxa"/>
              <w:left w:w="108" w:type="dxa"/>
              <w:bottom w:w="0" w:type="dxa"/>
              <w:right w:w="108" w:type="dxa"/>
            </w:tcMar>
          </w:tcPr>
          <w:p w14:paraId="2910E074" w14:textId="7EF8B16D" w:rsidR="003124DD" w:rsidRPr="009F6C90" w:rsidRDefault="003124DD" w:rsidP="007E70F7">
            <w:pPr>
              <w:pStyle w:val="Tabletext0"/>
              <w:keepNext/>
              <w:jc w:val="center"/>
              <w:rPr>
                <w:b/>
                <w:bCs/>
                <w:szCs w:val="20"/>
                <w:vertAlign w:val="superscript"/>
              </w:rPr>
            </w:pPr>
            <w:r w:rsidRPr="008B3A69">
              <w:rPr>
                <w:b/>
                <w:bCs/>
                <w:szCs w:val="20"/>
              </w:rPr>
              <w:t>$</w:t>
            </w:r>
            <w:r w:rsidR="00AA076A" w:rsidRPr="00AA076A">
              <w:rPr>
                <w:b/>
                <w:bCs/>
                <w:color w:val="000000"/>
                <w:spacing w:val="41"/>
                <w:szCs w:val="20"/>
                <w:shd w:val="solid" w:color="000000" w:fill="000000"/>
                <w:fitText w:val="220" w:id="-893118719"/>
                <w14:textFill>
                  <w14:solidFill>
                    <w14:srgbClr w14:val="000000">
                      <w14:alpha w14:val="100000"/>
                    </w14:srgbClr>
                  </w14:solidFill>
                </w14:textFill>
              </w:rPr>
              <w:t>||</w:t>
            </w:r>
            <w:r w:rsidR="00AA076A" w:rsidRPr="00AA076A">
              <w:rPr>
                <w:b/>
                <w:bCs/>
                <w:color w:val="000000"/>
                <w:spacing w:val="1"/>
                <w:szCs w:val="20"/>
                <w:shd w:val="solid" w:color="000000" w:fill="000000"/>
                <w:fitText w:val="220" w:id="-893118719"/>
                <w14:textFill>
                  <w14:solidFill>
                    <w14:srgbClr w14:val="000000">
                      <w14:alpha w14:val="100000"/>
                    </w14:srgbClr>
                  </w14:solidFill>
                </w14:textFill>
              </w:rPr>
              <w:t>|</w:t>
            </w:r>
            <w:r w:rsidR="009F6C90">
              <w:rPr>
                <w:b/>
                <w:bCs/>
                <w:szCs w:val="20"/>
                <w:vertAlign w:val="superscript"/>
              </w:rPr>
              <w:t xml:space="preserve"> 1</w:t>
            </w:r>
          </w:p>
        </w:tc>
        <w:tc>
          <w:tcPr>
            <w:tcW w:w="1368" w:type="dxa"/>
          </w:tcPr>
          <w:p w14:paraId="077F9970" w14:textId="77777777" w:rsidR="003124DD" w:rsidRPr="008B3A69" w:rsidRDefault="003124DD" w:rsidP="007E70F7">
            <w:pPr>
              <w:pStyle w:val="Tabletext0"/>
              <w:keepNext/>
              <w:jc w:val="center"/>
              <w:rPr>
                <w:b/>
                <w:bCs/>
                <w:szCs w:val="20"/>
              </w:rPr>
            </w:pPr>
            <w:r w:rsidRPr="008B3A69">
              <w:rPr>
                <w:b/>
                <w:bCs/>
                <w:szCs w:val="20"/>
              </w:rPr>
              <w:t>-</w:t>
            </w:r>
          </w:p>
        </w:tc>
      </w:tr>
      <w:tr w:rsidR="003124DD" w:rsidRPr="008B3A69" w14:paraId="1145B89D" w14:textId="77777777" w:rsidTr="00D4556B">
        <w:trPr>
          <w:trHeight w:val="113"/>
        </w:trPr>
        <w:tc>
          <w:tcPr>
            <w:tcW w:w="9029" w:type="dxa"/>
            <w:gridSpan w:val="5"/>
            <w:tcMar>
              <w:top w:w="0" w:type="dxa"/>
              <w:left w:w="108" w:type="dxa"/>
              <w:bottom w:w="0" w:type="dxa"/>
              <w:right w:w="108" w:type="dxa"/>
            </w:tcMar>
            <w:hideMark/>
          </w:tcPr>
          <w:p w14:paraId="111943AB" w14:textId="77777777" w:rsidR="003124DD" w:rsidRPr="008B3A69" w:rsidRDefault="003124DD" w:rsidP="007E70F7">
            <w:pPr>
              <w:pStyle w:val="Tabletext0"/>
              <w:keepNext/>
              <w:rPr>
                <w:szCs w:val="20"/>
              </w:rPr>
            </w:pPr>
            <w:r w:rsidRPr="008B3A69">
              <w:rPr>
                <w:b/>
                <w:bCs/>
                <w:szCs w:val="20"/>
              </w:rPr>
              <w:t>Discount rate (base case: 5% for benefits and costs)</w:t>
            </w:r>
          </w:p>
        </w:tc>
      </w:tr>
      <w:tr w:rsidR="003124DD" w:rsidRPr="008B3A69" w14:paraId="6BE25E11" w14:textId="77777777" w:rsidTr="00D4556B">
        <w:trPr>
          <w:trHeight w:val="113"/>
        </w:trPr>
        <w:tc>
          <w:tcPr>
            <w:tcW w:w="4678" w:type="dxa"/>
            <w:tcMar>
              <w:top w:w="0" w:type="dxa"/>
              <w:left w:w="108" w:type="dxa"/>
              <w:bottom w:w="0" w:type="dxa"/>
              <w:right w:w="108" w:type="dxa"/>
            </w:tcMar>
            <w:hideMark/>
          </w:tcPr>
          <w:p w14:paraId="3AC80912" w14:textId="77777777" w:rsidR="003124DD" w:rsidRPr="008B3A69" w:rsidRDefault="003124DD" w:rsidP="007E70F7">
            <w:pPr>
              <w:pStyle w:val="Tabletext0"/>
              <w:keepNext/>
              <w:rPr>
                <w:szCs w:val="20"/>
              </w:rPr>
            </w:pPr>
            <w:r w:rsidRPr="008B3A69">
              <w:rPr>
                <w:szCs w:val="20"/>
              </w:rPr>
              <w:t>3.5% discount rate</w:t>
            </w:r>
          </w:p>
        </w:tc>
        <w:tc>
          <w:tcPr>
            <w:tcW w:w="992" w:type="dxa"/>
            <w:tcMar>
              <w:top w:w="0" w:type="dxa"/>
              <w:left w:w="108" w:type="dxa"/>
              <w:bottom w:w="0" w:type="dxa"/>
              <w:right w:w="108" w:type="dxa"/>
            </w:tcMar>
          </w:tcPr>
          <w:p w14:paraId="2710CD8F" w14:textId="39C5189B" w:rsidR="003124DD" w:rsidRPr="008B3A69" w:rsidRDefault="003124DD"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8"/>
                <w14:textFill>
                  <w14:solidFill>
                    <w14:srgbClr w14:val="000000">
                      <w14:alpha w14:val="100000"/>
                    </w14:srgbClr>
                  </w14:solidFill>
                </w14:textFill>
              </w:rPr>
              <w:t>||</w:t>
            </w:r>
            <w:r w:rsidR="00AA076A" w:rsidRPr="00AA076A">
              <w:rPr>
                <w:color w:val="000000"/>
                <w:spacing w:val="1"/>
                <w:szCs w:val="20"/>
                <w:shd w:val="solid" w:color="000000" w:fill="000000"/>
                <w:fitText w:val="210" w:id="-893118718"/>
                <w14:textFill>
                  <w14:solidFill>
                    <w14:srgbClr w14:val="000000">
                      <w14:alpha w14:val="100000"/>
                    </w14:srgbClr>
                  </w14:solidFill>
                </w14:textFill>
              </w:rPr>
              <w:t>|</w:t>
            </w:r>
          </w:p>
        </w:tc>
        <w:tc>
          <w:tcPr>
            <w:tcW w:w="851" w:type="dxa"/>
            <w:tcMar>
              <w:top w:w="0" w:type="dxa"/>
              <w:left w:w="108" w:type="dxa"/>
              <w:bottom w:w="0" w:type="dxa"/>
              <w:right w:w="108" w:type="dxa"/>
            </w:tcMar>
          </w:tcPr>
          <w:p w14:paraId="4AAAAE81" w14:textId="77777777" w:rsidR="003124DD" w:rsidRPr="008B3A69" w:rsidRDefault="003124DD" w:rsidP="007E70F7">
            <w:pPr>
              <w:pStyle w:val="Tabletext0"/>
              <w:keepNext/>
              <w:jc w:val="center"/>
              <w:rPr>
                <w:szCs w:val="20"/>
              </w:rPr>
            </w:pPr>
            <w:r w:rsidRPr="008B3A69">
              <w:rPr>
                <w:szCs w:val="20"/>
              </w:rPr>
              <w:t>1.1011</w:t>
            </w:r>
          </w:p>
        </w:tc>
        <w:tc>
          <w:tcPr>
            <w:tcW w:w="1140" w:type="dxa"/>
            <w:tcMar>
              <w:top w:w="0" w:type="dxa"/>
              <w:left w:w="108" w:type="dxa"/>
              <w:bottom w:w="0" w:type="dxa"/>
              <w:right w:w="108" w:type="dxa"/>
            </w:tcMar>
          </w:tcPr>
          <w:p w14:paraId="10F5769D" w14:textId="0381B450" w:rsidR="003124DD" w:rsidRPr="008B3A69" w:rsidRDefault="003124DD"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7"/>
                <w14:textFill>
                  <w14:solidFill>
                    <w14:srgbClr w14:val="000000">
                      <w14:alpha w14:val="100000"/>
                    </w14:srgbClr>
                  </w14:solidFill>
                </w14:textFill>
              </w:rPr>
              <w:t>|</w:t>
            </w:r>
            <w:r w:rsidR="00AA076A" w:rsidRPr="00AA076A">
              <w:rPr>
                <w:color w:val="000000"/>
                <w:spacing w:val="1"/>
                <w:szCs w:val="20"/>
                <w:shd w:val="solid" w:color="000000" w:fill="000000"/>
                <w:fitText w:val="180" w:id="-893118717"/>
                <w14:textFill>
                  <w14:solidFill>
                    <w14:srgbClr w14:val="000000">
                      <w14:alpha w14:val="100000"/>
                    </w14:srgbClr>
                  </w14:solidFill>
                </w14:textFill>
              </w:rPr>
              <w:t>|</w:t>
            </w:r>
            <w:r w:rsidR="009F6C90">
              <w:rPr>
                <w:b/>
                <w:bCs/>
                <w:szCs w:val="20"/>
                <w:vertAlign w:val="superscript"/>
              </w:rPr>
              <w:t xml:space="preserve"> 1</w:t>
            </w:r>
          </w:p>
        </w:tc>
        <w:tc>
          <w:tcPr>
            <w:tcW w:w="1368" w:type="dxa"/>
          </w:tcPr>
          <w:p w14:paraId="33D42028" w14:textId="071F6894" w:rsidR="003124DD" w:rsidRPr="008B3A69" w:rsidRDefault="003124DD"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3124DD" w:rsidRPr="008B3A69" w14:paraId="39465AAE" w14:textId="77777777" w:rsidTr="00D4556B">
        <w:trPr>
          <w:trHeight w:val="113"/>
        </w:trPr>
        <w:tc>
          <w:tcPr>
            <w:tcW w:w="4678" w:type="dxa"/>
            <w:tcMar>
              <w:top w:w="0" w:type="dxa"/>
              <w:left w:w="108" w:type="dxa"/>
              <w:bottom w:w="0" w:type="dxa"/>
              <w:right w:w="108" w:type="dxa"/>
            </w:tcMar>
            <w:hideMark/>
          </w:tcPr>
          <w:p w14:paraId="663FB393" w14:textId="77777777" w:rsidR="003124DD" w:rsidRPr="008B3A69" w:rsidRDefault="003124DD" w:rsidP="007E70F7">
            <w:pPr>
              <w:pStyle w:val="Tabletext0"/>
              <w:keepNext/>
              <w:rPr>
                <w:szCs w:val="20"/>
              </w:rPr>
            </w:pPr>
            <w:r w:rsidRPr="008B3A69">
              <w:rPr>
                <w:szCs w:val="20"/>
              </w:rPr>
              <w:t>0% discount rate</w:t>
            </w:r>
          </w:p>
        </w:tc>
        <w:tc>
          <w:tcPr>
            <w:tcW w:w="992" w:type="dxa"/>
            <w:tcMar>
              <w:top w:w="0" w:type="dxa"/>
              <w:left w:w="108" w:type="dxa"/>
              <w:bottom w:w="0" w:type="dxa"/>
              <w:right w:w="108" w:type="dxa"/>
            </w:tcMar>
          </w:tcPr>
          <w:p w14:paraId="34D902EB" w14:textId="304BBE44" w:rsidR="003124DD" w:rsidRPr="008B3A69" w:rsidRDefault="003124DD"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6"/>
                <w14:textFill>
                  <w14:solidFill>
                    <w14:srgbClr w14:val="000000">
                      <w14:alpha w14:val="100000"/>
                    </w14:srgbClr>
                  </w14:solidFill>
                </w14:textFill>
              </w:rPr>
              <w:t>||</w:t>
            </w:r>
            <w:r w:rsidR="00AA076A" w:rsidRPr="00AA076A">
              <w:rPr>
                <w:color w:val="000000"/>
                <w:spacing w:val="1"/>
                <w:szCs w:val="20"/>
                <w:shd w:val="solid" w:color="000000" w:fill="000000"/>
                <w:fitText w:val="210" w:id="-893118716"/>
                <w14:textFill>
                  <w14:solidFill>
                    <w14:srgbClr w14:val="000000">
                      <w14:alpha w14:val="100000"/>
                    </w14:srgbClr>
                  </w14:solidFill>
                </w14:textFill>
              </w:rPr>
              <w:t>|</w:t>
            </w:r>
          </w:p>
        </w:tc>
        <w:tc>
          <w:tcPr>
            <w:tcW w:w="851" w:type="dxa"/>
            <w:tcMar>
              <w:top w:w="0" w:type="dxa"/>
              <w:left w:w="108" w:type="dxa"/>
              <w:bottom w:w="0" w:type="dxa"/>
              <w:right w:w="108" w:type="dxa"/>
            </w:tcMar>
          </w:tcPr>
          <w:p w14:paraId="0451B629" w14:textId="77777777" w:rsidR="003124DD" w:rsidRPr="008B3A69" w:rsidRDefault="003124DD" w:rsidP="007E70F7">
            <w:pPr>
              <w:pStyle w:val="Tabletext0"/>
              <w:keepNext/>
              <w:jc w:val="center"/>
              <w:rPr>
                <w:szCs w:val="20"/>
              </w:rPr>
            </w:pPr>
            <w:r w:rsidRPr="008B3A69">
              <w:rPr>
                <w:szCs w:val="20"/>
              </w:rPr>
              <w:t>1.2982</w:t>
            </w:r>
          </w:p>
        </w:tc>
        <w:tc>
          <w:tcPr>
            <w:tcW w:w="1140" w:type="dxa"/>
            <w:tcMar>
              <w:top w:w="0" w:type="dxa"/>
              <w:left w:w="108" w:type="dxa"/>
              <w:bottom w:w="0" w:type="dxa"/>
              <w:right w:w="108" w:type="dxa"/>
            </w:tcMar>
          </w:tcPr>
          <w:p w14:paraId="4DC5ECA1" w14:textId="52885D76" w:rsidR="003124DD" w:rsidRPr="008B3A69" w:rsidRDefault="003124DD"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5"/>
                <w14:textFill>
                  <w14:solidFill>
                    <w14:srgbClr w14:val="000000">
                      <w14:alpha w14:val="100000"/>
                    </w14:srgbClr>
                  </w14:solidFill>
                </w14:textFill>
              </w:rPr>
              <w:t>|</w:t>
            </w:r>
            <w:r w:rsidR="00AA076A" w:rsidRPr="00AA076A">
              <w:rPr>
                <w:color w:val="000000"/>
                <w:spacing w:val="1"/>
                <w:szCs w:val="20"/>
                <w:shd w:val="solid" w:color="000000" w:fill="000000"/>
                <w:fitText w:val="180" w:id="-893118715"/>
                <w14:textFill>
                  <w14:solidFill>
                    <w14:srgbClr w14:val="000000">
                      <w14:alpha w14:val="100000"/>
                    </w14:srgbClr>
                  </w14:solidFill>
                </w14:textFill>
              </w:rPr>
              <w:t>|</w:t>
            </w:r>
            <w:r w:rsidR="009F6C90">
              <w:rPr>
                <w:b/>
                <w:bCs/>
                <w:szCs w:val="20"/>
                <w:vertAlign w:val="superscript"/>
              </w:rPr>
              <w:t xml:space="preserve"> 2</w:t>
            </w:r>
          </w:p>
        </w:tc>
        <w:tc>
          <w:tcPr>
            <w:tcW w:w="1368" w:type="dxa"/>
          </w:tcPr>
          <w:p w14:paraId="3D13BCFF" w14:textId="7C10BF77" w:rsidR="003124DD" w:rsidRPr="008B3A69" w:rsidRDefault="003124DD"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3124DD" w:rsidRPr="008B3A69" w14:paraId="4AC54D49" w14:textId="77777777" w:rsidTr="00D4556B">
        <w:trPr>
          <w:trHeight w:val="113"/>
        </w:trPr>
        <w:tc>
          <w:tcPr>
            <w:tcW w:w="9029" w:type="dxa"/>
            <w:gridSpan w:val="5"/>
            <w:tcMar>
              <w:top w:w="0" w:type="dxa"/>
              <w:left w:w="108" w:type="dxa"/>
              <w:bottom w:w="0" w:type="dxa"/>
              <w:right w:w="108" w:type="dxa"/>
            </w:tcMar>
            <w:hideMark/>
          </w:tcPr>
          <w:p w14:paraId="5B118918" w14:textId="77777777" w:rsidR="003124DD" w:rsidRPr="008B3A69" w:rsidRDefault="003124DD" w:rsidP="007E70F7">
            <w:pPr>
              <w:pStyle w:val="Tabletext0"/>
              <w:keepNext/>
              <w:rPr>
                <w:szCs w:val="20"/>
              </w:rPr>
            </w:pPr>
            <w:r w:rsidRPr="008B3A69">
              <w:rPr>
                <w:b/>
                <w:bCs/>
                <w:szCs w:val="20"/>
              </w:rPr>
              <w:t>Time horizon (base case: 15 years)</w:t>
            </w:r>
          </w:p>
        </w:tc>
      </w:tr>
      <w:tr w:rsidR="003124DD" w:rsidRPr="008B3A69" w14:paraId="75065200" w14:textId="77777777" w:rsidTr="00D4556B">
        <w:trPr>
          <w:trHeight w:val="113"/>
        </w:trPr>
        <w:tc>
          <w:tcPr>
            <w:tcW w:w="4678" w:type="dxa"/>
            <w:tcMar>
              <w:top w:w="0" w:type="dxa"/>
              <w:left w:w="108" w:type="dxa"/>
              <w:bottom w:w="0" w:type="dxa"/>
              <w:right w:w="108" w:type="dxa"/>
            </w:tcMar>
          </w:tcPr>
          <w:p w14:paraId="0E32D51F" w14:textId="77777777" w:rsidR="003124DD" w:rsidRPr="008B3A69" w:rsidRDefault="003124DD" w:rsidP="007E70F7">
            <w:pPr>
              <w:pStyle w:val="Tabletext0"/>
              <w:keepNext/>
              <w:rPr>
                <w:szCs w:val="20"/>
              </w:rPr>
            </w:pPr>
            <w:r w:rsidRPr="008B3A69">
              <w:rPr>
                <w:szCs w:val="20"/>
              </w:rPr>
              <w:t>20 years</w:t>
            </w:r>
          </w:p>
        </w:tc>
        <w:tc>
          <w:tcPr>
            <w:tcW w:w="992" w:type="dxa"/>
            <w:tcMar>
              <w:top w:w="0" w:type="dxa"/>
              <w:left w:w="108" w:type="dxa"/>
              <w:bottom w:w="0" w:type="dxa"/>
              <w:right w:w="108" w:type="dxa"/>
            </w:tcMar>
          </w:tcPr>
          <w:p w14:paraId="4F26B371" w14:textId="3980C704" w:rsidR="003124DD" w:rsidRPr="008B3A69" w:rsidRDefault="003124DD"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4"/>
                <w14:textFill>
                  <w14:solidFill>
                    <w14:srgbClr w14:val="000000">
                      <w14:alpha w14:val="100000"/>
                    </w14:srgbClr>
                  </w14:solidFill>
                </w14:textFill>
              </w:rPr>
              <w:t>||</w:t>
            </w:r>
            <w:r w:rsidR="00AA076A" w:rsidRPr="00AA076A">
              <w:rPr>
                <w:color w:val="000000"/>
                <w:spacing w:val="1"/>
                <w:szCs w:val="20"/>
                <w:shd w:val="solid" w:color="000000" w:fill="000000"/>
                <w:fitText w:val="210" w:id="-893118714"/>
                <w14:textFill>
                  <w14:solidFill>
                    <w14:srgbClr w14:val="000000">
                      <w14:alpha w14:val="100000"/>
                    </w14:srgbClr>
                  </w14:solidFill>
                </w14:textFill>
              </w:rPr>
              <w:t>|</w:t>
            </w:r>
          </w:p>
        </w:tc>
        <w:tc>
          <w:tcPr>
            <w:tcW w:w="851" w:type="dxa"/>
            <w:tcMar>
              <w:top w:w="0" w:type="dxa"/>
              <w:left w:w="108" w:type="dxa"/>
              <w:bottom w:w="0" w:type="dxa"/>
              <w:right w:w="108" w:type="dxa"/>
            </w:tcMar>
          </w:tcPr>
          <w:p w14:paraId="1ABEE433" w14:textId="77777777" w:rsidR="003124DD" w:rsidRPr="008B3A69" w:rsidRDefault="003124DD" w:rsidP="007E70F7">
            <w:pPr>
              <w:pStyle w:val="Tabletext0"/>
              <w:keepNext/>
              <w:jc w:val="center"/>
              <w:rPr>
                <w:szCs w:val="20"/>
              </w:rPr>
            </w:pPr>
            <w:r w:rsidRPr="008B3A69">
              <w:rPr>
                <w:szCs w:val="20"/>
              </w:rPr>
              <w:t>1.1805</w:t>
            </w:r>
          </w:p>
        </w:tc>
        <w:tc>
          <w:tcPr>
            <w:tcW w:w="1140" w:type="dxa"/>
            <w:tcMar>
              <w:top w:w="0" w:type="dxa"/>
              <w:left w:w="108" w:type="dxa"/>
              <w:bottom w:w="0" w:type="dxa"/>
              <w:right w:w="108" w:type="dxa"/>
            </w:tcMar>
          </w:tcPr>
          <w:p w14:paraId="28452C74" w14:textId="3C8D3FDD" w:rsidR="003124DD" w:rsidRPr="008B3A69" w:rsidRDefault="003124DD"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3"/>
                <w14:textFill>
                  <w14:solidFill>
                    <w14:srgbClr w14:val="000000">
                      <w14:alpha w14:val="100000"/>
                    </w14:srgbClr>
                  </w14:solidFill>
                </w14:textFill>
              </w:rPr>
              <w:t>|</w:t>
            </w:r>
            <w:r w:rsidR="00AA076A" w:rsidRPr="00AA076A">
              <w:rPr>
                <w:color w:val="000000"/>
                <w:spacing w:val="1"/>
                <w:szCs w:val="20"/>
                <w:shd w:val="solid" w:color="000000" w:fill="000000"/>
                <w:fitText w:val="180" w:id="-893118713"/>
                <w14:textFill>
                  <w14:solidFill>
                    <w14:srgbClr w14:val="000000">
                      <w14:alpha w14:val="100000"/>
                    </w14:srgbClr>
                  </w14:solidFill>
                </w14:textFill>
              </w:rPr>
              <w:t>|</w:t>
            </w:r>
            <w:r w:rsidR="009F6C90">
              <w:rPr>
                <w:b/>
                <w:bCs/>
                <w:szCs w:val="20"/>
                <w:vertAlign w:val="superscript"/>
              </w:rPr>
              <w:t xml:space="preserve"> 1</w:t>
            </w:r>
          </w:p>
        </w:tc>
        <w:tc>
          <w:tcPr>
            <w:tcW w:w="1368" w:type="dxa"/>
          </w:tcPr>
          <w:p w14:paraId="00C73343" w14:textId="793D5753" w:rsidR="003124DD" w:rsidRPr="008B3A69" w:rsidRDefault="003124DD"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3124DD" w:rsidRPr="008B3A69" w14:paraId="18F43AAB" w14:textId="77777777" w:rsidTr="00D4556B">
        <w:trPr>
          <w:trHeight w:val="113"/>
        </w:trPr>
        <w:tc>
          <w:tcPr>
            <w:tcW w:w="4678" w:type="dxa"/>
            <w:tcMar>
              <w:top w:w="0" w:type="dxa"/>
              <w:left w:w="108" w:type="dxa"/>
              <w:bottom w:w="0" w:type="dxa"/>
              <w:right w:w="108" w:type="dxa"/>
            </w:tcMar>
          </w:tcPr>
          <w:p w14:paraId="0E84C0D7" w14:textId="77777777" w:rsidR="003124DD" w:rsidRPr="008B3A69" w:rsidRDefault="003124DD" w:rsidP="007E70F7">
            <w:pPr>
              <w:pStyle w:val="Tabletext0"/>
              <w:keepNext/>
              <w:rPr>
                <w:szCs w:val="20"/>
              </w:rPr>
            </w:pPr>
            <w:r w:rsidRPr="008B3A69">
              <w:rPr>
                <w:szCs w:val="20"/>
              </w:rPr>
              <w:t>10 years</w:t>
            </w:r>
          </w:p>
        </w:tc>
        <w:tc>
          <w:tcPr>
            <w:tcW w:w="992" w:type="dxa"/>
            <w:tcMar>
              <w:top w:w="0" w:type="dxa"/>
              <w:left w:w="108" w:type="dxa"/>
              <w:bottom w:w="0" w:type="dxa"/>
              <w:right w:w="108" w:type="dxa"/>
            </w:tcMar>
          </w:tcPr>
          <w:p w14:paraId="15E6BA45" w14:textId="6DEFD2F0" w:rsidR="003124DD" w:rsidRPr="008B3A69" w:rsidRDefault="003124DD"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2"/>
                <w14:textFill>
                  <w14:solidFill>
                    <w14:srgbClr w14:val="000000">
                      <w14:alpha w14:val="100000"/>
                    </w14:srgbClr>
                  </w14:solidFill>
                </w14:textFill>
              </w:rPr>
              <w:t>||</w:t>
            </w:r>
            <w:r w:rsidR="00AA076A" w:rsidRPr="00AA076A">
              <w:rPr>
                <w:color w:val="000000"/>
                <w:spacing w:val="1"/>
                <w:szCs w:val="20"/>
                <w:shd w:val="solid" w:color="000000" w:fill="000000"/>
                <w:fitText w:val="210" w:id="-893118712"/>
                <w14:textFill>
                  <w14:solidFill>
                    <w14:srgbClr w14:val="000000">
                      <w14:alpha w14:val="100000"/>
                    </w14:srgbClr>
                  </w14:solidFill>
                </w14:textFill>
              </w:rPr>
              <w:t>|</w:t>
            </w:r>
          </w:p>
        </w:tc>
        <w:tc>
          <w:tcPr>
            <w:tcW w:w="851" w:type="dxa"/>
            <w:tcMar>
              <w:top w:w="0" w:type="dxa"/>
              <w:left w:w="108" w:type="dxa"/>
              <w:bottom w:w="0" w:type="dxa"/>
              <w:right w:w="108" w:type="dxa"/>
            </w:tcMar>
          </w:tcPr>
          <w:p w14:paraId="4F84AB74" w14:textId="77777777" w:rsidR="003124DD" w:rsidRPr="008B3A69" w:rsidRDefault="003124DD" w:rsidP="007E70F7">
            <w:pPr>
              <w:pStyle w:val="Tabletext0"/>
              <w:keepNext/>
              <w:jc w:val="center"/>
              <w:rPr>
                <w:szCs w:val="20"/>
              </w:rPr>
            </w:pPr>
            <w:r w:rsidRPr="008B3A69">
              <w:rPr>
                <w:szCs w:val="20"/>
              </w:rPr>
              <w:t>0.8311</w:t>
            </w:r>
          </w:p>
        </w:tc>
        <w:tc>
          <w:tcPr>
            <w:tcW w:w="1140" w:type="dxa"/>
            <w:tcMar>
              <w:top w:w="0" w:type="dxa"/>
              <w:left w:w="108" w:type="dxa"/>
              <w:bottom w:w="0" w:type="dxa"/>
              <w:right w:w="108" w:type="dxa"/>
            </w:tcMar>
          </w:tcPr>
          <w:p w14:paraId="2FB2586F" w14:textId="429BCF9B" w:rsidR="003124DD" w:rsidRPr="008B3A69" w:rsidRDefault="003124DD"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1"/>
                <w14:textFill>
                  <w14:solidFill>
                    <w14:srgbClr w14:val="000000">
                      <w14:alpha w14:val="100000"/>
                    </w14:srgbClr>
                  </w14:solidFill>
                </w14:textFill>
              </w:rPr>
              <w:t>|</w:t>
            </w:r>
            <w:r w:rsidR="00AA076A" w:rsidRPr="00AA076A">
              <w:rPr>
                <w:color w:val="000000"/>
                <w:spacing w:val="1"/>
                <w:szCs w:val="20"/>
                <w:shd w:val="solid" w:color="000000" w:fill="000000"/>
                <w:fitText w:val="180" w:id="-893118711"/>
                <w14:textFill>
                  <w14:solidFill>
                    <w14:srgbClr w14:val="000000">
                      <w14:alpha w14:val="100000"/>
                    </w14:srgbClr>
                  </w14:solidFill>
                </w14:textFill>
              </w:rPr>
              <w:t>|</w:t>
            </w:r>
            <w:r w:rsidR="009F6C90">
              <w:rPr>
                <w:b/>
                <w:bCs/>
                <w:szCs w:val="20"/>
                <w:vertAlign w:val="superscript"/>
              </w:rPr>
              <w:t xml:space="preserve"> 3</w:t>
            </w:r>
          </w:p>
        </w:tc>
        <w:tc>
          <w:tcPr>
            <w:tcW w:w="1368" w:type="dxa"/>
          </w:tcPr>
          <w:p w14:paraId="67F76540" w14:textId="5088C8B7" w:rsidR="003124DD" w:rsidRPr="008B3A69" w:rsidRDefault="003124DD"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3124DD" w:rsidRPr="008B3A69" w14:paraId="37328F5B" w14:textId="77777777" w:rsidTr="00D4556B">
        <w:trPr>
          <w:trHeight w:val="113"/>
        </w:trPr>
        <w:tc>
          <w:tcPr>
            <w:tcW w:w="4678" w:type="dxa"/>
            <w:tcMar>
              <w:top w:w="0" w:type="dxa"/>
              <w:left w:w="108" w:type="dxa"/>
              <w:bottom w:w="0" w:type="dxa"/>
              <w:right w:w="108" w:type="dxa"/>
            </w:tcMar>
          </w:tcPr>
          <w:p w14:paraId="6C7B739B" w14:textId="77777777" w:rsidR="003124DD" w:rsidRPr="008B3A69" w:rsidRDefault="003124DD" w:rsidP="007E70F7">
            <w:pPr>
              <w:pStyle w:val="Tabletext0"/>
              <w:keepNext/>
              <w:rPr>
                <w:szCs w:val="20"/>
              </w:rPr>
            </w:pPr>
            <w:r w:rsidRPr="008B3A69">
              <w:rPr>
                <w:szCs w:val="20"/>
              </w:rPr>
              <w:t>5 years</w:t>
            </w:r>
          </w:p>
        </w:tc>
        <w:tc>
          <w:tcPr>
            <w:tcW w:w="992" w:type="dxa"/>
            <w:tcMar>
              <w:top w:w="0" w:type="dxa"/>
              <w:left w:w="108" w:type="dxa"/>
              <w:bottom w:w="0" w:type="dxa"/>
              <w:right w:w="108" w:type="dxa"/>
            </w:tcMar>
          </w:tcPr>
          <w:p w14:paraId="570EF812" w14:textId="56F2D515" w:rsidR="003124DD" w:rsidRPr="008B3A69" w:rsidRDefault="003124DD"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0"/>
                <w14:textFill>
                  <w14:solidFill>
                    <w14:srgbClr w14:val="000000">
                      <w14:alpha w14:val="100000"/>
                    </w14:srgbClr>
                  </w14:solidFill>
                </w14:textFill>
              </w:rPr>
              <w:t>||</w:t>
            </w:r>
            <w:r w:rsidR="00AA076A" w:rsidRPr="00AA076A">
              <w:rPr>
                <w:color w:val="000000"/>
                <w:spacing w:val="1"/>
                <w:szCs w:val="20"/>
                <w:shd w:val="solid" w:color="000000" w:fill="000000"/>
                <w:fitText w:val="210" w:id="-893118710"/>
                <w14:textFill>
                  <w14:solidFill>
                    <w14:srgbClr w14:val="000000">
                      <w14:alpha w14:val="100000"/>
                    </w14:srgbClr>
                  </w14:solidFill>
                </w14:textFill>
              </w:rPr>
              <w:t>|</w:t>
            </w:r>
          </w:p>
        </w:tc>
        <w:tc>
          <w:tcPr>
            <w:tcW w:w="851" w:type="dxa"/>
            <w:tcMar>
              <w:top w:w="0" w:type="dxa"/>
              <w:left w:w="108" w:type="dxa"/>
              <w:bottom w:w="0" w:type="dxa"/>
              <w:right w:w="108" w:type="dxa"/>
            </w:tcMar>
          </w:tcPr>
          <w:p w14:paraId="744FA0A1" w14:textId="77777777" w:rsidR="003124DD" w:rsidRPr="008B3A69" w:rsidRDefault="003124DD" w:rsidP="007E70F7">
            <w:pPr>
              <w:pStyle w:val="Tabletext0"/>
              <w:keepNext/>
              <w:jc w:val="center"/>
              <w:rPr>
                <w:szCs w:val="20"/>
              </w:rPr>
            </w:pPr>
            <w:r w:rsidRPr="008B3A69">
              <w:rPr>
                <w:szCs w:val="20"/>
              </w:rPr>
              <w:t>0.5426</w:t>
            </w:r>
          </w:p>
        </w:tc>
        <w:tc>
          <w:tcPr>
            <w:tcW w:w="1140" w:type="dxa"/>
            <w:tcMar>
              <w:top w:w="0" w:type="dxa"/>
              <w:left w:w="108" w:type="dxa"/>
              <w:bottom w:w="0" w:type="dxa"/>
              <w:right w:w="108" w:type="dxa"/>
            </w:tcMar>
          </w:tcPr>
          <w:p w14:paraId="2DD23561" w14:textId="78906FF4" w:rsidR="003124DD" w:rsidRPr="008B3A69" w:rsidRDefault="003124DD"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09"/>
                <w14:textFill>
                  <w14:solidFill>
                    <w14:srgbClr w14:val="000000">
                      <w14:alpha w14:val="100000"/>
                    </w14:srgbClr>
                  </w14:solidFill>
                </w14:textFill>
              </w:rPr>
              <w:t>|</w:t>
            </w:r>
            <w:r w:rsidR="00AA076A" w:rsidRPr="00AA076A">
              <w:rPr>
                <w:color w:val="000000"/>
                <w:spacing w:val="1"/>
                <w:szCs w:val="20"/>
                <w:shd w:val="solid" w:color="000000" w:fill="000000"/>
                <w:fitText w:val="180" w:id="-893118709"/>
                <w14:textFill>
                  <w14:solidFill>
                    <w14:srgbClr w14:val="000000">
                      <w14:alpha w14:val="100000"/>
                    </w14:srgbClr>
                  </w14:solidFill>
                </w14:textFill>
              </w:rPr>
              <w:t>|</w:t>
            </w:r>
            <w:r w:rsidR="0072518A">
              <w:rPr>
                <w:b/>
                <w:bCs/>
                <w:szCs w:val="20"/>
                <w:vertAlign w:val="superscript"/>
              </w:rPr>
              <w:t xml:space="preserve"> 4</w:t>
            </w:r>
          </w:p>
        </w:tc>
        <w:tc>
          <w:tcPr>
            <w:tcW w:w="1368" w:type="dxa"/>
          </w:tcPr>
          <w:p w14:paraId="74568B7F" w14:textId="5B79AF02" w:rsidR="003124DD" w:rsidRPr="008B3A69" w:rsidRDefault="003124DD" w:rsidP="007E70F7">
            <w:pPr>
              <w:pStyle w:val="Tabletext0"/>
              <w:keepNext/>
              <w:jc w:val="center"/>
            </w:pPr>
            <w:r w:rsidRPr="008B3A69">
              <w:t>+</w:t>
            </w:r>
            <w:r w:rsidR="00AA076A" w:rsidRPr="00AA076A">
              <w:rPr>
                <w:color w:val="000000"/>
                <w:shd w:val="solid" w:color="000000" w:fill="000000"/>
                <w14:textFill>
                  <w14:solidFill>
                    <w14:srgbClr w14:val="000000">
                      <w14:alpha w14:val="100000"/>
                    </w14:srgbClr>
                  </w14:solidFill>
                </w14:textFill>
              </w:rPr>
              <w:t>|</w:t>
            </w:r>
            <w:r w:rsidRPr="008B3A69">
              <w:t>%</w:t>
            </w:r>
          </w:p>
        </w:tc>
      </w:tr>
      <w:tr w:rsidR="003124DD" w:rsidRPr="008B3A69" w14:paraId="4464C615" w14:textId="77777777" w:rsidTr="00D4556B">
        <w:trPr>
          <w:trHeight w:val="113"/>
        </w:trPr>
        <w:tc>
          <w:tcPr>
            <w:tcW w:w="4678" w:type="dxa"/>
            <w:tcMar>
              <w:top w:w="0" w:type="dxa"/>
              <w:left w:w="108" w:type="dxa"/>
              <w:bottom w:w="0" w:type="dxa"/>
              <w:right w:w="108" w:type="dxa"/>
            </w:tcMar>
          </w:tcPr>
          <w:p w14:paraId="29B27897" w14:textId="77777777" w:rsidR="003124DD" w:rsidRPr="008B3A69" w:rsidRDefault="003124DD" w:rsidP="007E70F7">
            <w:pPr>
              <w:pStyle w:val="Tabletext0"/>
              <w:keepNext/>
              <w:rPr>
                <w:szCs w:val="20"/>
              </w:rPr>
            </w:pPr>
            <w:r w:rsidRPr="008B3A69">
              <w:rPr>
                <w:szCs w:val="20"/>
              </w:rPr>
              <w:t>2 years</w:t>
            </w:r>
          </w:p>
        </w:tc>
        <w:tc>
          <w:tcPr>
            <w:tcW w:w="992" w:type="dxa"/>
            <w:tcMar>
              <w:top w:w="0" w:type="dxa"/>
              <w:left w:w="108" w:type="dxa"/>
              <w:bottom w:w="0" w:type="dxa"/>
              <w:right w:w="108" w:type="dxa"/>
            </w:tcMar>
          </w:tcPr>
          <w:p w14:paraId="3EC90D3A" w14:textId="452AA47C" w:rsidR="003124DD" w:rsidRPr="008B3A69" w:rsidRDefault="003124DD"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08"/>
                <w14:textFill>
                  <w14:solidFill>
                    <w14:srgbClr w14:val="000000">
                      <w14:alpha w14:val="100000"/>
                    </w14:srgbClr>
                  </w14:solidFill>
                </w14:textFill>
              </w:rPr>
              <w:t>||</w:t>
            </w:r>
            <w:r w:rsidR="00AA076A" w:rsidRPr="00AA076A">
              <w:rPr>
                <w:color w:val="000000"/>
                <w:spacing w:val="1"/>
                <w:szCs w:val="20"/>
                <w:shd w:val="solid" w:color="000000" w:fill="000000"/>
                <w:fitText w:val="210" w:id="-893118708"/>
                <w14:textFill>
                  <w14:solidFill>
                    <w14:srgbClr w14:val="000000">
                      <w14:alpha w14:val="100000"/>
                    </w14:srgbClr>
                  </w14:solidFill>
                </w14:textFill>
              </w:rPr>
              <w:t>|</w:t>
            </w:r>
          </w:p>
        </w:tc>
        <w:tc>
          <w:tcPr>
            <w:tcW w:w="851" w:type="dxa"/>
            <w:tcMar>
              <w:top w:w="0" w:type="dxa"/>
              <w:left w:w="108" w:type="dxa"/>
              <w:bottom w:w="0" w:type="dxa"/>
              <w:right w:w="108" w:type="dxa"/>
            </w:tcMar>
          </w:tcPr>
          <w:p w14:paraId="420D31C7" w14:textId="77777777" w:rsidR="003124DD" w:rsidRPr="008B3A69" w:rsidRDefault="003124DD" w:rsidP="007E70F7">
            <w:pPr>
              <w:pStyle w:val="Tabletext0"/>
              <w:keepNext/>
              <w:jc w:val="center"/>
              <w:rPr>
                <w:szCs w:val="20"/>
              </w:rPr>
            </w:pPr>
            <w:r w:rsidRPr="008B3A69">
              <w:rPr>
                <w:szCs w:val="20"/>
              </w:rPr>
              <w:t>0.2916</w:t>
            </w:r>
          </w:p>
        </w:tc>
        <w:tc>
          <w:tcPr>
            <w:tcW w:w="1140" w:type="dxa"/>
            <w:tcMar>
              <w:top w:w="0" w:type="dxa"/>
              <w:left w:w="108" w:type="dxa"/>
              <w:bottom w:w="0" w:type="dxa"/>
              <w:right w:w="108" w:type="dxa"/>
            </w:tcMar>
          </w:tcPr>
          <w:p w14:paraId="0F3B729E" w14:textId="0D8C852E" w:rsidR="003124DD" w:rsidRPr="008B3A69" w:rsidRDefault="003124DD" w:rsidP="00D4556B">
            <w:pPr>
              <w:pStyle w:val="Tabletext0"/>
              <w:keepNext/>
              <w:ind w:right="-98"/>
              <w:jc w:val="center"/>
              <w:rPr>
                <w:szCs w:val="20"/>
              </w:rPr>
            </w:pPr>
            <w:r w:rsidRPr="008B3A69">
              <w:rPr>
                <w:szCs w:val="20"/>
              </w:rPr>
              <w:t>$</w:t>
            </w:r>
            <w:r w:rsidR="00AA076A" w:rsidRPr="00AA076A">
              <w:rPr>
                <w:rFonts w:hint="eastAsia"/>
                <w:color w:val="000000"/>
                <w:w w:val="31"/>
                <w:szCs w:val="20"/>
                <w:shd w:val="solid" w:color="000000" w:fill="000000"/>
                <w:fitText w:val="140" w:id="-893118707"/>
                <w14:textFill>
                  <w14:solidFill>
                    <w14:srgbClr w14:val="000000">
                      <w14:alpha w14:val="100000"/>
                    </w14:srgbClr>
                  </w14:solidFill>
                </w14:textFill>
              </w:rPr>
              <w:t xml:space="preserve">　</w:t>
            </w:r>
            <w:r w:rsidR="00AA076A" w:rsidRPr="00AA076A">
              <w:rPr>
                <w:color w:val="000000"/>
                <w:w w:val="31"/>
                <w:szCs w:val="20"/>
                <w:shd w:val="solid" w:color="000000" w:fill="000000"/>
                <w:fitText w:val="140" w:id="-893118707"/>
                <w14:textFill>
                  <w14:solidFill>
                    <w14:srgbClr w14:val="000000">
                      <w14:alpha w14:val="100000"/>
                    </w14:srgbClr>
                  </w14:solidFill>
                </w14:textFill>
              </w:rPr>
              <w:t>|</w:t>
            </w:r>
            <w:r w:rsidR="00AA076A" w:rsidRPr="00AA076A">
              <w:rPr>
                <w:rFonts w:hint="eastAsia"/>
                <w:color w:val="000000"/>
                <w:spacing w:val="4"/>
                <w:w w:val="31"/>
                <w:szCs w:val="20"/>
                <w:shd w:val="solid" w:color="000000" w:fill="000000"/>
                <w:fitText w:val="140" w:id="-893118707"/>
                <w14:textFill>
                  <w14:solidFill>
                    <w14:srgbClr w14:val="000000">
                      <w14:alpha w14:val="100000"/>
                    </w14:srgbClr>
                  </w14:solidFill>
                </w14:textFill>
              </w:rPr>
              <w:t xml:space="preserve">　</w:t>
            </w:r>
            <w:r w:rsidR="00D4556B">
              <w:rPr>
                <w:szCs w:val="20"/>
              </w:rPr>
              <w:t xml:space="preserve"> </w:t>
            </w:r>
            <w:r w:rsidR="0072518A" w:rsidRPr="00D4556B">
              <w:rPr>
                <w:b/>
                <w:bCs/>
                <w:szCs w:val="20"/>
                <w:vertAlign w:val="superscript"/>
              </w:rPr>
              <w:t>5</w:t>
            </w:r>
          </w:p>
        </w:tc>
        <w:tc>
          <w:tcPr>
            <w:tcW w:w="1368" w:type="dxa"/>
          </w:tcPr>
          <w:p w14:paraId="76A8CA46" w14:textId="75AA3A1C" w:rsidR="003124DD" w:rsidRPr="008B3A69" w:rsidRDefault="003124DD" w:rsidP="007E70F7">
            <w:pPr>
              <w:pStyle w:val="Tabletext0"/>
              <w:keepNext/>
              <w:jc w:val="center"/>
            </w:pPr>
            <w:r w:rsidRPr="008B3A69">
              <w:t>+</w:t>
            </w:r>
            <w:r w:rsidR="00AA076A" w:rsidRPr="00AA076A">
              <w:rPr>
                <w:color w:val="000000"/>
                <w:shd w:val="solid" w:color="000000" w:fill="000000"/>
                <w14:textFill>
                  <w14:solidFill>
                    <w14:srgbClr w14:val="000000">
                      <w14:alpha w14:val="100000"/>
                    </w14:srgbClr>
                  </w14:solidFill>
                </w14:textFill>
              </w:rPr>
              <w:t>|</w:t>
            </w:r>
            <w:r w:rsidRPr="008B3A69">
              <w:t>%</w:t>
            </w:r>
          </w:p>
        </w:tc>
      </w:tr>
      <w:tr w:rsidR="008E06DE" w:rsidRPr="008B3A69" w14:paraId="2033E5DB" w14:textId="77777777" w:rsidTr="00D4556B">
        <w:trPr>
          <w:trHeight w:val="113"/>
        </w:trPr>
        <w:tc>
          <w:tcPr>
            <w:tcW w:w="9029" w:type="dxa"/>
            <w:gridSpan w:val="5"/>
            <w:tcMar>
              <w:top w:w="0" w:type="dxa"/>
              <w:left w:w="108" w:type="dxa"/>
              <w:bottom w:w="0" w:type="dxa"/>
              <w:right w:w="108" w:type="dxa"/>
            </w:tcMar>
          </w:tcPr>
          <w:p w14:paraId="4041324F" w14:textId="2061DF7A" w:rsidR="008E06DE" w:rsidRPr="008B3A69" w:rsidRDefault="008E06DE" w:rsidP="007E70F7">
            <w:pPr>
              <w:pStyle w:val="Tabletext0"/>
              <w:keepNext/>
              <w:rPr>
                <w:b/>
                <w:bCs/>
              </w:rPr>
            </w:pPr>
            <w:r w:rsidRPr="008B3A69">
              <w:rPr>
                <w:b/>
                <w:bCs/>
              </w:rPr>
              <w:t xml:space="preserve">Response rates (base case: ravulizumab and placebo response rates based on proportion of patients with </w:t>
            </w:r>
            <w:r w:rsidR="00CF3FCA" w:rsidRPr="008B3A69">
              <w:rPr>
                <w:b/>
                <w:bCs/>
              </w:rPr>
              <w:t>≥</w:t>
            </w:r>
            <w:r w:rsidRPr="008B3A69">
              <w:rPr>
                <w:b/>
                <w:bCs/>
              </w:rPr>
              <w:t xml:space="preserve"> 2-point reduction in MG-ADL scores in the CHAMPION-MG trial)</w:t>
            </w:r>
          </w:p>
        </w:tc>
      </w:tr>
      <w:tr w:rsidR="008E06DE" w:rsidRPr="008B3A69" w14:paraId="68128B01" w14:textId="77777777" w:rsidTr="00D4556B">
        <w:trPr>
          <w:trHeight w:val="113"/>
        </w:trPr>
        <w:tc>
          <w:tcPr>
            <w:tcW w:w="4678" w:type="dxa"/>
            <w:tcMar>
              <w:top w:w="0" w:type="dxa"/>
              <w:left w:w="108" w:type="dxa"/>
              <w:bottom w:w="0" w:type="dxa"/>
              <w:right w:w="108" w:type="dxa"/>
            </w:tcMar>
          </w:tcPr>
          <w:p w14:paraId="4BD22AB4" w14:textId="65C70730" w:rsidR="008E06DE" w:rsidRPr="008B3A69" w:rsidRDefault="008E06DE" w:rsidP="00D4556B">
            <w:pPr>
              <w:pStyle w:val="Tabletext0"/>
              <w:keepNext/>
              <w:ind w:right="-110"/>
              <w:rPr>
                <w:szCs w:val="20"/>
              </w:rPr>
            </w:pPr>
            <w:r w:rsidRPr="008B3A69">
              <w:rPr>
                <w:szCs w:val="20"/>
              </w:rPr>
              <w:t xml:space="preserve">Ravulizumab and placebo response rates based on proportion of patients with </w:t>
            </w:r>
            <w:r w:rsidR="00CF3FCA" w:rsidRPr="008B3A69">
              <w:rPr>
                <w:szCs w:val="20"/>
              </w:rPr>
              <w:t>≥</w:t>
            </w:r>
            <w:r w:rsidRPr="008B3A69">
              <w:rPr>
                <w:szCs w:val="20"/>
              </w:rPr>
              <w:t xml:space="preserve"> 3-point reduction in MGC scores</w:t>
            </w:r>
          </w:p>
        </w:tc>
        <w:tc>
          <w:tcPr>
            <w:tcW w:w="992" w:type="dxa"/>
            <w:tcMar>
              <w:top w:w="0" w:type="dxa"/>
              <w:left w:w="108" w:type="dxa"/>
              <w:bottom w:w="0" w:type="dxa"/>
              <w:right w:w="108" w:type="dxa"/>
            </w:tcMar>
            <w:vAlign w:val="center"/>
          </w:tcPr>
          <w:p w14:paraId="58BD2ACF" w14:textId="6FD8D3FE"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06"/>
                <w14:textFill>
                  <w14:solidFill>
                    <w14:srgbClr w14:val="000000">
                      <w14:alpha w14:val="100000"/>
                    </w14:srgbClr>
                  </w14:solidFill>
                </w14:textFill>
              </w:rPr>
              <w:t>||</w:t>
            </w:r>
            <w:r w:rsidR="00AA076A" w:rsidRPr="00AA076A">
              <w:rPr>
                <w:color w:val="000000"/>
                <w:spacing w:val="1"/>
                <w:szCs w:val="20"/>
                <w:shd w:val="solid" w:color="000000" w:fill="000000"/>
                <w:fitText w:val="210" w:id="-893118706"/>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6C2024DB" w14:textId="48C2D24C" w:rsidR="008E06DE" w:rsidRPr="008B3A69" w:rsidRDefault="008E06DE" w:rsidP="007E70F7">
            <w:pPr>
              <w:pStyle w:val="Tabletext0"/>
              <w:keepNext/>
              <w:jc w:val="center"/>
              <w:rPr>
                <w:szCs w:val="20"/>
              </w:rPr>
            </w:pPr>
            <w:r w:rsidRPr="008B3A69">
              <w:rPr>
                <w:szCs w:val="20"/>
              </w:rPr>
              <w:t>1.0361</w:t>
            </w:r>
          </w:p>
        </w:tc>
        <w:tc>
          <w:tcPr>
            <w:tcW w:w="1140" w:type="dxa"/>
            <w:tcMar>
              <w:top w:w="0" w:type="dxa"/>
              <w:left w:w="108" w:type="dxa"/>
              <w:bottom w:w="0" w:type="dxa"/>
              <w:right w:w="108" w:type="dxa"/>
            </w:tcMar>
            <w:vAlign w:val="center"/>
          </w:tcPr>
          <w:p w14:paraId="2832E7B6" w14:textId="618230C2"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05"/>
                <w14:textFill>
                  <w14:solidFill>
                    <w14:srgbClr w14:val="000000">
                      <w14:alpha w14:val="100000"/>
                    </w14:srgbClr>
                  </w14:solidFill>
                </w14:textFill>
              </w:rPr>
              <w:t>|</w:t>
            </w:r>
            <w:r w:rsidR="00AA076A" w:rsidRPr="00AA076A">
              <w:rPr>
                <w:color w:val="000000"/>
                <w:spacing w:val="1"/>
                <w:szCs w:val="20"/>
                <w:shd w:val="solid" w:color="000000" w:fill="000000"/>
                <w:fitText w:val="180" w:id="-893118705"/>
                <w14:textFill>
                  <w14:solidFill>
                    <w14:srgbClr w14:val="000000">
                      <w14:alpha w14:val="100000"/>
                    </w14:srgbClr>
                  </w14:solidFill>
                </w14:textFill>
              </w:rPr>
              <w:t>|</w:t>
            </w:r>
            <w:r w:rsidR="009F6C90">
              <w:rPr>
                <w:b/>
                <w:bCs/>
                <w:szCs w:val="20"/>
                <w:vertAlign w:val="superscript"/>
              </w:rPr>
              <w:t xml:space="preserve"> 1</w:t>
            </w:r>
          </w:p>
        </w:tc>
        <w:tc>
          <w:tcPr>
            <w:tcW w:w="1368" w:type="dxa"/>
            <w:vAlign w:val="center"/>
          </w:tcPr>
          <w:p w14:paraId="43EFF839" w14:textId="17E2DC5F" w:rsidR="008E06DE" w:rsidRPr="008B3A69" w:rsidRDefault="008E06DE" w:rsidP="007E70F7">
            <w:pPr>
              <w:pStyle w:val="Tabletext0"/>
              <w:keepNext/>
              <w:jc w:val="center"/>
            </w:pPr>
            <w:r w:rsidRPr="008B3A69">
              <w:t>+</w:t>
            </w:r>
            <w:r w:rsidR="00AA076A" w:rsidRPr="00AA076A">
              <w:rPr>
                <w:color w:val="000000"/>
                <w:shd w:val="solid" w:color="000000" w:fill="000000"/>
                <w14:textFill>
                  <w14:solidFill>
                    <w14:srgbClr w14:val="000000">
                      <w14:alpha w14:val="100000"/>
                    </w14:srgbClr>
                  </w14:solidFill>
                </w14:textFill>
              </w:rPr>
              <w:t>|</w:t>
            </w:r>
            <w:r w:rsidRPr="008B3A69">
              <w:t>%</w:t>
            </w:r>
          </w:p>
        </w:tc>
      </w:tr>
      <w:tr w:rsidR="008E06DE" w:rsidRPr="008B3A69" w14:paraId="7E0082C8" w14:textId="77777777" w:rsidTr="00D4556B">
        <w:trPr>
          <w:trHeight w:val="113"/>
        </w:trPr>
        <w:tc>
          <w:tcPr>
            <w:tcW w:w="9029" w:type="dxa"/>
            <w:gridSpan w:val="5"/>
            <w:tcMar>
              <w:top w:w="0" w:type="dxa"/>
              <w:left w:w="108" w:type="dxa"/>
              <w:bottom w:w="0" w:type="dxa"/>
              <w:right w:w="108" w:type="dxa"/>
            </w:tcMar>
            <w:vAlign w:val="center"/>
          </w:tcPr>
          <w:p w14:paraId="4F013FFC" w14:textId="2EB76A24" w:rsidR="008E06DE" w:rsidRPr="008B3A69" w:rsidRDefault="008E06DE" w:rsidP="007E70F7">
            <w:pPr>
              <w:pStyle w:val="Tabletext0"/>
              <w:keepNext/>
              <w:rPr>
                <w:b/>
                <w:bCs/>
                <w:szCs w:val="20"/>
                <w:vertAlign w:val="superscript"/>
              </w:rPr>
            </w:pPr>
            <w:r w:rsidRPr="008B3A69">
              <w:rPr>
                <w:b/>
                <w:bCs/>
                <w:szCs w:val="20"/>
              </w:rPr>
              <w:t>Circumstances of use (base case: ravulizumab maximum treatment duration of 2 years; placebo maximum treatment duration of 1 year; all other therapies maximum treatment duration of 2 years)</w:t>
            </w:r>
          </w:p>
        </w:tc>
      </w:tr>
      <w:tr w:rsidR="008E06DE" w:rsidRPr="008B3A69" w14:paraId="71F93142" w14:textId="77777777" w:rsidTr="00D4556B">
        <w:trPr>
          <w:trHeight w:val="113"/>
        </w:trPr>
        <w:tc>
          <w:tcPr>
            <w:tcW w:w="4678" w:type="dxa"/>
            <w:tcMar>
              <w:top w:w="0" w:type="dxa"/>
              <w:left w:w="108" w:type="dxa"/>
              <w:bottom w:w="0" w:type="dxa"/>
              <w:right w:w="108" w:type="dxa"/>
            </w:tcMar>
            <w:vAlign w:val="center"/>
          </w:tcPr>
          <w:p w14:paraId="5D7C3D3F" w14:textId="77777777" w:rsidR="008E06DE" w:rsidRPr="008B3A69" w:rsidRDefault="008E06DE" w:rsidP="007E70F7">
            <w:pPr>
              <w:pStyle w:val="Tabletext0"/>
              <w:keepNext/>
              <w:rPr>
                <w:szCs w:val="20"/>
              </w:rPr>
            </w:pPr>
            <w:r w:rsidRPr="008B3A69">
              <w:rPr>
                <w:szCs w:val="20"/>
              </w:rPr>
              <w:t xml:space="preserve">Ravulizumab maximum treatment duration 3 years </w:t>
            </w:r>
          </w:p>
        </w:tc>
        <w:tc>
          <w:tcPr>
            <w:tcW w:w="992" w:type="dxa"/>
            <w:tcMar>
              <w:top w:w="0" w:type="dxa"/>
              <w:left w:w="108" w:type="dxa"/>
              <w:bottom w:w="0" w:type="dxa"/>
              <w:right w:w="108" w:type="dxa"/>
            </w:tcMar>
            <w:vAlign w:val="center"/>
          </w:tcPr>
          <w:p w14:paraId="02468783" w14:textId="5A079887"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04"/>
                <w14:textFill>
                  <w14:solidFill>
                    <w14:srgbClr w14:val="000000">
                      <w14:alpha w14:val="100000"/>
                    </w14:srgbClr>
                  </w14:solidFill>
                </w14:textFill>
              </w:rPr>
              <w:t>||</w:t>
            </w:r>
            <w:r w:rsidR="00AA076A" w:rsidRPr="00AA076A">
              <w:rPr>
                <w:color w:val="000000"/>
                <w:spacing w:val="1"/>
                <w:szCs w:val="20"/>
                <w:shd w:val="solid" w:color="000000" w:fill="000000"/>
                <w:fitText w:val="210" w:id="-893118704"/>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66C95619" w14:textId="77777777" w:rsidR="008E06DE" w:rsidRPr="008B3A69" w:rsidRDefault="008E06DE" w:rsidP="007E70F7">
            <w:pPr>
              <w:pStyle w:val="Tabletext0"/>
              <w:keepNext/>
              <w:jc w:val="center"/>
              <w:rPr>
                <w:szCs w:val="20"/>
              </w:rPr>
            </w:pPr>
            <w:r w:rsidRPr="008B3A69">
              <w:rPr>
                <w:szCs w:val="20"/>
              </w:rPr>
              <w:t>1.0915</w:t>
            </w:r>
          </w:p>
        </w:tc>
        <w:tc>
          <w:tcPr>
            <w:tcW w:w="1140" w:type="dxa"/>
            <w:tcMar>
              <w:top w:w="0" w:type="dxa"/>
              <w:left w:w="108" w:type="dxa"/>
              <w:bottom w:w="0" w:type="dxa"/>
              <w:right w:w="108" w:type="dxa"/>
            </w:tcMar>
            <w:vAlign w:val="center"/>
          </w:tcPr>
          <w:p w14:paraId="54F8EF0D" w14:textId="226287DD"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20"/>
                <w14:textFill>
                  <w14:solidFill>
                    <w14:srgbClr w14:val="000000">
                      <w14:alpha w14:val="100000"/>
                    </w14:srgbClr>
                  </w14:solidFill>
                </w14:textFill>
              </w:rPr>
              <w:t>|</w:t>
            </w:r>
            <w:r w:rsidR="00AA076A" w:rsidRPr="00AA076A">
              <w:rPr>
                <w:color w:val="000000"/>
                <w:spacing w:val="1"/>
                <w:szCs w:val="20"/>
                <w:shd w:val="solid" w:color="000000" w:fill="000000"/>
                <w:fitText w:val="180" w:id="-893118720"/>
                <w14:textFill>
                  <w14:solidFill>
                    <w14:srgbClr w14:val="000000">
                      <w14:alpha w14:val="100000"/>
                    </w14:srgbClr>
                  </w14:solidFill>
                </w14:textFill>
              </w:rPr>
              <w:t>|</w:t>
            </w:r>
            <w:r w:rsidR="0072518A">
              <w:rPr>
                <w:b/>
                <w:bCs/>
                <w:szCs w:val="20"/>
                <w:vertAlign w:val="superscript"/>
              </w:rPr>
              <w:t xml:space="preserve"> 3</w:t>
            </w:r>
          </w:p>
        </w:tc>
        <w:tc>
          <w:tcPr>
            <w:tcW w:w="1368" w:type="dxa"/>
            <w:vAlign w:val="center"/>
          </w:tcPr>
          <w:p w14:paraId="6CF79AC4" w14:textId="1EA5FDCB"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4B0E5514" w14:textId="77777777" w:rsidTr="00D4556B">
        <w:trPr>
          <w:trHeight w:val="113"/>
        </w:trPr>
        <w:tc>
          <w:tcPr>
            <w:tcW w:w="4678" w:type="dxa"/>
            <w:tcMar>
              <w:top w:w="0" w:type="dxa"/>
              <w:left w:w="108" w:type="dxa"/>
              <w:bottom w:w="0" w:type="dxa"/>
              <w:right w:w="108" w:type="dxa"/>
            </w:tcMar>
            <w:vAlign w:val="center"/>
          </w:tcPr>
          <w:p w14:paraId="7B71A561" w14:textId="77777777" w:rsidR="008E06DE" w:rsidRPr="008B3A69" w:rsidRDefault="008E06DE" w:rsidP="007E70F7">
            <w:pPr>
              <w:pStyle w:val="Tabletext0"/>
              <w:keepNext/>
              <w:rPr>
                <w:szCs w:val="20"/>
              </w:rPr>
            </w:pPr>
            <w:r w:rsidRPr="008B3A69">
              <w:rPr>
                <w:szCs w:val="20"/>
              </w:rPr>
              <w:t>Ravulizumab maximum treatment duration 5 years</w:t>
            </w:r>
          </w:p>
        </w:tc>
        <w:tc>
          <w:tcPr>
            <w:tcW w:w="992" w:type="dxa"/>
            <w:tcMar>
              <w:top w:w="0" w:type="dxa"/>
              <w:left w:w="108" w:type="dxa"/>
              <w:bottom w:w="0" w:type="dxa"/>
              <w:right w:w="108" w:type="dxa"/>
            </w:tcMar>
            <w:vAlign w:val="center"/>
          </w:tcPr>
          <w:p w14:paraId="51E2665C" w14:textId="79AFB939"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9"/>
                <w14:textFill>
                  <w14:solidFill>
                    <w14:srgbClr w14:val="000000">
                      <w14:alpha w14:val="100000"/>
                    </w14:srgbClr>
                  </w14:solidFill>
                </w14:textFill>
              </w:rPr>
              <w:t>||</w:t>
            </w:r>
            <w:r w:rsidR="00AA076A" w:rsidRPr="00AA076A">
              <w:rPr>
                <w:color w:val="000000"/>
                <w:spacing w:val="1"/>
                <w:szCs w:val="20"/>
                <w:shd w:val="solid" w:color="000000" w:fill="000000"/>
                <w:fitText w:val="210" w:id="-893118719"/>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757DB574" w14:textId="77777777" w:rsidR="008E06DE" w:rsidRPr="008B3A69" w:rsidRDefault="008E06DE" w:rsidP="007E70F7">
            <w:pPr>
              <w:pStyle w:val="Tabletext0"/>
              <w:keepNext/>
              <w:jc w:val="center"/>
              <w:rPr>
                <w:szCs w:val="20"/>
              </w:rPr>
            </w:pPr>
            <w:r w:rsidRPr="008B3A69">
              <w:rPr>
                <w:szCs w:val="20"/>
              </w:rPr>
              <w:t>1.1982</w:t>
            </w:r>
          </w:p>
        </w:tc>
        <w:tc>
          <w:tcPr>
            <w:tcW w:w="1140" w:type="dxa"/>
            <w:tcMar>
              <w:top w:w="0" w:type="dxa"/>
              <w:left w:w="108" w:type="dxa"/>
              <w:bottom w:w="0" w:type="dxa"/>
              <w:right w:w="108" w:type="dxa"/>
            </w:tcMar>
            <w:vAlign w:val="center"/>
          </w:tcPr>
          <w:p w14:paraId="72A721C4" w14:textId="4CDAF5D1" w:rsidR="008E06DE" w:rsidRPr="008B3A69" w:rsidRDefault="008E06DE" w:rsidP="007E70F7">
            <w:pPr>
              <w:pStyle w:val="Tabletext0"/>
              <w:keepNext/>
              <w:jc w:val="center"/>
              <w:rPr>
                <w:szCs w:val="20"/>
              </w:rPr>
            </w:pPr>
            <w:r w:rsidRPr="008B3A69">
              <w:rPr>
                <w:szCs w:val="20"/>
              </w:rPr>
              <w:t>$</w:t>
            </w:r>
            <w:r w:rsidR="00AA076A" w:rsidRPr="00AA076A">
              <w:rPr>
                <w:color w:val="000000"/>
                <w:spacing w:val="84"/>
                <w:szCs w:val="20"/>
                <w:shd w:val="solid" w:color="000000" w:fill="000000"/>
                <w:fitText w:val="170" w:id="-893118718"/>
                <w14:textFill>
                  <w14:solidFill>
                    <w14:srgbClr w14:val="000000">
                      <w14:alpha w14:val="100000"/>
                    </w14:srgbClr>
                  </w14:solidFill>
                </w14:textFill>
              </w:rPr>
              <w:t>|</w:t>
            </w:r>
            <w:r w:rsidR="00AA076A" w:rsidRPr="00AA076A">
              <w:rPr>
                <w:color w:val="000000"/>
                <w:spacing w:val="1"/>
                <w:szCs w:val="20"/>
                <w:shd w:val="solid" w:color="000000" w:fill="000000"/>
                <w:fitText w:val="170" w:id="-893118718"/>
                <w14:textFill>
                  <w14:solidFill>
                    <w14:srgbClr w14:val="000000">
                      <w14:alpha w14:val="100000"/>
                    </w14:srgbClr>
                  </w14:solidFill>
                </w14:textFill>
              </w:rPr>
              <w:t>|</w:t>
            </w:r>
            <w:r w:rsidR="00B5341D">
              <w:rPr>
                <w:szCs w:val="20"/>
              </w:rPr>
              <w:t xml:space="preserve"> </w:t>
            </w:r>
            <w:r w:rsidR="00B5341D">
              <w:rPr>
                <w:b/>
                <w:bCs/>
                <w:szCs w:val="20"/>
                <w:vertAlign w:val="superscript"/>
              </w:rPr>
              <w:t>6</w:t>
            </w:r>
          </w:p>
        </w:tc>
        <w:tc>
          <w:tcPr>
            <w:tcW w:w="1368" w:type="dxa"/>
            <w:vAlign w:val="center"/>
          </w:tcPr>
          <w:p w14:paraId="10C75B82" w14:textId="344A4FD4"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1573CF38" w14:textId="77777777" w:rsidTr="00D4556B">
        <w:trPr>
          <w:trHeight w:val="113"/>
        </w:trPr>
        <w:tc>
          <w:tcPr>
            <w:tcW w:w="4678" w:type="dxa"/>
            <w:tcMar>
              <w:top w:w="0" w:type="dxa"/>
              <w:left w:w="108" w:type="dxa"/>
              <w:bottom w:w="0" w:type="dxa"/>
              <w:right w:w="108" w:type="dxa"/>
            </w:tcMar>
            <w:vAlign w:val="center"/>
          </w:tcPr>
          <w:p w14:paraId="7FE2CBB6" w14:textId="77777777" w:rsidR="008E06DE" w:rsidRPr="008B3A69" w:rsidRDefault="008E06DE" w:rsidP="007E70F7">
            <w:pPr>
              <w:pStyle w:val="Tabletext0"/>
              <w:keepNext/>
              <w:rPr>
                <w:szCs w:val="20"/>
              </w:rPr>
            </w:pPr>
            <w:r w:rsidRPr="008B3A69">
              <w:rPr>
                <w:szCs w:val="20"/>
              </w:rPr>
              <w:t>Ravulizumab maximum treatment duration 10 years</w:t>
            </w:r>
          </w:p>
        </w:tc>
        <w:tc>
          <w:tcPr>
            <w:tcW w:w="992" w:type="dxa"/>
            <w:tcMar>
              <w:top w:w="0" w:type="dxa"/>
              <w:left w:w="108" w:type="dxa"/>
              <w:bottom w:w="0" w:type="dxa"/>
              <w:right w:w="108" w:type="dxa"/>
            </w:tcMar>
            <w:vAlign w:val="center"/>
          </w:tcPr>
          <w:p w14:paraId="3AADF117" w14:textId="6C76B4A7"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7"/>
                <w14:textFill>
                  <w14:solidFill>
                    <w14:srgbClr w14:val="000000">
                      <w14:alpha w14:val="100000"/>
                    </w14:srgbClr>
                  </w14:solidFill>
                </w14:textFill>
              </w:rPr>
              <w:t>||</w:t>
            </w:r>
            <w:r w:rsidR="00AA076A" w:rsidRPr="00AA076A">
              <w:rPr>
                <w:color w:val="000000"/>
                <w:spacing w:val="1"/>
                <w:szCs w:val="20"/>
                <w:shd w:val="solid" w:color="000000" w:fill="000000"/>
                <w:fitText w:val="210" w:id="-893118717"/>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3E06CF74" w14:textId="77777777" w:rsidR="008E06DE" w:rsidRPr="008B3A69" w:rsidRDefault="008E06DE" w:rsidP="007E70F7">
            <w:pPr>
              <w:pStyle w:val="Tabletext0"/>
              <w:keepNext/>
              <w:jc w:val="center"/>
              <w:rPr>
                <w:szCs w:val="20"/>
              </w:rPr>
            </w:pPr>
            <w:r w:rsidRPr="008B3A69">
              <w:rPr>
                <w:szCs w:val="20"/>
              </w:rPr>
              <w:t>1.4012</w:t>
            </w:r>
          </w:p>
        </w:tc>
        <w:tc>
          <w:tcPr>
            <w:tcW w:w="1140" w:type="dxa"/>
            <w:tcMar>
              <w:top w:w="0" w:type="dxa"/>
              <w:left w:w="108" w:type="dxa"/>
              <w:bottom w:w="0" w:type="dxa"/>
              <w:right w:w="108" w:type="dxa"/>
            </w:tcMar>
            <w:vAlign w:val="center"/>
          </w:tcPr>
          <w:p w14:paraId="265175A6" w14:textId="1EDE21D9" w:rsidR="008E06DE" w:rsidRPr="008B3A69" w:rsidRDefault="008E06DE" w:rsidP="007E70F7">
            <w:pPr>
              <w:pStyle w:val="Tabletext0"/>
              <w:keepNext/>
              <w:jc w:val="center"/>
              <w:rPr>
                <w:szCs w:val="20"/>
              </w:rPr>
            </w:pPr>
            <w:r w:rsidRPr="008B3A69">
              <w:rPr>
                <w:szCs w:val="20"/>
              </w:rPr>
              <w:t>$</w:t>
            </w:r>
            <w:r w:rsidR="00AA076A" w:rsidRPr="00AA076A">
              <w:rPr>
                <w:color w:val="000000"/>
                <w:spacing w:val="84"/>
                <w:szCs w:val="20"/>
                <w:shd w:val="solid" w:color="000000" w:fill="000000"/>
                <w:fitText w:val="170" w:id="-893118716"/>
                <w14:textFill>
                  <w14:solidFill>
                    <w14:srgbClr w14:val="000000">
                      <w14:alpha w14:val="100000"/>
                    </w14:srgbClr>
                  </w14:solidFill>
                </w14:textFill>
              </w:rPr>
              <w:t>|</w:t>
            </w:r>
            <w:r w:rsidR="00AA076A" w:rsidRPr="00AA076A">
              <w:rPr>
                <w:color w:val="000000"/>
                <w:spacing w:val="1"/>
                <w:szCs w:val="20"/>
                <w:shd w:val="solid" w:color="000000" w:fill="000000"/>
                <w:fitText w:val="170" w:id="-893118716"/>
                <w14:textFill>
                  <w14:solidFill>
                    <w14:srgbClr w14:val="000000">
                      <w14:alpha w14:val="100000"/>
                    </w14:srgbClr>
                  </w14:solidFill>
                </w14:textFill>
              </w:rPr>
              <w:t>|</w:t>
            </w:r>
            <w:r w:rsidR="004071AA">
              <w:rPr>
                <w:szCs w:val="20"/>
              </w:rPr>
              <w:t xml:space="preserve"> </w:t>
            </w:r>
            <w:r w:rsidR="004071AA">
              <w:rPr>
                <w:b/>
                <w:bCs/>
                <w:szCs w:val="20"/>
                <w:vertAlign w:val="superscript"/>
              </w:rPr>
              <w:t>7</w:t>
            </w:r>
          </w:p>
        </w:tc>
        <w:tc>
          <w:tcPr>
            <w:tcW w:w="1368" w:type="dxa"/>
            <w:vAlign w:val="center"/>
          </w:tcPr>
          <w:p w14:paraId="1E1B3959" w14:textId="19C17905"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2F79FC07" w14:textId="77777777" w:rsidTr="00D4556B">
        <w:trPr>
          <w:trHeight w:val="113"/>
        </w:trPr>
        <w:tc>
          <w:tcPr>
            <w:tcW w:w="4678" w:type="dxa"/>
            <w:tcMar>
              <w:top w:w="0" w:type="dxa"/>
              <w:left w:w="108" w:type="dxa"/>
              <w:bottom w:w="0" w:type="dxa"/>
              <w:right w:w="108" w:type="dxa"/>
            </w:tcMar>
            <w:vAlign w:val="center"/>
          </w:tcPr>
          <w:p w14:paraId="16E1608D" w14:textId="77777777" w:rsidR="008E06DE" w:rsidRPr="008B3A69" w:rsidRDefault="008E06DE" w:rsidP="007E70F7">
            <w:pPr>
              <w:pStyle w:val="Tabletext0"/>
              <w:keepNext/>
              <w:rPr>
                <w:szCs w:val="20"/>
              </w:rPr>
            </w:pPr>
            <w:r w:rsidRPr="008B3A69">
              <w:rPr>
                <w:szCs w:val="20"/>
              </w:rPr>
              <w:t>Ravulizumab maximum treatment duration 15 years</w:t>
            </w:r>
          </w:p>
        </w:tc>
        <w:tc>
          <w:tcPr>
            <w:tcW w:w="992" w:type="dxa"/>
            <w:tcMar>
              <w:top w:w="0" w:type="dxa"/>
              <w:left w:w="108" w:type="dxa"/>
              <w:bottom w:w="0" w:type="dxa"/>
              <w:right w:w="108" w:type="dxa"/>
            </w:tcMar>
            <w:vAlign w:val="center"/>
          </w:tcPr>
          <w:p w14:paraId="5F41C674" w14:textId="4BE95D7C" w:rsidR="008E06DE" w:rsidRPr="008B3A69" w:rsidRDefault="008E06DE" w:rsidP="00D4556B">
            <w:pPr>
              <w:pStyle w:val="Tabletext0"/>
              <w:keepNext/>
              <w:ind w:right="-106"/>
              <w:jc w:val="center"/>
              <w:rPr>
                <w:szCs w:val="20"/>
              </w:rPr>
            </w:pPr>
            <w:r w:rsidRPr="008B3A69">
              <w:rPr>
                <w:szCs w:val="20"/>
              </w:rPr>
              <w:t>$</w:t>
            </w:r>
            <w:r w:rsidR="00AA076A" w:rsidRPr="00FE7FE7">
              <w:rPr>
                <w:rFonts w:hint="eastAsia"/>
                <w:color w:val="000000"/>
                <w:w w:val="33"/>
                <w:szCs w:val="20"/>
                <w:shd w:val="solid" w:color="000000" w:fill="000000"/>
                <w:fitText w:val="150" w:id="-893118715"/>
                <w14:textFill>
                  <w14:solidFill>
                    <w14:srgbClr w14:val="000000">
                      <w14:alpha w14:val="100000"/>
                    </w14:srgbClr>
                  </w14:solidFill>
                </w14:textFill>
              </w:rPr>
              <w:t xml:space="preserve">　</w:t>
            </w:r>
            <w:r w:rsidR="00AA076A" w:rsidRPr="00FE7FE7">
              <w:rPr>
                <w:color w:val="000000"/>
                <w:w w:val="33"/>
                <w:szCs w:val="20"/>
                <w:shd w:val="solid" w:color="000000" w:fill="000000"/>
                <w:fitText w:val="150" w:id="-893118715"/>
                <w14:textFill>
                  <w14:solidFill>
                    <w14:srgbClr w14:val="000000">
                      <w14:alpha w14:val="100000"/>
                    </w14:srgbClr>
                  </w14:solidFill>
                </w14:textFill>
              </w:rPr>
              <w:t>|</w:t>
            </w:r>
            <w:r w:rsidR="00AA076A" w:rsidRPr="00FE7FE7">
              <w:rPr>
                <w:rFonts w:hint="eastAsia"/>
                <w:color w:val="000000"/>
                <w:spacing w:val="4"/>
                <w:w w:val="33"/>
                <w:szCs w:val="20"/>
                <w:shd w:val="solid" w:color="000000" w:fill="000000"/>
                <w:fitText w:val="150" w:id="-893118715"/>
                <w14:textFill>
                  <w14:solidFill>
                    <w14:srgbClr w14:val="000000">
                      <w14:alpha w14:val="100000"/>
                    </w14:srgbClr>
                  </w14:solidFill>
                </w14:textFill>
              </w:rPr>
              <w:t xml:space="preserve">　</w:t>
            </w:r>
          </w:p>
        </w:tc>
        <w:tc>
          <w:tcPr>
            <w:tcW w:w="851" w:type="dxa"/>
            <w:tcMar>
              <w:top w:w="0" w:type="dxa"/>
              <w:left w:w="108" w:type="dxa"/>
              <w:bottom w:w="0" w:type="dxa"/>
              <w:right w:w="108" w:type="dxa"/>
            </w:tcMar>
            <w:vAlign w:val="center"/>
          </w:tcPr>
          <w:p w14:paraId="79674A0C" w14:textId="77777777" w:rsidR="008E06DE" w:rsidRPr="008B3A69" w:rsidRDefault="008E06DE" w:rsidP="007E70F7">
            <w:pPr>
              <w:pStyle w:val="Tabletext0"/>
              <w:keepNext/>
              <w:jc w:val="center"/>
              <w:rPr>
                <w:szCs w:val="20"/>
              </w:rPr>
            </w:pPr>
            <w:r w:rsidRPr="008B3A69">
              <w:rPr>
                <w:szCs w:val="20"/>
              </w:rPr>
              <w:t>1.5164</w:t>
            </w:r>
          </w:p>
        </w:tc>
        <w:tc>
          <w:tcPr>
            <w:tcW w:w="1140" w:type="dxa"/>
            <w:tcMar>
              <w:top w:w="0" w:type="dxa"/>
              <w:left w:w="108" w:type="dxa"/>
              <w:bottom w:w="0" w:type="dxa"/>
              <w:right w:w="108" w:type="dxa"/>
            </w:tcMar>
            <w:vAlign w:val="center"/>
          </w:tcPr>
          <w:p w14:paraId="0A909C82" w14:textId="0FB88302"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4"/>
                <w14:textFill>
                  <w14:solidFill>
                    <w14:srgbClr w14:val="000000">
                      <w14:alpha w14:val="100000"/>
                    </w14:srgbClr>
                  </w14:solidFill>
                </w14:textFill>
              </w:rPr>
              <w:t>|</w:t>
            </w:r>
            <w:r w:rsidR="00AA076A" w:rsidRPr="00AA076A">
              <w:rPr>
                <w:color w:val="000000"/>
                <w:spacing w:val="1"/>
                <w:szCs w:val="20"/>
                <w:shd w:val="solid" w:color="000000" w:fill="000000"/>
                <w:fitText w:val="180" w:id="-893118714"/>
                <w14:textFill>
                  <w14:solidFill>
                    <w14:srgbClr w14:val="000000">
                      <w14:alpha w14:val="100000"/>
                    </w14:srgbClr>
                  </w14:solidFill>
                </w14:textFill>
              </w:rPr>
              <w:t>|</w:t>
            </w:r>
            <w:r w:rsidR="004071AA" w:rsidRPr="004071AA">
              <w:rPr>
                <w:szCs w:val="20"/>
                <w:vertAlign w:val="superscript"/>
              </w:rPr>
              <w:t xml:space="preserve"> </w:t>
            </w:r>
            <w:r w:rsidR="004071AA" w:rsidRPr="004071AA">
              <w:rPr>
                <w:b/>
                <w:bCs/>
                <w:szCs w:val="20"/>
                <w:vertAlign w:val="superscript"/>
              </w:rPr>
              <w:t>8</w:t>
            </w:r>
          </w:p>
        </w:tc>
        <w:tc>
          <w:tcPr>
            <w:tcW w:w="1368" w:type="dxa"/>
            <w:vAlign w:val="center"/>
          </w:tcPr>
          <w:p w14:paraId="68D0DB4D" w14:textId="4FCFE551"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20365C8B" w14:textId="77777777" w:rsidTr="00D4556B">
        <w:trPr>
          <w:trHeight w:val="113"/>
        </w:trPr>
        <w:tc>
          <w:tcPr>
            <w:tcW w:w="4678" w:type="dxa"/>
            <w:tcMar>
              <w:top w:w="0" w:type="dxa"/>
              <w:left w:w="108" w:type="dxa"/>
              <w:bottom w:w="0" w:type="dxa"/>
              <w:right w:w="108" w:type="dxa"/>
            </w:tcMar>
            <w:vAlign w:val="center"/>
          </w:tcPr>
          <w:p w14:paraId="2B8F452F" w14:textId="77777777" w:rsidR="008E06DE" w:rsidRPr="008B3A69" w:rsidRDefault="008E06DE" w:rsidP="007E70F7">
            <w:pPr>
              <w:pStyle w:val="Tabletext0"/>
              <w:keepNext/>
              <w:rPr>
                <w:szCs w:val="20"/>
              </w:rPr>
            </w:pPr>
            <w:r w:rsidRPr="008B3A69">
              <w:rPr>
                <w:szCs w:val="20"/>
              </w:rPr>
              <w:t>Placebo maximum treatment duration 3 years</w:t>
            </w:r>
          </w:p>
        </w:tc>
        <w:tc>
          <w:tcPr>
            <w:tcW w:w="992" w:type="dxa"/>
            <w:tcMar>
              <w:top w:w="0" w:type="dxa"/>
              <w:left w:w="108" w:type="dxa"/>
              <w:bottom w:w="0" w:type="dxa"/>
              <w:right w:w="108" w:type="dxa"/>
            </w:tcMar>
            <w:vAlign w:val="center"/>
          </w:tcPr>
          <w:p w14:paraId="325DE462" w14:textId="080ACB49"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3"/>
                <w14:textFill>
                  <w14:solidFill>
                    <w14:srgbClr w14:val="000000">
                      <w14:alpha w14:val="100000"/>
                    </w14:srgbClr>
                  </w14:solidFill>
                </w14:textFill>
              </w:rPr>
              <w:t>||</w:t>
            </w:r>
            <w:r w:rsidR="00AA076A" w:rsidRPr="00AA076A">
              <w:rPr>
                <w:color w:val="000000"/>
                <w:spacing w:val="1"/>
                <w:szCs w:val="20"/>
                <w:shd w:val="solid" w:color="000000" w:fill="000000"/>
                <w:fitText w:val="210" w:id="-893118713"/>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570F41F1" w14:textId="77777777" w:rsidR="008E06DE" w:rsidRPr="008B3A69" w:rsidRDefault="008E06DE" w:rsidP="007E70F7">
            <w:pPr>
              <w:pStyle w:val="Tabletext0"/>
              <w:keepNext/>
              <w:jc w:val="center"/>
              <w:rPr>
                <w:szCs w:val="20"/>
              </w:rPr>
            </w:pPr>
            <w:r w:rsidRPr="008B3A69">
              <w:rPr>
                <w:szCs w:val="20"/>
              </w:rPr>
              <w:t>0.9737</w:t>
            </w:r>
          </w:p>
        </w:tc>
        <w:tc>
          <w:tcPr>
            <w:tcW w:w="1140" w:type="dxa"/>
            <w:tcMar>
              <w:top w:w="0" w:type="dxa"/>
              <w:left w:w="108" w:type="dxa"/>
              <w:bottom w:w="0" w:type="dxa"/>
              <w:right w:w="108" w:type="dxa"/>
            </w:tcMar>
            <w:vAlign w:val="center"/>
          </w:tcPr>
          <w:p w14:paraId="7F61992F" w14:textId="3D4BB10B"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2"/>
                <w14:textFill>
                  <w14:solidFill>
                    <w14:srgbClr w14:val="000000">
                      <w14:alpha w14:val="100000"/>
                    </w14:srgbClr>
                  </w14:solidFill>
                </w14:textFill>
              </w:rPr>
              <w:t>|</w:t>
            </w:r>
            <w:r w:rsidR="00AA076A" w:rsidRPr="00AA076A">
              <w:rPr>
                <w:color w:val="000000"/>
                <w:spacing w:val="1"/>
                <w:szCs w:val="20"/>
                <w:shd w:val="solid" w:color="000000" w:fill="000000"/>
                <w:fitText w:val="180" w:id="-893118712"/>
                <w14:textFill>
                  <w14:solidFill>
                    <w14:srgbClr w14:val="000000">
                      <w14:alpha w14:val="100000"/>
                    </w14:srgbClr>
                  </w14:solidFill>
                </w14:textFill>
              </w:rPr>
              <w:t>|</w:t>
            </w:r>
            <w:r w:rsidR="009F6C90">
              <w:rPr>
                <w:b/>
                <w:bCs/>
                <w:szCs w:val="20"/>
                <w:vertAlign w:val="superscript"/>
              </w:rPr>
              <w:t xml:space="preserve"> 1</w:t>
            </w:r>
          </w:p>
        </w:tc>
        <w:tc>
          <w:tcPr>
            <w:tcW w:w="1368" w:type="dxa"/>
            <w:vAlign w:val="center"/>
          </w:tcPr>
          <w:p w14:paraId="5E3E89B9" w14:textId="032C225F"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799E02EA" w14:textId="77777777" w:rsidTr="00D4556B">
        <w:trPr>
          <w:trHeight w:val="113"/>
        </w:trPr>
        <w:tc>
          <w:tcPr>
            <w:tcW w:w="4678" w:type="dxa"/>
            <w:tcMar>
              <w:top w:w="0" w:type="dxa"/>
              <w:left w:w="108" w:type="dxa"/>
              <w:bottom w:w="0" w:type="dxa"/>
              <w:right w:w="108" w:type="dxa"/>
            </w:tcMar>
            <w:vAlign w:val="center"/>
          </w:tcPr>
          <w:p w14:paraId="4D436198" w14:textId="77777777" w:rsidR="008E06DE" w:rsidRPr="008B3A69" w:rsidRDefault="008E06DE" w:rsidP="007E70F7">
            <w:pPr>
              <w:pStyle w:val="Tabletext0"/>
              <w:keepNext/>
              <w:rPr>
                <w:szCs w:val="20"/>
              </w:rPr>
            </w:pPr>
            <w:r w:rsidRPr="008B3A69">
              <w:rPr>
                <w:szCs w:val="20"/>
              </w:rPr>
              <w:t>Placebo maximum treatment duration 5 years</w:t>
            </w:r>
          </w:p>
        </w:tc>
        <w:tc>
          <w:tcPr>
            <w:tcW w:w="992" w:type="dxa"/>
            <w:tcMar>
              <w:top w:w="0" w:type="dxa"/>
              <w:left w:w="108" w:type="dxa"/>
              <w:bottom w:w="0" w:type="dxa"/>
              <w:right w:w="108" w:type="dxa"/>
            </w:tcMar>
            <w:vAlign w:val="center"/>
          </w:tcPr>
          <w:p w14:paraId="2D03D37F" w14:textId="14113D98"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1"/>
                <w14:textFill>
                  <w14:solidFill>
                    <w14:srgbClr w14:val="000000">
                      <w14:alpha w14:val="100000"/>
                    </w14:srgbClr>
                  </w14:solidFill>
                </w14:textFill>
              </w:rPr>
              <w:t>||</w:t>
            </w:r>
            <w:r w:rsidR="00AA076A" w:rsidRPr="00AA076A">
              <w:rPr>
                <w:color w:val="000000"/>
                <w:spacing w:val="1"/>
                <w:szCs w:val="20"/>
                <w:shd w:val="solid" w:color="000000" w:fill="000000"/>
                <w:fitText w:val="210" w:id="-893118711"/>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06D5695C" w14:textId="77777777" w:rsidR="008E06DE" w:rsidRPr="008B3A69" w:rsidRDefault="008E06DE" w:rsidP="007E70F7">
            <w:pPr>
              <w:pStyle w:val="Tabletext0"/>
              <w:keepNext/>
              <w:jc w:val="center"/>
              <w:rPr>
                <w:szCs w:val="20"/>
              </w:rPr>
            </w:pPr>
            <w:r w:rsidRPr="008B3A69">
              <w:rPr>
                <w:szCs w:val="20"/>
              </w:rPr>
              <w:t>0.9164</w:t>
            </w:r>
          </w:p>
        </w:tc>
        <w:tc>
          <w:tcPr>
            <w:tcW w:w="1140" w:type="dxa"/>
            <w:tcMar>
              <w:top w:w="0" w:type="dxa"/>
              <w:left w:w="108" w:type="dxa"/>
              <w:bottom w:w="0" w:type="dxa"/>
              <w:right w:w="108" w:type="dxa"/>
            </w:tcMar>
            <w:vAlign w:val="center"/>
          </w:tcPr>
          <w:p w14:paraId="4437A711" w14:textId="59048C9D"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0"/>
                <w14:textFill>
                  <w14:solidFill>
                    <w14:srgbClr w14:val="000000">
                      <w14:alpha w14:val="100000"/>
                    </w14:srgbClr>
                  </w14:solidFill>
                </w14:textFill>
              </w:rPr>
              <w:t>|</w:t>
            </w:r>
            <w:r w:rsidR="00AA076A" w:rsidRPr="00AA076A">
              <w:rPr>
                <w:color w:val="000000"/>
                <w:spacing w:val="1"/>
                <w:szCs w:val="20"/>
                <w:shd w:val="solid" w:color="000000" w:fill="000000"/>
                <w:fitText w:val="180" w:id="-893118710"/>
                <w14:textFill>
                  <w14:solidFill>
                    <w14:srgbClr w14:val="000000">
                      <w14:alpha w14:val="100000"/>
                    </w14:srgbClr>
                  </w14:solidFill>
                </w14:textFill>
              </w:rPr>
              <w:t>|</w:t>
            </w:r>
            <w:r w:rsidR="009F6C90">
              <w:rPr>
                <w:b/>
                <w:bCs/>
                <w:szCs w:val="20"/>
                <w:vertAlign w:val="superscript"/>
              </w:rPr>
              <w:t xml:space="preserve"> 1</w:t>
            </w:r>
          </w:p>
        </w:tc>
        <w:tc>
          <w:tcPr>
            <w:tcW w:w="1368" w:type="dxa"/>
            <w:vAlign w:val="center"/>
          </w:tcPr>
          <w:p w14:paraId="26111D4E" w14:textId="1EE41B5E"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00426D7F" w14:textId="77777777" w:rsidTr="00D4556B">
        <w:trPr>
          <w:trHeight w:val="113"/>
        </w:trPr>
        <w:tc>
          <w:tcPr>
            <w:tcW w:w="4678" w:type="dxa"/>
            <w:tcMar>
              <w:top w:w="0" w:type="dxa"/>
              <w:left w:w="108" w:type="dxa"/>
              <w:bottom w:w="0" w:type="dxa"/>
              <w:right w:w="108" w:type="dxa"/>
            </w:tcMar>
            <w:vAlign w:val="center"/>
          </w:tcPr>
          <w:p w14:paraId="3DE2B315" w14:textId="77777777" w:rsidR="008E06DE" w:rsidRPr="008B3A69" w:rsidRDefault="008E06DE" w:rsidP="007E70F7">
            <w:pPr>
              <w:pStyle w:val="Tabletext0"/>
              <w:keepNext/>
              <w:rPr>
                <w:szCs w:val="20"/>
              </w:rPr>
            </w:pPr>
            <w:r w:rsidRPr="008B3A69">
              <w:rPr>
                <w:szCs w:val="20"/>
              </w:rPr>
              <w:t>Placebo maximum treatment duration 10 years</w:t>
            </w:r>
          </w:p>
        </w:tc>
        <w:tc>
          <w:tcPr>
            <w:tcW w:w="992" w:type="dxa"/>
            <w:tcMar>
              <w:top w:w="0" w:type="dxa"/>
              <w:left w:w="108" w:type="dxa"/>
              <w:bottom w:w="0" w:type="dxa"/>
              <w:right w:w="108" w:type="dxa"/>
            </w:tcMar>
            <w:vAlign w:val="center"/>
          </w:tcPr>
          <w:p w14:paraId="3CFD1202" w14:textId="7522E3C5"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09"/>
                <w14:textFill>
                  <w14:solidFill>
                    <w14:srgbClr w14:val="000000">
                      <w14:alpha w14:val="100000"/>
                    </w14:srgbClr>
                  </w14:solidFill>
                </w14:textFill>
              </w:rPr>
              <w:t>||</w:t>
            </w:r>
            <w:r w:rsidR="00AA076A" w:rsidRPr="00AA076A">
              <w:rPr>
                <w:color w:val="000000"/>
                <w:spacing w:val="1"/>
                <w:szCs w:val="20"/>
                <w:shd w:val="solid" w:color="000000" w:fill="000000"/>
                <w:fitText w:val="210" w:id="-893118709"/>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53A8A759" w14:textId="77777777" w:rsidR="008E06DE" w:rsidRPr="008B3A69" w:rsidRDefault="008E06DE" w:rsidP="007E70F7">
            <w:pPr>
              <w:pStyle w:val="Tabletext0"/>
              <w:keepNext/>
              <w:jc w:val="center"/>
              <w:rPr>
                <w:szCs w:val="20"/>
              </w:rPr>
            </w:pPr>
            <w:r w:rsidRPr="008B3A69">
              <w:rPr>
                <w:szCs w:val="20"/>
              </w:rPr>
              <w:t>0.7835</w:t>
            </w:r>
          </w:p>
        </w:tc>
        <w:tc>
          <w:tcPr>
            <w:tcW w:w="1140" w:type="dxa"/>
            <w:tcMar>
              <w:top w:w="0" w:type="dxa"/>
              <w:left w:w="108" w:type="dxa"/>
              <w:bottom w:w="0" w:type="dxa"/>
              <w:right w:w="108" w:type="dxa"/>
            </w:tcMar>
            <w:vAlign w:val="center"/>
          </w:tcPr>
          <w:p w14:paraId="0828EC42" w14:textId="0AED3D85"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08"/>
                <w14:textFill>
                  <w14:solidFill>
                    <w14:srgbClr w14:val="000000">
                      <w14:alpha w14:val="100000"/>
                    </w14:srgbClr>
                  </w14:solidFill>
                </w14:textFill>
              </w:rPr>
              <w:t>|</w:t>
            </w:r>
            <w:r w:rsidR="00AA076A" w:rsidRPr="00AA076A">
              <w:rPr>
                <w:color w:val="000000"/>
                <w:spacing w:val="1"/>
                <w:szCs w:val="20"/>
                <w:shd w:val="solid" w:color="000000" w:fill="000000"/>
                <w:fitText w:val="180" w:id="-893118708"/>
                <w14:textFill>
                  <w14:solidFill>
                    <w14:srgbClr w14:val="000000">
                      <w14:alpha w14:val="100000"/>
                    </w14:srgbClr>
                  </w14:solidFill>
                </w14:textFill>
              </w:rPr>
              <w:t>|</w:t>
            </w:r>
            <w:r w:rsidR="0072518A">
              <w:rPr>
                <w:b/>
                <w:bCs/>
                <w:szCs w:val="20"/>
                <w:vertAlign w:val="superscript"/>
              </w:rPr>
              <w:t xml:space="preserve"> 3</w:t>
            </w:r>
          </w:p>
        </w:tc>
        <w:tc>
          <w:tcPr>
            <w:tcW w:w="1368" w:type="dxa"/>
            <w:vAlign w:val="center"/>
          </w:tcPr>
          <w:p w14:paraId="24FC5B2C" w14:textId="1DFCBDB2"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35AD125B" w14:textId="77777777" w:rsidTr="00D4556B">
        <w:trPr>
          <w:trHeight w:val="113"/>
        </w:trPr>
        <w:tc>
          <w:tcPr>
            <w:tcW w:w="4678" w:type="dxa"/>
            <w:tcMar>
              <w:top w:w="0" w:type="dxa"/>
              <w:left w:w="108" w:type="dxa"/>
              <w:bottom w:w="0" w:type="dxa"/>
              <w:right w:w="108" w:type="dxa"/>
            </w:tcMar>
            <w:vAlign w:val="center"/>
          </w:tcPr>
          <w:p w14:paraId="0F6F51B2" w14:textId="77777777" w:rsidR="008E06DE" w:rsidRPr="008B3A69" w:rsidRDefault="008E06DE" w:rsidP="007E70F7">
            <w:pPr>
              <w:pStyle w:val="Tabletext0"/>
              <w:keepNext/>
              <w:rPr>
                <w:szCs w:val="20"/>
              </w:rPr>
            </w:pPr>
            <w:r w:rsidRPr="008B3A69">
              <w:rPr>
                <w:szCs w:val="20"/>
              </w:rPr>
              <w:t>Placebo maximum treatment duration 15 years</w:t>
            </w:r>
          </w:p>
        </w:tc>
        <w:tc>
          <w:tcPr>
            <w:tcW w:w="992" w:type="dxa"/>
            <w:tcMar>
              <w:top w:w="0" w:type="dxa"/>
              <w:left w:w="108" w:type="dxa"/>
              <w:bottom w:w="0" w:type="dxa"/>
              <w:right w:w="108" w:type="dxa"/>
            </w:tcMar>
            <w:vAlign w:val="center"/>
          </w:tcPr>
          <w:p w14:paraId="3C9DC1C1" w14:textId="54E4E836"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07"/>
                <w14:textFill>
                  <w14:solidFill>
                    <w14:srgbClr w14:val="000000">
                      <w14:alpha w14:val="100000"/>
                    </w14:srgbClr>
                  </w14:solidFill>
                </w14:textFill>
              </w:rPr>
              <w:t>||</w:t>
            </w:r>
            <w:r w:rsidR="00AA076A" w:rsidRPr="00AA076A">
              <w:rPr>
                <w:color w:val="000000"/>
                <w:spacing w:val="1"/>
                <w:szCs w:val="20"/>
                <w:shd w:val="solid" w:color="000000" w:fill="000000"/>
                <w:fitText w:val="210" w:id="-893118707"/>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0B1ED1C7" w14:textId="77777777" w:rsidR="008E06DE" w:rsidRPr="008B3A69" w:rsidRDefault="008E06DE" w:rsidP="007E70F7">
            <w:pPr>
              <w:pStyle w:val="Tabletext0"/>
              <w:keepNext/>
              <w:jc w:val="center"/>
              <w:rPr>
                <w:szCs w:val="20"/>
              </w:rPr>
            </w:pPr>
            <w:r w:rsidRPr="008B3A69">
              <w:rPr>
                <w:szCs w:val="20"/>
              </w:rPr>
              <w:t>0.6664</w:t>
            </w:r>
          </w:p>
        </w:tc>
        <w:tc>
          <w:tcPr>
            <w:tcW w:w="1140" w:type="dxa"/>
            <w:tcMar>
              <w:top w:w="0" w:type="dxa"/>
              <w:left w:w="108" w:type="dxa"/>
              <w:bottom w:w="0" w:type="dxa"/>
              <w:right w:w="108" w:type="dxa"/>
            </w:tcMar>
            <w:vAlign w:val="center"/>
          </w:tcPr>
          <w:p w14:paraId="386281FB" w14:textId="1223427F" w:rsidR="008E06DE" w:rsidRPr="008B3A69" w:rsidRDefault="008E06DE" w:rsidP="007E70F7">
            <w:pPr>
              <w:pStyle w:val="Tabletext0"/>
              <w:keepNext/>
              <w:jc w:val="center"/>
              <w:rPr>
                <w:szCs w:val="20"/>
              </w:rPr>
            </w:pPr>
            <w:r w:rsidRPr="008B3A69">
              <w:rPr>
                <w:szCs w:val="20"/>
              </w:rPr>
              <w:t>$</w:t>
            </w:r>
            <w:r w:rsidR="00AA076A" w:rsidRPr="00AA076A">
              <w:rPr>
                <w:color w:val="000000"/>
                <w:spacing w:val="84"/>
                <w:szCs w:val="20"/>
                <w:shd w:val="solid" w:color="000000" w:fill="000000"/>
                <w:fitText w:val="170" w:id="-893118706"/>
                <w14:textFill>
                  <w14:solidFill>
                    <w14:srgbClr w14:val="000000">
                      <w14:alpha w14:val="100000"/>
                    </w14:srgbClr>
                  </w14:solidFill>
                </w14:textFill>
              </w:rPr>
              <w:t>|</w:t>
            </w:r>
            <w:r w:rsidR="00AA076A" w:rsidRPr="00AA076A">
              <w:rPr>
                <w:color w:val="000000"/>
                <w:spacing w:val="1"/>
                <w:szCs w:val="20"/>
                <w:shd w:val="solid" w:color="000000" w:fill="000000"/>
                <w:fitText w:val="170" w:id="-893118706"/>
                <w14:textFill>
                  <w14:solidFill>
                    <w14:srgbClr w14:val="000000">
                      <w14:alpha w14:val="100000"/>
                    </w14:srgbClr>
                  </w14:solidFill>
                </w14:textFill>
              </w:rPr>
              <w:t>|</w:t>
            </w:r>
            <w:r w:rsidR="00B5341D">
              <w:rPr>
                <w:szCs w:val="20"/>
              </w:rPr>
              <w:t xml:space="preserve"> </w:t>
            </w:r>
            <w:r w:rsidR="00B5341D">
              <w:rPr>
                <w:b/>
                <w:bCs/>
                <w:szCs w:val="20"/>
                <w:vertAlign w:val="superscript"/>
              </w:rPr>
              <w:t>6</w:t>
            </w:r>
          </w:p>
        </w:tc>
        <w:tc>
          <w:tcPr>
            <w:tcW w:w="1368" w:type="dxa"/>
            <w:vAlign w:val="center"/>
          </w:tcPr>
          <w:p w14:paraId="362146FC" w14:textId="6EEB8B39"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7C389B1C" w14:textId="77777777" w:rsidTr="00D4556B">
        <w:trPr>
          <w:trHeight w:val="113"/>
        </w:trPr>
        <w:tc>
          <w:tcPr>
            <w:tcW w:w="9029" w:type="dxa"/>
            <w:gridSpan w:val="5"/>
            <w:tcMar>
              <w:top w:w="0" w:type="dxa"/>
              <w:left w:w="108" w:type="dxa"/>
              <w:bottom w:w="0" w:type="dxa"/>
              <w:right w:w="108" w:type="dxa"/>
            </w:tcMar>
            <w:vAlign w:val="center"/>
          </w:tcPr>
          <w:p w14:paraId="1D34589F" w14:textId="77777777" w:rsidR="008E06DE" w:rsidRPr="008B3A69" w:rsidRDefault="008E06DE" w:rsidP="007E70F7">
            <w:pPr>
              <w:pStyle w:val="Tabletext0"/>
              <w:keepNext/>
              <w:rPr>
                <w:b/>
                <w:bCs/>
                <w:szCs w:val="20"/>
              </w:rPr>
            </w:pPr>
            <w:r w:rsidRPr="008B3A69">
              <w:rPr>
                <w:b/>
                <w:bCs/>
                <w:szCs w:val="20"/>
              </w:rPr>
              <w:t>Duration of remission (base case: linear function assuming all ravulizumab patients with remission at 2 years have relapsed by 15 years)</w:t>
            </w:r>
          </w:p>
        </w:tc>
      </w:tr>
      <w:tr w:rsidR="008E06DE" w:rsidRPr="008B3A69" w14:paraId="2F62A10E" w14:textId="77777777" w:rsidTr="00D4556B">
        <w:trPr>
          <w:trHeight w:val="113"/>
        </w:trPr>
        <w:tc>
          <w:tcPr>
            <w:tcW w:w="4678" w:type="dxa"/>
            <w:tcMar>
              <w:top w:w="0" w:type="dxa"/>
              <w:left w:w="108" w:type="dxa"/>
              <w:bottom w:w="0" w:type="dxa"/>
              <w:right w:w="108" w:type="dxa"/>
            </w:tcMar>
            <w:vAlign w:val="center"/>
          </w:tcPr>
          <w:p w14:paraId="22A368BA" w14:textId="77777777" w:rsidR="008E06DE" w:rsidRPr="008B3A69" w:rsidRDefault="008E06DE" w:rsidP="007E70F7">
            <w:pPr>
              <w:pStyle w:val="Tabletext0"/>
              <w:keepNext/>
              <w:rPr>
                <w:szCs w:val="20"/>
              </w:rPr>
            </w:pPr>
            <w:r w:rsidRPr="008B3A69">
              <w:rPr>
                <w:szCs w:val="20"/>
              </w:rPr>
              <w:t>Linear function assuming all ravulizumab patients with remission at 2 years have relapsed by 11.5 years</w:t>
            </w:r>
          </w:p>
        </w:tc>
        <w:tc>
          <w:tcPr>
            <w:tcW w:w="992" w:type="dxa"/>
            <w:tcMar>
              <w:top w:w="0" w:type="dxa"/>
              <w:left w:w="108" w:type="dxa"/>
              <w:bottom w:w="0" w:type="dxa"/>
              <w:right w:w="108" w:type="dxa"/>
            </w:tcMar>
            <w:vAlign w:val="center"/>
          </w:tcPr>
          <w:p w14:paraId="71F55C3E" w14:textId="36138993"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05"/>
                <w14:textFill>
                  <w14:solidFill>
                    <w14:srgbClr w14:val="000000">
                      <w14:alpha w14:val="100000"/>
                    </w14:srgbClr>
                  </w14:solidFill>
                </w14:textFill>
              </w:rPr>
              <w:t>||</w:t>
            </w:r>
            <w:r w:rsidR="00AA076A" w:rsidRPr="00AA076A">
              <w:rPr>
                <w:color w:val="000000"/>
                <w:spacing w:val="1"/>
                <w:szCs w:val="20"/>
                <w:shd w:val="solid" w:color="000000" w:fill="000000"/>
                <w:fitText w:val="210" w:id="-893118705"/>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6CE0AAF6" w14:textId="77777777" w:rsidR="008E06DE" w:rsidRPr="008B3A69" w:rsidRDefault="008E06DE" w:rsidP="007E70F7">
            <w:pPr>
              <w:pStyle w:val="Tabletext0"/>
              <w:keepNext/>
              <w:jc w:val="center"/>
              <w:rPr>
                <w:szCs w:val="20"/>
              </w:rPr>
            </w:pPr>
            <w:r w:rsidRPr="008B3A69">
              <w:rPr>
                <w:szCs w:val="20"/>
              </w:rPr>
              <w:t>0.9049</w:t>
            </w:r>
          </w:p>
        </w:tc>
        <w:tc>
          <w:tcPr>
            <w:tcW w:w="1140" w:type="dxa"/>
            <w:tcMar>
              <w:top w:w="0" w:type="dxa"/>
              <w:left w:w="108" w:type="dxa"/>
              <w:bottom w:w="0" w:type="dxa"/>
              <w:right w:w="108" w:type="dxa"/>
            </w:tcMar>
            <w:vAlign w:val="center"/>
          </w:tcPr>
          <w:p w14:paraId="020B83B3" w14:textId="163759B7"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04"/>
                <w14:textFill>
                  <w14:solidFill>
                    <w14:srgbClr w14:val="000000">
                      <w14:alpha w14:val="100000"/>
                    </w14:srgbClr>
                  </w14:solidFill>
                </w14:textFill>
              </w:rPr>
              <w:t>|</w:t>
            </w:r>
            <w:r w:rsidR="00AA076A" w:rsidRPr="00AA076A">
              <w:rPr>
                <w:color w:val="000000"/>
                <w:spacing w:val="1"/>
                <w:szCs w:val="20"/>
                <w:shd w:val="solid" w:color="000000" w:fill="000000"/>
                <w:fitText w:val="180" w:id="-893118704"/>
                <w14:textFill>
                  <w14:solidFill>
                    <w14:srgbClr w14:val="000000">
                      <w14:alpha w14:val="100000"/>
                    </w14:srgbClr>
                  </w14:solidFill>
                </w14:textFill>
              </w:rPr>
              <w:t>|</w:t>
            </w:r>
            <w:r w:rsidR="009F6C90">
              <w:rPr>
                <w:b/>
                <w:bCs/>
                <w:szCs w:val="20"/>
                <w:vertAlign w:val="superscript"/>
              </w:rPr>
              <w:t xml:space="preserve"> 1</w:t>
            </w:r>
          </w:p>
        </w:tc>
        <w:tc>
          <w:tcPr>
            <w:tcW w:w="1368" w:type="dxa"/>
            <w:vAlign w:val="center"/>
          </w:tcPr>
          <w:p w14:paraId="0EC825E6" w14:textId="6E788DBF"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67BF9BEE" w14:textId="77777777" w:rsidTr="00D4556B">
        <w:trPr>
          <w:trHeight w:val="113"/>
        </w:trPr>
        <w:tc>
          <w:tcPr>
            <w:tcW w:w="4678" w:type="dxa"/>
            <w:tcMar>
              <w:top w:w="0" w:type="dxa"/>
              <w:left w:w="108" w:type="dxa"/>
              <w:bottom w:w="0" w:type="dxa"/>
              <w:right w:w="108" w:type="dxa"/>
            </w:tcMar>
            <w:vAlign w:val="center"/>
          </w:tcPr>
          <w:p w14:paraId="75C95EEA" w14:textId="77777777" w:rsidR="008E06DE" w:rsidRPr="008B3A69" w:rsidRDefault="008E06DE" w:rsidP="007E70F7">
            <w:pPr>
              <w:pStyle w:val="Tabletext0"/>
              <w:keepNext/>
              <w:rPr>
                <w:szCs w:val="20"/>
              </w:rPr>
            </w:pPr>
            <w:r w:rsidRPr="008B3A69">
              <w:rPr>
                <w:szCs w:val="20"/>
              </w:rPr>
              <w:t>Linear function assuming all ravulizumab patients with remission at 2 years have relapsed by 9 years</w:t>
            </w:r>
          </w:p>
        </w:tc>
        <w:tc>
          <w:tcPr>
            <w:tcW w:w="992" w:type="dxa"/>
            <w:tcMar>
              <w:top w:w="0" w:type="dxa"/>
              <w:left w:w="108" w:type="dxa"/>
              <w:bottom w:w="0" w:type="dxa"/>
              <w:right w:w="108" w:type="dxa"/>
            </w:tcMar>
            <w:vAlign w:val="center"/>
          </w:tcPr>
          <w:p w14:paraId="494B2620" w14:textId="37AAA86D"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20"/>
                <w14:textFill>
                  <w14:solidFill>
                    <w14:srgbClr w14:val="000000">
                      <w14:alpha w14:val="100000"/>
                    </w14:srgbClr>
                  </w14:solidFill>
                </w14:textFill>
              </w:rPr>
              <w:t>||</w:t>
            </w:r>
            <w:r w:rsidR="00AA076A" w:rsidRPr="00AA076A">
              <w:rPr>
                <w:color w:val="000000"/>
                <w:spacing w:val="1"/>
                <w:szCs w:val="20"/>
                <w:shd w:val="solid" w:color="000000" w:fill="000000"/>
                <w:fitText w:val="210" w:id="-893118720"/>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630281D9" w14:textId="77777777" w:rsidR="008E06DE" w:rsidRPr="008B3A69" w:rsidRDefault="008E06DE" w:rsidP="007E70F7">
            <w:pPr>
              <w:pStyle w:val="Tabletext0"/>
              <w:keepNext/>
              <w:jc w:val="center"/>
              <w:rPr>
                <w:szCs w:val="20"/>
              </w:rPr>
            </w:pPr>
            <w:r w:rsidRPr="008B3A69">
              <w:rPr>
                <w:szCs w:val="20"/>
              </w:rPr>
              <w:t>0.7935</w:t>
            </w:r>
          </w:p>
        </w:tc>
        <w:tc>
          <w:tcPr>
            <w:tcW w:w="1140" w:type="dxa"/>
            <w:tcMar>
              <w:top w:w="0" w:type="dxa"/>
              <w:left w:w="108" w:type="dxa"/>
              <w:bottom w:w="0" w:type="dxa"/>
              <w:right w:w="108" w:type="dxa"/>
            </w:tcMar>
            <w:vAlign w:val="center"/>
          </w:tcPr>
          <w:p w14:paraId="723C5512" w14:textId="7A9DF405"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9"/>
                <w14:textFill>
                  <w14:solidFill>
                    <w14:srgbClr w14:val="000000">
                      <w14:alpha w14:val="100000"/>
                    </w14:srgbClr>
                  </w14:solidFill>
                </w14:textFill>
              </w:rPr>
              <w:t>|</w:t>
            </w:r>
            <w:r w:rsidR="00AA076A" w:rsidRPr="00AA076A">
              <w:rPr>
                <w:color w:val="000000"/>
                <w:spacing w:val="1"/>
                <w:szCs w:val="20"/>
                <w:shd w:val="solid" w:color="000000" w:fill="000000"/>
                <w:fitText w:val="180" w:id="-893118719"/>
                <w14:textFill>
                  <w14:solidFill>
                    <w14:srgbClr w14:val="000000">
                      <w14:alpha w14:val="100000"/>
                    </w14:srgbClr>
                  </w14:solidFill>
                </w14:textFill>
              </w:rPr>
              <w:t>|</w:t>
            </w:r>
            <w:r w:rsidR="0072518A">
              <w:rPr>
                <w:b/>
                <w:bCs/>
                <w:szCs w:val="20"/>
                <w:vertAlign w:val="superscript"/>
              </w:rPr>
              <w:t xml:space="preserve"> 3</w:t>
            </w:r>
          </w:p>
        </w:tc>
        <w:tc>
          <w:tcPr>
            <w:tcW w:w="1368" w:type="dxa"/>
            <w:vAlign w:val="center"/>
          </w:tcPr>
          <w:p w14:paraId="0F987B51" w14:textId="64C2F78B"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692D5915" w14:textId="77777777" w:rsidTr="00D4556B">
        <w:trPr>
          <w:trHeight w:val="113"/>
        </w:trPr>
        <w:tc>
          <w:tcPr>
            <w:tcW w:w="4678" w:type="dxa"/>
            <w:tcMar>
              <w:top w:w="0" w:type="dxa"/>
              <w:left w:w="108" w:type="dxa"/>
              <w:bottom w:w="0" w:type="dxa"/>
              <w:right w:w="108" w:type="dxa"/>
            </w:tcMar>
            <w:vAlign w:val="center"/>
          </w:tcPr>
          <w:p w14:paraId="3CCDDA92" w14:textId="77777777" w:rsidR="008E06DE" w:rsidRPr="008B3A69" w:rsidRDefault="008E06DE" w:rsidP="007E70F7">
            <w:pPr>
              <w:pStyle w:val="Tabletext0"/>
              <w:keepNext/>
              <w:rPr>
                <w:szCs w:val="20"/>
              </w:rPr>
            </w:pPr>
            <w:r w:rsidRPr="008B3A69">
              <w:rPr>
                <w:szCs w:val="20"/>
              </w:rPr>
              <w:t>Linear function assuming all ravulizumab patients with remission at 2 years have relapsed by 6 years</w:t>
            </w:r>
          </w:p>
        </w:tc>
        <w:tc>
          <w:tcPr>
            <w:tcW w:w="992" w:type="dxa"/>
            <w:tcMar>
              <w:top w:w="0" w:type="dxa"/>
              <w:left w:w="108" w:type="dxa"/>
              <w:bottom w:w="0" w:type="dxa"/>
              <w:right w:w="108" w:type="dxa"/>
            </w:tcMar>
            <w:vAlign w:val="center"/>
          </w:tcPr>
          <w:p w14:paraId="4046D61A" w14:textId="2CFFDACB"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8"/>
                <w14:textFill>
                  <w14:solidFill>
                    <w14:srgbClr w14:val="000000">
                      <w14:alpha w14:val="100000"/>
                    </w14:srgbClr>
                  </w14:solidFill>
                </w14:textFill>
              </w:rPr>
              <w:t>||</w:t>
            </w:r>
            <w:r w:rsidR="00AA076A" w:rsidRPr="00AA076A">
              <w:rPr>
                <w:color w:val="000000"/>
                <w:spacing w:val="1"/>
                <w:szCs w:val="20"/>
                <w:shd w:val="solid" w:color="000000" w:fill="000000"/>
                <w:fitText w:val="210" w:id="-893118718"/>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78906CB9" w14:textId="77777777" w:rsidR="008E06DE" w:rsidRPr="008B3A69" w:rsidRDefault="008E06DE" w:rsidP="007E70F7">
            <w:pPr>
              <w:pStyle w:val="Tabletext0"/>
              <w:keepNext/>
              <w:jc w:val="center"/>
              <w:rPr>
                <w:szCs w:val="20"/>
              </w:rPr>
            </w:pPr>
            <w:r w:rsidRPr="008B3A69">
              <w:rPr>
                <w:szCs w:val="20"/>
              </w:rPr>
              <w:t>0.6348</w:t>
            </w:r>
          </w:p>
        </w:tc>
        <w:tc>
          <w:tcPr>
            <w:tcW w:w="1140" w:type="dxa"/>
            <w:tcMar>
              <w:top w:w="0" w:type="dxa"/>
              <w:left w:w="108" w:type="dxa"/>
              <w:bottom w:w="0" w:type="dxa"/>
              <w:right w:w="108" w:type="dxa"/>
            </w:tcMar>
            <w:vAlign w:val="center"/>
          </w:tcPr>
          <w:p w14:paraId="57A7E7C5" w14:textId="6613945C" w:rsidR="008E06DE" w:rsidRPr="008B3A69" w:rsidRDefault="008E06DE" w:rsidP="007E70F7">
            <w:pPr>
              <w:pStyle w:val="Tabletext0"/>
              <w:keepNext/>
              <w:jc w:val="center"/>
              <w:rPr>
                <w:szCs w:val="20"/>
              </w:rPr>
            </w:pPr>
            <w:r w:rsidRPr="008B3A69">
              <w:rPr>
                <w:szCs w:val="20"/>
              </w:rPr>
              <w:t>$</w:t>
            </w:r>
            <w:r w:rsidR="00AA076A" w:rsidRPr="00AA076A">
              <w:rPr>
                <w:color w:val="000000"/>
                <w:spacing w:val="84"/>
                <w:szCs w:val="20"/>
                <w:shd w:val="solid" w:color="000000" w:fill="000000"/>
                <w:fitText w:val="170" w:id="-893118717"/>
                <w14:textFill>
                  <w14:solidFill>
                    <w14:srgbClr w14:val="000000">
                      <w14:alpha w14:val="100000"/>
                    </w14:srgbClr>
                  </w14:solidFill>
                </w14:textFill>
              </w:rPr>
              <w:t>|</w:t>
            </w:r>
            <w:r w:rsidR="00AA076A" w:rsidRPr="00AA076A">
              <w:rPr>
                <w:color w:val="000000"/>
                <w:spacing w:val="1"/>
                <w:szCs w:val="20"/>
                <w:shd w:val="solid" w:color="000000" w:fill="000000"/>
                <w:fitText w:val="170" w:id="-893118717"/>
                <w14:textFill>
                  <w14:solidFill>
                    <w14:srgbClr w14:val="000000">
                      <w14:alpha w14:val="100000"/>
                    </w14:srgbClr>
                  </w14:solidFill>
                </w14:textFill>
              </w:rPr>
              <w:t>|</w:t>
            </w:r>
            <w:r w:rsidR="00B5341D">
              <w:rPr>
                <w:szCs w:val="20"/>
              </w:rPr>
              <w:t xml:space="preserve"> </w:t>
            </w:r>
            <w:r w:rsidR="00B5341D">
              <w:rPr>
                <w:b/>
                <w:bCs/>
                <w:szCs w:val="20"/>
                <w:vertAlign w:val="superscript"/>
              </w:rPr>
              <w:t>6</w:t>
            </w:r>
          </w:p>
        </w:tc>
        <w:tc>
          <w:tcPr>
            <w:tcW w:w="1368" w:type="dxa"/>
            <w:vAlign w:val="center"/>
          </w:tcPr>
          <w:p w14:paraId="5F73666D" w14:textId="519621E3"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4742012D" w14:textId="77777777" w:rsidTr="00D4556B">
        <w:trPr>
          <w:trHeight w:val="113"/>
        </w:trPr>
        <w:tc>
          <w:tcPr>
            <w:tcW w:w="4678" w:type="dxa"/>
            <w:tcMar>
              <w:top w:w="0" w:type="dxa"/>
              <w:left w:w="108" w:type="dxa"/>
              <w:bottom w:w="0" w:type="dxa"/>
              <w:right w:w="108" w:type="dxa"/>
            </w:tcMar>
            <w:vAlign w:val="center"/>
          </w:tcPr>
          <w:p w14:paraId="0BBF73A4" w14:textId="77777777" w:rsidR="008E06DE" w:rsidRPr="008B3A69" w:rsidRDefault="008E06DE" w:rsidP="007E70F7">
            <w:pPr>
              <w:pStyle w:val="Tabletext0"/>
              <w:keepNext/>
              <w:rPr>
                <w:szCs w:val="20"/>
              </w:rPr>
            </w:pPr>
            <w:r w:rsidRPr="008B3A69">
              <w:rPr>
                <w:szCs w:val="20"/>
              </w:rPr>
              <w:t>Linear function assuming all ravulizumab patients with remission at 2 years have relapsed by 3 years</w:t>
            </w:r>
          </w:p>
        </w:tc>
        <w:tc>
          <w:tcPr>
            <w:tcW w:w="992" w:type="dxa"/>
            <w:tcMar>
              <w:top w:w="0" w:type="dxa"/>
              <w:left w:w="108" w:type="dxa"/>
              <w:bottom w:w="0" w:type="dxa"/>
              <w:right w:w="108" w:type="dxa"/>
            </w:tcMar>
            <w:vAlign w:val="center"/>
          </w:tcPr>
          <w:p w14:paraId="4AC41B77" w14:textId="5B479544"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6"/>
                <w14:textFill>
                  <w14:solidFill>
                    <w14:srgbClr w14:val="000000">
                      <w14:alpha w14:val="100000"/>
                    </w14:srgbClr>
                  </w14:solidFill>
                </w14:textFill>
              </w:rPr>
              <w:t>||</w:t>
            </w:r>
            <w:r w:rsidR="00AA076A" w:rsidRPr="00AA076A">
              <w:rPr>
                <w:color w:val="000000"/>
                <w:spacing w:val="1"/>
                <w:szCs w:val="20"/>
                <w:shd w:val="solid" w:color="000000" w:fill="000000"/>
                <w:fitText w:val="210" w:id="-893118716"/>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605E899B" w14:textId="77777777" w:rsidR="008E06DE" w:rsidRPr="008B3A69" w:rsidRDefault="008E06DE" w:rsidP="007E70F7">
            <w:pPr>
              <w:pStyle w:val="Tabletext0"/>
              <w:keepNext/>
              <w:jc w:val="center"/>
              <w:rPr>
                <w:szCs w:val="20"/>
              </w:rPr>
            </w:pPr>
            <w:r w:rsidRPr="008B3A69">
              <w:rPr>
                <w:szCs w:val="20"/>
              </w:rPr>
              <w:t>0.4440</w:t>
            </w:r>
          </w:p>
        </w:tc>
        <w:tc>
          <w:tcPr>
            <w:tcW w:w="1140" w:type="dxa"/>
            <w:tcMar>
              <w:top w:w="0" w:type="dxa"/>
              <w:left w:w="108" w:type="dxa"/>
              <w:bottom w:w="0" w:type="dxa"/>
              <w:right w:w="108" w:type="dxa"/>
            </w:tcMar>
            <w:vAlign w:val="center"/>
          </w:tcPr>
          <w:p w14:paraId="25D1F64C" w14:textId="68FB32F6" w:rsidR="008E06DE" w:rsidRPr="008B3A69" w:rsidRDefault="008E06DE" w:rsidP="007E70F7">
            <w:pPr>
              <w:pStyle w:val="Tabletext0"/>
              <w:keepNext/>
              <w:jc w:val="center"/>
              <w:rPr>
                <w:szCs w:val="20"/>
              </w:rPr>
            </w:pPr>
            <w:r w:rsidRPr="008B3A69">
              <w:rPr>
                <w:szCs w:val="20"/>
              </w:rPr>
              <w:t>$</w:t>
            </w:r>
            <w:r w:rsidR="00AA076A" w:rsidRPr="00AA076A">
              <w:rPr>
                <w:color w:val="000000"/>
                <w:spacing w:val="84"/>
                <w:szCs w:val="20"/>
                <w:shd w:val="solid" w:color="000000" w:fill="000000"/>
                <w:fitText w:val="170" w:id="-893118715"/>
                <w14:textFill>
                  <w14:solidFill>
                    <w14:srgbClr w14:val="000000">
                      <w14:alpha w14:val="100000"/>
                    </w14:srgbClr>
                  </w14:solidFill>
                </w14:textFill>
              </w:rPr>
              <w:t>|</w:t>
            </w:r>
            <w:r w:rsidR="00AA076A" w:rsidRPr="00AA076A">
              <w:rPr>
                <w:color w:val="000000"/>
                <w:spacing w:val="1"/>
                <w:szCs w:val="20"/>
                <w:shd w:val="solid" w:color="000000" w:fill="000000"/>
                <w:fitText w:val="170" w:id="-893118715"/>
                <w14:textFill>
                  <w14:solidFill>
                    <w14:srgbClr w14:val="000000">
                      <w14:alpha w14:val="100000"/>
                    </w14:srgbClr>
                  </w14:solidFill>
                </w14:textFill>
              </w:rPr>
              <w:t>|</w:t>
            </w:r>
            <w:r w:rsidR="004071AA">
              <w:rPr>
                <w:szCs w:val="20"/>
              </w:rPr>
              <w:t xml:space="preserve"> </w:t>
            </w:r>
            <w:r w:rsidR="004071AA">
              <w:rPr>
                <w:b/>
                <w:bCs/>
                <w:szCs w:val="20"/>
                <w:vertAlign w:val="superscript"/>
              </w:rPr>
              <w:t>7</w:t>
            </w:r>
          </w:p>
        </w:tc>
        <w:tc>
          <w:tcPr>
            <w:tcW w:w="1368" w:type="dxa"/>
            <w:vAlign w:val="center"/>
          </w:tcPr>
          <w:p w14:paraId="02E2862C" w14:textId="142CE157"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116D827D" w14:textId="77777777" w:rsidTr="00D4556B">
        <w:trPr>
          <w:trHeight w:val="113"/>
        </w:trPr>
        <w:tc>
          <w:tcPr>
            <w:tcW w:w="9029" w:type="dxa"/>
            <w:gridSpan w:val="5"/>
            <w:tcMar>
              <w:top w:w="0" w:type="dxa"/>
              <w:left w:w="108" w:type="dxa"/>
              <w:bottom w:w="0" w:type="dxa"/>
              <w:right w:w="108" w:type="dxa"/>
            </w:tcMar>
          </w:tcPr>
          <w:p w14:paraId="5647895C" w14:textId="6A173599" w:rsidR="008E06DE" w:rsidRPr="008B3A69" w:rsidRDefault="008E06DE" w:rsidP="007E70F7">
            <w:pPr>
              <w:pStyle w:val="Tabletext0"/>
              <w:keepNext/>
              <w:rPr>
                <w:b/>
                <w:bCs/>
                <w:szCs w:val="20"/>
              </w:rPr>
            </w:pPr>
            <w:r w:rsidRPr="008B3A69">
              <w:rPr>
                <w:b/>
                <w:bCs/>
                <w:szCs w:val="20"/>
              </w:rPr>
              <w:t>Utility values (base case: second/third-line responder utility values assumed to be the same as mild disease and second/third-line non-responder utility values assumed to be the same as severe disease)</w:t>
            </w:r>
          </w:p>
        </w:tc>
      </w:tr>
      <w:tr w:rsidR="008E06DE" w:rsidRPr="008B3A69" w14:paraId="1848DA2F" w14:textId="77777777" w:rsidTr="00D4556B">
        <w:trPr>
          <w:trHeight w:val="113"/>
        </w:trPr>
        <w:tc>
          <w:tcPr>
            <w:tcW w:w="4678" w:type="dxa"/>
            <w:tcMar>
              <w:top w:w="0" w:type="dxa"/>
              <w:left w:w="108" w:type="dxa"/>
              <w:bottom w:w="0" w:type="dxa"/>
              <w:right w:w="108" w:type="dxa"/>
            </w:tcMar>
          </w:tcPr>
          <w:p w14:paraId="66672C4E" w14:textId="77777777" w:rsidR="008E06DE" w:rsidRPr="008B3A69" w:rsidRDefault="008E06DE" w:rsidP="007E70F7">
            <w:pPr>
              <w:pStyle w:val="Tabletext0"/>
              <w:keepNext/>
              <w:rPr>
                <w:szCs w:val="20"/>
              </w:rPr>
            </w:pPr>
            <w:r w:rsidRPr="008B3A69">
              <w:rPr>
                <w:szCs w:val="20"/>
              </w:rPr>
              <w:t>Second/third-line non-responder utility value decreased by 5% (0.505)</w:t>
            </w:r>
          </w:p>
        </w:tc>
        <w:tc>
          <w:tcPr>
            <w:tcW w:w="992" w:type="dxa"/>
            <w:tcMar>
              <w:top w:w="0" w:type="dxa"/>
              <w:left w:w="108" w:type="dxa"/>
              <w:bottom w:w="0" w:type="dxa"/>
              <w:right w:w="108" w:type="dxa"/>
            </w:tcMar>
            <w:vAlign w:val="center"/>
          </w:tcPr>
          <w:p w14:paraId="1F1B946A" w14:textId="1A7FEF1C"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4"/>
                <w14:textFill>
                  <w14:solidFill>
                    <w14:srgbClr w14:val="000000">
                      <w14:alpha w14:val="100000"/>
                    </w14:srgbClr>
                  </w14:solidFill>
                </w14:textFill>
              </w:rPr>
              <w:t>||</w:t>
            </w:r>
            <w:r w:rsidR="00AA076A" w:rsidRPr="00AA076A">
              <w:rPr>
                <w:color w:val="000000"/>
                <w:spacing w:val="1"/>
                <w:szCs w:val="20"/>
                <w:shd w:val="solid" w:color="000000" w:fill="000000"/>
                <w:fitText w:val="210" w:id="-893118714"/>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00196574" w14:textId="77777777" w:rsidR="008E06DE" w:rsidRPr="008B3A69" w:rsidRDefault="008E06DE" w:rsidP="007E70F7">
            <w:pPr>
              <w:pStyle w:val="Tabletext0"/>
              <w:keepNext/>
              <w:jc w:val="center"/>
              <w:rPr>
                <w:szCs w:val="20"/>
              </w:rPr>
            </w:pPr>
            <w:r w:rsidRPr="008B3A69">
              <w:rPr>
                <w:szCs w:val="20"/>
              </w:rPr>
              <w:t>1.1022</w:t>
            </w:r>
          </w:p>
        </w:tc>
        <w:tc>
          <w:tcPr>
            <w:tcW w:w="1140" w:type="dxa"/>
            <w:tcMar>
              <w:top w:w="0" w:type="dxa"/>
              <w:left w:w="108" w:type="dxa"/>
              <w:bottom w:w="0" w:type="dxa"/>
              <w:right w:w="108" w:type="dxa"/>
            </w:tcMar>
            <w:vAlign w:val="center"/>
          </w:tcPr>
          <w:p w14:paraId="6955B66E" w14:textId="183F2B3A"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3"/>
                <w14:textFill>
                  <w14:solidFill>
                    <w14:srgbClr w14:val="000000">
                      <w14:alpha w14:val="100000"/>
                    </w14:srgbClr>
                  </w14:solidFill>
                </w14:textFill>
              </w:rPr>
              <w:t>|</w:t>
            </w:r>
            <w:r w:rsidR="00AA076A" w:rsidRPr="00AA076A">
              <w:rPr>
                <w:color w:val="000000"/>
                <w:spacing w:val="1"/>
                <w:szCs w:val="20"/>
                <w:shd w:val="solid" w:color="000000" w:fill="000000"/>
                <w:fitText w:val="180" w:id="-893118713"/>
                <w14:textFill>
                  <w14:solidFill>
                    <w14:srgbClr w14:val="000000">
                      <w14:alpha w14:val="100000"/>
                    </w14:srgbClr>
                  </w14:solidFill>
                </w14:textFill>
              </w:rPr>
              <w:t>|</w:t>
            </w:r>
            <w:r w:rsidR="009F6C90">
              <w:rPr>
                <w:b/>
                <w:bCs/>
                <w:szCs w:val="20"/>
                <w:vertAlign w:val="superscript"/>
              </w:rPr>
              <w:t xml:space="preserve"> 1</w:t>
            </w:r>
          </w:p>
        </w:tc>
        <w:tc>
          <w:tcPr>
            <w:tcW w:w="1368" w:type="dxa"/>
            <w:vAlign w:val="center"/>
          </w:tcPr>
          <w:p w14:paraId="18448902" w14:textId="57920D25"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2DDEB593" w14:textId="77777777" w:rsidTr="00D4556B">
        <w:trPr>
          <w:trHeight w:val="113"/>
        </w:trPr>
        <w:tc>
          <w:tcPr>
            <w:tcW w:w="4678" w:type="dxa"/>
            <w:tcMar>
              <w:top w:w="0" w:type="dxa"/>
              <w:left w:w="108" w:type="dxa"/>
              <w:bottom w:w="0" w:type="dxa"/>
              <w:right w:w="108" w:type="dxa"/>
            </w:tcMar>
          </w:tcPr>
          <w:p w14:paraId="3DE7095A" w14:textId="77777777" w:rsidR="008E06DE" w:rsidRPr="008B3A69" w:rsidRDefault="008E06DE" w:rsidP="007E70F7">
            <w:pPr>
              <w:pStyle w:val="Tabletext0"/>
              <w:keepNext/>
              <w:rPr>
                <w:szCs w:val="20"/>
              </w:rPr>
            </w:pPr>
            <w:r w:rsidRPr="008B3A69">
              <w:rPr>
                <w:szCs w:val="20"/>
              </w:rPr>
              <w:t>Second/third-line non-responder utility value increased by 5% (0.557)</w:t>
            </w:r>
          </w:p>
        </w:tc>
        <w:tc>
          <w:tcPr>
            <w:tcW w:w="992" w:type="dxa"/>
            <w:tcMar>
              <w:top w:w="0" w:type="dxa"/>
              <w:left w:w="108" w:type="dxa"/>
              <w:bottom w:w="0" w:type="dxa"/>
              <w:right w:w="108" w:type="dxa"/>
            </w:tcMar>
            <w:vAlign w:val="center"/>
          </w:tcPr>
          <w:p w14:paraId="635E9816" w14:textId="1599B200"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2"/>
                <w14:textFill>
                  <w14:solidFill>
                    <w14:srgbClr w14:val="000000">
                      <w14:alpha w14:val="100000"/>
                    </w14:srgbClr>
                  </w14:solidFill>
                </w14:textFill>
              </w:rPr>
              <w:t>||</w:t>
            </w:r>
            <w:r w:rsidR="00AA076A" w:rsidRPr="00AA076A">
              <w:rPr>
                <w:color w:val="000000"/>
                <w:spacing w:val="1"/>
                <w:szCs w:val="20"/>
                <w:shd w:val="solid" w:color="000000" w:fill="000000"/>
                <w:fitText w:val="210" w:id="-893118712"/>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3EFD6E64" w14:textId="77777777" w:rsidR="008E06DE" w:rsidRPr="008B3A69" w:rsidRDefault="008E06DE" w:rsidP="007E70F7">
            <w:pPr>
              <w:pStyle w:val="Tabletext0"/>
              <w:keepNext/>
              <w:jc w:val="center"/>
              <w:rPr>
                <w:szCs w:val="20"/>
              </w:rPr>
            </w:pPr>
            <w:r w:rsidRPr="008B3A69">
              <w:rPr>
                <w:szCs w:val="20"/>
              </w:rPr>
              <w:t>0.9580</w:t>
            </w:r>
          </w:p>
        </w:tc>
        <w:tc>
          <w:tcPr>
            <w:tcW w:w="1140" w:type="dxa"/>
            <w:tcMar>
              <w:top w:w="0" w:type="dxa"/>
              <w:left w:w="108" w:type="dxa"/>
              <w:bottom w:w="0" w:type="dxa"/>
              <w:right w:w="108" w:type="dxa"/>
            </w:tcMar>
            <w:vAlign w:val="center"/>
          </w:tcPr>
          <w:p w14:paraId="1B80C979" w14:textId="07B4AD64" w:rsidR="008E06DE" w:rsidRPr="008B3A69" w:rsidRDefault="008E06DE" w:rsidP="007E70F7">
            <w:pPr>
              <w:pStyle w:val="Tabletext0"/>
              <w:keepNext/>
              <w:jc w:val="center"/>
              <w:rPr>
                <w:szCs w:val="20"/>
              </w:rPr>
            </w:pPr>
            <w:r w:rsidRPr="008B3A69">
              <w:rPr>
                <w:szCs w:val="20"/>
              </w:rPr>
              <w:t>$</w:t>
            </w:r>
            <w:r w:rsidR="00AA076A" w:rsidRPr="00AA076A">
              <w:rPr>
                <w:color w:val="000000"/>
                <w:spacing w:val="94"/>
                <w:szCs w:val="20"/>
                <w:shd w:val="solid" w:color="000000" w:fill="000000"/>
                <w:fitText w:val="180" w:id="-893118711"/>
                <w14:textFill>
                  <w14:solidFill>
                    <w14:srgbClr w14:val="000000">
                      <w14:alpha w14:val="100000"/>
                    </w14:srgbClr>
                  </w14:solidFill>
                </w14:textFill>
              </w:rPr>
              <w:t>|</w:t>
            </w:r>
            <w:r w:rsidR="00AA076A" w:rsidRPr="00AA076A">
              <w:rPr>
                <w:color w:val="000000"/>
                <w:spacing w:val="1"/>
                <w:szCs w:val="20"/>
                <w:shd w:val="solid" w:color="000000" w:fill="000000"/>
                <w:fitText w:val="180" w:id="-893118711"/>
                <w14:textFill>
                  <w14:solidFill>
                    <w14:srgbClr w14:val="000000">
                      <w14:alpha w14:val="100000"/>
                    </w14:srgbClr>
                  </w14:solidFill>
                </w14:textFill>
              </w:rPr>
              <w:t>|</w:t>
            </w:r>
            <w:r w:rsidR="009F6C90">
              <w:rPr>
                <w:b/>
                <w:bCs/>
                <w:szCs w:val="20"/>
                <w:vertAlign w:val="superscript"/>
              </w:rPr>
              <w:t xml:space="preserve"> 1</w:t>
            </w:r>
          </w:p>
        </w:tc>
        <w:tc>
          <w:tcPr>
            <w:tcW w:w="1368" w:type="dxa"/>
            <w:vAlign w:val="center"/>
          </w:tcPr>
          <w:p w14:paraId="36BDE3F3" w14:textId="1706AA0E"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r w:rsidR="008E06DE" w:rsidRPr="008B3A69" w14:paraId="2935029E" w14:textId="77777777" w:rsidTr="00D4556B">
        <w:trPr>
          <w:trHeight w:val="113"/>
        </w:trPr>
        <w:tc>
          <w:tcPr>
            <w:tcW w:w="4678" w:type="dxa"/>
            <w:tcMar>
              <w:top w:w="0" w:type="dxa"/>
              <w:left w:w="108" w:type="dxa"/>
              <w:bottom w:w="0" w:type="dxa"/>
              <w:right w:w="108" w:type="dxa"/>
            </w:tcMar>
          </w:tcPr>
          <w:p w14:paraId="53E88924" w14:textId="77777777" w:rsidR="008E06DE" w:rsidRPr="008B3A69" w:rsidRDefault="008E06DE" w:rsidP="007E70F7">
            <w:pPr>
              <w:pStyle w:val="Tabletext0"/>
              <w:keepNext/>
              <w:rPr>
                <w:szCs w:val="20"/>
              </w:rPr>
            </w:pPr>
            <w:r w:rsidRPr="008B3A69">
              <w:rPr>
                <w:szCs w:val="20"/>
              </w:rPr>
              <w:t>Assume second/third-line non-responder utility value is the same as pooled first-line estimates (0.69)</w:t>
            </w:r>
          </w:p>
        </w:tc>
        <w:tc>
          <w:tcPr>
            <w:tcW w:w="992" w:type="dxa"/>
            <w:tcMar>
              <w:top w:w="0" w:type="dxa"/>
              <w:left w:w="108" w:type="dxa"/>
              <w:bottom w:w="0" w:type="dxa"/>
              <w:right w:w="108" w:type="dxa"/>
            </w:tcMar>
            <w:vAlign w:val="center"/>
          </w:tcPr>
          <w:p w14:paraId="1AE20186" w14:textId="19A70AB4" w:rsidR="008E06DE" w:rsidRPr="008B3A69" w:rsidRDefault="008E06DE" w:rsidP="007E70F7">
            <w:pPr>
              <w:pStyle w:val="Tabletext0"/>
              <w:keepNext/>
              <w:jc w:val="center"/>
              <w:rPr>
                <w:szCs w:val="20"/>
              </w:rPr>
            </w:pPr>
            <w:r w:rsidRPr="008B3A69">
              <w:rPr>
                <w:szCs w:val="20"/>
              </w:rPr>
              <w:t>$</w:t>
            </w:r>
            <w:r w:rsidR="00AA076A" w:rsidRPr="00AA076A">
              <w:rPr>
                <w:color w:val="000000"/>
                <w:spacing w:val="41"/>
                <w:szCs w:val="20"/>
                <w:shd w:val="solid" w:color="000000" w:fill="000000"/>
                <w:fitText w:val="210" w:id="-893118710"/>
                <w14:textFill>
                  <w14:solidFill>
                    <w14:srgbClr w14:val="000000">
                      <w14:alpha w14:val="100000"/>
                    </w14:srgbClr>
                  </w14:solidFill>
                </w14:textFill>
              </w:rPr>
              <w:t>||</w:t>
            </w:r>
            <w:r w:rsidR="00AA076A" w:rsidRPr="00AA076A">
              <w:rPr>
                <w:color w:val="000000"/>
                <w:spacing w:val="1"/>
                <w:szCs w:val="20"/>
                <w:shd w:val="solid" w:color="000000" w:fill="000000"/>
                <w:fitText w:val="210" w:id="-893118710"/>
                <w14:textFill>
                  <w14:solidFill>
                    <w14:srgbClr w14:val="000000">
                      <w14:alpha w14:val="100000"/>
                    </w14:srgbClr>
                  </w14:solidFill>
                </w14:textFill>
              </w:rPr>
              <w:t>|</w:t>
            </w:r>
          </w:p>
        </w:tc>
        <w:tc>
          <w:tcPr>
            <w:tcW w:w="851" w:type="dxa"/>
            <w:tcMar>
              <w:top w:w="0" w:type="dxa"/>
              <w:left w:w="108" w:type="dxa"/>
              <w:bottom w:w="0" w:type="dxa"/>
              <w:right w:w="108" w:type="dxa"/>
            </w:tcMar>
            <w:vAlign w:val="center"/>
          </w:tcPr>
          <w:p w14:paraId="6B61242E" w14:textId="77777777" w:rsidR="008E06DE" w:rsidRPr="008B3A69" w:rsidRDefault="008E06DE" w:rsidP="007E70F7">
            <w:pPr>
              <w:pStyle w:val="Tabletext0"/>
              <w:keepNext/>
              <w:jc w:val="center"/>
              <w:rPr>
                <w:szCs w:val="20"/>
              </w:rPr>
            </w:pPr>
            <w:r w:rsidRPr="008B3A69">
              <w:rPr>
                <w:szCs w:val="20"/>
              </w:rPr>
              <w:t>0.5686</w:t>
            </w:r>
          </w:p>
        </w:tc>
        <w:tc>
          <w:tcPr>
            <w:tcW w:w="1140" w:type="dxa"/>
            <w:tcMar>
              <w:top w:w="0" w:type="dxa"/>
              <w:left w:w="108" w:type="dxa"/>
              <w:bottom w:w="0" w:type="dxa"/>
              <w:right w:w="108" w:type="dxa"/>
            </w:tcMar>
            <w:vAlign w:val="center"/>
          </w:tcPr>
          <w:p w14:paraId="08B5E2E3" w14:textId="71D9EE81" w:rsidR="008E06DE" w:rsidRPr="008B3A69" w:rsidRDefault="008E06DE" w:rsidP="007E70F7">
            <w:pPr>
              <w:pStyle w:val="Tabletext0"/>
              <w:keepNext/>
              <w:jc w:val="center"/>
              <w:rPr>
                <w:szCs w:val="20"/>
              </w:rPr>
            </w:pPr>
            <w:r w:rsidRPr="008B3A69">
              <w:rPr>
                <w:szCs w:val="20"/>
              </w:rPr>
              <w:t>$</w:t>
            </w:r>
            <w:r w:rsidR="00AA076A" w:rsidRPr="00AA076A">
              <w:rPr>
                <w:color w:val="000000"/>
                <w:spacing w:val="84"/>
                <w:szCs w:val="20"/>
                <w:shd w:val="solid" w:color="000000" w:fill="000000"/>
                <w:fitText w:val="170" w:id="-893118709"/>
                <w14:textFill>
                  <w14:solidFill>
                    <w14:srgbClr w14:val="000000">
                      <w14:alpha w14:val="100000"/>
                    </w14:srgbClr>
                  </w14:solidFill>
                </w14:textFill>
              </w:rPr>
              <w:t>|</w:t>
            </w:r>
            <w:r w:rsidR="00AA076A" w:rsidRPr="00AA076A">
              <w:rPr>
                <w:color w:val="000000"/>
                <w:spacing w:val="1"/>
                <w:szCs w:val="20"/>
                <w:shd w:val="solid" w:color="000000" w:fill="000000"/>
                <w:fitText w:val="170" w:id="-893118709"/>
                <w14:textFill>
                  <w14:solidFill>
                    <w14:srgbClr w14:val="000000">
                      <w14:alpha w14:val="100000"/>
                    </w14:srgbClr>
                  </w14:solidFill>
                </w14:textFill>
              </w:rPr>
              <w:t>|</w:t>
            </w:r>
            <w:r w:rsidR="00B5341D">
              <w:rPr>
                <w:szCs w:val="20"/>
              </w:rPr>
              <w:t xml:space="preserve"> </w:t>
            </w:r>
            <w:r w:rsidR="00B5341D">
              <w:rPr>
                <w:b/>
                <w:bCs/>
                <w:szCs w:val="20"/>
                <w:vertAlign w:val="superscript"/>
              </w:rPr>
              <w:t>6</w:t>
            </w:r>
          </w:p>
        </w:tc>
        <w:tc>
          <w:tcPr>
            <w:tcW w:w="1368" w:type="dxa"/>
            <w:vAlign w:val="center"/>
          </w:tcPr>
          <w:p w14:paraId="44CDE0C7" w14:textId="0C8404A6" w:rsidR="008E06DE" w:rsidRPr="008B3A69" w:rsidRDefault="008E06DE" w:rsidP="007E70F7">
            <w:pPr>
              <w:pStyle w:val="Tabletext0"/>
              <w:keepNext/>
              <w:jc w:val="center"/>
              <w:rPr>
                <w:szCs w:val="20"/>
              </w:rPr>
            </w:pPr>
            <w:r w:rsidRPr="008B3A69">
              <w:rPr>
                <w:szCs w:val="20"/>
              </w:rPr>
              <w:t>+</w:t>
            </w:r>
            <w:r w:rsidR="00AA076A" w:rsidRPr="00AA076A">
              <w:rPr>
                <w:color w:val="000000"/>
                <w:szCs w:val="20"/>
                <w:shd w:val="solid" w:color="000000" w:fill="000000"/>
                <w14:textFill>
                  <w14:solidFill>
                    <w14:srgbClr w14:val="000000">
                      <w14:alpha w14:val="100000"/>
                    </w14:srgbClr>
                  </w14:solidFill>
                </w14:textFill>
              </w:rPr>
              <w:t>|</w:t>
            </w:r>
            <w:r w:rsidRPr="008B3A69">
              <w:rPr>
                <w:szCs w:val="20"/>
              </w:rPr>
              <w:t>%</w:t>
            </w:r>
          </w:p>
        </w:tc>
      </w:tr>
    </w:tbl>
    <w:p w14:paraId="30F5E0EA" w14:textId="77777777" w:rsidR="003124DD" w:rsidRPr="008B3A69" w:rsidRDefault="003124DD" w:rsidP="007E70F7">
      <w:pPr>
        <w:pStyle w:val="COMTablefooter"/>
        <w:keepNext/>
      </w:pPr>
      <w:r w:rsidRPr="008B3A69">
        <w:t>Source: Table 3-37, p149 of the submission</w:t>
      </w:r>
    </w:p>
    <w:p w14:paraId="6CAEEB93" w14:textId="1FD88DEC" w:rsidR="003124DD" w:rsidRDefault="003124DD" w:rsidP="00D4556B">
      <w:pPr>
        <w:pStyle w:val="COMTablefooter"/>
        <w:keepNext/>
        <w:spacing w:after="0"/>
      </w:pPr>
      <w:r w:rsidRPr="008B3A69">
        <w:t xml:space="preserve">Abbreviations: CI, confidence interval; AEMP, approved ex-manufacturer price; ICER, incremental cost effectiveness ratio; QALY, quality adjusted life year </w:t>
      </w:r>
    </w:p>
    <w:p w14:paraId="30B0746E" w14:textId="77777777" w:rsidR="00556685" w:rsidRPr="009A6D58" w:rsidRDefault="00556685" w:rsidP="00D4556B">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C6F6B43" w14:textId="31B58CCC" w:rsidR="00556685" w:rsidRPr="009A6D58" w:rsidRDefault="00556685" w:rsidP="00D4556B">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FE6D3C" w:rsidRPr="00FE6D3C">
        <w:rPr>
          <w:rFonts w:ascii="Arial Narrow" w:hAnsi="Arial Narrow"/>
          <w:i/>
          <w:sz w:val="18"/>
          <w:szCs w:val="18"/>
        </w:rPr>
        <w:t>$255,000 to &lt; $355,000</w:t>
      </w:r>
    </w:p>
    <w:p w14:paraId="5972D83C" w14:textId="759C3D34" w:rsidR="00556685" w:rsidRPr="009A6D58" w:rsidRDefault="00556685" w:rsidP="00D4556B">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12A9C" w:rsidRPr="00D12A9C">
        <w:rPr>
          <w:rFonts w:ascii="Arial Narrow" w:hAnsi="Arial Narrow"/>
          <w:i/>
          <w:sz w:val="18"/>
          <w:szCs w:val="18"/>
        </w:rPr>
        <w:t>$155,000 to &lt; $255,000</w:t>
      </w:r>
    </w:p>
    <w:p w14:paraId="25DE490B" w14:textId="04A7C6B8" w:rsidR="00556685" w:rsidRDefault="00556685" w:rsidP="00D4556B">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A56EAE" w:rsidRPr="00A56EAE">
        <w:rPr>
          <w:rFonts w:ascii="Arial Narrow" w:hAnsi="Arial Narrow"/>
          <w:i/>
          <w:sz w:val="18"/>
          <w:szCs w:val="18"/>
        </w:rPr>
        <w:t>$355,000 to &lt; $455,000</w:t>
      </w:r>
    </w:p>
    <w:p w14:paraId="5BA4FD44" w14:textId="6B650FBB" w:rsidR="00556685" w:rsidRDefault="00556685" w:rsidP="00D4556B">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4B77D3" w:rsidRPr="004B77D3">
        <w:rPr>
          <w:rFonts w:ascii="Arial Narrow" w:hAnsi="Arial Narrow"/>
          <w:i/>
          <w:sz w:val="18"/>
          <w:szCs w:val="18"/>
        </w:rPr>
        <w:t>$555,000 to &lt; $655,000</w:t>
      </w:r>
    </w:p>
    <w:p w14:paraId="63950479" w14:textId="091B2165" w:rsidR="00556685" w:rsidRDefault="00556685" w:rsidP="00D4556B">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4A3F94" w:rsidRPr="004A3F94">
        <w:rPr>
          <w:rFonts w:ascii="Arial Narrow" w:hAnsi="Arial Narrow"/>
          <w:i/>
          <w:sz w:val="18"/>
          <w:szCs w:val="18"/>
        </w:rPr>
        <w:t>&gt; $1,055,000</w:t>
      </w:r>
    </w:p>
    <w:p w14:paraId="66D98FF0" w14:textId="4D83DA7D" w:rsidR="00556685" w:rsidRDefault="00556685" w:rsidP="00D4556B">
      <w:pPr>
        <w:keepNext/>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306ED8" w:rsidRPr="00306ED8">
        <w:rPr>
          <w:rFonts w:ascii="Arial Narrow" w:hAnsi="Arial Narrow"/>
          <w:i/>
          <w:sz w:val="18"/>
          <w:szCs w:val="18"/>
        </w:rPr>
        <w:t>$455,000 to &lt; $555,000</w:t>
      </w:r>
    </w:p>
    <w:p w14:paraId="0750DE33" w14:textId="0EF4C440" w:rsidR="00556685" w:rsidRPr="00556685" w:rsidRDefault="00556685" w:rsidP="00556685">
      <w:pPr>
        <w:spacing w:after="120"/>
      </w:pPr>
      <w:r>
        <w:rPr>
          <w:rFonts w:ascii="Arial Narrow" w:hAnsi="Arial Narrow"/>
          <w:i/>
          <w:sz w:val="18"/>
          <w:szCs w:val="18"/>
          <w:vertAlign w:val="superscript"/>
        </w:rPr>
        <w:t>7</w:t>
      </w:r>
      <w:r>
        <w:rPr>
          <w:rFonts w:ascii="Arial Narrow" w:hAnsi="Arial Narrow"/>
          <w:i/>
          <w:sz w:val="18"/>
          <w:szCs w:val="18"/>
        </w:rPr>
        <w:t xml:space="preserve"> </w:t>
      </w:r>
      <w:r w:rsidR="00ED1718" w:rsidRPr="00ED1718">
        <w:rPr>
          <w:rFonts w:ascii="Arial Narrow" w:hAnsi="Arial Narrow"/>
          <w:i/>
          <w:sz w:val="18"/>
          <w:szCs w:val="18"/>
        </w:rPr>
        <w:t>$655,000 to &lt; $755,000</w:t>
      </w:r>
    </w:p>
    <w:p w14:paraId="2CC55E2F" w14:textId="781B9F65" w:rsidR="004B1453" w:rsidRPr="008B3A69" w:rsidRDefault="004B1453" w:rsidP="004B1453">
      <w:pPr>
        <w:pStyle w:val="COMexecsumnumberedpara"/>
      </w:pPr>
      <w:r w:rsidRPr="008B3A69">
        <w:t xml:space="preserve">The results of the sensitivity analyses indicate that the model is most sensitive to ravulizumab and placebo treatment durations, ravulizumab remission duration, time horizon (as a consequence of sensitivity to treatment/remission durations), utility </w:t>
      </w:r>
      <w:r w:rsidR="00261CE0" w:rsidRPr="008B3A69">
        <w:t xml:space="preserve">and the </w:t>
      </w:r>
      <w:r w:rsidRPr="008B3A69">
        <w:t>values for second/third-line treatment non-responders</w:t>
      </w:r>
      <w:r w:rsidR="00261CE0" w:rsidRPr="008B3A69">
        <w:t>.</w:t>
      </w:r>
      <w:r w:rsidRPr="008B3A69">
        <w:t xml:space="preserve"> </w:t>
      </w:r>
    </w:p>
    <w:p w14:paraId="18B548F7" w14:textId="3BC44E8C" w:rsidR="004B1453" w:rsidRPr="008B3A69" w:rsidRDefault="004B1453" w:rsidP="004B1453">
      <w:pPr>
        <w:pStyle w:val="COMexecsumnumberedpara"/>
      </w:pPr>
      <w:r w:rsidRPr="008B3A69">
        <w:t xml:space="preserve">However, due to the limitations of the model structure and data inputs it was not possible to assess the impact of multiple episodes of care (i.e. ravulizumab re-treatment), use of other responder definitions (MG-ADL </w:t>
      </w:r>
      <w:r w:rsidR="00CD2EC4" w:rsidRPr="008B3A69">
        <w:t>≥</w:t>
      </w:r>
      <w:r w:rsidRPr="008B3A69">
        <w:t xml:space="preserve"> 3, QMG </w:t>
      </w:r>
      <w:r w:rsidR="00CD2EC4" w:rsidRPr="008B3A69">
        <w:t>≥</w:t>
      </w:r>
      <w:r w:rsidRPr="008B3A69">
        <w:t xml:space="preserve"> 3, </w:t>
      </w:r>
      <w:r w:rsidR="00D4556B" w:rsidRPr="008B3A69">
        <w:t>QMG</w:t>
      </w:r>
      <w:r w:rsidR="00D4556B">
        <w:t> </w:t>
      </w:r>
      <w:r w:rsidR="00CD2EC4" w:rsidRPr="008B3A69">
        <w:t>≥</w:t>
      </w:r>
      <w:r w:rsidR="00D4556B">
        <w:t> </w:t>
      </w:r>
      <w:r w:rsidRPr="008B3A69">
        <w:t>5 reduction from baseline; the proportion of patients achieving minimal manifestations of disease) or the use of ravulizumab in different clinical roles covered by the proposed PBS listing.</w:t>
      </w:r>
    </w:p>
    <w:p w14:paraId="06EEB285" w14:textId="0A5B92C9" w:rsidR="00305E03" w:rsidRPr="008B3A69" w:rsidRDefault="00305E03" w:rsidP="004B1453">
      <w:pPr>
        <w:pStyle w:val="COMexecsumnumberedpara"/>
      </w:pPr>
      <w:bookmarkStart w:id="60" w:name="_Ref159234559"/>
      <w:r w:rsidRPr="008B3A69">
        <w:t xml:space="preserve">The ESC noted that the base case ICER was approximately </w:t>
      </w:r>
      <w:r w:rsidR="00ED62DA" w:rsidRPr="00ED62DA">
        <w:t>$255,000 to &lt; $355,000</w:t>
      </w:r>
      <w:r w:rsidRPr="008B3A69">
        <w:t>/QALY</w:t>
      </w:r>
      <w:r w:rsidR="00EC75BA" w:rsidRPr="008B3A69">
        <w:t xml:space="preserve"> but considered this </w:t>
      </w:r>
      <w:r w:rsidR="00D47047" w:rsidRPr="008B3A69">
        <w:t xml:space="preserve">was </w:t>
      </w:r>
      <w:r w:rsidR="00572BD3" w:rsidRPr="008B3A69">
        <w:t xml:space="preserve">likely underestimated </w:t>
      </w:r>
      <w:r w:rsidR="00D47047" w:rsidRPr="008B3A69">
        <w:t xml:space="preserve">and </w:t>
      </w:r>
      <w:r w:rsidR="008664FA" w:rsidRPr="008B3A69">
        <w:t xml:space="preserve">driven by clinically </w:t>
      </w:r>
      <w:r w:rsidR="00D47047" w:rsidRPr="008B3A69">
        <w:t xml:space="preserve">implausible </w:t>
      </w:r>
      <w:r w:rsidR="00EC75BA" w:rsidRPr="008B3A69">
        <w:t xml:space="preserve">assumptions around treatment duration, duration of remission, and utilities for non-responders. </w:t>
      </w:r>
      <w:r w:rsidR="00CD3E5F" w:rsidRPr="008B3A69">
        <w:t xml:space="preserve">Given the assumptions made in the model and thus uncertainty in their true </w:t>
      </w:r>
      <w:r w:rsidR="00572BD3" w:rsidRPr="008B3A69">
        <w:t>parameter</w:t>
      </w:r>
      <w:r w:rsidR="00CD3E5F" w:rsidRPr="008B3A69">
        <w:t xml:space="preserve"> values, t</w:t>
      </w:r>
      <w:r w:rsidR="00EC75BA" w:rsidRPr="008B3A69">
        <w:t>he ESC cons</w:t>
      </w:r>
      <w:r w:rsidRPr="008B3A69">
        <w:t xml:space="preserve">idered </w:t>
      </w:r>
      <w:r w:rsidR="008664FA" w:rsidRPr="008B3A69">
        <w:t>the</w:t>
      </w:r>
      <w:r w:rsidRPr="008B3A69">
        <w:t xml:space="preserve"> </w:t>
      </w:r>
      <w:r w:rsidR="00EC75BA" w:rsidRPr="008B3A69">
        <w:t xml:space="preserve">univariate </w:t>
      </w:r>
      <w:r w:rsidRPr="008B3A69">
        <w:t xml:space="preserve">sensitivity analyses </w:t>
      </w:r>
      <w:r w:rsidR="00EC75BA" w:rsidRPr="008B3A69">
        <w:t>around each of these factors</w:t>
      </w:r>
      <w:r w:rsidR="00CD3E5F" w:rsidRPr="008B3A69">
        <w:t xml:space="preserve"> </w:t>
      </w:r>
      <w:r w:rsidR="008A79EB">
        <w:t xml:space="preserve">were </w:t>
      </w:r>
      <w:r w:rsidR="00CD3E5F" w:rsidRPr="008B3A69">
        <w:t>highly informative, noting they</w:t>
      </w:r>
      <w:r w:rsidR="00EC75BA" w:rsidRPr="008B3A69">
        <w:t xml:space="preserve"> resulted in </w:t>
      </w:r>
      <w:r w:rsidRPr="008B3A69">
        <w:t xml:space="preserve">ICERs over </w:t>
      </w:r>
      <w:r w:rsidR="00297534" w:rsidRPr="00297534">
        <w:t>$355,000 to &lt; $455,000</w:t>
      </w:r>
      <w:r w:rsidRPr="008B3A69">
        <w:t>/QALY</w:t>
      </w:r>
      <w:r w:rsidR="008A79EB">
        <w:t>. M</w:t>
      </w:r>
      <w:r w:rsidR="00EC75BA" w:rsidRPr="008B3A69">
        <w:t>ultivariate sensitivity analyses addressing all three of these factors would result in substantially higher ICER</w:t>
      </w:r>
      <w:r w:rsidR="00572BD3" w:rsidRPr="008B3A69">
        <w:t>s</w:t>
      </w:r>
      <w:r w:rsidR="00EC75BA" w:rsidRPr="008B3A69">
        <w:t>/QALY</w:t>
      </w:r>
      <w:r w:rsidR="0077480C" w:rsidRPr="008B3A69">
        <w:t>. However, overall, the ESC</w:t>
      </w:r>
      <w:r w:rsidR="00EC75BA" w:rsidRPr="008B3A69">
        <w:t xml:space="preserve"> considered that such </w:t>
      </w:r>
      <w:r w:rsidR="0077480C" w:rsidRPr="008B3A69">
        <w:t xml:space="preserve">multivariate sensitivity </w:t>
      </w:r>
      <w:r w:rsidR="00EC75BA" w:rsidRPr="008B3A69">
        <w:t>analyses would not address the fundamental issue that the model structure</w:t>
      </w:r>
      <w:r w:rsidR="00D47047" w:rsidRPr="008B3A69">
        <w:t xml:space="preserve">, the modelled population and </w:t>
      </w:r>
      <w:r w:rsidR="00C217BD">
        <w:t xml:space="preserve">the </w:t>
      </w:r>
      <w:r w:rsidR="00906D9D" w:rsidRPr="008B3A69">
        <w:t>treatment setting</w:t>
      </w:r>
      <w:r w:rsidR="00EC75BA" w:rsidRPr="008B3A69">
        <w:t xml:space="preserve"> would need to be </w:t>
      </w:r>
      <w:r w:rsidR="00906D9D" w:rsidRPr="008B3A69">
        <w:t>based on</w:t>
      </w:r>
      <w:r w:rsidR="00EC75BA" w:rsidRPr="008B3A69">
        <w:t xml:space="preserve"> </w:t>
      </w:r>
      <w:r w:rsidR="005F7808" w:rsidRPr="008B3A69">
        <w:t xml:space="preserve">an appropriate </w:t>
      </w:r>
      <w:r w:rsidR="00EC75BA" w:rsidRPr="008B3A69">
        <w:t>place in therapy.</w:t>
      </w:r>
      <w:bookmarkEnd w:id="60"/>
    </w:p>
    <w:p w14:paraId="472842D7" w14:textId="54BE24C1" w:rsidR="00C25D9C" w:rsidRPr="008B3A69" w:rsidRDefault="00C25D9C" w:rsidP="00BB732D">
      <w:pPr>
        <w:pStyle w:val="COMH2-non-numbered"/>
        <w:rPr>
          <w:iCs/>
        </w:rPr>
      </w:pPr>
      <w:bookmarkStart w:id="61" w:name="_Toc22897646"/>
      <w:bookmarkStart w:id="62" w:name="_Toc156986107"/>
      <w:r w:rsidRPr="008B3A69">
        <w:rPr>
          <w:iCs/>
        </w:rPr>
        <w:t>Dru</w:t>
      </w:r>
      <w:r w:rsidR="006D14F0" w:rsidRPr="008B3A69">
        <w:rPr>
          <w:iCs/>
        </w:rPr>
        <w:t>g</w:t>
      </w:r>
      <w:r w:rsidRPr="008B3A69">
        <w:rPr>
          <w:iCs/>
        </w:rPr>
        <w:t xml:space="preserve"> cost/patient/</w:t>
      </w:r>
      <w:bookmarkEnd w:id="61"/>
      <w:r w:rsidR="00D65EA0" w:rsidRPr="008B3A69">
        <w:rPr>
          <w:iCs/>
        </w:rPr>
        <w:t>course</w:t>
      </w:r>
      <w:bookmarkEnd w:id="62"/>
    </w:p>
    <w:p w14:paraId="59582FD1" w14:textId="6674283A" w:rsidR="005E66EB" w:rsidRPr="008B3A69" w:rsidRDefault="005E66EB" w:rsidP="005E66EB">
      <w:pPr>
        <w:pStyle w:val="COMexecsumnumberedpara"/>
        <w:rPr>
          <w:snapToGrid/>
        </w:rPr>
      </w:pPr>
      <w:bookmarkStart w:id="63" w:name="_Hlk107307804"/>
      <w:r w:rsidRPr="008B3A69">
        <w:rPr>
          <w:snapToGrid/>
        </w:rPr>
        <w:t>The estimated drug cost for ravulizumab in the first year of treatment was $</w:t>
      </w:r>
      <w:r w:rsidR="00AA076A" w:rsidRPr="00AA076A">
        <w:rPr>
          <w:snapToGrid/>
          <w:color w:val="000000"/>
          <w:w w:val="60"/>
          <w:shd w:val="solid" w:color="000000" w:fill="000000"/>
          <w:fitText w:val="470" w:id="-893118708"/>
          <w14:textFill>
            <w14:solidFill>
              <w14:srgbClr w14:val="000000">
                <w14:alpha w14:val="100000"/>
              </w14:srgbClr>
            </w14:solidFill>
          </w14:textFill>
        </w:rPr>
        <w:t>|||  ||</w:t>
      </w:r>
      <w:r w:rsidR="00AA076A" w:rsidRPr="00AA076A">
        <w:rPr>
          <w:snapToGrid/>
          <w:color w:val="000000"/>
          <w:spacing w:val="6"/>
          <w:w w:val="60"/>
          <w:shd w:val="solid" w:color="000000" w:fill="000000"/>
          <w:fitText w:val="470" w:id="-893118708"/>
          <w14:textFill>
            <w14:solidFill>
              <w14:srgbClr w14:val="000000">
                <w14:alpha w14:val="100000"/>
              </w14:srgbClr>
            </w14:solidFill>
          </w14:textFill>
        </w:rPr>
        <w:t>|</w:t>
      </w:r>
      <w:r w:rsidRPr="008B3A69">
        <w:rPr>
          <w:snapToGrid/>
        </w:rPr>
        <w:t xml:space="preserve"> (based on patients receiving 1 loading dose and 7 maintenance doses, assuming the same distribution of patients across weight categories as the CHAMPION-MG trial, and using the effective AEMP of $</w:t>
      </w:r>
      <w:r w:rsidR="00AA076A" w:rsidRPr="0081453B">
        <w:rPr>
          <w:snapToGrid/>
          <w:color w:val="000000"/>
          <w:w w:val="15"/>
          <w:shd w:val="solid" w:color="000000" w:fill="000000"/>
          <w:fitText w:val="-20" w:id="-893118707"/>
          <w14:textFill>
            <w14:solidFill>
              <w14:srgbClr w14:val="000000">
                <w14:alpha w14:val="100000"/>
              </w14:srgbClr>
            </w14:solidFill>
          </w14:textFill>
        </w:rPr>
        <w:t xml:space="preserve">|  </w:t>
      </w:r>
      <w:r w:rsidR="00AA076A" w:rsidRPr="0081453B">
        <w:rPr>
          <w:snapToGrid/>
          <w:color w:val="000000"/>
          <w:spacing w:val="-69"/>
          <w:w w:val="15"/>
          <w:shd w:val="solid" w:color="000000" w:fill="000000"/>
          <w:fitText w:val="-20" w:id="-893118707"/>
          <w14:textFill>
            <w14:solidFill>
              <w14:srgbClr w14:val="000000">
                <w14:alpha w14:val="100000"/>
              </w14:srgbClr>
            </w14:solidFill>
          </w14:textFill>
        </w:rPr>
        <w:t>|</w:t>
      </w:r>
      <w:r w:rsidRPr="008B3A69">
        <w:rPr>
          <w:snapToGrid/>
        </w:rPr>
        <w:t xml:space="preserve"> for the 300 mg vial with additional fees and markup for use in the private hospital setting). The estimated drug cost for ravulizumab in the second year of treatment was $</w:t>
      </w:r>
      <w:r w:rsidR="00AA076A" w:rsidRPr="0081453B">
        <w:rPr>
          <w:snapToGrid/>
          <w:color w:val="000000"/>
          <w:w w:val="15"/>
          <w:shd w:val="solid" w:color="000000" w:fill="000000"/>
          <w:fitText w:val="-20" w:id="-893118706"/>
          <w14:textFill>
            <w14:solidFill>
              <w14:srgbClr w14:val="000000">
                <w14:alpha w14:val="100000"/>
              </w14:srgbClr>
            </w14:solidFill>
          </w14:textFill>
        </w:rPr>
        <w:t xml:space="preserve">|  </w:t>
      </w:r>
      <w:r w:rsidR="00AA076A" w:rsidRPr="0081453B">
        <w:rPr>
          <w:snapToGrid/>
          <w:color w:val="000000"/>
          <w:spacing w:val="-69"/>
          <w:w w:val="15"/>
          <w:shd w:val="solid" w:color="000000" w:fill="000000"/>
          <w:fitText w:val="-20" w:id="-893118706"/>
          <w14:textFill>
            <w14:solidFill>
              <w14:srgbClr w14:val="000000">
                <w14:alpha w14:val="100000"/>
              </w14:srgbClr>
            </w14:solidFill>
          </w14:textFill>
        </w:rPr>
        <w:t>|</w:t>
      </w:r>
      <w:r w:rsidRPr="008B3A69">
        <w:rPr>
          <w:snapToGrid/>
        </w:rPr>
        <w:t xml:space="preserve"> (based on patients receiving 6 maintenance doses with the same assumptions as the first year calculations). </w:t>
      </w:r>
    </w:p>
    <w:p w14:paraId="78D00523" w14:textId="65A04F78" w:rsidR="00D65EA0" w:rsidRPr="008B3A69" w:rsidRDefault="005E66EB" w:rsidP="005E66EB">
      <w:pPr>
        <w:pStyle w:val="COMexecsumnumberedpara"/>
        <w:rPr>
          <w:snapToGrid/>
        </w:rPr>
      </w:pPr>
      <w:r w:rsidRPr="008B3A69">
        <w:rPr>
          <w:snapToGrid/>
        </w:rPr>
        <w:t>The estimated annual drug cost for standard therapy (anticholinesterases, corticosteroids and other immunosuppressive agents) was $2,444 per year. The estimated annual cost for chronic IVIg therapy (including procedure costs) was $</w:t>
      </w:r>
      <w:r w:rsidR="00AA076A" w:rsidRPr="0081453B">
        <w:rPr>
          <w:snapToGrid/>
          <w:color w:val="000000"/>
          <w:w w:val="15"/>
          <w:shd w:val="solid" w:color="000000" w:fill="000000"/>
          <w:fitText w:val="-20" w:id="-893118705"/>
          <w14:textFill>
            <w14:solidFill>
              <w14:srgbClr w14:val="000000">
                <w14:alpha w14:val="100000"/>
              </w14:srgbClr>
            </w14:solidFill>
          </w14:textFill>
        </w:rPr>
        <w:t xml:space="preserve">|  </w:t>
      </w:r>
      <w:r w:rsidR="00AA076A" w:rsidRPr="0081453B">
        <w:rPr>
          <w:snapToGrid/>
          <w:color w:val="000000"/>
          <w:spacing w:val="-69"/>
          <w:w w:val="15"/>
          <w:shd w:val="solid" w:color="000000" w:fill="000000"/>
          <w:fitText w:val="-20" w:id="-893118705"/>
          <w14:textFill>
            <w14:solidFill>
              <w14:srgbClr w14:val="000000">
                <w14:alpha w14:val="100000"/>
              </w14:srgbClr>
            </w14:solidFill>
          </w14:textFill>
        </w:rPr>
        <w:t>|</w:t>
      </w:r>
      <w:r w:rsidRPr="008B3A69">
        <w:rPr>
          <w:snapToGrid/>
        </w:rPr>
        <w:t>per year. The estimated annual costs for chronic PLEX (including procedure costs) was $</w:t>
      </w:r>
      <w:r w:rsidR="00AA076A" w:rsidRPr="0081453B">
        <w:rPr>
          <w:snapToGrid/>
          <w:color w:val="000000"/>
          <w:w w:val="15"/>
          <w:shd w:val="solid" w:color="000000" w:fill="000000"/>
          <w:fitText w:val="-20" w:id="-893118704"/>
          <w14:textFill>
            <w14:solidFill>
              <w14:srgbClr w14:val="000000">
                <w14:alpha w14:val="100000"/>
              </w14:srgbClr>
            </w14:solidFill>
          </w14:textFill>
        </w:rPr>
        <w:t xml:space="preserve">|  </w:t>
      </w:r>
      <w:r w:rsidR="00AA076A" w:rsidRPr="0081453B">
        <w:rPr>
          <w:snapToGrid/>
          <w:color w:val="000000"/>
          <w:spacing w:val="-69"/>
          <w:w w:val="15"/>
          <w:shd w:val="solid" w:color="000000" w:fill="000000"/>
          <w:fitText w:val="-20" w:id="-893118704"/>
          <w14:textFill>
            <w14:solidFill>
              <w14:srgbClr w14:val="000000">
                <w14:alpha w14:val="100000"/>
              </w14:srgbClr>
            </w14:solidFill>
          </w14:textFill>
        </w:rPr>
        <w:t>|</w:t>
      </w:r>
      <w:r w:rsidRPr="008B3A69">
        <w:rPr>
          <w:snapToGrid/>
        </w:rPr>
        <w:t xml:space="preserve">per year. The estimated annual cost for cyclophosphamide was $989 in the first year and $1,143 in subsequent years. The estimated annual cost for rituximab was $865 per year. </w:t>
      </w:r>
    </w:p>
    <w:p w14:paraId="7AE16771" w14:textId="693DEB4E" w:rsidR="006D14F0" w:rsidRPr="008B3A69" w:rsidRDefault="005E66EB" w:rsidP="002B05A1">
      <w:pPr>
        <w:pStyle w:val="COMexecsumnumberedpara"/>
        <w:rPr>
          <w:snapToGrid/>
        </w:rPr>
      </w:pPr>
      <w:r w:rsidRPr="008B3A69">
        <w:rPr>
          <w:snapToGrid/>
        </w:rPr>
        <w:t>A comparison of</w:t>
      </w:r>
      <w:r w:rsidR="000060BA" w:rsidRPr="008B3A69">
        <w:rPr>
          <w:snapToGrid/>
        </w:rPr>
        <w:t xml:space="preserve"> ravulizumab</w:t>
      </w:r>
      <w:r w:rsidRPr="008B3A69">
        <w:rPr>
          <w:snapToGrid/>
        </w:rPr>
        <w:t xml:space="preserve"> drug costs (based on effective AEMP) across different sections of the subm</w:t>
      </w:r>
      <w:r w:rsidR="006B76E8" w:rsidRPr="008B3A69">
        <w:rPr>
          <w:snapToGrid/>
        </w:rPr>
        <w:t xml:space="preserve">ission is presented in </w:t>
      </w:r>
      <w:r w:rsidR="006B76E8" w:rsidRPr="008B3A69">
        <w:rPr>
          <w:snapToGrid/>
        </w:rPr>
        <w:fldChar w:fldCharType="begin" w:fldLock="1"/>
      </w:r>
      <w:r w:rsidR="006B76E8" w:rsidRPr="008B3A69">
        <w:rPr>
          <w:snapToGrid/>
        </w:rPr>
        <w:instrText xml:space="preserve"> REF _Ref155607699 \h </w:instrText>
      </w:r>
      <w:r w:rsidR="00291F22" w:rsidRPr="008B3A69">
        <w:rPr>
          <w:snapToGrid/>
        </w:rPr>
        <w:instrText xml:space="preserve"> \* MERGEFORMAT </w:instrText>
      </w:r>
      <w:r w:rsidR="006B76E8" w:rsidRPr="008B3A69">
        <w:rPr>
          <w:snapToGrid/>
        </w:rPr>
      </w:r>
      <w:r w:rsidR="006B76E8" w:rsidRPr="008B3A69">
        <w:rPr>
          <w:snapToGrid/>
        </w:rPr>
        <w:fldChar w:fldCharType="separate"/>
      </w:r>
      <w:r w:rsidR="0081771C" w:rsidRPr="008B3A69">
        <w:t xml:space="preserve">Table </w:t>
      </w:r>
      <w:r w:rsidR="0081771C">
        <w:t>12</w:t>
      </w:r>
      <w:r w:rsidR="006B76E8" w:rsidRPr="008B3A69">
        <w:rPr>
          <w:snapToGrid/>
        </w:rPr>
        <w:fldChar w:fldCharType="end"/>
      </w:r>
      <w:r w:rsidR="006D14F0" w:rsidRPr="008B3A69">
        <w:rPr>
          <w:snapToGrid/>
        </w:rPr>
        <w:t>.</w:t>
      </w:r>
    </w:p>
    <w:p w14:paraId="0744915B" w14:textId="1A9B362F" w:rsidR="006B76E8" w:rsidRPr="008B3A69" w:rsidRDefault="006B76E8" w:rsidP="00FE7FE7">
      <w:pPr>
        <w:pStyle w:val="COMtablefigcaption"/>
        <w:keepLines/>
      </w:pPr>
      <w:bookmarkStart w:id="64" w:name="_Ref155607699"/>
      <w:r w:rsidRPr="008B3A69">
        <w:t xml:space="preserve">Table </w:t>
      </w:r>
      <w:r w:rsidR="0065138C">
        <w:fldChar w:fldCharType="begin" w:fldLock="1"/>
      </w:r>
      <w:r w:rsidR="0065138C">
        <w:instrText xml:space="preserve"> SEQ Table \* ARABIC </w:instrText>
      </w:r>
      <w:r w:rsidR="0065138C">
        <w:fldChar w:fldCharType="separate"/>
      </w:r>
      <w:r w:rsidR="0081771C">
        <w:rPr>
          <w:noProof/>
        </w:rPr>
        <w:t>12</w:t>
      </w:r>
      <w:r w:rsidR="0065138C">
        <w:rPr>
          <w:noProof/>
        </w:rPr>
        <w:fldChar w:fldCharType="end"/>
      </w:r>
      <w:bookmarkEnd w:id="64"/>
      <w:r w:rsidRPr="008B3A69">
        <w:t xml:space="preserve">: Drug cost per patient for ravulizumab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2269"/>
        <w:gridCol w:w="2319"/>
        <w:gridCol w:w="2166"/>
      </w:tblGrid>
      <w:tr w:rsidR="006B76E8" w:rsidRPr="008B3A69" w14:paraId="3A9CF6C4" w14:textId="77777777" w:rsidTr="004B7132">
        <w:trPr>
          <w:cantSplit/>
          <w:tblHeader/>
          <w:jc w:val="center"/>
        </w:trPr>
        <w:tc>
          <w:tcPr>
            <w:tcW w:w="1255" w:type="pct"/>
            <w:shd w:val="clear" w:color="auto" w:fill="auto"/>
            <w:vAlign w:val="center"/>
          </w:tcPr>
          <w:p w14:paraId="6C88F79E" w14:textId="77777777" w:rsidR="006B76E8" w:rsidRPr="008B3A69" w:rsidRDefault="006B76E8" w:rsidP="00FE7FE7">
            <w:pPr>
              <w:pStyle w:val="COMTableheadingrow"/>
              <w:keepLines/>
              <w:jc w:val="center"/>
              <w:rPr>
                <w:lang w:val="en-AU"/>
              </w:rPr>
            </w:pPr>
          </w:p>
        </w:tc>
        <w:tc>
          <w:tcPr>
            <w:tcW w:w="1258" w:type="pct"/>
            <w:shd w:val="clear" w:color="auto" w:fill="auto"/>
            <w:vAlign w:val="center"/>
          </w:tcPr>
          <w:p w14:paraId="5D906501" w14:textId="77777777" w:rsidR="006B76E8" w:rsidRPr="008B3A69" w:rsidRDefault="006B76E8" w:rsidP="00FE7FE7">
            <w:pPr>
              <w:pStyle w:val="COMTableheadingrow"/>
              <w:keepLines/>
              <w:jc w:val="center"/>
              <w:rPr>
                <w:lang w:val="en-AU"/>
              </w:rPr>
            </w:pPr>
            <w:r w:rsidRPr="008B3A69">
              <w:rPr>
                <w:lang w:val="en-AU"/>
              </w:rPr>
              <w:t>Clinical trial</w:t>
            </w:r>
          </w:p>
        </w:tc>
        <w:tc>
          <w:tcPr>
            <w:tcW w:w="1286" w:type="pct"/>
            <w:shd w:val="clear" w:color="auto" w:fill="auto"/>
            <w:vAlign w:val="center"/>
          </w:tcPr>
          <w:p w14:paraId="077FB3E7" w14:textId="77777777" w:rsidR="006B76E8" w:rsidRPr="008B3A69" w:rsidRDefault="006B76E8" w:rsidP="00FE7FE7">
            <w:pPr>
              <w:pStyle w:val="COMTableheadingrow"/>
              <w:keepLines/>
              <w:jc w:val="center"/>
              <w:rPr>
                <w:lang w:val="en-AU"/>
              </w:rPr>
            </w:pPr>
            <w:r w:rsidRPr="008B3A69">
              <w:rPr>
                <w:lang w:val="en-AU"/>
              </w:rPr>
              <w:t>Economic model</w:t>
            </w:r>
          </w:p>
        </w:tc>
        <w:tc>
          <w:tcPr>
            <w:tcW w:w="1201" w:type="pct"/>
            <w:shd w:val="clear" w:color="auto" w:fill="auto"/>
            <w:vAlign w:val="center"/>
          </w:tcPr>
          <w:p w14:paraId="492564E8" w14:textId="77777777" w:rsidR="006B76E8" w:rsidRPr="008B3A69" w:rsidRDefault="006B76E8" w:rsidP="00FE7FE7">
            <w:pPr>
              <w:pStyle w:val="COMTableheadingrow"/>
              <w:keepLines/>
              <w:jc w:val="center"/>
              <w:rPr>
                <w:lang w:val="en-AU"/>
              </w:rPr>
            </w:pPr>
            <w:r w:rsidRPr="008B3A69">
              <w:rPr>
                <w:lang w:val="en-AU"/>
              </w:rPr>
              <w:t>Financial estimates</w:t>
            </w:r>
          </w:p>
        </w:tc>
      </w:tr>
      <w:tr w:rsidR="006B76E8" w:rsidRPr="008B3A69" w14:paraId="2EFE2F70" w14:textId="77777777" w:rsidTr="004B7132">
        <w:trPr>
          <w:cantSplit/>
          <w:jc w:val="center"/>
        </w:trPr>
        <w:tc>
          <w:tcPr>
            <w:tcW w:w="5000" w:type="pct"/>
            <w:gridSpan w:val="4"/>
            <w:shd w:val="clear" w:color="auto" w:fill="auto"/>
            <w:vAlign w:val="center"/>
          </w:tcPr>
          <w:p w14:paraId="32B398EB" w14:textId="124BBE8E" w:rsidR="006B76E8" w:rsidRPr="008B3A69" w:rsidRDefault="006B76E8" w:rsidP="00FE7FE7">
            <w:pPr>
              <w:pStyle w:val="COMTabletext"/>
              <w:keepLines/>
              <w:rPr>
                <w:b/>
                <w:bCs w:val="0"/>
              </w:rPr>
            </w:pPr>
            <w:r w:rsidRPr="008B3A69">
              <w:rPr>
                <w:b/>
                <w:bCs w:val="0"/>
              </w:rPr>
              <w:t>Initial treatment prior to response assessment</w:t>
            </w:r>
            <w:r w:rsidR="008E06DE" w:rsidRPr="008B3A69">
              <w:rPr>
                <w:b/>
                <w:bCs w:val="0"/>
              </w:rPr>
              <w:t xml:space="preserve"> at 6 months</w:t>
            </w:r>
          </w:p>
        </w:tc>
      </w:tr>
      <w:tr w:rsidR="006B76E8" w:rsidRPr="008B3A69" w14:paraId="4BD37C2E" w14:textId="77777777" w:rsidTr="004B7132">
        <w:trPr>
          <w:cantSplit/>
          <w:jc w:val="center"/>
        </w:trPr>
        <w:tc>
          <w:tcPr>
            <w:tcW w:w="1255" w:type="pct"/>
            <w:shd w:val="clear" w:color="auto" w:fill="auto"/>
            <w:vAlign w:val="center"/>
          </w:tcPr>
          <w:p w14:paraId="686E9AC6" w14:textId="7C47EA9E" w:rsidR="006B76E8" w:rsidRPr="008B3A69" w:rsidRDefault="006B76E8" w:rsidP="00FE7FE7">
            <w:pPr>
              <w:pStyle w:val="COMTabletext"/>
              <w:keepLines/>
            </w:pPr>
            <w:r w:rsidRPr="008B3A69">
              <w:t>Dose intensity</w:t>
            </w:r>
          </w:p>
        </w:tc>
        <w:tc>
          <w:tcPr>
            <w:tcW w:w="1258" w:type="pct"/>
            <w:shd w:val="clear" w:color="auto" w:fill="auto"/>
            <w:vAlign w:val="center"/>
          </w:tcPr>
          <w:p w14:paraId="76349BE2" w14:textId="77777777" w:rsidR="006B76E8" w:rsidRPr="008B3A69" w:rsidRDefault="006B76E8" w:rsidP="00FE7FE7">
            <w:pPr>
              <w:pStyle w:val="COMTabletext"/>
              <w:keepLines/>
              <w:jc w:val="center"/>
              <w:rPr>
                <w:b/>
              </w:rPr>
            </w:pPr>
            <w:r w:rsidRPr="008B3A69">
              <w:rPr>
                <w:bCs w:val="0"/>
              </w:rPr>
              <w:t>96.5% of patients were 100% adherent with scheduled doses during the trial</w:t>
            </w:r>
          </w:p>
        </w:tc>
        <w:tc>
          <w:tcPr>
            <w:tcW w:w="1286" w:type="pct"/>
            <w:shd w:val="clear" w:color="auto" w:fill="auto"/>
            <w:vAlign w:val="center"/>
          </w:tcPr>
          <w:p w14:paraId="5B4D13E7" w14:textId="77777777" w:rsidR="006B76E8" w:rsidRPr="008B3A69" w:rsidRDefault="006B76E8" w:rsidP="00FE7FE7">
            <w:pPr>
              <w:pStyle w:val="COMTabletext"/>
              <w:keepLines/>
              <w:jc w:val="center"/>
              <w:rPr>
                <w:bCs w:val="0"/>
              </w:rPr>
            </w:pPr>
            <w:r w:rsidRPr="008B3A69">
              <w:rPr>
                <w:bCs w:val="0"/>
              </w:rPr>
              <w:t>100%</w:t>
            </w:r>
          </w:p>
        </w:tc>
        <w:tc>
          <w:tcPr>
            <w:tcW w:w="1201" w:type="pct"/>
            <w:shd w:val="clear" w:color="auto" w:fill="auto"/>
            <w:vAlign w:val="center"/>
          </w:tcPr>
          <w:p w14:paraId="370166DA" w14:textId="77777777" w:rsidR="006B76E8" w:rsidRPr="008B3A69" w:rsidRDefault="006B76E8" w:rsidP="00FE7FE7">
            <w:pPr>
              <w:pStyle w:val="COMTabletext"/>
              <w:keepLines/>
              <w:jc w:val="center"/>
              <w:rPr>
                <w:bCs w:val="0"/>
              </w:rPr>
            </w:pPr>
            <w:r w:rsidRPr="008B3A69">
              <w:rPr>
                <w:bCs w:val="0"/>
              </w:rPr>
              <w:t>91.7%</w:t>
            </w:r>
          </w:p>
        </w:tc>
      </w:tr>
      <w:tr w:rsidR="006B76E8" w:rsidRPr="008B3A69" w14:paraId="677DF9DF" w14:textId="77777777" w:rsidTr="004B7132">
        <w:trPr>
          <w:cantSplit/>
          <w:jc w:val="center"/>
        </w:trPr>
        <w:tc>
          <w:tcPr>
            <w:tcW w:w="1255" w:type="pct"/>
            <w:shd w:val="clear" w:color="auto" w:fill="auto"/>
            <w:vAlign w:val="center"/>
          </w:tcPr>
          <w:p w14:paraId="0B4FD964" w14:textId="77777777" w:rsidR="006B76E8" w:rsidRPr="008B3A69" w:rsidRDefault="006B76E8" w:rsidP="00FE7FE7">
            <w:pPr>
              <w:pStyle w:val="COMTabletext"/>
              <w:keepLines/>
            </w:pPr>
            <w:r w:rsidRPr="008B3A69">
              <w:t>Persistence</w:t>
            </w:r>
          </w:p>
        </w:tc>
        <w:tc>
          <w:tcPr>
            <w:tcW w:w="1258" w:type="pct"/>
            <w:shd w:val="clear" w:color="auto" w:fill="auto"/>
            <w:vAlign w:val="center"/>
          </w:tcPr>
          <w:p w14:paraId="11537B4B" w14:textId="77777777" w:rsidR="006B76E8" w:rsidRPr="008B3A69" w:rsidRDefault="006B76E8" w:rsidP="00FE7FE7">
            <w:pPr>
              <w:pStyle w:val="COMTabletext"/>
              <w:keepLines/>
              <w:jc w:val="center"/>
              <w:rPr>
                <w:bCs w:val="0"/>
              </w:rPr>
            </w:pPr>
            <w:r w:rsidRPr="008B3A69">
              <w:rPr>
                <w:bCs w:val="0"/>
              </w:rPr>
              <w:t>91.9%</w:t>
            </w:r>
          </w:p>
        </w:tc>
        <w:tc>
          <w:tcPr>
            <w:tcW w:w="1286" w:type="pct"/>
            <w:shd w:val="clear" w:color="auto" w:fill="auto"/>
            <w:vAlign w:val="center"/>
          </w:tcPr>
          <w:p w14:paraId="4AAD94EF" w14:textId="77777777" w:rsidR="006B76E8" w:rsidRPr="008B3A69" w:rsidRDefault="006B76E8" w:rsidP="00FE7FE7">
            <w:pPr>
              <w:pStyle w:val="COMTabletext"/>
              <w:keepLines/>
              <w:jc w:val="center"/>
              <w:rPr>
                <w:bCs w:val="0"/>
              </w:rPr>
            </w:pPr>
            <w:r w:rsidRPr="008B3A69">
              <w:rPr>
                <w:bCs w:val="0"/>
              </w:rPr>
              <w:t>99.9%</w:t>
            </w:r>
          </w:p>
        </w:tc>
        <w:tc>
          <w:tcPr>
            <w:tcW w:w="1201" w:type="pct"/>
            <w:shd w:val="clear" w:color="auto" w:fill="auto"/>
            <w:vAlign w:val="center"/>
          </w:tcPr>
          <w:p w14:paraId="00376082" w14:textId="77777777" w:rsidR="006B76E8" w:rsidRPr="008B3A69" w:rsidRDefault="006B76E8" w:rsidP="00FE7FE7">
            <w:pPr>
              <w:pStyle w:val="COMTabletext"/>
              <w:keepLines/>
              <w:jc w:val="center"/>
              <w:rPr>
                <w:bCs w:val="0"/>
              </w:rPr>
            </w:pPr>
            <w:r w:rsidRPr="008B3A69">
              <w:rPr>
                <w:bCs w:val="0"/>
              </w:rPr>
              <w:t>100%</w:t>
            </w:r>
          </w:p>
        </w:tc>
      </w:tr>
      <w:tr w:rsidR="006B76E8" w:rsidRPr="008B3A69" w14:paraId="273407A4" w14:textId="77777777" w:rsidTr="004B7132">
        <w:trPr>
          <w:cantSplit/>
          <w:jc w:val="center"/>
        </w:trPr>
        <w:tc>
          <w:tcPr>
            <w:tcW w:w="1255" w:type="pct"/>
            <w:shd w:val="clear" w:color="auto" w:fill="auto"/>
            <w:vAlign w:val="center"/>
          </w:tcPr>
          <w:p w14:paraId="66E7C504" w14:textId="77777777" w:rsidR="006B76E8" w:rsidRPr="008B3A69" w:rsidRDefault="006B76E8" w:rsidP="00FE7FE7">
            <w:pPr>
              <w:pStyle w:val="COMTabletext"/>
              <w:keepLines/>
            </w:pPr>
            <w:r w:rsidRPr="008B3A69">
              <w:t>Average total dose administered (mg)</w:t>
            </w:r>
          </w:p>
        </w:tc>
        <w:tc>
          <w:tcPr>
            <w:tcW w:w="1258" w:type="pct"/>
            <w:shd w:val="clear" w:color="auto" w:fill="auto"/>
            <w:vAlign w:val="center"/>
          </w:tcPr>
          <w:p w14:paraId="647E0CFB" w14:textId="77777777" w:rsidR="006B76E8" w:rsidRPr="008B3A69" w:rsidRDefault="006B76E8" w:rsidP="00FE7FE7">
            <w:pPr>
              <w:pStyle w:val="COMTabletext"/>
              <w:keepLines/>
              <w:jc w:val="center"/>
              <w:rPr>
                <w:bCs w:val="0"/>
              </w:rPr>
            </w:pPr>
            <w:r w:rsidRPr="008B3A69">
              <w:rPr>
                <w:bCs w:val="0"/>
              </w:rPr>
              <w:t>12,759 mg</w:t>
            </w:r>
          </w:p>
          <w:p w14:paraId="52C4F3EA" w14:textId="77777777" w:rsidR="006B76E8" w:rsidRPr="008B3A69" w:rsidRDefault="006B76E8" w:rsidP="00FE7FE7">
            <w:pPr>
              <w:pStyle w:val="COMTabletext"/>
              <w:keepLines/>
              <w:jc w:val="center"/>
              <w:rPr>
                <w:bCs w:val="0"/>
              </w:rPr>
            </w:pPr>
            <w:r w:rsidRPr="008B3A69">
              <w:rPr>
                <w:bCs w:val="0"/>
              </w:rPr>
              <w:t>(dispensed as approximately 42.5 x 300 mg vials)</w:t>
            </w:r>
          </w:p>
        </w:tc>
        <w:tc>
          <w:tcPr>
            <w:tcW w:w="1286" w:type="pct"/>
            <w:shd w:val="clear" w:color="auto" w:fill="auto"/>
            <w:vAlign w:val="center"/>
          </w:tcPr>
          <w:p w14:paraId="68CE4613" w14:textId="77777777" w:rsidR="006B76E8" w:rsidRPr="008B3A69" w:rsidRDefault="006B76E8" w:rsidP="00FE7FE7">
            <w:pPr>
              <w:pStyle w:val="COMTabletext"/>
              <w:keepLines/>
              <w:jc w:val="center"/>
              <w:rPr>
                <w:bCs w:val="0"/>
              </w:rPr>
            </w:pPr>
            <w:r w:rsidRPr="008B3A69">
              <w:rPr>
                <w:bCs w:val="0"/>
              </w:rPr>
              <w:t xml:space="preserve">12,905 mg </w:t>
            </w:r>
          </w:p>
          <w:p w14:paraId="4C634096" w14:textId="77777777" w:rsidR="006B76E8" w:rsidRPr="008B3A69" w:rsidRDefault="006B76E8" w:rsidP="00FE7FE7">
            <w:pPr>
              <w:pStyle w:val="COMTabletext"/>
              <w:keepLines/>
              <w:jc w:val="center"/>
              <w:rPr>
                <w:bCs w:val="0"/>
              </w:rPr>
            </w:pPr>
            <w:r w:rsidRPr="008B3A69">
              <w:rPr>
                <w:bCs w:val="0"/>
              </w:rPr>
              <w:t>(dispensed as approximately 43.0 × 300 mg vials)</w:t>
            </w:r>
          </w:p>
        </w:tc>
        <w:tc>
          <w:tcPr>
            <w:tcW w:w="1201" w:type="pct"/>
            <w:shd w:val="clear" w:color="auto" w:fill="auto"/>
            <w:vAlign w:val="center"/>
          </w:tcPr>
          <w:p w14:paraId="16B193BC" w14:textId="77777777" w:rsidR="006B76E8" w:rsidRPr="008B3A69" w:rsidRDefault="006B76E8" w:rsidP="00FE7FE7">
            <w:pPr>
              <w:pStyle w:val="COMTabletext"/>
              <w:keepLines/>
              <w:jc w:val="center"/>
              <w:rPr>
                <w:bCs w:val="0"/>
              </w:rPr>
            </w:pPr>
            <w:r w:rsidRPr="008B3A69">
              <w:rPr>
                <w:bCs w:val="0"/>
              </w:rPr>
              <w:t xml:space="preserve">11,837 mg </w:t>
            </w:r>
          </w:p>
          <w:p w14:paraId="357D5396" w14:textId="77777777" w:rsidR="006B76E8" w:rsidRPr="008B3A69" w:rsidRDefault="006B76E8" w:rsidP="00FE7FE7">
            <w:pPr>
              <w:pStyle w:val="COMTabletext"/>
              <w:keepLines/>
              <w:jc w:val="center"/>
              <w:rPr>
                <w:bCs w:val="0"/>
              </w:rPr>
            </w:pPr>
            <w:r w:rsidRPr="008B3A69">
              <w:rPr>
                <w:bCs w:val="0"/>
              </w:rPr>
              <w:t>(dispensed as approximately 12.3 × 300 mg vials and</w:t>
            </w:r>
          </w:p>
          <w:p w14:paraId="23FC757D" w14:textId="77777777" w:rsidR="006B76E8" w:rsidRPr="008B3A69" w:rsidRDefault="006B76E8" w:rsidP="00FE7FE7">
            <w:pPr>
              <w:pStyle w:val="COMTabletext"/>
              <w:keepLines/>
              <w:jc w:val="center"/>
              <w:rPr>
                <w:bCs w:val="0"/>
              </w:rPr>
            </w:pPr>
            <w:r w:rsidRPr="008B3A69">
              <w:rPr>
                <w:bCs w:val="0"/>
              </w:rPr>
              <w:t>7.4 × 1,100 mg vials)</w:t>
            </w:r>
          </w:p>
        </w:tc>
      </w:tr>
      <w:tr w:rsidR="006B76E8" w:rsidRPr="008B3A69" w14:paraId="2289775F" w14:textId="77777777" w:rsidTr="004B7132">
        <w:trPr>
          <w:cantSplit/>
          <w:jc w:val="center"/>
        </w:trPr>
        <w:tc>
          <w:tcPr>
            <w:tcW w:w="1255" w:type="pct"/>
            <w:shd w:val="clear" w:color="auto" w:fill="auto"/>
            <w:vAlign w:val="center"/>
          </w:tcPr>
          <w:p w14:paraId="1215E025" w14:textId="77777777" w:rsidR="006B76E8" w:rsidRPr="008B3A69" w:rsidRDefault="006B76E8" w:rsidP="00FE7FE7">
            <w:pPr>
              <w:pStyle w:val="COMTabletext"/>
              <w:keepLines/>
            </w:pPr>
            <w:r w:rsidRPr="008B3A69">
              <w:t>Cost per vial (AEMP)</w:t>
            </w:r>
          </w:p>
        </w:tc>
        <w:tc>
          <w:tcPr>
            <w:tcW w:w="1258" w:type="pct"/>
            <w:shd w:val="clear" w:color="auto" w:fill="auto"/>
            <w:vAlign w:val="center"/>
          </w:tcPr>
          <w:p w14:paraId="6C449C71" w14:textId="77777777" w:rsidR="006B76E8" w:rsidRPr="008B3A69" w:rsidRDefault="006B76E8" w:rsidP="00FE7FE7">
            <w:pPr>
              <w:pStyle w:val="COMTabletext"/>
              <w:keepLines/>
              <w:jc w:val="center"/>
              <w:rPr>
                <w:b/>
              </w:rPr>
            </w:pPr>
            <w:r w:rsidRPr="008B3A69">
              <w:rPr>
                <w:b/>
              </w:rPr>
              <w:t>-</w:t>
            </w:r>
          </w:p>
        </w:tc>
        <w:tc>
          <w:tcPr>
            <w:tcW w:w="1286" w:type="pct"/>
            <w:shd w:val="clear" w:color="auto" w:fill="auto"/>
            <w:vAlign w:val="center"/>
          </w:tcPr>
          <w:p w14:paraId="1F329350" w14:textId="6891040B" w:rsidR="006B76E8" w:rsidRPr="008B3A69" w:rsidRDefault="006B76E8" w:rsidP="00FE7FE7">
            <w:pPr>
              <w:pStyle w:val="COMTabletext"/>
              <w:keepLines/>
              <w:jc w:val="center"/>
              <w:rPr>
                <w:bCs w:val="0"/>
              </w:rPr>
            </w:pPr>
            <w:r w:rsidRPr="008B3A69">
              <w:rPr>
                <w:bCs w:val="0"/>
              </w:rPr>
              <w:t>300 mg vial: $</w:t>
            </w:r>
            <w:r w:rsidR="00AA076A" w:rsidRPr="00AA076A">
              <w:rPr>
                <w:bCs w:val="0"/>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724A2C11" w14:textId="506649DC" w:rsidR="006B76E8" w:rsidRPr="008B3A69" w:rsidRDefault="006B76E8" w:rsidP="00FE7FE7">
            <w:pPr>
              <w:pStyle w:val="COMTabletext"/>
              <w:keepLines/>
              <w:jc w:val="center"/>
            </w:pPr>
            <w:r w:rsidRPr="008B3A69">
              <w:t>300 mg vial: $</w:t>
            </w:r>
            <w:r w:rsidR="00AA076A" w:rsidRPr="00AA076A">
              <w:rPr>
                <w:color w:val="000000"/>
                <w:spacing w:val="51"/>
                <w:shd w:val="solid" w:color="000000" w:fill="000000"/>
                <w:fitText w:val="230" w:id="-893118720"/>
                <w14:textFill>
                  <w14:solidFill>
                    <w14:srgbClr w14:val="000000">
                      <w14:alpha w14:val="100000"/>
                    </w14:srgbClr>
                  </w14:solidFill>
                </w14:textFill>
              </w:rPr>
              <w:t>||</w:t>
            </w:r>
            <w:r w:rsidR="00AA076A" w:rsidRPr="00AA076A">
              <w:rPr>
                <w:color w:val="000000"/>
                <w:spacing w:val="1"/>
                <w:shd w:val="solid" w:color="000000" w:fill="000000"/>
                <w:fitText w:val="230" w:id="-893118720"/>
                <w14:textFill>
                  <w14:solidFill>
                    <w14:srgbClr w14:val="000000">
                      <w14:alpha w14:val="100000"/>
                    </w14:srgbClr>
                  </w14:solidFill>
                </w14:textFill>
              </w:rPr>
              <w:t>|</w:t>
            </w:r>
            <w:r w:rsidRPr="008B3A69">
              <w:t xml:space="preserve"> 1,100 mg vial: $</w:t>
            </w:r>
            <w:r w:rsidR="00AA076A" w:rsidRPr="00AA076A">
              <w:rPr>
                <w:color w:val="000000"/>
                <w:shd w:val="solid" w:color="000000" w:fill="000000"/>
                <w14:textFill>
                  <w14:solidFill>
                    <w14:srgbClr w14:val="000000">
                      <w14:alpha w14:val="100000"/>
                    </w14:srgbClr>
                  </w14:solidFill>
                </w14:textFill>
              </w:rPr>
              <w:t>|</w:t>
            </w:r>
          </w:p>
        </w:tc>
      </w:tr>
      <w:tr w:rsidR="006B76E8" w:rsidRPr="008B3A69" w14:paraId="77171F0A" w14:textId="77777777" w:rsidTr="004B7132">
        <w:trPr>
          <w:cantSplit/>
          <w:jc w:val="center"/>
        </w:trPr>
        <w:tc>
          <w:tcPr>
            <w:tcW w:w="1255" w:type="pct"/>
            <w:shd w:val="clear" w:color="auto" w:fill="auto"/>
            <w:vAlign w:val="center"/>
          </w:tcPr>
          <w:p w14:paraId="0EB54045" w14:textId="2EFEC59D" w:rsidR="006B76E8" w:rsidRPr="008B3A69" w:rsidRDefault="006B76E8" w:rsidP="00FE7FE7">
            <w:pPr>
              <w:pStyle w:val="COMTabletext"/>
              <w:keepLines/>
            </w:pPr>
            <w:r w:rsidRPr="008B3A69">
              <w:t xml:space="preserve">Cost of </w:t>
            </w:r>
            <w:r w:rsidR="00117AAF" w:rsidRPr="008B3A69">
              <w:t xml:space="preserve">6 months </w:t>
            </w:r>
            <w:r w:rsidRPr="008B3A69">
              <w:t>initial treatment (AEMP)</w:t>
            </w:r>
          </w:p>
        </w:tc>
        <w:tc>
          <w:tcPr>
            <w:tcW w:w="1258" w:type="pct"/>
            <w:shd w:val="clear" w:color="auto" w:fill="auto"/>
            <w:vAlign w:val="center"/>
          </w:tcPr>
          <w:p w14:paraId="5A6F58DA" w14:textId="77777777" w:rsidR="006B76E8" w:rsidRPr="008B3A69" w:rsidRDefault="006B76E8" w:rsidP="00FE7FE7">
            <w:pPr>
              <w:pStyle w:val="COMTabletext"/>
              <w:keepLines/>
              <w:jc w:val="center"/>
              <w:rPr>
                <w:b/>
              </w:rPr>
            </w:pPr>
            <w:r w:rsidRPr="008B3A69">
              <w:rPr>
                <w:b/>
              </w:rPr>
              <w:t>-</w:t>
            </w:r>
          </w:p>
        </w:tc>
        <w:tc>
          <w:tcPr>
            <w:tcW w:w="1286" w:type="pct"/>
            <w:shd w:val="clear" w:color="auto" w:fill="auto"/>
            <w:vAlign w:val="center"/>
          </w:tcPr>
          <w:p w14:paraId="7CB08F77" w14:textId="59A9444F" w:rsidR="006B76E8" w:rsidRPr="008B3A69" w:rsidRDefault="006B76E8" w:rsidP="00FE7FE7">
            <w:pPr>
              <w:pStyle w:val="COMTabletext"/>
              <w:keepLines/>
              <w:jc w:val="center"/>
              <w:rPr>
                <w:bCs w:val="0"/>
              </w:rPr>
            </w:pPr>
            <w:r w:rsidRPr="008B3A69">
              <w:rPr>
                <w:bCs w:val="0"/>
              </w:rPr>
              <w:t>$</w:t>
            </w:r>
            <w:r w:rsidR="00AA076A" w:rsidRPr="00AA076A">
              <w:rPr>
                <w:bCs w:val="0"/>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1C7CB421" w14:textId="587D08C0" w:rsidR="006B76E8" w:rsidRPr="008B3A69" w:rsidRDefault="006B76E8" w:rsidP="00FE7FE7">
            <w:pPr>
              <w:pStyle w:val="COMTabletext"/>
              <w:keepLines/>
              <w:jc w:val="center"/>
              <w:rPr>
                <w:bCs w:val="0"/>
              </w:rPr>
            </w:pPr>
            <w:r w:rsidRPr="008B3A69">
              <w:rPr>
                <w:bCs w:val="0"/>
              </w:rPr>
              <w:t>$</w:t>
            </w:r>
            <w:r w:rsidR="00AA076A" w:rsidRPr="00AA076A">
              <w:rPr>
                <w:bCs w:val="0"/>
                <w:color w:val="000000"/>
                <w:shd w:val="solid" w:color="000000" w:fill="000000"/>
                <w14:textFill>
                  <w14:solidFill>
                    <w14:srgbClr w14:val="000000">
                      <w14:alpha w14:val="100000"/>
                    </w14:srgbClr>
                  </w14:solidFill>
                </w14:textFill>
              </w:rPr>
              <w:t>|</w:t>
            </w:r>
          </w:p>
        </w:tc>
      </w:tr>
      <w:tr w:rsidR="006B76E8" w:rsidRPr="008B3A69" w14:paraId="4AE7F6F8" w14:textId="77777777" w:rsidTr="004B7132">
        <w:trPr>
          <w:cantSplit/>
          <w:jc w:val="center"/>
        </w:trPr>
        <w:tc>
          <w:tcPr>
            <w:tcW w:w="5000" w:type="pct"/>
            <w:gridSpan w:val="4"/>
            <w:shd w:val="clear" w:color="auto" w:fill="auto"/>
            <w:vAlign w:val="center"/>
          </w:tcPr>
          <w:p w14:paraId="4D0EC6A8" w14:textId="06CF0DBA" w:rsidR="006B76E8" w:rsidRPr="008B3A69" w:rsidRDefault="006B76E8" w:rsidP="00FE7FE7">
            <w:pPr>
              <w:pStyle w:val="COMTabletext"/>
              <w:keepLines/>
              <w:rPr>
                <w:b/>
                <w:bCs w:val="0"/>
              </w:rPr>
            </w:pPr>
            <w:r w:rsidRPr="008B3A69">
              <w:rPr>
                <w:b/>
                <w:bCs w:val="0"/>
              </w:rPr>
              <w:t>Continuing treatment in treatment responders</w:t>
            </w:r>
            <w:r w:rsidR="008E06DE" w:rsidRPr="008B3A69">
              <w:rPr>
                <w:b/>
                <w:bCs w:val="0"/>
              </w:rPr>
              <w:t xml:space="preserve"> between 6 months and 2 years</w:t>
            </w:r>
          </w:p>
        </w:tc>
      </w:tr>
      <w:tr w:rsidR="006B76E8" w:rsidRPr="008B3A69" w14:paraId="07AED3D7" w14:textId="77777777" w:rsidTr="004B7132">
        <w:trPr>
          <w:cantSplit/>
          <w:jc w:val="center"/>
        </w:trPr>
        <w:tc>
          <w:tcPr>
            <w:tcW w:w="1255" w:type="pct"/>
            <w:shd w:val="clear" w:color="auto" w:fill="auto"/>
            <w:vAlign w:val="center"/>
          </w:tcPr>
          <w:p w14:paraId="3FFA5D10" w14:textId="77777777" w:rsidR="006B76E8" w:rsidRPr="008B3A69" w:rsidRDefault="006B76E8" w:rsidP="00FE7FE7">
            <w:pPr>
              <w:pStyle w:val="COMTabletext"/>
              <w:keepLines/>
            </w:pPr>
            <w:r w:rsidRPr="008B3A69">
              <w:t>Proportion responders</w:t>
            </w:r>
          </w:p>
        </w:tc>
        <w:tc>
          <w:tcPr>
            <w:tcW w:w="1258" w:type="pct"/>
            <w:shd w:val="clear" w:color="auto" w:fill="auto"/>
            <w:vAlign w:val="center"/>
          </w:tcPr>
          <w:p w14:paraId="02D107E8" w14:textId="77777777" w:rsidR="006B76E8" w:rsidRPr="008B3A69" w:rsidRDefault="006B76E8" w:rsidP="00FE7FE7">
            <w:pPr>
              <w:pStyle w:val="COMTabletext"/>
              <w:keepLines/>
              <w:jc w:val="center"/>
              <w:rPr>
                <w:bCs w:val="0"/>
              </w:rPr>
            </w:pPr>
            <w:r w:rsidRPr="008B3A69">
              <w:rPr>
                <w:bCs w:val="0"/>
              </w:rPr>
              <w:t>63.9%</w:t>
            </w:r>
          </w:p>
        </w:tc>
        <w:tc>
          <w:tcPr>
            <w:tcW w:w="1286" w:type="pct"/>
            <w:shd w:val="clear" w:color="auto" w:fill="auto"/>
            <w:vAlign w:val="center"/>
          </w:tcPr>
          <w:p w14:paraId="282901A3" w14:textId="77777777" w:rsidR="006B76E8" w:rsidRPr="008B3A69" w:rsidRDefault="006B76E8" w:rsidP="00FE7FE7">
            <w:pPr>
              <w:pStyle w:val="COMTabletext"/>
              <w:keepLines/>
              <w:jc w:val="center"/>
              <w:rPr>
                <w:bCs w:val="0"/>
              </w:rPr>
            </w:pPr>
            <w:r w:rsidRPr="008B3A69">
              <w:rPr>
                <w:bCs w:val="0"/>
              </w:rPr>
              <w:t>63.9%</w:t>
            </w:r>
          </w:p>
        </w:tc>
        <w:tc>
          <w:tcPr>
            <w:tcW w:w="1201" w:type="pct"/>
            <w:shd w:val="clear" w:color="auto" w:fill="auto"/>
            <w:vAlign w:val="center"/>
          </w:tcPr>
          <w:p w14:paraId="48308017" w14:textId="77777777" w:rsidR="006B76E8" w:rsidRPr="008B3A69" w:rsidRDefault="006B76E8" w:rsidP="00FE7FE7">
            <w:pPr>
              <w:pStyle w:val="COMTabletext"/>
              <w:keepLines/>
              <w:jc w:val="center"/>
              <w:rPr>
                <w:bCs w:val="0"/>
              </w:rPr>
            </w:pPr>
            <w:r w:rsidRPr="008B3A69">
              <w:rPr>
                <w:bCs w:val="0"/>
              </w:rPr>
              <w:t>63.9%</w:t>
            </w:r>
          </w:p>
        </w:tc>
      </w:tr>
      <w:tr w:rsidR="006B76E8" w:rsidRPr="008B3A69" w14:paraId="2CDE5FC1" w14:textId="77777777" w:rsidTr="004B7132">
        <w:trPr>
          <w:cantSplit/>
          <w:jc w:val="center"/>
        </w:trPr>
        <w:tc>
          <w:tcPr>
            <w:tcW w:w="1255" w:type="pct"/>
            <w:shd w:val="clear" w:color="auto" w:fill="auto"/>
            <w:vAlign w:val="center"/>
          </w:tcPr>
          <w:p w14:paraId="59019EA5" w14:textId="77777777" w:rsidR="006B76E8" w:rsidRPr="008B3A69" w:rsidRDefault="006B76E8" w:rsidP="00FE7FE7">
            <w:pPr>
              <w:pStyle w:val="COMTabletext"/>
              <w:keepLines/>
            </w:pPr>
            <w:r w:rsidRPr="008B3A69">
              <w:t>Dose intensity</w:t>
            </w:r>
          </w:p>
        </w:tc>
        <w:tc>
          <w:tcPr>
            <w:tcW w:w="1258" w:type="pct"/>
            <w:shd w:val="clear" w:color="auto" w:fill="auto"/>
            <w:vAlign w:val="center"/>
          </w:tcPr>
          <w:p w14:paraId="2E2FFAFB" w14:textId="77777777" w:rsidR="006B76E8" w:rsidRPr="008B3A69" w:rsidRDefault="006B76E8" w:rsidP="00FE7FE7">
            <w:pPr>
              <w:pStyle w:val="COMTabletext"/>
              <w:keepLines/>
              <w:jc w:val="center"/>
              <w:rPr>
                <w:bCs w:val="0"/>
              </w:rPr>
            </w:pPr>
            <w:r w:rsidRPr="008B3A69">
              <w:rPr>
                <w:bCs w:val="0"/>
              </w:rPr>
              <w:t>-</w:t>
            </w:r>
          </w:p>
        </w:tc>
        <w:tc>
          <w:tcPr>
            <w:tcW w:w="1286" w:type="pct"/>
            <w:shd w:val="clear" w:color="auto" w:fill="auto"/>
            <w:vAlign w:val="center"/>
          </w:tcPr>
          <w:p w14:paraId="01BC3D43" w14:textId="77777777" w:rsidR="006B76E8" w:rsidRPr="008B3A69" w:rsidRDefault="006B76E8" w:rsidP="00FE7FE7">
            <w:pPr>
              <w:pStyle w:val="COMTabletext"/>
              <w:keepLines/>
              <w:jc w:val="center"/>
              <w:rPr>
                <w:bCs w:val="0"/>
              </w:rPr>
            </w:pPr>
            <w:r w:rsidRPr="008B3A69">
              <w:rPr>
                <w:bCs w:val="0"/>
              </w:rPr>
              <w:t>91.7%</w:t>
            </w:r>
          </w:p>
        </w:tc>
        <w:tc>
          <w:tcPr>
            <w:tcW w:w="1201" w:type="pct"/>
            <w:shd w:val="clear" w:color="auto" w:fill="auto"/>
            <w:vAlign w:val="center"/>
          </w:tcPr>
          <w:p w14:paraId="2D86F128" w14:textId="77777777" w:rsidR="006B76E8" w:rsidRPr="008B3A69" w:rsidRDefault="006B76E8" w:rsidP="00FE7FE7">
            <w:pPr>
              <w:pStyle w:val="COMTabletext"/>
              <w:keepLines/>
              <w:jc w:val="center"/>
              <w:rPr>
                <w:bCs w:val="0"/>
              </w:rPr>
            </w:pPr>
            <w:r w:rsidRPr="008B3A69">
              <w:rPr>
                <w:bCs w:val="0"/>
              </w:rPr>
              <w:t>91.7%</w:t>
            </w:r>
          </w:p>
        </w:tc>
      </w:tr>
      <w:tr w:rsidR="006B76E8" w:rsidRPr="008B3A69" w14:paraId="7C303E40" w14:textId="77777777" w:rsidTr="004B7132">
        <w:trPr>
          <w:cantSplit/>
          <w:jc w:val="center"/>
        </w:trPr>
        <w:tc>
          <w:tcPr>
            <w:tcW w:w="1255" w:type="pct"/>
            <w:shd w:val="clear" w:color="auto" w:fill="auto"/>
            <w:vAlign w:val="center"/>
          </w:tcPr>
          <w:p w14:paraId="6A0C3FE2" w14:textId="77777777" w:rsidR="006B76E8" w:rsidRPr="008B3A69" w:rsidRDefault="006B76E8" w:rsidP="00FE7FE7">
            <w:pPr>
              <w:pStyle w:val="COMTabletext"/>
              <w:keepLines/>
            </w:pPr>
            <w:r w:rsidRPr="008B3A69">
              <w:t>Persistence</w:t>
            </w:r>
          </w:p>
        </w:tc>
        <w:tc>
          <w:tcPr>
            <w:tcW w:w="1258" w:type="pct"/>
            <w:shd w:val="clear" w:color="auto" w:fill="auto"/>
            <w:vAlign w:val="center"/>
          </w:tcPr>
          <w:p w14:paraId="72FBB9F5" w14:textId="77777777" w:rsidR="006B76E8" w:rsidRPr="008B3A69" w:rsidRDefault="006B76E8" w:rsidP="00FE7FE7">
            <w:pPr>
              <w:pStyle w:val="COMTabletext"/>
              <w:keepLines/>
              <w:jc w:val="center"/>
              <w:rPr>
                <w:bCs w:val="0"/>
              </w:rPr>
            </w:pPr>
            <w:r w:rsidRPr="008B3A69">
              <w:rPr>
                <w:bCs w:val="0"/>
              </w:rPr>
              <w:t>-</w:t>
            </w:r>
          </w:p>
        </w:tc>
        <w:tc>
          <w:tcPr>
            <w:tcW w:w="1286" w:type="pct"/>
            <w:shd w:val="clear" w:color="auto" w:fill="auto"/>
            <w:vAlign w:val="center"/>
          </w:tcPr>
          <w:p w14:paraId="3E19EBAF" w14:textId="77777777" w:rsidR="006B76E8" w:rsidRPr="008B3A69" w:rsidRDefault="006B76E8" w:rsidP="00FE7FE7">
            <w:pPr>
              <w:pStyle w:val="COMTabletext"/>
              <w:keepLines/>
              <w:jc w:val="center"/>
              <w:rPr>
                <w:bCs w:val="0"/>
              </w:rPr>
            </w:pPr>
            <w:r w:rsidRPr="008B3A69">
              <w:rPr>
                <w:bCs w:val="0"/>
              </w:rPr>
              <w:t>94.7% at 2 years</w:t>
            </w:r>
          </w:p>
        </w:tc>
        <w:tc>
          <w:tcPr>
            <w:tcW w:w="1201" w:type="pct"/>
            <w:shd w:val="clear" w:color="auto" w:fill="auto"/>
            <w:vAlign w:val="center"/>
          </w:tcPr>
          <w:p w14:paraId="03735FD6" w14:textId="77777777" w:rsidR="006B76E8" w:rsidRPr="008B3A69" w:rsidRDefault="006B76E8" w:rsidP="00FE7FE7">
            <w:pPr>
              <w:pStyle w:val="COMTabletext"/>
              <w:keepLines/>
              <w:jc w:val="center"/>
              <w:rPr>
                <w:bCs w:val="0"/>
              </w:rPr>
            </w:pPr>
            <w:r w:rsidRPr="008B3A69">
              <w:rPr>
                <w:bCs w:val="0"/>
              </w:rPr>
              <w:t>100% for 2 years</w:t>
            </w:r>
          </w:p>
        </w:tc>
      </w:tr>
      <w:tr w:rsidR="006B76E8" w:rsidRPr="008B3A69" w14:paraId="7EF2DCA0" w14:textId="77777777" w:rsidTr="004B7132">
        <w:trPr>
          <w:cantSplit/>
          <w:jc w:val="center"/>
        </w:trPr>
        <w:tc>
          <w:tcPr>
            <w:tcW w:w="1255" w:type="pct"/>
            <w:shd w:val="clear" w:color="auto" w:fill="auto"/>
            <w:vAlign w:val="center"/>
          </w:tcPr>
          <w:p w14:paraId="61D10F37" w14:textId="77777777" w:rsidR="006B76E8" w:rsidRPr="008B3A69" w:rsidRDefault="006B76E8" w:rsidP="00FE7FE7">
            <w:pPr>
              <w:pStyle w:val="COMTabletext"/>
              <w:keepLines/>
            </w:pPr>
            <w:r w:rsidRPr="008B3A69">
              <w:t>Average total dose administered (mg)</w:t>
            </w:r>
          </w:p>
        </w:tc>
        <w:tc>
          <w:tcPr>
            <w:tcW w:w="1258" w:type="pct"/>
            <w:shd w:val="clear" w:color="auto" w:fill="auto"/>
            <w:vAlign w:val="center"/>
          </w:tcPr>
          <w:p w14:paraId="2C419576" w14:textId="77777777" w:rsidR="006B76E8" w:rsidRPr="008B3A69" w:rsidRDefault="006B76E8" w:rsidP="00FE7FE7">
            <w:pPr>
              <w:pStyle w:val="COMTabletext"/>
              <w:keepLines/>
              <w:jc w:val="center"/>
              <w:rPr>
                <w:bCs w:val="0"/>
              </w:rPr>
            </w:pPr>
            <w:r w:rsidRPr="008B3A69">
              <w:rPr>
                <w:bCs w:val="0"/>
              </w:rPr>
              <w:t>-</w:t>
            </w:r>
          </w:p>
        </w:tc>
        <w:tc>
          <w:tcPr>
            <w:tcW w:w="1286" w:type="pct"/>
            <w:shd w:val="clear" w:color="auto" w:fill="auto"/>
            <w:vAlign w:val="center"/>
          </w:tcPr>
          <w:p w14:paraId="6B0F9998" w14:textId="77777777" w:rsidR="006B76E8" w:rsidRPr="008B3A69" w:rsidRDefault="006B76E8" w:rsidP="00FE7FE7">
            <w:pPr>
              <w:pStyle w:val="COMTabletext"/>
              <w:keepLines/>
              <w:jc w:val="center"/>
              <w:rPr>
                <w:bCs w:val="0"/>
              </w:rPr>
            </w:pPr>
            <w:r w:rsidRPr="008B3A69">
              <w:rPr>
                <w:bCs w:val="0"/>
              </w:rPr>
              <w:t xml:space="preserve">30,214 mg </w:t>
            </w:r>
          </w:p>
          <w:p w14:paraId="5084523B" w14:textId="77777777" w:rsidR="006B76E8" w:rsidRPr="008B3A69" w:rsidRDefault="006B76E8" w:rsidP="00FE7FE7">
            <w:pPr>
              <w:pStyle w:val="COMTabletext"/>
              <w:keepLines/>
              <w:jc w:val="center"/>
              <w:rPr>
                <w:bCs w:val="0"/>
              </w:rPr>
            </w:pPr>
            <w:r w:rsidRPr="008B3A69">
              <w:rPr>
                <w:bCs w:val="0"/>
              </w:rPr>
              <w:t>(dispensed as approximately 100.7 × 300 mg vials</w:t>
            </w:r>
          </w:p>
        </w:tc>
        <w:tc>
          <w:tcPr>
            <w:tcW w:w="1201" w:type="pct"/>
            <w:shd w:val="clear" w:color="auto" w:fill="auto"/>
            <w:vAlign w:val="center"/>
          </w:tcPr>
          <w:p w14:paraId="7F537E91" w14:textId="77777777" w:rsidR="006B76E8" w:rsidRPr="008B3A69" w:rsidRDefault="006B76E8" w:rsidP="00FE7FE7">
            <w:pPr>
              <w:pStyle w:val="COMTabletext"/>
              <w:keepLines/>
              <w:jc w:val="center"/>
              <w:rPr>
                <w:bCs w:val="0"/>
              </w:rPr>
            </w:pPr>
            <w:r w:rsidRPr="008B3A69">
              <w:rPr>
                <w:bCs w:val="0"/>
              </w:rPr>
              <w:t xml:space="preserve">30,968 mg </w:t>
            </w:r>
          </w:p>
          <w:p w14:paraId="412B7869" w14:textId="77777777" w:rsidR="006B76E8" w:rsidRPr="008B3A69" w:rsidRDefault="006B76E8" w:rsidP="00FE7FE7">
            <w:pPr>
              <w:pStyle w:val="COMTabletext"/>
              <w:keepLines/>
              <w:jc w:val="center"/>
              <w:rPr>
                <w:bCs w:val="0"/>
              </w:rPr>
            </w:pPr>
            <w:r w:rsidRPr="008B3A69">
              <w:rPr>
                <w:bCs w:val="0"/>
              </w:rPr>
              <w:t>(dispensed as approximately 12.7 × 300 mg vials and</w:t>
            </w:r>
          </w:p>
          <w:p w14:paraId="3BB7382D" w14:textId="77777777" w:rsidR="006B76E8" w:rsidRPr="008B3A69" w:rsidRDefault="006B76E8" w:rsidP="00FE7FE7">
            <w:pPr>
              <w:pStyle w:val="COMTabletext"/>
              <w:keepLines/>
              <w:jc w:val="center"/>
              <w:rPr>
                <w:bCs w:val="0"/>
              </w:rPr>
            </w:pPr>
            <w:r w:rsidRPr="008B3A69">
              <w:rPr>
                <w:bCs w:val="0"/>
              </w:rPr>
              <w:t>24.7 × 1,100 mg vials)</w:t>
            </w:r>
          </w:p>
        </w:tc>
      </w:tr>
      <w:tr w:rsidR="006B76E8" w:rsidRPr="008B3A69" w14:paraId="7051AB23" w14:textId="77777777" w:rsidTr="004B7132">
        <w:trPr>
          <w:cantSplit/>
          <w:jc w:val="center"/>
        </w:trPr>
        <w:tc>
          <w:tcPr>
            <w:tcW w:w="1255" w:type="pct"/>
            <w:shd w:val="clear" w:color="auto" w:fill="auto"/>
            <w:vAlign w:val="center"/>
          </w:tcPr>
          <w:p w14:paraId="4606F4DD" w14:textId="77777777" w:rsidR="006B76E8" w:rsidRPr="008B3A69" w:rsidRDefault="006B76E8" w:rsidP="00FE7FE7">
            <w:pPr>
              <w:pStyle w:val="COMTabletext"/>
              <w:keepLines/>
            </w:pPr>
            <w:r w:rsidRPr="008B3A69">
              <w:t>Cost per vial (AEMP)</w:t>
            </w:r>
          </w:p>
        </w:tc>
        <w:tc>
          <w:tcPr>
            <w:tcW w:w="1258" w:type="pct"/>
            <w:shd w:val="clear" w:color="auto" w:fill="auto"/>
            <w:vAlign w:val="center"/>
          </w:tcPr>
          <w:p w14:paraId="13EC9D2D" w14:textId="77777777" w:rsidR="006B76E8" w:rsidRPr="008B3A69" w:rsidRDefault="006B76E8" w:rsidP="00FE7FE7">
            <w:pPr>
              <w:pStyle w:val="COMTabletext"/>
              <w:keepLines/>
              <w:jc w:val="center"/>
              <w:rPr>
                <w:b/>
              </w:rPr>
            </w:pPr>
            <w:r w:rsidRPr="008B3A69">
              <w:rPr>
                <w:b/>
              </w:rPr>
              <w:t>-</w:t>
            </w:r>
          </w:p>
        </w:tc>
        <w:tc>
          <w:tcPr>
            <w:tcW w:w="1286" w:type="pct"/>
            <w:shd w:val="clear" w:color="auto" w:fill="auto"/>
            <w:vAlign w:val="center"/>
          </w:tcPr>
          <w:p w14:paraId="7756877C" w14:textId="6FB33162" w:rsidR="006B76E8" w:rsidRPr="008B3A69" w:rsidRDefault="006B76E8" w:rsidP="00FE7FE7">
            <w:pPr>
              <w:pStyle w:val="COMTabletext"/>
              <w:keepLines/>
              <w:jc w:val="center"/>
              <w:rPr>
                <w:b/>
              </w:rPr>
            </w:pPr>
            <w:r w:rsidRPr="008B3A69">
              <w:rPr>
                <w:bCs w:val="0"/>
              </w:rPr>
              <w:t>300 mg vial: $</w:t>
            </w:r>
            <w:r w:rsidR="00AA076A" w:rsidRPr="00AA076A">
              <w:rPr>
                <w:bCs w:val="0"/>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4D988C78" w14:textId="570796DD" w:rsidR="006B76E8" w:rsidRPr="008B3A69" w:rsidRDefault="006B76E8" w:rsidP="00FE7FE7">
            <w:pPr>
              <w:pStyle w:val="COMTabletext"/>
              <w:keepLines/>
              <w:jc w:val="center"/>
            </w:pPr>
            <w:r w:rsidRPr="008B3A69">
              <w:t>300 mg vial: $</w:t>
            </w:r>
            <w:r w:rsidR="00AA076A" w:rsidRPr="00AA076A">
              <w:rPr>
                <w:color w:val="000000"/>
                <w:spacing w:val="51"/>
                <w:shd w:val="solid" w:color="000000" w:fill="000000"/>
                <w:fitText w:val="230" w:id="-893118719"/>
                <w14:textFill>
                  <w14:solidFill>
                    <w14:srgbClr w14:val="000000">
                      <w14:alpha w14:val="100000"/>
                    </w14:srgbClr>
                  </w14:solidFill>
                </w14:textFill>
              </w:rPr>
              <w:t>||</w:t>
            </w:r>
            <w:r w:rsidR="00AA076A" w:rsidRPr="00AA076A">
              <w:rPr>
                <w:color w:val="000000"/>
                <w:spacing w:val="1"/>
                <w:shd w:val="solid" w:color="000000" w:fill="000000"/>
                <w:fitText w:val="230" w:id="-893118719"/>
                <w14:textFill>
                  <w14:solidFill>
                    <w14:srgbClr w14:val="000000">
                      <w14:alpha w14:val="100000"/>
                    </w14:srgbClr>
                  </w14:solidFill>
                </w14:textFill>
              </w:rPr>
              <w:t>|</w:t>
            </w:r>
            <w:r w:rsidRPr="008B3A69">
              <w:t xml:space="preserve"> 1,100 mg vial: $</w:t>
            </w:r>
            <w:r w:rsidR="00AA076A" w:rsidRPr="00AA076A">
              <w:rPr>
                <w:color w:val="000000"/>
                <w:shd w:val="solid" w:color="000000" w:fill="000000"/>
                <w14:textFill>
                  <w14:solidFill>
                    <w14:srgbClr w14:val="000000">
                      <w14:alpha w14:val="100000"/>
                    </w14:srgbClr>
                  </w14:solidFill>
                </w14:textFill>
              </w:rPr>
              <w:t>|</w:t>
            </w:r>
          </w:p>
        </w:tc>
      </w:tr>
      <w:tr w:rsidR="006B76E8" w:rsidRPr="008B3A69" w14:paraId="64C76907" w14:textId="77777777" w:rsidTr="004B7132">
        <w:trPr>
          <w:cantSplit/>
          <w:jc w:val="center"/>
        </w:trPr>
        <w:tc>
          <w:tcPr>
            <w:tcW w:w="1255" w:type="pct"/>
            <w:shd w:val="clear" w:color="auto" w:fill="auto"/>
            <w:vAlign w:val="center"/>
          </w:tcPr>
          <w:p w14:paraId="081F4BDD" w14:textId="77777777" w:rsidR="006B76E8" w:rsidRPr="008B3A69" w:rsidRDefault="006B76E8" w:rsidP="00FE7FE7">
            <w:pPr>
              <w:pStyle w:val="COMTabletext"/>
              <w:keepLines/>
            </w:pPr>
            <w:r w:rsidRPr="008B3A69">
              <w:t>Cost of continuing treatment (AEMP)</w:t>
            </w:r>
          </w:p>
        </w:tc>
        <w:tc>
          <w:tcPr>
            <w:tcW w:w="1258" w:type="pct"/>
            <w:shd w:val="clear" w:color="auto" w:fill="auto"/>
            <w:vAlign w:val="center"/>
          </w:tcPr>
          <w:p w14:paraId="33AE115D" w14:textId="77777777" w:rsidR="006B76E8" w:rsidRPr="008B3A69" w:rsidRDefault="006B76E8" w:rsidP="00FE7FE7">
            <w:pPr>
              <w:pStyle w:val="COMTabletext"/>
              <w:keepLines/>
              <w:jc w:val="center"/>
              <w:rPr>
                <w:b/>
              </w:rPr>
            </w:pPr>
            <w:r w:rsidRPr="008B3A69">
              <w:rPr>
                <w:b/>
              </w:rPr>
              <w:t>-</w:t>
            </w:r>
          </w:p>
        </w:tc>
        <w:tc>
          <w:tcPr>
            <w:tcW w:w="1286" w:type="pct"/>
            <w:shd w:val="clear" w:color="auto" w:fill="auto"/>
            <w:vAlign w:val="center"/>
          </w:tcPr>
          <w:p w14:paraId="37DCD97A" w14:textId="7BF632DD" w:rsidR="006B76E8" w:rsidRPr="008B3A69" w:rsidRDefault="006B76E8" w:rsidP="00FE7FE7">
            <w:pPr>
              <w:pStyle w:val="COMTabletext"/>
              <w:keepLines/>
              <w:jc w:val="center"/>
              <w:rPr>
                <w:bCs w:val="0"/>
              </w:rPr>
            </w:pPr>
            <w:r w:rsidRPr="008B3A69">
              <w:rPr>
                <w:bCs w:val="0"/>
              </w:rPr>
              <w:t>$</w:t>
            </w:r>
            <w:r w:rsidR="00AA076A" w:rsidRPr="00AA076A">
              <w:rPr>
                <w:bCs w:val="0"/>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2E8FFC1B" w14:textId="0B044BEF" w:rsidR="006B76E8" w:rsidRPr="008B3A69" w:rsidRDefault="006B76E8" w:rsidP="00FE7FE7">
            <w:pPr>
              <w:pStyle w:val="COMTabletext"/>
              <w:keepLines/>
              <w:jc w:val="center"/>
              <w:rPr>
                <w:bCs w:val="0"/>
              </w:rPr>
            </w:pPr>
            <w:r w:rsidRPr="008B3A69">
              <w:rPr>
                <w:bCs w:val="0"/>
              </w:rPr>
              <w:t>$</w:t>
            </w:r>
            <w:r w:rsidR="00AA076A" w:rsidRPr="00AA076A">
              <w:rPr>
                <w:bCs w:val="0"/>
                <w:color w:val="000000"/>
                <w:shd w:val="solid" w:color="000000" w:fill="000000"/>
                <w14:textFill>
                  <w14:solidFill>
                    <w14:srgbClr w14:val="000000">
                      <w14:alpha w14:val="100000"/>
                    </w14:srgbClr>
                  </w14:solidFill>
                </w14:textFill>
              </w:rPr>
              <w:t>|</w:t>
            </w:r>
          </w:p>
        </w:tc>
      </w:tr>
      <w:tr w:rsidR="006B76E8" w:rsidRPr="008B3A69" w14:paraId="348CC4C9" w14:textId="77777777" w:rsidTr="004B7132">
        <w:trPr>
          <w:cantSplit/>
          <w:jc w:val="center"/>
        </w:trPr>
        <w:tc>
          <w:tcPr>
            <w:tcW w:w="5000" w:type="pct"/>
            <w:gridSpan w:val="4"/>
            <w:shd w:val="clear" w:color="auto" w:fill="auto"/>
            <w:vAlign w:val="center"/>
          </w:tcPr>
          <w:p w14:paraId="51152DD9" w14:textId="134864C8" w:rsidR="006B76E8" w:rsidRPr="008B3A69" w:rsidRDefault="006B76E8" w:rsidP="00FE7FE7">
            <w:pPr>
              <w:pStyle w:val="COMTabletext"/>
              <w:keepLines/>
              <w:rPr>
                <w:b/>
                <w:bCs w:val="0"/>
              </w:rPr>
            </w:pPr>
            <w:r w:rsidRPr="008B3A69">
              <w:rPr>
                <w:b/>
                <w:bCs w:val="0"/>
              </w:rPr>
              <w:t xml:space="preserve">Total </w:t>
            </w:r>
            <w:r w:rsidR="000060BA" w:rsidRPr="008B3A69">
              <w:rPr>
                <w:b/>
                <w:bCs w:val="0"/>
              </w:rPr>
              <w:t xml:space="preserve">ravulizumab </w:t>
            </w:r>
            <w:r w:rsidRPr="008B3A69">
              <w:rPr>
                <w:b/>
                <w:bCs w:val="0"/>
              </w:rPr>
              <w:t>costs</w:t>
            </w:r>
            <w:r w:rsidR="000060BA" w:rsidRPr="008B3A69">
              <w:rPr>
                <w:b/>
                <w:bCs w:val="0"/>
              </w:rPr>
              <w:t xml:space="preserve"> at 2 years</w:t>
            </w:r>
          </w:p>
        </w:tc>
      </w:tr>
      <w:tr w:rsidR="006B76E8" w:rsidRPr="008B3A69" w14:paraId="5B540BDE" w14:textId="77777777" w:rsidTr="004B7132">
        <w:trPr>
          <w:cantSplit/>
          <w:jc w:val="center"/>
        </w:trPr>
        <w:tc>
          <w:tcPr>
            <w:tcW w:w="1255" w:type="pct"/>
            <w:shd w:val="clear" w:color="auto" w:fill="auto"/>
            <w:vAlign w:val="center"/>
          </w:tcPr>
          <w:p w14:paraId="17661C87" w14:textId="77777777" w:rsidR="006B76E8" w:rsidRPr="008B3A69" w:rsidRDefault="006B76E8" w:rsidP="00FE7FE7">
            <w:pPr>
              <w:pStyle w:val="COMTabletext"/>
              <w:keepLines/>
            </w:pPr>
            <w:r w:rsidRPr="008B3A69">
              <w:t>Total cost for non-responders (AEMP)</w:t>
            </w:r>
          </w:p>
        </w:tc>
        <w:tc>
          <w:tcPr>
            <w:tcW w:w="1258" w:type="pct"/>
            <w:shd w:val="clear" w:color="auto" w:fill="auto"/>
            <w:vAlign w:val="center"/>
          </w:tcPr>
          <w:p w14:paraId="436121C9" w14:textId="77777777" w:rsidR="006B76E8" w:rsidRPr="008B3A69" w:rsidRDefault="006B76E8" w:rsidP="00FE7FE7">
            <w:pPr>
              <w:pStyle w:val="COMTabletext"/>
              <w:keepLines/>
              <w:jc w:val="center"/>
              <w:rPr>
                <w:b/>
              </w:rPr>
            </w:pPr>
            <w:r w:rsidRPr="008B3A69">
              <w:rPr>
                <w:b/>
              </w:rPr>
              <w:t>-</w:t>
            </w:r>
          </w:p>
        </w:tc>
        <w:tc>
          <w:tcPr>
            <w:tcW w:w="1286" w:type="pct"/>
            <w:shd w:val="clear" w:color="auto" w:fill="auto"/>
            <w:vAlign w:val="center"/>
          </w:tcPr>
          <w:p w14:paraId="005A0573" w14:textId="5F71C650" w:rsidR="006B76E8" w:rsidRPr="008B3A69" w:rsidRDefault="006B76E8" w:rsidP="00FE7FE7">
            <w:pPr>
              <w:pStyle w:val="COMTabletext"/>
              <w:keepLines/>
              <w:jc w:val="center"/>
              <w:rPr>
                <w:b/>
              </w:rPr>
            </w:pPr>
            <w:r w:rsidRPr="008B3A69">
              <w:rPr>
                <w:bCs w:val="0"/>
              </w:rPr>
              <w:t>$</w:t>
            </w:r>
            <w:r w:rsidR="00AA076A" w:rsidRPr="00AA076A">
              <w:rPr>
                <w:bCs w:val="0"/>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188FAFB2" w14:textId="3A30859B" w:rsidR="006B76E8" w:rsidRPr="008B3A69" w:rsidRDefault="006B76E8" w:rsidP="00FE7FE7">
            <w:pPr>
              <w:pStyle w:val="COMTabletext"/>
              <w:keepLines/>
              <w:jc w:val="center"/>
              <w:rPr>
                <w:bCs w:val="0"/>
              </w:rPr>
            </w:pPr>
            <w:r w:rsidRPr="008B3A69">
              <w:rPr>
                <w:bCs w:val="0"/>
              </w:rPr>
              <w:t>$</w:t>
            </w:r>
            <w:r w:rsidR="00AA076A" w:rsidRPr="00AA076A">
              <w:rPr>
                <w:bCs w:val="0"/>
                <w:color w:val="000000"/>
                <w:shd w:val="solid" w:color="000000" w:fill="000000"/>
                <w14:textFill>
                  <w14:solidFill>
                    <w14:srgbClr w14:val="000000">
                      <w14:alpha w14:val="100000"/>
                    </w14:srgbClr>
                  </w14:solidFill>
                </w14:textFill>
              </w:rPr>
              <w:t>|</w:t>
            </w:r>
          </w:p>
        </w:tc>
      </w:tr>
      <w:tr w:rsidR="006B76E8" w:rsidRPr="008B3A69" w14:paraId="22B92184" w14:textId="77777777" w:rsidTr="004B7132">
        <w:trPr>
          <w:cantSplit/>
          <w:jc w:val="center"/>
        </w:trPr>
        <w:tc>
          <w:tcPr>
            <w:tcW w:w="1255" w:type="pct"/>
            <w:shd w:val="clear" w:color="auto" w:fill="auto"/>
            <w:vAlign w:val="center"/>
          </w:tcPr>
          <w:p w14:paraId="42582171" w14:textId="77777777" w:rsidR="006B76E8" w:rsidRPr="008B3A69" w:rsidRDefault="006B76E8" w:rsidP="00FE7FE7">
            <w:pPr>
              <w:pStyle w:val="COMTabletext"/>
              <w:keepLines/>
            </w:pPr>
            <w:r w:rsidRPr="008B3A69">
              <w:t>Total cost for responders (AEMP)</w:t>
            </w:r>
          </w:p>
        </w:tc>
        <w:tc>
          <w:tcPr>
            <w:tcW w:w="1258" w:type="pct"/>
            <w:shd w:val="clear" w:color="auto" w:fill="auto"/>
            <w:vAlign w:val="center"/>
          </w:tcPr>
          <w:p w14:paraId="4A07B747" w14:textId="77777777" w:rsidR="006B76E8" w:rsidRPr="008B3A69" w:rsidRDefault="006B76E8" w:rsidP="00FE7FE7">
            <w:pPr>
              <w:pStyle w:val="COMTabletext"/>
              <w:keepLines/>
              <w:jc w:val="center"/>
              <w:rPr>
                <w:b/>
              </w:rPr>
            </w:pPr>
            <w:r w:rsidRPr="008B3A69">
              <w:rPr>
                <w:b/>
              </w:rPr>
              <w:t>-</w:t>
            </w:r>
          </w:p>
        </w:tc>
        <w:tc>
          <w:tcPr>
            <w:tcW w:w="1286" w:type="pct"/>
            <w:shd w:val="clear" w:color="auto" w:fill="auto"/>
            <w:vAlign w:val="center"/>
          </w:tcPr>
          <w:p w14:paraId="250F06B8" w14:textId="324EC869" w:rsidR="006B76E8" w:rsidRPr="008B3A69" w:rsidRDefault="006B76E8" w:rsidP="00FE7FE7">
            <w:pPr>
              <w:pStyle w:val="COMTabletext"/>
              <w:keepLines/>
              <w:jc w:val="center"/>
              <w:rPr>
                <w:bCs w:val="0"/>
              </w:rPr>
            </w:pPr>
            <w:r w:rsidRPr="008B3A69">
              <w:rPr>
                <w:bCs w:val="0"/>
              </w:rPr>
              <w:t>$</w:t>
            </w:r>
            <w:r w:rsidR="00AA076A" w:rsidRPr="00AA076A">
              <w:rPr>
                <w:bCs w:val="0"/>
                <w:color w:val="000000"/>
                <w:shd w:val="solid" w:color="000000" w:fill="000000"/>
                <w14:textFill>
                  <w14:solidFill>
                    <w14:srgbClr w14:val="000000">
                      <w14:alpha w14:val="100000"/>
                    </w14:srgbClr>
                  </w14:solidFill>
                </w14:textFill>
              </w:rPr>
              <w:t>|</w:t>
            </w:r>
          </w:p>
        </w:tc>
        <w:tc>
          <w:tcPr>
            <w:tcW w:w="1201" w:type="pct"/>
            <w:shd w:val="clear" w:color="auto" w:fill="auto"/>
            <w:vAlign w:val="center"/>
          </w:tcPr>
          <w:p w14:paraId="4C819836" w14:textId="2F5715F5" w:rsidR="006B76E8" w:rsidRPr="008B3A69" w:rsidRDefault="006B76E8" w:rsidP="00FE7FE7">
            <w:pPr>
              <w:pStyle w:val="COMTabletext"/>
              <w:keepLines/>
              <w:jc w:val="center"/>
              <w:rPr>
                <w:bCs w:val="0"/>
              </w:rPr>
            </w:pPr>
            <w:r w:rsidRPr="008B3A69">
              <w:rPr>
                <w:bCs w:val="0"/>
              </w:rPr>
              <w:t>$</w:t>
            </w:r>
            <w:r w:rsidR="00AA076A" w:rsidRPr="00AA076A">
              <w:rPr>
                <w:bCs w:val="0"/>
                <w:color w:val="000000"/>
                <w:shd w:val="solid" w:color="000000" w:fill="000000"/>
                <w14:textFill>
                  <w14:solidFill>
                    <w14:srgbClr w14:val="000000">
                      <w14:alpha w14:val="100000"/>
                    </w14:srgbClr>
                  </w14:solidFill>
                </w14:textFill>
              </w:rPr>
              <w:t>|</w:t>
            </w:r>
          </w:p>
        </w:tc>
      </w:tr>
    </w:tbl>
    <w:p w14:paraId="33478CE3" w14:textId="77777777" w:rsidR="006B76E8" w:rsidRPr="008B3A69" w:rsidRDefault="006B76E8" w:rsidP="00FE7FE7">
      <w:pPr>
        <w:pStyle w:val="COMTablefooter"/>
        <w:keepNext/>
        <w:keepLines/>
      </w:pPr>
      <w:r w:rsidRPr="008B3A69">
        <w:t>Source: constructed during the evaluation based on Attachment 7 Economic Model Excel Spreadsheet and Attachment 8 Financial utilisation model spreadsheet</w:t>
      </w:r>
    </w:p>
    <w:p w14:paraId="5AF4A253" w14:textId="77777777" w:rsidR="006B76E8" w:rsidRPr="008B3A69" w:rsidRDefault="006B76E8" w:rsidP="00FE7FE7">
      <w:pPr>
        <w:pStyle w:val="COMTablefooter"/>
        <w:keepNext/>
        <w:keepLines/>
      </w:pPr>
      <w:r w:rsidRPr="008B3A69">
        <w:t>Abbreviations: AEMP, approved ex-manufacturer price</w:t>
      </w:r>
    </w:p>
    <w:p w14:paraId="268768EF" w14:textId="223D5E48" w:rsidR="00B60939" w:rsidRPr="008B3A69" w:rsidRDefault="00B60939" w:rsidP="002B05A1">
      <w:pPr>
        <w:pStyle w:val="COMH2-non-numbered"/>
        <w:rPr>
          <w:iCs/>
        </w:rPr>
      </w:pPr>
      <w:bookmarkStart w:id="65" w:name="_Toc22897647"/>
      <w:bookmarkStart w:id="66" w:name="_Toc156986108"/>
      <w:bookmarkEnd w:id="63"/>
      <w:r w:rsidRPr="008B3A69">
        <w:rPr>
          <w:iCs/>
        </w:rPr>
        <w:t>Estimated PBS usage &amp; financial implications</w:t>
      </w:r>
      <w:bookmarkEnd w:id="65"/>
      <w:bookmarkEnd w:id="66"/>
    </w:p>
    <w:p w14:paraId="64D17039" w14:textId="4D9E82D5" w:rsidR="008B3A69" w:rsidRPr="00250A3D" w:rsidRDefault="008B3A69" w:rsidP="008B3A69">
      <w:pPr>
        <w:pStyle w:val="COMexecsumnumberedpara"/>
        <w:numPr>
          <w:ilvl w:val="1"/>
          <w:numId w:val="1"/>
        </w:numPr>
      </w:pPr>
      <w:r w:rsidRPr="00250A3D">
        <w:t xml:space="preserve">This submission </w:t>
      </w:r>
      <w:r w:rsidR="009729A3">
        <w:t>was</w:t>
      </w:r>
      <w:r w:rsidRPr="00250A3D">
        <w:t xml:space="preserve"> considered by DUSC. The submission used an epidemiological approach to estimate the utilisation and financial implications of listing ravulizumab on the PBS for the treatment of adult patients with anti-acetylcholine receptor positive generalised myasthenia gravis who have functional impairments. The key inputs used to derive the financial implications are presented in</w:t>
      </w:r>
      <w:r w:rsidR="00A2714D">
        <w:t xml:space="preserve"> </w:t>
      </w:r>
      <w:r w:rsidR="00A2714D">
        <w:fldChar w:fldCharType="begin" w:fldLock="1"/>
      </w:r>
      <w:r w:rsidR="00A2714D">
        <w:instrText xml:space="preserve"> REF _Ref171066445 \h </w:instrText>
      </w:r>
      <w:r w:rsidR="00A2714D">
        <w:fldChar w:fldCharType="separate"/>
      </w:r>
      <w:r w:rsidR="0081771C" w:rsidRPr="00250A3D">
        <w:t xml:space="preserve">Table </w:t>
      </w:r>
      <w:r w:rsidR="0081771C">
        <w:rPr>
          <w:noProof/>
        </w:rPr>
        <w:t>13</w:t>
      </w:r>
      <w:r w:rsidR="00A2714D">
        <w:fldChar w:fldCharType="end"/>
      </w:r>
      <w:r w:rsidRPr="00250A3D">
        <w:t>.</w:t>
      </w:r>
    </w:p>
    <w:p w14:paraId="51CB15D2" w14:textId="2D44AD43" w:rsidR="008B3A69" w:rsidRPr="00250A3D" w:rsidRDefault="008B3A69" w:rsidP="0067052A">
      <w:pPr>
        <w:pStyle w:val="COMtablefigcaption"/>
        <w:keepLines/>
      </w:pPr>
      <w:bookmarkStart w:id="67" w:name="_Ref171066445"/>
      <w:r w:rsidRPr="00250A3D">
        <w:t xml:space="preserve">Table </w:t>
      </w:r>
      <w:r w:rsidR="0065138C">
        <w:fldChar w:fldCharType="begin" w:fldLock="1"/>
      </w:r>
      <w:r w:rsidR="0065138C">
        <w:instrText xml:space="preserve"> SEQ Table \* ARABIC </w:instrText>
      </w:r>
      <w:r w:rsidR="0065138C">
        <w:fldChar w:fldCharType="separate"/>
      </w:r>
      <w:r w:rsidR="0081771C">
        <w:rPr>
          <w:noProof/>
        </w:rPr>
        <w:t>13</w:t>
      </w:r>
      <w:r w:rsidR="0065138C">
        <w:rPr>
          <w:noProof/>
        </w:rPr>
        <w:fldChar w:fldCharType="end"/>
      </w:r>
      <w:bookmarkEnd w:id="67"/>
      <w:r w:rsidRPr="00250A3D">
        <w:t>: Key inputs for financial estimates</w:t>
      </w:r>
    </w:p>
    <w:tbl>
      <w:tblPr>
        <w:tblStyle w:val="TableGrid"/>
        <w:tblW w:w="5000" w:type="pct"/>
        <w:tblCellMar>
          <w:left w:w="28" w:type="dxa"/>
          <w:right w:w="28" w:type="dxa"/>
        </w:tblCellMar>
        <w:tblLook w:val="04A0" w:firstRow="1" w:lastRow="0" w:firstColumn="1" w:lastColumn="0" w:noHBand="0" w:noVBand="1"/>
      </w:tblPr>
      <w:tblGrid>
        <w:gridCol w:w="1807"/>
        <w:gridCol w:w="2872"/>
        <w:gridCol w:w="4338"/>
      </w:tblGrid>
      <w:tr w:rsidR="008B3A69" w:rsidRPr="00250A3D" w14:paraId="04987603" w14:textId="77777777" w:rsidTr="008A0747">
        <w:trPr>
          <w:cantSplit/>
          <w:tblHeader/>
        </w:trPr>
        <w:tc>
          <w:tcPr>
            <w:tcW w:w="1816" w:type="dxa"/>
          </w:tcPr>
          <w:p w14:paraId="7710EE54" w14:textId="77777777" w:rsidR="008B3A69" w:rsidRPr="00250A3D" w:rsidRDefault="008B3A69" w:rsidP="00297534">
            <w:pPr>
              <w:pStyle w:val="COMTableheadingrow"/>
              <w:keepLines/>
              <w:rPr>
                <w:lang w:val="en-AU"/>
              </w:rPr>
            </w:pPr>
            <w:r w:rsidRPr="00250A3D">
              <w:rPr>
                <w:lang w:val="en-AU"/>
              </w:rPr>
              <w:t>Parameter</w:t>
            </w:r>
          </w:p>
        </w:tc>
        <w:tc>
          <w:tcPr>
            <w:tcW w:w="2892" w:type="dxa"/>
            <w:vAlign w:val="center"/>
          </w:tcPr>
          <w:p w14:paraId="5F9412EF" w14:textId="77777777" w:rsidR="008B3A69" w:rsidRPr="00250A3D" w:rsidRDefault="008B3A69" w:rsidP="00297534">
            <w:pPr>
              <w:pStyle w:val="COMTableheadingrow"/>
              <w:keepLines/>
              <w:jc w:val="center"/>
              <w:rPr>
                <w:lang w:val="en-AU"/>
              </w:rPr>
            </w:pPr>
            <w:r w:rsidRPr="00250A3D">
              <w:rPr>
                <w:lang w:val="en-AU"/>
              </w:rPr>
              <w:t>Value/Source</w:t>
            </w:r>
          </w:p>
        </w:tc>
        <w:tc>
          <w:tcPr>
            <w:tcW w:w="4375" w:type="dxa"/>
            <w:vAlign w:val="center"/>
          </w:tcPr>
          <w:p w14:paraId="4EA755EE" w14:textId="77777777" w:rsidR="008B3A69" w:rsidRPr="00250A3D" w:rsidRDefault="008B3A69" w:rsidP="00297534">
            <w:pPr>
              <w:pStyle w:val="COMTableheadingrow"/>
              <w:keepLines/>
              <w:jc w:val="center"/>
              <w:rPr>
                <w:lang w:val="en-AU"/>
              </w:rPr>
            </w:pPr>
            <w:r w:rsidRPr="00250A3D">
              <w:rPr>
                <w:lang w:val="en-AU"/>
              </w:rPr>
              <w:t>Comment</w:t>
            </w:r>
          </w:p>
        </w:tc>
      </w:tr>
      <w:tr w:rsidR="008B3A69" w:rsidRPr="00250A3D" w14:paraId="307ADC7E" w14:textId="77777777" w:rsidTr="008A0747">
        <w:trPr>
          <w:cantSplit/>
        </w:trPr>
        <w:tc>
          <w:tcPr>
            <w:tcW w:w="1816" w:type="dxa"/>
          </w:tcPr>
          <w:p w14:paraId="67F40FCD" w14:textId="77777777" w:rsidR="008B3A69" w:rsidRPr="00250A3D" w:rsidRDefault="008B3A69" w:rsidP="00297534">
            <w:pPr>
              <w:pStyle w:val="COMTableheadingrow"/>
              <w:keepLines/>
              <w:rPr>
                <w:b w:val="0"/>
                <w:bCs/>
                <w:lang w:val="en-AU"/>
              </w:rPr>
            </w:pPr>
            <w:r w:rsidRPr="00250A3D">
              <w:rPr>
                <w:b w:val="0"/>
                <w:bCs/>
                <w:lang w:val="en-AU"/>
              </w:rPr>
              <w:t>Prevalence of myasthenia gravis</w:t>
            </w:r>
          </w:p>
        </w:tc>
        <w:tc>
          <w:tcPr>
            <w:tcW w:w="2892" w:type="dxa"/>
          </w:tcPr>
          <w:p w14:paraId="190F2CF4" w14:textId="77777777" w:rsidR="008B3A69" w:rsidRPr="00250A3D" w:rsidRDefault="008B3A69" w:rsidP="00297534">
            <w:pPr>
              <w:pStyle w:val="COMTableheadingrow"/>
              <w:keepLines/>
              <w:rPr>
                <w:b w:val="0"/>
                <w:bCs/>
                <w:lang w:val="en-AU"/>
              </w:rPr>
            </w:pPr>
            <w:r w:rsidRPr="00250A3D">
              <w:rPr>
                <w:b w:val="0"/>
                <w:bCs/>
                <w:lang w:val="en-AU"/>
              </w:rPr>
              <w:t>20 per 100,000 population.</w:t>
            </w:r>
          </w:p>
          <w:p w14:paraId="763C3B51" w14:textId="77777777" w:rsidR="008B3A69" w:rsidRPr="00250A3D" w:rsidRDefault="008B3A69" w:rsidP="00297534">
            <w:pPr>
              <w:pStyle w:val="COMTableheadingrow"/>
              <w:keepLines/>
              <w:rPr>
                <w:b w:val="0"/>
                <w:bCs/>
                <w:lang w:val="en-AU"/>
              </w:rPr>
            </w:pPr>
            <w:r w:rsidRPr="00250A3D">
              <w:rPr>
                <w:b w:val="0"/>
                <w:bCs/>
                <w:lang w:val="en-AU"/>
              </w:rPr>
              <w:t>Based on a sponsor-commissioned analysis of PBS data for the cholinesterase inhibitor pyridostigmine, based on the methodology reported in Gattellari 2012.</w:t>
            </w:r>
          </w:p>
          <w:p w14:paraId="7FBC98D8" w14:textId="77777777" w:rsidR="008B3A69" w:rsidRPr="00250A3D" w:rsidRDefault="008B3A69" w:rsidP="00297534">
            <w:pPr>
              <w:pStyle w:val="COMTableheadingrow"/>
              <w:keepLines/>
              <w:rPr>
                <w:b w:val="0"/>
                <w:bCs/>
                <w:lang w:val="en-AU"/>
              </w:rPr>
            </w:pPr>
            <w:r w:rsidRPr="00250A3D">
              <w:rPr>
                <w:b w:val="0"/>
                <w:bCs/>
                <w:lang w:val="en-AU"/>
              </w:rPr>
              <w:t>Estimated pyridostigmine patients were divided by ABS population data to determine prevalence.</w:t>
            </w:r>
          </w:p>
          <w:p w14:paraId="01409195" w14:textId="77777777" w:rsidR="008B3A69" w:rsidRPr="00250A3D" w:rsidRDefault="008B3A69" w:rsidP="00297534">
            <w:pPr>
              <w:pStyle w:val="COMTableheadingrow"/>
              <w:keepLines/>
              <w:rPr>
                <w:b w:val="0"/>
                <w:bCs/>
                <w:lang w:val="en-AU"/>
              </w:rPr>
            </w:pPr>
            <w:r w:rsidRPr="00250A3D">
              <w:rPr>
                <w:b w:val="0"/>
                <w:bCs/>
                <w:lang w:val="en-AU"/>
              </w:rPr>
              <w:t>The estimated prevalence of treated myasthenia gravis ranged from 16.7 to 20.3 per 100,000 population between 2018 and 2022 (an average annual increase of 5%).</w:t>
            </w:r>
          </w:p>
        </w:tc>
        <w:tc>
          <w:tcPr>
            <w:tcW w:w="4375" w:type="dxa"/>
          </w:tcPr>
          <w:p w14:paraId="251D9F07" w14:textId="2FA56155" w:rsidR="008B3A69" w:rsidRPr="008A0747" w:rsidRDefault="008A0747" w:rsidP="00297534">
            <w:pPr>
              <w:pStyle w:val="COMTableheadingrow"/>
              <w:keepLines/>
              <w:rPr>
                <w:b w:val="0"/>
                <w:bCs/>
                <w:lang w:val="en-AU"/>
              </w:rPr>
            </w:pPr>
            <w:r w:rsidRPr="008A0747">
              <w:rPr>
                <w:b w:val="0"/>
                <w:bCs/>
                <w:lang w:val="en-AU"/>
              </w:rPr>
              <w:t>The commentary and DUSC considered the p</w:t>
            </w:r>
            <w:r w:rsidR="008B3A69" w:rsidRPr="008A0747">
              <w:rPr>
                <w:b w:val="0"/>
                <w:bCs/>
                <w:lang w:val="en-AU"/>
              </w:rPr>
              <w:t xml:space="preserve">revalence of myasthenia gravis may be underestimated as not all treated patients will be treated with pyridostigmine (patients treated with another cholinesterase inhibitor, or other treatments). Data from the Australian MGBase cohort indicated that 51.9% of patients with myasthenia gravis were currently treated with pyridostigmine. </w:t>
            </w:r>
          </w:p>
          <w:p w14:paraId="7C6A9539" w14:textId="77777777" w:rsidR="008B3A69" w:rsidRPr="008A0747" w:rsidRDefault="008B3A69" w:rsidP="00297534">
            <w:pPr>
              <w:pStyle w:val="COMTableheadingrow"/>
              <w:keepLines/>
              <w:rPr>
                <w:b w:val="0"/>
                <w:bCs/>
                <w:lang w:val="en-AU"/>
              </w:rPr>
            </w:pPr>
            <w:r w:rsidRPr="008A0747">
              <w:rPr>
                <w:b w:val="0"/>
                <w:bCs/>
                <w:lang w:val="en-AU"/>
              </w:rPr>
              <w:t>Additionally, the submission’s prevalence estimate may also include use of pyridostigmine for other conditions (only use for orthostatic hypotension was excluded).</w:t>
            </w:r>
          </w:p>
          <w:p w14:paraId="23600F31" w14:textId="77777777" w:rsidR="008B3A69" w:rsidRDefault="008B3A69" w:rsidP="00297534">
            <w:pPr>
              <w:pStyle w:val="COMTableheadingrow"/>
              <w:keepLines/>
              <w:rPr>
                <w:b w:val="0"/>
                <w:bCs/>
                <w:i/>
                <w:iCs/>
                <w:lang w:val="en-AU"/>
              </w:rPr>
            </w:pPr>
            <w:r w:rsidRPr="008A0747">
              <w:rPr>
                <w:b w:val="0"/>
                <w:bCs/>
                <w:lang w:val="en-AU"/>
              </w:rPr>
              <w:t xml:space="preserve">The </w:t>
            </w:r>
            <w:r w:rsidR="008A0747" w:rsidRPr="008A0747">
              <w:rPr>
                <w:b w:val="0"/>
                <w:bCs/>
                <w:lang w:val="en-AU"/>
              </w:rPr>
              <w:t xml:space="preserve">commentary and DUSC considered that the </w:t>
            </w:r>
            <w:r w:rsidRPr="008A0747">
              <w:rPr>
                <w:b w:val="0"/>
                <w:bCs/>
                <w:lang w:val="en-AU"/>
              </w:rPr>
              <w:t xml:space="preserve">submission inappropriately assumed a constant prevalence over time, which </w:t>
            </w:r>
            <w:r w:rsidR="008A0747">
              <w:rPr>
                <w:b w:val="0"/>
                <w:bCs/>
                <w:lang w:val="en-AU"/>
              </w:rPr>
              <w:t>wa</w:t>
            </w:r>
            <w:r w:rsidRPr="008A0747">
              <w:rPr>
                <w:b w:val="0"/>
                <w:bCs/>
                <w:lang w:val="en-AU"/>
              </w:rPr>
              <w:t>s inconsistent with data from the commissioned analysis indicating increasing prevalence</w:t>
            </w:r>
            <w:r w:rsidRPr="00250A3D">
              <w:rPr>
                <w:b w:val="0"/>
                <w:bCs/>
                <w:i/>
                <w:iCs/>
                <w:lang w:val="en-AU"/>
              </w:rPr>
              <w:t>.</w:t>
            </w:r>
          </w:p>
          <w:p w14:paraId="1FEBB491" w14:textId="373399ED" w:rsidR="008A0747" w:rsidRPr="008A0747" w:rsidRDefault="008A0747" w:rsidP="00297534">
            <w:pPr>
              <w:pStyle w:val="COMTableheadingrow"/>
              <w:keepLines/>
              <w:rPr>
                <w:b w:val="0"/>
                <w:bCs/>
                <w:lang w:val="en-AU"/>
              </w:rPr>
            </w:pPr>
            <w:r w:rsidRPr="008A0747">
              <w:rPr>
                <w:b w:val="0"/>
                <w:bCs/>
                <w:lang w:val="en-AU"/>
              </w:rPr>
              <w:t>DUSC noted the prevalence in Australian studies was between 52 to 66%.</w:t>
            </w:r>
          </w:p>
        </w:tc>
      </w:tr>
      <w:tr w:rsidR="00CF7B79" w:rsidRPr="00250A3D" w14:paraId="2EE5403A" w14:textId="77777777" w:rsidTr="008A0747">
        <w:trPr>
          <w:cantSplit/>
        </w:trPr>
        <w:tc>
          <w:tcPr>
            <w:tcW w:w="1816" w:type="dxa"/>
          </w:tcPr>
          <w:p w14:paraId="6FC0BD8F" w14:textId="75FD0EBF" w:rsidR="00CF7B79" w:rsidRPr="00250A3D" w:rsidRDefault="00CF7B79" w:rsidP="00297534">
            <w:pPr>
              <w:pStyle w:val="COMTableheadingrow"/>
              <w:keepLines/>
              <w:rPr>
                <w:b w:val="0"/>
                <w:bCs/>
                <w:lang w:val="en-AU"/>
              </w:rPr>
            </w:pPr>
            <w:r w:rsidRPr="00250A3D">
              <w:rPr>
                <w:b w:val="0"/>
                <w:bCs/>
                <w:lang w:val="en-AU"/>
              </w:rPr>
              <w:t>Proportion with generalised myasthenia gravis</w:t>
            </w:r>
          </w:p>
        </w:tc>
        <w:tc>
          <w:tcPr>
            <w:tcW w:w="2892" w:type="dxa"/>
          </w:tcPr>
          <w:p w14:paraId="04E9B7C7" w14:textId="77777777" w:rsidR="00CF7B79" w:rsidRDefault="00CF7B79" w:rsidP="00297534">
            <w:pPr>
              <w:pStyle w:val="COMTableheadingrow"/>
              <w:keepLines/>
              <w:rPr>
                <w:b w:val="0"/>
                <w:bCs/>
                <w:lang w:val="en-AU"/>
              </w:rPr>
            </w:pPr>
            <w:r w:rsidRPr="00250A3D">
              <w:rPr>
                <w:b w:val="0"/>
                <w:bCs/>
                <w:lang w:val="en-AU"/>
              </w:rPr>
              <w:t>79%</w:t>
            </w:r>
          </w:p>
          <w:p w14:paraId="5034F9C7" w14:textId="2BD03B9F" w:rsidR="00CF7B79" w:rsidRPr="00250A3D" w:rsidRDefault="00CF7B79" w:rsidP="00297534">
            <w:pPr>
              <w:pStyle w:val="COMTableheadingrow"/>
              <w:keepLines/>
              <w:rPr>
                <w:b w:val="0"/>
                <w:bCs/>
                <w:lang w:val="en-AU"/>
              </w:rPr>
            </w:pPr>
            <w:r w:rsidRPr="00250A3D">
              <w:rPr>
                <w:b w:val="0"/>
                <w:bCs/>
                <w:lang w:val="en-AU"/>
              </w:rPr>
              <w:t>Based on various studies reporting the proportion of myasthenia gravis which is generalised</w:t>
            </w:r>
            <w:r>
              <w:rPr>
                <w:b w:val="0"/>
                <w:bCs/>
                <w:lang w:val="en-AU"/>
              </w:rPr>
              <w:t xml:space="preserve">. </w:t>
            </w:r>
            <w:r w:rsidRPr="00250A3D">
              <w:rPr>
                <w:b w:val="0"/>
                <w:bCs/>
                <w:lang w:val="en-AU"/>
              </w:rPr>
              <w:t>Estimates ranged from 69% to 89%; the submission stated that the midpoint was selected</w:t>
            </w:r>
            <w:r>
              <w:rPr>
                <w:b w:val="0"/>
                <w:bCs/>
                <w:lang w:val="en-AU"/>
              </w:rPr>
              <w:t>.</w:t>
            </w:r>
          </w:p>
        </w:tc>
        <w:tc>
          <w:tcPr>
            <w:tcW w:w="4375" w:type="dxa"/>
          </w:tcPr>
          <w:p w14:paraId="1B5F379D" w14:textId="3226240C" w:rsidR="00CF7B79" w:rsidRPr="008A0747" w:rsidRDefault="00CF7B79" w:rsidP="00297534">
            <w:pPr>
              <w:pStyle w:val="COMTableheadingrow"/>
              <w:keepLines/>
              <w:rPr>
                <w:b w:val="0"/>
                <w:bCs/>
                <w:lang w:val="en-AU"/>
              </w:rPr>
            </w:pPr>
            <w:r w:rsidRPr="00FB049D">
              <w:rPr>
                <w:b w:val="0"/>
                <w:bCs/>
                <w:lang w:val="en-AU"/>
              </w:rPr>
              <w:t>The</w:t>
            </w:r>
            <w:r>
              <w:rPr>
                <w:b w:val="0"/>
                <w:bCs/>
                <w:lang w:val="en-AU"/>
              </w:rPr>
              <w:t xml:space="preserve"> commentary and DUSC considered the</w:t>
            </w:r>
            <w:r w:rsidRPr="00FB049D">
              <w:rPr>
                <w:b w:val="0"/>
                <w:bCs/>
                <w:lang w:val="en-AU"/>
              </w:rPr>
              <w:t>re was a wide range of estimates from the included studies based on a variety of study designs, over different time periods, in different settings and patient populations; that were not assessed for their applicability to the proposed eligible population. The</w:t>
            </w:r>
            <w:r>
              <w:rPr>
                <w:b w:val="0"/>
                <w:bCs/>
                <w:lang w:val="en-AU"/>
              </w:rPr>
              <w:t xml:space="preserve"> commentary and DUSC considered that the</w:t>
            </w:r>
            <w:r w:rsidRPr="00FB049D">
              <w:rPr>
                <w:b w:val="0"/>
                <w:bCs/>
                <w:lang w:val="en-AU"/>
              </w:rPr>
              <w:t xml:space="preserve"> proportion of Australian patients with </w:t>
            </w:r>
            <w:r>
              <w:rPr>
                <w:b w:val="0"/>
                <w:bCs/>
                <w:lang w:val="en-AU"/>
              </w:rPr>
              <w:t>gMG</w:t>
            </w:r>
            <w:r w:rsidRPr="00FB049D">
              <w:rPr>
                <w:b w:val="0"/>
                <w:bCs/>
                <w:lang w:val="en-AU"/>
              </w:rPr>
              <w:t>, based on a population treated with pyridostigmine, is currently unclear</w:t>
            </w:r>
          </w:p>
        </w:tc>
      </w:tr>
      <w:tr w:rsidR="008B3A69" w:rsidRPr="00250A3D" w14:paraId="323E8A55" w14:textId="77777777" w:rsidTr="008A0747">
        <w:trPr>
          <w:cantSplit/>
        </w:trPr>
        <w:tc>
          <w:tcPr>
            <w:tcW w:w="1816" w:type="dxa"/>
          </w:tcPr>
          <w:p w14:paraId="7469A1FD" w14:textId="77777777" w:rsidR="008B3A69" w:rsidRPr="00250A3D" w:rsidRDefault="008B3A69" w:rsidP="00297534">
            <w:pPr>
              <w:pStyle w:val="COMTableheadingrow"/>
              <w:keepNext w:val="0"/>
              <w:rPr>
                <w:b w:val="0"/>
                <w:bCs/>
                <w:lang w:val="en-AU"/>
              </w:rPr>
            </w:pPr>
            <w:r w:rsidRPr="00250A3D">
              <w:rPr>
                <w:b w:val="0"/>
                <w:bCs/>
                <w:lang w:val="en-AU"/>
              </w:rPr>
              <w:t>Proportion with functional impairment</w:t>
            </w:r>
          </w:p>
        </w:tc>
        <w:tc>
          <w:tcPr>
            <w:tcW w:w="2892" w:type="dxa"/>
          </w:tcPr>
          <w:p w14:paraId="13786D69" w14:textId="77777777" w:rsidR="008B3A69" w:rsidRPr="00250A3D" w:rsidRDefault="008B3A69" w:rsidP="00297534">
            <w:pPr>
              <w:pStyle w:val="COMTableheadingrow"/>
              <w:keepNext w:val="0"/>
              <w:rPr>
                <w:b w:val="0"/>
                <w:bCs/>
                <w:lang w:val="en-AU"/>
              </w:rPr>
            </w:pPr>
            <w:r w:rsidRPr="00250A3D">
              <w:rPr>
                <w:b w:val="0"/>
                <w:bCs/>
                <w:lang w:val="en-AU"/>
              </w:rPr>
              <w:t>17%. Based on the proportion of patients with MG-ADL ≥ 6, with ≥ 1 point from non-ocular items from Petersson 2021, a Swedish cross-sectional cohort study of 1,077 patients with myasthenia gravis (2018-2019).</w:t>
            </w:r>
          </w:p>
        </w:tc>
        <w:tc>
          <w:tcPr>
            <w:tcW w:w="4375" w:type="dxa"/>
          </w:tcPr>
          <w:p w14:paraId="2BEA5CE6" w14:textId="63541E0A" w:rsidR="008A0747" w:rsidRPr="00DB722E" w:rsidRDefault="008A0747" w:rsidP="00297534">
            <w:pPr>
              <w:pStyle w:val="COMTableheadingrow"/>
              <w:rPr>
                <w:b w:val="0"/>
                <w:bCs/>
                <w:lang w:val="en-AU"/>
              </w:rPr>
            </w:pPr>
            <w:r w:rsidRPr="00DB722E">
              <w:rPr>
                <w:b w:val="0"/>
                <w:bCs/>
                <w:lang w:val="en-AU"/>
              </w:rPr>
              <w:t xml:space="preserve">The </w:t>
            </w:r>
            <w:r>
              <w:rPr>
                <w:b w:val="0"/>
                <w:bCs/>
                <w:lang w:val="en-AU"/>
              </w:rPr>
              <w:t xml:space="preserve">commentary noted the </w:t>
            </w:r>
            <w:r w:rsidRPr="00DB722E">
              <w:rPr>
                <w:b w:val="0"/>
                <w:bCs/>
                <w:lang w:val="en-AU"/>
              </w:rPr>
              <w:t xml:space="preserve">estimate </w:t>
            </w:r>
            <w:r>
              <w:rPr>
                <w:b w:val="0"/>
                <w:bCs/>
                <w:lang w:val="en-AU"/>
              </w:rPr>
              <w:t>wa</w:t>
            </w:r>
            <w:r w:rsidRPr="00DB722E">
              <w:rPr>
                <w:b w:val="0"/>
                <w:bCs/>
                <w:lang w:val="en-AU"/>
              </w:rPr>
              <w:t>s applied to pyridostigmine-treated patients with AChR positive generalised myasthenia gravis, however, the treatment status of patients in the Petersson 2021 study is unknown and the population was not specifically AChR positive generalised myasthenia gravis patients.</w:t>
            </w:r>
          </w:p>
          <w:p w14:paraId="6313398E" w14:textId="77777777" w:rsidR="008B3A69" w:rsidRDefault="008A0747" w:rsidP="00297534">
            <w:pPr>
              <w:pStyle w:val="COMTableheadingrow"/>
              <w:rPr>
                <w:b w:val="0"/>
                <w:bCs/>
                <w:lang w:val="en-AU"/>
              </w:rPr>
            </w:pPr>
            <w:r w:rsidRPr="00DB722E">
              <w:rPr>
                <w:b w:val="0"/>
                <w:bCs/>
                <w:lang w:val="en-AU"/>
              </w:rPr>
              <w:t xml:space="preserve">The </w:t>
            </w:r>
            <w:r>
              <w:rPr>
                <w:b w:val="0"/>
                <w:bCs/>
                <w:lang w:val="en-AU"/>
              </w:rPr>
              <w:t xml:space="preserve">commentary </w:t>
            </w:r>
            <w:r w:rsidRPr="00DB722E">
              <w:rPr>
                <w:b w:val="0"/>
                <w:bCs/>
                <w:lang w:val="en-AU"/>
              </w:rPr>
              <w:t>therefore</w:t>
            </w:r>
            <w:r>
              <w:rPr>
                <w:b w:val="0"/>
                <w:bCs/>
                <w:lang w:val="en-AU"/>
              </w:rPr>
              <w:t xml:space="preserve"> considered that it was</w:t>
            </w:r>
            <w:r w:rsidRPr="00DB722E">
              <w:rPr>
                <w:b w:val="0"/>
                <w:bCs/>
                <w:lang w:val="en-AU"/>
              </w:rPr>
              <w:t xml:space="preserve"> unclear whether the resulting eligible population would be representative of the proposed population of patients with MG-ADL ≥6 despite treatment with standard therapy.</w:t>
            </w:r>
          </w:p>
          <w:p w14:paraId="48944B5D" w14:textId="77777777" w:rsidR="008A0747" w:rsidRDefault="008A0747" w:rsidP="00297534">
            <w:pPr>
              <w:pStyle w:val="COMTableheadingrow"/>
              <w:rPr>
                <w:b w:val="0"/>
                <w:bCs/>
                <w:lang w:val="en-AU"/>
              </w:rPr>
            </w:pPr>
          </w:p>
          <w:p w14:paraId="0E0A0A6C" w14:textId="6B1CBD3A" w:rsidR="008A0747" w:rsidRPr="008A0747" w:rsidRDefault="008A0747" w:rsidP="00297534">
            <w:pPr>
              <w:pStyle w:val="COMTableheadingrow"/>
              <w:rPr>
                <w:b w:val="0"/>
                <w:bCs/>
                <w:lang w:val="en-AU"/>
              </w:rPr>
            </w:pPr>
            <w:r w:rsidRPr="008A0747">
              <w:rPr>
                <w:b w:val="0"/>
                <w:bCs/>
                <w:lang w:val="en-AU"/>
              </w:rPr>
              <w:t>DUSC considered that this could be an underestimate given the subjective nature of the scale used to measure functional impairment.</w:t>
            </w:r>
          </w:p>
        </w:tc>
      </w:tr>
      <w:tr w:rsidR="008B3A69" w:rsidRPr="00250A3D" w14:paraId="6964299A" w14:textId="77777777" w:rsidTr="008A0747">
        <w:trPr>
          <w:cantSplit/>
        </w:trPr>
        <w:tc>
          <w:tcPr>
            <w:tcW w:w="1816" w:type="dxa"/>
            <w:shd w:val="clear" w:color="auto" w:fill="auto"/>
          </w:tcPr>
          <w:p w14:paraId="244DA217" w14:textId="77777777" w:rsidR="008B3A69" w:rsidRPr="00250A3D" w:rsidRDefault="008B3A69" w:rsidP="00297534">
            <w:pPr>
              <w:pStyle w:val="COMTableheadingrow"/>
              <w:keepNext w:val="0"/>
              <w:rPr>
                <w:b w:val="0"/>
                <w:bCs/>
                <w:lang w:val="en-AU"/>
              </w:rPr>
            </w:pPr>
            <w:r w:rsidRPr="00250A3D">
              <w:rPr>
                <w:b w:val="0"/>
                <w:bCs/>
                <w:lang w:val="en-AU"/>
              </w:rPr>
              <w:t>Uptake</w:t>
            </w:r>
          </w:p>
        </w:tc>
        <w:tc>
          <w:tcPr>
            <w:tcW w:w="2892" w:type="dxa"/>
            <w:shd w:val="clear" w:color="auto" w:fill="auto"/>
          </w:tcPr>
          <w:p w14:paraId="51502392" w14:textId="43679DEC" w:rsidR="008B3A69" w:rsidRPr="00250A3D" w:rsidRDefault="00AA076A" w:rsidP="00297534">
            <w:pPr>
              <w:pStyle w:val="COMTableheadingrow"/>
              <w:keepNext w:val="0"/>
              <w:rPr>
                <w:b w:val="0"/>
                <w:bCs/>
                <w:lang w:val="en-AU"/>
              </w:rPr>
            </w:pPr>
            <w:r w:rsidRPr="00AA076A">
              <w:rPr>
                <w:b w:val="0"/>
                <w:color w:val="000000"/>
                <w:spacing w:val="53"/>
                <w:shd w:val="solid" w:color="000000" w:fill="000000"/>
                <w:fitText w:val="330" w:id="-893118718"/>
                <w:lang w:val="en-AU"/>
                <w14:textFill>
                  <w14:solidFill>
                    <w14:srgbClr w14:val="000000">
                      <w14:alpha w14:val="100000"/>
                    </w14:srgbClr>
                  </w14:solidFill>
                </w14:textFill>
              </w:rPr>
              <w:t>|||</w:t>
            </w:r>
            <w:r w:rsidRPr="00AA076A">
              <w:rPr>
                <w:b w:val="0"/>
                <w:color w:val="000000"/>
                <w:spacing w:val="1"/>
                <w:shd w:val="solid" w:color="000000" w:fill="000000"/>
                <w:fitText w:val="330" w:id="-893118718"/>
                <w:lang w:val="en-AU"/>
                <w14:textFill>
                  <w14:solidFill>
                    <w14:srgbClr w14:val="000000">
                      <w14:alpha w14:val="100000"/>
                    </w14:srgbClr>
                  </w14:solidFill>
                </w14:textFill>
              </w:rPr>
              <w:t>|</w:t>
            </w:r>
            <w:r w:rsidR="008B3A69" w:rsidRPr="00250A3D">
              <w:rPr>
                <w:b w:val="0"/>
                <w:bCs/>
                <w:lang w:val="en-AU"/>
              </w:rPr>
              <w:t xml:space="preserve">% in Year 1, increasing to </w:t>
            </w:r>
            <w:r w:rsidRPr="00AA076A">
              <w:rPr>
                <w:b w:val="0"/>
                <w:color w:val="000000"/>
                <w:spacing w:val="53"/>
                <w:shd w:val="solid" w:color="000000" w:fill="000000"/>
                <w:fitText w:val="330" w:id="-893118717"/>
                <w:lang w:val="en-AU"/>
                <w14:textFill>
                  <w14:solidFill>
                    <w14:srgbClr w14:val="000000">
                      <w14:alpha w14:val="100000"/>
                    </w14:srgbClr>
                  </w14:solidFill>
                </w14:textFill>
              </w:rPr>
              <w:t>|||</w:t>
            </w:r>
            <w:r w:rsidRPr="00AA076A">
              <w:rPr>
                <w:b w:val="0"/>
                <w:color w:val="000000"/>
                <w:spacing w:val="1"/>
                <w:shd w:val="solid" w:color="000000" w:fill="000000"/>
                <w:fitText w:val="330" w:id="-893118717"/>
                <w:lang w:val="en-AU"/>
                <w14:textFill>
                  <w14:solidFill>
                    <w14:srgbClr w14:val="000000">
                      <w14:alpha w14:val="100000"/>
                    </w14:srgbClr>
                  </w14:solidFill>
                </w14:textFill>
              </w:rPr>
              <w:t>|</w:t>
            </w:r>
            <w:r w:rsidR="008B3A69" w:rsidRPr="00250A3D">
              <w:rPr>
                <w:b w:val="0"/>
                <w:bCs/>
                <w:lang w:val="en-AU"/>
              </w:rPr>
              <w:t>% in Years 4-6.</w:t>
            </w:r>
          </w:p>
          <w:p w14:paraId="0A71825E" w14:textId="77777777" w:rsidR="008B3A69" w:rsidRPr="00250A3D" w:rsidRDefault="008B3A69" w:rsidP="00297534">
            <w:pPr>
              <w:pStyle w:val="COMTableheadingrow"/>
              <w:keepNext w:val="0"/>
              <w:rPr>
                <w:b w:val="0"/>
                <w:bCs/>
                <w:lang w:val="en-AU"/>
              </w:rPr>
            </w:pPr>
            <w:r w:rsidRPr="00250A3D">
              <w:rPr>
                <w:b w:val="0"/>
                <w:bCs/>
                <w:lang w:val="en-AU"/>
              </w:rPr>
              <w:t xml:space="preserve">The submission stated that market uptake was informed by uptake of ocrelizumab for multiple sclerosis on the PBS (28% of the biologics market in Year 1; increasing to 60% in Year 3; based on Figure 2, DUSC 2020 Ocrelizumab predicted versus actual analysis), as well as local expert opinion and international experience. </w:t>
            </w:r>
          </w:p>
        </w:tc>
        <w:tc>
          <w:tcPr>
            <w:tcW w:w="4375" w:type="dxa"/>
            <w:shd w:val="clear" w:color="auto" w:fill="auto"/>
          </w:tcPr>
          <w:p w14:paraId="3FA2F9F5" w14:textId="77777777" w:rsidR="008B3A69" w:rsidRPr="00250A3D" w:rsidRDefault="008B3A69" w:rsidP="00297534">
            <w:pPr>
              <w:pStyle w:val="COMTableheadingrow"/>
              <w:keepNext w:val="0"/>
              <w:rPr>
                <w:b w:val="0"/>
                <w:bCs/>
                <w:lang w:val="en-AU"/>
              </w:rPr>
            </w:pPr>
            <w:r w:rsidRPr="00250A3D">
              <w:rPr>
                <w:b w:val="0"/>
                <w:bCs/>
                <w:lang w:val="en-AU"/>
              </w:rPr>
              <w:t>The submission acknowledged that ocrelizumab is not a perfect analogue, as it provided substitution of existing medicines rather than incremental use, but claimed it provides some guidance on uptake of a new treatment for a neurological condition.</w:t>
            </w:r>
          </w:p>
          <w:p w14:paraId="3945C727" w14:textId="77777777" w:rsidR="008B3A69" w:rsidRPr="008A0747" w:rsidRDefault="008A0747" w:rsidP="00297534">
            <w:pPr>
              <w:pStyle w:val="COMTableheadingrow"/>
              <w:keepNext w:val="0"/>
              <w:rPr>
                <w:b w:val="0"/>
                <w:bCs/>
                <w:lang w:val="en-AU"/>
              </w:rPr>
            </w:pPr>
            <w:r w:rsidRPr="008A0747">
              <w:rPr>
                <w:b w:val="0"/>
                <w:bCs/>
                <w:lang w:val="en-AU"/>
              </w:rPr>
              <w:t>The commentary noted that n</w:t>
            </w:r>
            <w:r w:rsidR="008B3A69" w:rsidRPr="008A0747">
              <w:rPr>
                <w:b w:val="0"/>
                <w:bCs/>
                <w:lang w:val="en-AU"/>
              </w:rPr>
              <w:t>o details were provided on the expert opinion or commercial experience.</w:t>
            </w:r>
          </w:p>
          <w:p w14:paraId="2D455DC5" w14:textId="77777777" w:rsidR="008A0747" w:rsidRDefault="008A0747" w:rsidP="00297534">
            <w:pPr>
              <w:pStyle w:val="COMTableheadingrow"/>
              <w:keepNext w:val="0"/>
              <w:rPr>
                <w:b w:val="0"/>
                <w:bCs/>
                <w:lang w:val="en-AU"/>
              </w:rPr>
            </w:pPr>
          </w:p>
          <w:p w14:paraId="6A5C137A" w14:textId="1091325A" w:rsidR="008A0747" w:rsidRPr="00250A3D" w:rsidRDefault="008A0747" w:rsidP="00297534">
            <w:pPr>
              <w:pStyle w:val="COMTableheadingrow"/>
              <w:keepNext w:val="0"/>
              <w:rPr>
                <w:b w:val="0"/>
                <w:bCs/>
                <w:i/>
                <w:iCs/>
                <w:lang w:val="en-AU"/>
              </w:rPr>
            </w:pPr>
            <w:r w:rsidRPr="008A0747">
              <w:rPr>
                <w:b w:val="0"/>
                <w:bCs/>
                <w:lang w:val="en-AU"/>
              </w:rPr>
              <w:t>DUSC considered that uptake rates were uncertain and an underestimate given uncertainty of place in therapy and unmet need.</w:t>
            </w:r>
          </w:p>
        </w:tc>
      </w:tr>
      <w:tr w:rsidR="008B3A69" w:rsidRPr="00250A3D" w14:paraId="325B8EF2" w14:textId="77777777" w:rsidTr="008A0747">
        <w:trPr>
          <w:cantSplit/>
        </w:trPr>
        <w:tc>
          <w:tcPr>
            <w:tcW w:w="1816" w:type="dxa"/>
          </w:tcPr>
          <w:p w14:paraId="429CE392" w14:textId="77777777" w:rsidR="008B3A69" w:rsidRPr="00250A3D" w:rsidRDefault="008B3A69" w:rsidP="00297534">
            <w:pPr>
              <w:pStyle w:val="COMTableheadingrow"/>
              <w:keepNext w:val="0"/>
              <w:rPr>
                <w:b w:val="0"/>
                <w:bCs/>
                <w:lang w:val="en-AU"/>
              </w:rPr>
            </w:pPr>
            <w:r w:rsidRPr="00250A3D">
              <w:rPr>
                <w:b w:val="0"/>
                <w:bCs/>
                <w:lang w:val="en-AU"/>
              </w:rPr>
              <w:t>Treatment responders at 6 months</w:t>
            </w:r>
          </w:p>
        </w:tc>
        <w:tc>
          <w:tcPr>
            <w:tcW w:w="2892" w:type="dxa"/>
          </w:tcPr>
          <w:p w14:paraId="17D31DBA" w14:textId="77777777" w:rsidR="008B3A69" w:rsidRPr="00250A3D" w:rsidRDefault="008B3A69" w:rsidP="00297534">
            <w:pPr>
              <w:pStyle w:val="COMTableheadingrow"/>
              <w:keepNext w:val="0"/>
              <w:rPr>
                <w:b w:val="0"/>
                <w:bCs/>
                <w:lang w:val="en-AU"/>
              </w:rPr>
            </w:pPr>
            <w:r w:rsidRPr="00250A3D">
              <w:rPr>
                <w:b w:val="0"/>
                <w:bCs/>
                <w:lang w:val="en-AU"/>
              </w:rPr>
              <w:t>63.9%. Based on the response rate (proportion of patients with ≥2 point decrease in MG-ADL) in CHAMPION-MG.</w:t>
            </w:r>
          </w:p>
        </w:tc>
        <w:tc>
          <w:tcPr>
            <w:tcW w:w="4375" w:type="dxa"/>
          </w:tcPr>
          <w:p w14:paraId="28BE91FF" w14:textId="77777777" w:rsidR="008B3A69" w:rsidRDefault="008A0747" w:rsidP="00297534">
            <w:pPr>
              <w:pStyle w:val="COMTableheadingrow"/>
              <w:keepNext w:val="0"/>
              <w:rPr>
                <w:b w:val="0"/>
                <w:bCs/>
                <w:lang w:val="en-AU"/>
              </w:rPr>
            </w:pPr>
            <w:r>
              <w:rPr>
                <w:b w:val="0"/>
                <w:bCs/>
                <w:lang w:val="en-AU"/>
              </w:rPr>
              <w:t>The commentary considered it was</w:t>
            </w:r>
            <w:r w:rsidR="008B3A69" w:rsidRPr="008A0747">
              <w:rPr>
                <w:b w:val="0"/>
                <w:bCs/>
                <w:lang w:val="en-AU"/>
              </w:rPr>
              <w:t xml:space="preserve"> unclear whether the response rate in a clinical trial </w:t>
            </w:r>
            <w:r>
              <w:rPr>
                <w:b w:val="0"/>
                <w:bCs/>
                <w:lang w:val="en-AU"/>
              </w:rPr>
              <w:t>would</w:t>
            </w:r>
            <w:r w:rsidR="008B3A69" w:rsidRPr="008A0747">
              <w:rPr>
                <w:b w:val="0"/>
                <w:bCs/>
                <w:lang w:val="en-AU"/>
              </w:rPr>
              <w:t xml:space="preserve"> be representative of the response rate in clinical practice, used to determine ongoing treatment eligibility.</w:t>
            </w:r>
          </w:p>
          <w:p w14:paraId="5C725447" w14:textId="77777777" w:rsidR="008A0747" w:rsidRDefault="008A0747" w:rsidP="00297534">
            <w:pPr>
              <w:pStyle w:val="COMTableheadingrow"/>
              <w:keepNext w:val="0"/>
              <w:rPr>
                <w:b w:val="0"/>
                <w:bCs/>
                <w:lang w:val="en-AU"/>
              </w:rPr>
            </w:pPr>
          </w:p>
          <w:p w14:paraId="19281934" w14:textId="559CD248" w:rsidR="008A0747" w:rsidRPr="008A0747" w:rsidRDefault="008A0747" w:rsidP="00297534">
            <w:pPr>
              <w:pStyle w:val="COMTableheadingrow"/>
              <w:keepNext w:val="0"/>
              <w:rPr>
                <w:b w:val="0"/>
                <w:bCs/>
                <w:lang w:val="en-AU"/>
              </w:rPr>
            </w:pPr>
            <w:r w:rsidRPr="008A0747">
              <w:rPr>
                <w:b w:val="0"/>
                <w:bCs/>
                <w:lang w:val="en-AU"/>
              </w:rPr>
              <w:t xml:space="preserve">DUSC considered that </w:t>
            </w:r>
            <w:r>
              <w:rPr>
                <w:b w:val="0"/>
                <w:bCs/>
                <w:lang w:val="en-AU"/>
              </w:rPr>
              <w:t xml:space="preserve">the proportion of </w:t>
            </w:r>
            <w:r w:rsidRPr="008A0747">
              <w:rPr>
                <w:b w:val="0"/>
                <w:bCs/>
                <w:lang w:val="en-AU"/>
              </w:rPr>
              <w:t>treatment responders w</w:t>
            </w:r>
            <w:r>
              <w:rPr>
                <w:b w:val="0"/>
                <w:bCs/>
                <w:lang w:val="en-AU"/>
              </w:rPr>
              <w:t>as</w:t>
            </w:r>
            <w:r w:rsidRPr="008A0747">
              <w:rPr>
                <w:b w:val="0"/>
                <w:bCs/>
                <w:lang w:val="en-AU"/>
              </w:rPr>
              <w:t xml:space="preserve"> likely to be lower than that seen in the trial.</w:t>
            </w:r>
          </w:p>
        </w:tc>
      </w:tr>
      <w:tr w:rsidR="008A0747" w:rsidRPr="00250A3D" w14:paraId="77DEF0A1" w14:textId="77777777" w:rsidTr="008A0747">
        <w:trPr>
          <w:cantSplit/>
        </w:trPr>
        <w:tc>
          <w:tcPr>
            <w:tcW w:w="1816" w:type="dxa"/>
          </w:tcPr>
          <w:p w14:paraId="77BA8DB5" w14:textId="7A049AE1" w:rsidR="008A0747" w:rsidRPr="00250A3D" w:rsidRDefault="008A0747" w:rsidP="00297534">
            <w:pPr>
              <w:pStyle w:val="COMTableheadingrow"/>
              <w:keepNext w:val="0"/>
              <w:rPr>
                <w:b w:val="0"/>
                <w:bCs/>
                <w:lang w:val="en-AU"/>
              </w:rPr>
            </w:pPr>
            <w:r w:rsidRPr="00250A3D">
              <w:rPr>
                <w:b w:val="0"/>
                <w:bCs/>
                <w:lang w:val="en-AU"/>
              </w:rPr>
              <w:t>Proportion of treatment responders completing 2 years of therapy</w:t>
            </w:r>
          </w:p>
        </w:tc>
        <w:tc>
          <w:tcPr>
            <w:tcW w:w="2892" w:type="dxa"/>
          </w:tcPr>
          <w:p w14:paraId="4ADB4985" w14:textId="0F5C6B40" w:rsidR="008A0747" w:rsidRPr="00250A3D" w:rsidRDefault="008A0747" w:rsidP="00297534">
            <w:pPr>
              <w:pStyle w:val="COMTableheadingrow"/>
              <w:keepNext w:val="0"/>
              <w:rPr>
                <w:b w:val="0"/>
                <w:bCs/>
                <w:lang w:val="en-AU"/>
              </w:rPr>
            </w:pPr>
            <w:r w:rsidRPr="00250A3D">
              <w:rPr>
                <w:b w:val="0"/>
                <w:bCs/>
                <w:lang w:val="en-AU"/>
              </w:rPr>
              <w:t>100%</w:t>
            </w:r>
            <w:r>
              <w:rPr>
                <w:b w:val="0"/>
                <w:bCs/>
                <w:lang w:val="en-AU"/>
              </w:rPr>
              <w:t xml:space="preserve">, </w:t>
            </w:r>
            <w:r w:rsidRPr="00250A3D">
              <w:rPr>
                <w:b w:val="0"/>
                <w:bCs/>
                <w:lang w:val="en-AU"/>
              </w:rPr>
              <w:t>Assumption.</w:t>
            </w:r>
          </w:p>
        </w:tc>
        <w:tc>
          <w:tcPr>
            <w:tcW w:w="4375" w:type="dxa"/>
          </w:tcPr>
          <w:p w14:paraId="76397F1B" w14:textId="77777777" w:rsidR="008A0747" w:rsidRDefault="008A0747" w:rsidP="00297534">
            <w:pPr>
              <w:pStyle w:val="COMTableheadingrow"/>
              <w:keepNext w:val="0"/>
              <w:rPr>
                <w:b w:val="0"/>
                <w:bCs/>
                <w:lang w:val="en-AU"/>
              </w:rPr>
            </w:pPr>
            <w:r w:rsidRPr="00845AE1">
              <w:rPr>
                <w:b w:val="0"/>
                <w:bCs/>
                <w:lang w:val="en-AU"/>
              </w:rPr>
              <w:t>Th</w:t>
            </w:r>
            <w:r>
              <w:rPr>
                <w:b w:val="0"/>
                <w:bCs/>
                <w:lang w:val="en-AU"/>
              </w:rPr>
              <w:t>e commentary considered that th</w:t>
            </w:r>
            <w:r w:rsidRPr="00845AE1">
              <w:rPr>
                <w:b w:val="0"/>
                <w:bCs/>
                <w:lang w:val="en-AU"/>
              </w:rPr>
              <w:t xml:space="preserve">is assumption </w:t>
            </w:r>
            <w:r>
              <w:rPr>
                <w:b w:val="0"/>
                <w:bCs/>
                <w:lang w:val="en-AU"/>
              </w:rPr>
              <w:t>wa</w:t>
            </w:r>
            <w:r w:rsidRPr="00845AE1">
              <w:rPr>
                <w:b w:val="0"/>
                <w:bCs/>
                <w:lang w:val="en-AU"/>
              </w:rPr>
              <w:t xml:space="preserve">s unlikely to reflect clinical practice and </w:t>
            </w:r>
            <w:r w:rsidR="00CF7B79">
              <w:rPr>
                <w:b w:val="0"/>
                <w:bCs/>
                <w:lang w:val="en-AU"/>
              </w:rPr>
              <w:t>wa</w:t>
            </w:r>
            <w:r w:rsidRPr="00845AE1">
              <w:rPr>
                <w:b w:val="0"/>
                <w:bCs/>
                <w:lang w:val="en-AU"/>
              </w:rPr>
              <w:t>s inconsistent with treatment persistence in the CHAMPION-MG trial and the economic model</w:t>
            </w:r>
            <w:r w:rsidR="00CF7B79">
              <w:rPr>
                <w:b w:val="0"/>
                <w:bCs/>
                <w:lang w:val="en-AU"/>
              </w:rPr>
              <w:t>.</w:t>
            </w:r>
          </w:p>
          <w:p w14:paraId="5D09695D" w14:textId="77777777" w:rsidR="00CF7B79" w:rsidRDefault="00CF7B79" w:rsidP="00297534">
            <w:pPr>
              <w:pStyle w:val="COMTableheadingrow"/>
              <w:keepNext w:val="0"/>
              <w:rPr>
                <w:b w:val="0"/>
                <w:bCs/>
                <w:lang w:val="en-AU"/>
              </w:rPr>
            </w:pPr>
          </w:p>
          <w:p w14:paraId="59A05B64" w14:textId="16CE2B31" w:rsidR="00CF7B79" w:rsidRPr="00CF7B79" w:rsidRDefault="00CF7B79" w:rsidP="00297534">
            <w:pPr>
              <w:pStyle w:val="COMTableheadingrow"/>
              <w:keepNext w:val="0"/>
              <w:rPr>
                <w:b w:val="0"/>
                <w:bCs/>
                <w:lang w:val="en-AU"/>
              </w:rPr>
            </w:pPr>
            <w:r w:rsidRPr="00CF7B79">
              <w:rPr>
                <w:b w:val="0"/>
                <w:bCs/>
                <w:lang w:val="en-AU"/>
              </w:rPr>
              <w:t>DUSC agreed with the commentary and considered that there was uncertainty in the proportion of treatment responders given its likely use in clinical practice and the assumptions of the economic model.</w:t>
            </w:r>
          </w:p>
        </w:tc>
      </w:tr>
      <w:tr w:rsidR="00CF7B79" w:rsidRPr="00250A3D" w14:paraId="1535DB27" w14:textId="77777777" w:rsidTr="008A0747">
        <w:trPr>
          <w:cantSplit/>
        </w:trPr>
        <w:tc>
          <w:tcPr>
            <w:tcW w:w="1816" w:type="dxa"/>
          </w:tcPr>
          <w:p w14:paraId="52C8D526" w14:textId="217029EF" w:rsidR="00CF7B79" w:rsidRPr="00250A3D" w:rsidRDefault="00CF7B79" w:rsidP="00297534">
            <w:pPr>
              <w:pStyle w:val="COMTableheadingrow"/>
              <w:keepNext w:val="0"/>
              <w:rPr>
                <w:b w:val="0"/>
                <w:bCs/>
                <w:lang w:val="en-AU"/>
              </w:rPr>
            </w:pPr>
            <w:r w:rsidRPr="00250A3D">
              <w:rPr>
                <w:b w:val="0"/>
                <w:bCs/>
                <w:lang w:val="en-AU"/>
              </w:rPr>
              <w:t>Grandfathered patients</w:t>
            </w:r>
          </w:p>
        </w:tc>
        <w:tc>
          <w:tcPr>
            <w:tcW w:w="2892" w:type="dxa"/>
          </w:tcPr>
          <w:p w14:paraId="68B05B38" w14:textId="4ADB1FE4" w:rsidR="00CF7B79" w:rsidRDefault="00AA076A" w:rsidP="00297534">
            <w:pPr>
              <w:pStyle w:val="COMTableheadingrow"/>
              <w:keepNext w:val="0"/>
              <w:rPr>
                <w:b w:val="0"/>
                <w:bCs/>
                <w:lang w:val="en-AU"/>
              </w:rPr>
            </w:pPr>
            <w:r w:rsidRPr="00AA076A">
              <w:rPr>
                <w:b w:val="0"/>
                <w:bCs/>
                <w:color w:val="000000"/>
                <w:spacing w:val="53"/>
                <w:shd w:val="solid" w:color="000000" w:fill="000000"/>
                <w:fitText w:val="330" w:id="-893118716"/>
                <w:lang w:val="en-AU"/>
                <w14:textFill>
                  <w14:solidFill>
                    <w14:srgbClr w14:val="000000">
                      <w14:alpha w14:val="100000"/>
                    </w14:srgbClr>
                  </w14:solidFill>
                </w14:textFill>
              </w:rPr>
              <w:t>|||</w:t>
            </w:r>
            <w:r w:rsidRPr="00AA076A">
              <w:rPr>
                <w:b w:val="0"/>
                <w:bCs/>
                <w:color w:val="000000"/>
                <w:spacing w:val="1"/>
                <w:shd w:val="solid" w:color="000000" w:fill="000000"/>
                <w:fitText w:val="330" w:id="-893118716"/>
                <w:lang w:val="en-AU"/>
                <w14:textFill>
                  <w14:solidFill>
                    <w14:srgbClr w14:val="000000">
                      <w14:alpha w14:val="100000"/>
                    </w14:srgbClr>
                  </w14:solidFill>
                </w14:textFill>
              </w:rPr>
              <w:t>|</w:t>
            </w:r>
            <w:r w:rsidR="00D4703B">
              <w:rPr>
                <w:b w:val="0"/>
                <w:bCs/>
                <w:vertAlign w:val="superscript"/>
                <w:lang w:val="en-AU"/>
              </w:rPr>
              <w:t xml:space="preserve"> 1</w:t>
            </w:r>
            <w:r w:rsidR="00CF7B79" w:rsidRPr="00250A3D">
              <w:rPr>
                <w:b w:val="0"/>
                <w:bCs/>
                <w:lang w:val="en-AU"/>
              </w:rPr>
              <w:t xml:space="preserve"> patients</w:t>
            </w:r>
            <w:r w:rsidR="00CF7B79">
              <w:rPr>
                <w:b w:val="0"/>
                <w:bCs/>
                <w:lang w:val="en-AU"/>
              </w:rPr>
              <w:t>.</w:t>
            </w:r>
          </w:p>
          <w:p w14:paraId="7DA5FEB3" w14:textId="39ECCC0E" w:rsidR="00CF7B79" w:rsidRPr="00250A3D" w:rsidRDefault="00CF7B79" w:rsidP="00297534">
            <w:pPr>
              <w:pStyle w:val="COMTableheadingrow"/>
              <w:keepNext w:val="0"/>
              <w:rPr>
                <w:b w:val="0"/>
                <w:bCs/>
                <w:lang w:val="en-AU"/>
              </w:rPr>
            </w:pPr>
            <w:r w:rsidRPr="00250A3D">
              <w:rPr>
                <w:b w:val="0"/>
                <w:bCs/>
                <w:lang w:val="en-AU"/>
              </w:rPr>
              <w:t xml:space="preserve">The submission stated that </w:t>
            </w:r>
            <w:r w:rsidR="00AA076A" w:rsidRPr="00AA076A">
              <w:rPr>
                <w:b w:val="0"/>
                <w:bCs/>
                <w:color w:val="000000"/>
                <w:spacing w:val="49"/>
                <w:shd w:val="solid" w:color="000000" w:fill="000000"/>
                <w:fitText w:val="320" w:id="-893118715"/>
                <w:lang w:val="en-AU"/>
                <w14:textFill>
                  <w14:solidFill>
                    <w14:srgbClr w14:val="000000">
                      <w14:alpha w14:val="100000"/>
                    </w14:srgbClr>
                  </w14:solidFill>
                </w14:textFill>
              </w:rPr>
              <w:t>|||</w:t>
            </w:r>
            <w:r w:rsidR="00AA076A" w:rsidRPr="00AA076A">
              <w:rPr>
                <w:b w:val="0"/>
                <w:bCs/>
                <w:color w:val="000000"/>
                <w:spacing w:val="3"/>
                <w:shd w:val="solid" w:color="000000" w:fill="000000"/>
                <w:fitText w:val="320" w:id="-893118715"/>
                <w:lang w:val="en-AU"/>
                <w14:textFill>
                  <w14:solidFill>
                    <w14:srgbClr w14:val="000000">
                      <w14:alpha w14:val="100000"/>
                    </w14:srgbClr>
                  </w14:solidFill>
                </w14:textFill>
              </w:rPr>
              <w:t>|</w:t>
            </w:r>
            <w:r w:rsidR="007D2CD9">
              <w:rPr>
                <w:b w:val="0"/>
                <w:bCs/>
                <w:vertAlign w:val="superscript"/>
                <w:lang w:val="en-AU"/>
              </w:rPr>
              <w:t xml:space="preserve"> 1</w:t>
            </w:r>
            <w:r w:rsidR="007D2CD9" w:rsidRPr="00250A3D">
              <w:rPr>
                <w:b w:val="0"/>
                <w:bCs/>
                <w:lang w:val="en-AU"/>
              </w:rPr>
              <w:t xml:space="preserve"> </w:t>
            </w:r>
            <w:r w:rsidRPr="00250A3D">
              <w:rPr>
                <w:b w:val="0"/>
                <w:bCs/>
                <w:lang w:val="en-AU"/>
              </w:rPr>
              <w:t>patients are expected to enrol in an early access program; 63.9% of whom will achieve response (based on the response rate in CHAMPION-MG). The submission assumed that patients would complete the initial treatment period in the early access program and complete a further 78 weeks of PBS funded treatment (6 doses in Year 1; 4 doses in Year 2).</w:t>
            </w:r>
          </w:p>
        </w:tc>
        <w:tc>
          <w:tcPr>
            <w:tcW w:w="4375" w:type="dxa"/>
          </w:tcPr>
          <w:p w14:paraId="3D2334D7" w14:textId="45B568E8" w:rsidR="00CF7B79" w:rsidRPr="004B2E7B" w:rsidRDefault="00CF7B79" w:rsidP="00297534">
            <w:pPr>
              <w:pStyle w:val="COMTableheadingrow"/>
              <w:keepNext w:val="0"/>
              <w:rPr>
                <w:b w:val="0"/>
                <w:bCs/>
                <w:lang w:val="en-AU"/>
              </w:rPr>
            </w:pPr>
            <w:r w:rsidRPr="00250A3D">
              <w:rPr>
                <w:b w:val="0"/>
                <w:bCs/>
                <w:lang w:val="en-AU"/>
              </w:rPr>
              <w:t xml:space="preserve">The submission claimed that grandfathered patients do not contribute to the number of initiating patients, only continuing patients in Years 1 and 2, and do not require removal from the prevalent population in Year 1. </w:t>
            </w:r>
            <w:r>
              <w:rPr>
                <w:b w:val="0"/>
                <w:bCs/>
                <w:lang w:val="en-AU"/>
              </w:rPr>
              <w:t>However, the commentary considered t</w:t>
            </w:r>
            <w:r w:rsidRPr="004B2E7B">
              <w:rPr>
                <w:b w:val="0"/>
                <w:bCs/>
                <w:lang w:val="en-AU"/>
              </w:rPr>
              <w:t xml:space="preserve">here is likely to be substantial overlap between the eligible prevalent populations from year to year and it would be more appropriate to remove the grandfathered patients from the eligible prevalent pool. </w:t>
            </w:r>
          </w:p>
          <w:p w14:paraId="0AAEF93F" w14:textId="7067ED95" w:rsidR="00CF7B79" w:rsidRDefault="00CF7B79" w:rsidP="00297534">
            <w:pPr>
              <w:pStyle w:val="COMTableheadingrow"/>
              <w:keepNext w:val="0"/>
              <w:rPr>
                <w:b w:val="0"/>
                <w:bCs/>
                <w:lang w:val="en-AU"/>
              </w:rPr>
            </w:pPr>
            <w:r>
              <w:rPr>
                <w:b w:val="0"/>
                <w:bCs/>
                <w:lang w:val="en-AU"/>
              </w:rPr>
              <w:t>The commentary considered that i</w:t>
            </w:r>
            <w:r w:rsidRPr="004B2E7B">
              <w:rPr>
                <w:b w:val="0"/>
                <w:bCs/>
                <w:lang w:val="en-AU"/>
              </w:rPr>
              <w:t>t is likely that a proportion of continuing therapy would occur during the early access program, rather than as PBS-subsidised therapy only.</w:t>
            </w:r>
          </w:p>
          <w:p w14:paraId="64290872" w14:textId="40CE9C7B" w:rsidR="00CF7B79" w:rsidRDefault="00CF7B79" w:rsidP="00297534">
            <w:pPr>
              <w:pStyle w:val="COMTableheadingrow"/>
              <w:keepNext w:val="0"/>
              <w:rPr>
                <w:b w:val="0"/>
                <w:bCs/>
                <w:lang w:val="en-AU"/>
              </w:rPr>
            </w:pPr>
            <w:r w:rsidRPr="00CF7B79">
              <w:rPr>
                <w:b w:val="0"/>
                <w:bCs/>
                <w:lang w:val="en-AU"/>
              </w:rPr>
              <w:t xml:space="preserve">DUSC agreed with the commentary and considered that the grandfathered patient </w:t>
            </w:r>
            <w:r>
              <w:rPr>
                <w:b w:val="0"/>
                <w:bCs/>
                <w:lang w:val="en-AU"/>
              </w:rPr>
              <w:t>should</w:t>
            </w:r>
            <w:r w:rsidRPr="00CF7B79">
              <w:rPr>
                <w:b w:val="0"/>
                <w:bCs/>
                <w:lang w:val="en-AU"/>
              </w:rPr>
              <w:t xml:space="preserve"> be removed from the prevalent estimates</w:t>
            </w:r>
            <w:r>
              <w:rPr>
                <w:b w:val="0"/>
                <w:bCs/>
                <w:lang w:val="en-AU"/>
              </w:rPr>
              <w:t>.</w:t>
            </w:r>
          </w:p>
        </w:tc>
      </w:tr>
      <w:tr w:rsidR="008A0747" w:rsidRPr="00250A3D" w14:paraId="3BE8012C" w14:textId="77777777" w:rsidTr="008A0747">
        <w:trPr>
          <w:cantSplit/>
        </w:trPr>
        <w:tc>
          <w:tcPr>
            <w:tcW w:w="1816" w:type="dxa"/>
          </w:tcPr>
          <w:p w14:paraId="142FF0F5" w14:textId="050F0F6C" w:rsidR="008A0747" w:rsidRPr="00250A3D" w:rsidRDefault="00CF7B79" w:rsidP="00297534">
            <w:pPr>
              <w:pStyle w:val="COMTableheadingrow"/>
              <w:keepNext w:val="0"/>
              <w:rPr>
                <w:b w:val="0"/>
                <w:bCs/>
                <w:lang w:val="en-AU"/>
              </w:rPr>
            </w:pPr>
            <w:r w:rsidRPr="00250A3D">
              <w:rPr>
                <w:b w:val="0"/>
                <w:bCs/>
                <w:lang w:val="en-AU"/>
              </w:rPr>
              <w:t>Number of scripts per patient</w:t>
            </w:r>
          </w:p>
        </w:tc>
        <w:tc>
          <w:tcPr>
            <w:tcW w:w="2892" w:type="dxa"/>
          </w:tcPr>
          <w:p w14:paraId="0CE996FF" w14:textId="77777777" w:rsidR="00CF7B79" w:rsidRPr="00250A3D" w:rsidRDefault="00CF7B79" w:rsidP="00297534">
            <w:pPr>
              <w:pStyle w:val="COMTableheadingrow"/>
              <w:keepNext w:val="0"/>
              <w:rPr>
                <w:b w:val="0"/>
                <w:bCs/>
                <w:lang w:val="en-AU"/>
              </w:rPr>
            </w:pPr>
            <w:r w:rsidRPr="00250A3D">
              <w:rPr>
                <w:b w:val="0"/>
                <w:bCs/>
                <w:lang w:val="en-AU"/>
              </w:rPr>
              <w:t xml:space="preserve">Initial scripts: </w:t>
            </w:r>
          </w:p>
          <w:p w14:paraId="78525D8B" w14:textId="77777777" w:rsidR="00CF7B79" w:rsidRPr="00250A3D" w:rsidRDefault="00CF7B79" w:rsidP="00297534">
            <w:pPr>
              <w:pStyle w:val="COMTableheadingrow"/>
              <w:keepNext w:val="0"/>
              <w:rPr>
                <w:b w:val="0"/>
                <w:bCs/>
                <w:lang w:val="en-AU"/>
              </w:rPr>
            </w:pPr>
            <w:r w:rsidRPr="00250A3D">
              <w:rPr>
                <w:b w:val="0"/>
                <w:bCs/>
                <w:lang w:val="en-AU"/>
              </w:rPr>
              <w:t xml:space="preserve">4 × 300 mg and </w:t>
            </w:r>
          </w:p>
          <w:p w14:paraId="0ADBA472" w14:textId="77777777" w:rsidR="00CF7B79" w:rsidRPr="00250A3D" w:rsidRDefault="00CF7B79" w:rsidP="00297534">
            <w:pPr>
              <w:pStyle w:val="COMTableheadingrow"/>
              <w:keepNext w:val="0"/>
              <w:rPr>
                <w:b w:val="0"/>
                <w:bCs/>
                <w:lang w:val="en-AU"/>
              </w:rPr>
            </w:pPr>
            <w:r w:rsidRPr="00250A3D">
              <w:rPr>
                <w:b w:val="0"/>
                <w:bCs/>
                <w:lang w:val="en-AU"/>
              </w:rPr>
              <w:t>4 × 1,100 mg</w:t>
            </w:r>
          </w:p>
          <w:p w14:paraId="27406223" w14:textId="77777777" w:rsidR="00CF7B79" w:rsidRPr="00250A3D" w:rsidRDefault="00CF7B79" w:rsidP="00297534">
            <w:pPr>
              <w:pStyle w:val="COMTableheadingrow"/>
              <w:keepNext w:val="0"/>
              <w:rPr>
                <w:b w:val="0"/>
                <w:bCs/>
                <w:lang w:val="en-AU"/>
              </w:rPr>
            </w:pPr>
            <w:r w:rsidRPr="00250A3D">
              <w:rPr>
                <w:b w:val="0"/>
                <w:bCs/>
                <w:lang w:val="en-AU"/>
              </w:rPr>
              <w:t>Continuing scripts:</w:t>
            </w:r>
          </w:p>
          <w:p w14:paraId="6C019F72" w14:textId="77777777" w:rsidR="00CF7B79" w:rsidRPr="00250A3D" w:rsidRDefault="00CF7B79" w:rsidP="00297534">
            <w:pPr>
              <w:pStyle w:val="COMTableheadingrow"/>
              <w:keepNext w:val="0"/>
              <w:rPr>
                <w:b w:val="0"/>
                <w:bCs/>
                <w:lang w:val="en-AU"/>
              </w:rPr>
            </w:pPr>
            <w:r w:rsidRPr="00250A3D">
              <w:rPr>
                <w:b w:val="0"/>
                <w:bCs/>
                <w:lang w:val="en-AU"/>
              </w:rPr>
              <w:t>10 × 300 mg and</w:t>
            </w:r>
          </w:p>
          <w:p w14:paraId="6E2F2838" w14:textId="77777777" w:rsidR="008A0747" w:rsidRDefault="00CF7B79" w:rsidP="00297534">
            <w:pPr>
              <w:pStyle w:val="COMTableheadingrow"/>
              <w:keepNext w:val="0"/>
              <w:rPr>
                <w:b w:val="0"/>
                <w:bCs/>
                <w:lang w:val="en-AU"/>
              </w:rPr>
            </w:pPr>
            <w:r w:rsidRPr="00250A3D">
              <w:rPr>
                <w:b w:val="0"/>
                <w:bCs/>
                <w:lang w:val="en-AU"/>
              </w:rPr>
              <w:t>10 × 1,100 mg.</w:t>
            </w:r>
          </w:p>
          <w:p w14:paraId="0E3BA652" w14:textId="0D2CA84E" w:rsidR="00CF7B79" w:rsidRPr="00250A3D" w:rsidRDefault="00CF7B79" w:rsidP="00297534">
            <w:pPr>
              <w:pStyle w:val="COMTableheadingrow"/>
              <w:keepNext w:val="0"/>
              <w:rPr>
                <w:b w:val="0"/>
                <w:bCs/>
                <w:lang w:val="en-AU"/>
              </w:rPr>
            </w:pPr>
          </w:p>
        </w:tc>
        <w:tc>
          <w:tcPr>
            <w:tcW w:w="4375" w:type="dxa"/>
          </w:tcPr>
          <w:p w14:paraId="5EB49518" w14:textId="5750C48D" w:rsidR="00CF7B79" w:rsidRPr="004B2E7B" w:rsidRDefault="00CF7B79" w:rsidP="00297534">
            <w:pPr>
              <w:pStyle w:val="COMTableheadingrow"/>
              <w:keepNext w:val="0"/>
              <w:rPr>
                <w:b w:val="0"/>
                <w:bCs/>
                <w:lang w:val="en-AU"/>
              </w:rPr>
            </w:pPr>
            <w:r w:rsidRPr="004B2E7B">
              <w:rPr>
                <w:b w:val="0"/>
                <w:bCs/>
                <w:lang w:val="en-AU"/>
              </w:rPr>
              <w:t>The treatment duration was based on the assumption that all treatment responders would achieve remission and no longer require ravulizumab treatment after 2 years. Th</w:t>
            </w:r>
            <w:r>
              <w:rPr>
                <w:b w:val="0"/>
                <w:bCs/>
                <w:lang w:val="en-AU"/>
              </w:rPr>
              <w:t>e commentary considered that th</w:t>
            </w:r>
            <w:r w:rsidRPr="004B2E7B">
              <w:rPr>
                <w:b w:val="0"/>
                <w:bCs/>
                <w:lang w:val="en-AU"/>
              </w:rPr>
              <w:t>is was inadequately justified as the clinical data are limited to 60 weeks of therapy with no evidence that ravulizumab can achieve clinical remission without ongoing treatment.</w:t>
            </w:r>
          </w:p>
          <w:p w14:paraId="6F0BF05C" w14:textId="77777777" w:rsidR="008A0747" w:rsidRDefault="00CF7B79" w:rsidP="00297534">
            <w:pPr>
              <w:pStyle w:val="COMTableheadingrow"/>
              <w:keepNext w:val="0"/>
              <w:rPr>
                <w:b w:val="0"/>
                <w:bCs/>
                <w:lang w:val="en-AU"/>
              </w:rPr>
            </w:pPr>
            <w:r w:rsidRPr="004B2E7B">
              <w:rPr>
                <w:b w:val="0"/>
                <w:bCs/>
                <w:lang w:val="en-AU"/>
              </w:rPr>
              <w:t>The assumption that patients receive 2 scripts for each dose was inconsistent with the calculation of the number of vials per dose, which estimated all loading doses would use the 300 mg vial; and only patients in the highest weight category (≥100 kg) would require 2 scripts for maintenance doses (representing 36% of patients, based on data from CHAMPION-MG).</w:t>
            </w:r>
          </w:p>
          <w:p w14:paraId="21685DED" w14:textId="75B7FB2A" w:rsidR="00CF7B79" w:rsidRDefault="00CF7B79" w:rsidP="00297534">
            <w:pPr>
              <w:pStyle w:val="COMTableheadingrow"/>
              <w:keepNext w:val="0"/>
              <w:rPr>
                <w:b w:val="0"/>
                <w:bCs/>
                <w:lang w:val="en-AU"/>
              </w:rPr>
            </w:pPr>
            <w:r w:rsidRPr="00CF7B79">
              <w:rPr>
                <w:b w:val="0"/>
                <w:bCs/>
                <w:lang w:val="en-AU"/>
              </w:rPr>
              <w:t>DUSC considered that there was uncertainty in the number of scripts due to uncertainties in duration of treatment and possible retreatment</w:t>
            </w:r>
            <w:r>
              <w:rPr>
                <w:b w:val="0"/>
                <w:bCs/>
                <w:i/>
                <w:iCs/>
                <w:lang w:val="en-AU"/>
              </w:rPr>
              <w:t>.</w:t>
            </w:r>
          </w:p>
        </w:tc>
      </w:tr>
    </w:tbl>
    <w:p w14:paraId="7D87B672" w14:textId="7D718A54" w:rsidR="008B3A69" w:rsidRPr="00250A3D" w:rsidRDefault="008B3A69" w:rsidP="008B3A69">
      <w:pPr>
        <w:pStyle w:val="COMTablefooter"/>
      </w:pPr>
      <w:r w:rsidRPr="00250A3D">
        <w:t>Source: Section 4, pp150-160 of the submission; ‘Attachment 8 Financial utilisation model’ spreadsheet provided with the submission</w:t>
      </w:r>
      <w:r w:rsidR="00CF7B79">
        <w:t>, Table 1 of ravulizumab DUSC Advice, March 2024.</w:t>
      </w:r>
    </w:p>
    <w:p w14:paraId="5A6F4021" w14:textId="77777777" w:rsidR="008B3A69" w:rsidRDefault="008B3A69" w:rsidP="00565EE7">
      <w:pPr>
        <w:pStyle w:val="COMTablefooter"/>
        <w:spacing w:after="0"/>
      </w:pPr>
      <w:r w:rsidRPr="00250A3D">
        <w:t xml:space="preserve">Abbreviations: </w:t>
      </w:r>
      <w:r w:rsidRPr="00250A3D">
        <w:rPr>
          <w:bCs/>
        </w:rPr>
        <w:t xml:space="preserve">AChR, anti-acetylcholine receptor antibody; </w:t>
      </w:r>
      <w:r w:rsidRPr="00250A3D">
        <w:t>DUSC, Drug Utilisation Sub-Committee; MG-ADL, Myasthenia Gravis Activities of Daily Living Scale; PBS; Pharmaceutical Benefits Scheme</w:t>
      </w:r>
    </w:p>
    <w:p w14:paraId="21A2A388" w14:textId="77777777" w:rsidR="00565EE7" w:rsidRPr="009A6D58" w:rsidRDefault="00565EE7" w:rsidP="00565EE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304AE8E" w14:textId="3FD37A38" w:rsidR="00565EE7" w:rsidRPr="00565EE7" w:rsidRDefault="00565EE7" w:rsidP="00565EE7">
      <w:pPr>
        <w:spacing w:after="120"/>
      </w:pPr>
      <w:r w:rsidRPr="009A6D58">
        <w:rPr>
          <w:rFonts w:ascii="Arial Narrow" w:hAnsi="Arial Narrow"/>
          <w:i/>
          <w:sz w:val="18"/>
          <w:szCs w:val="18"/>
          <w:vertAlign w:val="superscript"/>
        </w:rPr>
        <w:t>1</w:t>
      </w:r>
      <w:r>
        <w:rPr>
          <w:rFonts w:ascii="Arial Narrow" w:hAnsi="Arial Narrow"/>
          <w:i/>
          <w:sz w:val="18"/>
          <w:szCs w:val="18"/>
        </w:rPr>
        <w:t xml:space="preserve"> &lt; 500</w:t>
      </w:r>
    </w:p>
    <w:p w14:paraId="78FC109F" w14:textId="2DCBA0C5" w:rsidR="008B3A69" w:rsidRPr="00250A3D" w:rsidRDefault="00A2714D" w:rsidP="008B3A69">
      <w:pPr>
        <w:pStyle w:val="COMexecsumnumberedpara"/>
        <w:numPr>
          <w:ilvl w:val="1"/>
          <w:numId w:val="1"/>
        </w:numPr>
      </w:pPr>
      <w:r>
        <w:fldChar w:fldCharType="begin" w:fldLock="1"/>
      </w:r>
      <w:r>
        <w:instrText xml:space="preserve"> REF _Ref171066458 \h </w:instrText>
      </w:r>
      <w:r>
        <w:fldChar w:fldCharType="separate"/>
      </w:r>
      <w:r w:rsidR="0081771C" w:rsidRPr="00250A3D">
        <w:t xml:space="preserve">Table </w:t>
      </w:r>
      <w:r w:rsidR="0081771C">
        <w:rPr>
          <w:noProof/>
        </w:rPr>
        <w:t>14</w:t>
      </w:r>
      <w:r>
        <w:fldChar w:fldCharType="end"/>
      </w:r>
      <w:r w:rsidR="008B3A69" w:rsidRPr="00250A3D">
        <w:t xml:space="preserve"> summarises the estimated patients treated, scripts dispensed and net cost to the PBS of listing ravulizumab for </w:t>
      </w:r>
      <w:r w:rsidR="0067052A">
        <w:t>gMG</w:t>
      </w:r>
      <w:r w:rsidR="008B3A69" w:rsidRPr="00250A3D">
        <w:t>.</w:t>
      </w:r>
    </w:p>
    <w:p w14:paraId="79168D68" w14:textId="02958BEE" w:rsidR="008B3A69" w:rsidRPr="00250A3D" w:rsidRDefault="008B3A69" w:rsidP="00FE7FE7">
      <w:pPr>
        <w:pStyle w:val="COMtablefigcaption"/>
        <w:keepLines/>
        <w:jc w:val="both"/>
      </w:pPr>
      <w:bookmarkStart w:id="68" w:name="_Ref171066458"/>
      <w:r w:rsidRPr="00250A3D">
        <w:t xml:space="preserve">Table </w:t>
      </w:r>
      <w:r w:rsidR="0065138C">
        <w:fldChar w:fldCharType="begin" w:fldLock="1"/>
      </w:r>
      <w:r w:rsidR="0065138C">
        <w:instrText xml:space="preserve"> SEQ Table \* ARABIC </w:instrText>
      </w:r>
      <w:r w:rsidR="0065138C">
        <w:fldChar w:fldCharType="separate"/>
      </w:r>
      <w:r w:rsidR="0081771C">
        <w:rPr>
          <w:noProof/>
        </w:rPr>
        <w:t>14</w:t>
      </w:r>
      <w:r w:rsidR="0065138C">
        <w:rPr>
          <w:noProof/>
        </w:rPr>
        <w:fldChar w:fldCharType="end"/>
      </w:r>
      <w:bookmarkEnd w:id="68"/>
      <w:r w:rsidRPr="00250A3D">
        <w:t>: Estimated use and financial implications of ravulizumab (effective price) for generalised myasthenia gravis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8B3A69" w:rsidRPr="00250A3D" w14:paraId="4DDF7686" w14:textId="77777777" w:rsidTr="00767A5C">
        <w:trPr>
          <w:tblHeader/>
        </w:trPr>
        <w:tc>
          <w:tcPr>
            <w:tcW w:w="2263" w:type="dxa"/>
            <w:shd w:val="clear" w:color="auto" w:fill="auto"/>
            <w:vAlign w:val="center"/>
          </w:tcPr>
          <w:p w14:paraId="713BD37A" w14:textId="77777777" w:rsidR="008B3A69" w:rsidRPr="00250A3D" w:rsidRDefault="008B3A69" w:rsidP="00FE7FE7">
            <w:pPr>
              <w:pStyle w:val="COMTableheadingrow"/>
              <w:keepLines/>
              <w:jc w:val="center"/>
              <w:rPr>
                <w:lang w:val="en-AU"/>
              </w:rPr>
            </w:pPr>
          </w:p>
        </w:tc>
        <w:tc>
          <w:tcPr>
            <w:tcW w:w="1134" w:type="dxa"/>
            <w:shd w:val="clear" w:color="auto" w:fill="auto"/>
            <w:vAlign w:val="center"/>
          </w:tcPr>
          <w:p w14:paraId="1F2CE389" w14:textId="77777777" w:rsidR="008B3A69" w:rsidRPr="00250A3D" w:rsidRDefault="008B3A69" w:rsidP="00FE7FE7">
            <w:pPr>
              <w:pStyle w:val="COMTableheadingrow"/>
              <w:keepLines/>
              <w:jc w:val="center"/>
              <w:rPr>
                <w:lang w:val="en-AU"/>
              </w:rPr>
            </w:pPr>
            <w:r w:rsidRPr="00250A3D">
              <w:rPr>
                <w:lang w:val="en-AU"/>
              </w:rPr>
              <w:t xml:space="preserve">Year 1 </w:t>
            </w:r>
          </w:p>
        </w:tc>
        <w:tc>
          <w:tcPr>
            <w:tcW w:w="1134" w:type="dxa"/>
            <w:shd w:val="clear" w:color="auto" w:fill="auto"/>
            <w:vAlign w:val="center"/>
          </w:tcPr>
          <w:p w14:paraId="1821CE1F" w14:textId="77777777" w:rsidR="008B3A69" w:rsidRPr="00250A3D" w:rsidRDefault="008B3A69" w:rsidP="00FE7FE7">
            <w:pPr>
              <w:pStyle w:val="COMTableheadingrow"/>
              <w:keepLines/>
              <w:jc w:val="center"/>
              <w:rPr>
                <w:lang w:val="en-AU"/>
              </w:rPr>
            </w:pPr>
            <w:r w:rsidRPr="00250A3D">
              <w:rPr>
                <w:lang w:val="en-AU"/>
              </w:rPr>
              <w:t xml:space="preserve">Year 2 </w:t>
            </w:r>
          </w:p>
        </w:tc>
        <w:tc>
          <w:tcPr>
            <w:tcW w:w="1134" w:type="dxa"/>
            <w:shd w:val="clear" w:color="auto" w:fill="auto"/>
            <w:vAlign w:val="center"/>
          </w:tcPr>
          <w:p w14:paraId="63ED3C73" w14:textId="77777777" w:rsidR="008B3A69" w:rsidRPr="00250A3D" w:rsidRDefault="008B3A69" w:rsidP="00FE7FE7">
            <w:pPr>
              <w:pStyle w:val="COMTableheadingrow"/>
              <w:keepLines/>
              <w:jc w:val="center"/>
              <w:rPr>
                <w:lang w:val="en-AU"/>
              </w:rPr>
            </w:pPr>
            <w:r w:rsidRPr="00250A3D">
              <w:rPr>
                <w:lang w:val="en-AU"/>
              </w:rPr>
              <w:t xml:space="preserve">Year 3 </w:t>
            </w:r>
          </w:p>
        </w:tc>
        <w:tc>
          <w:tcPr>
            <w:tcW w:w="1134" w:type="dxa"/>
            <w:shd w:val="clear" w:color="auto" w:fill="auto"/>
            <w:vAlign w:val="center"/>
          </w:tcPr>
          <w:p w14:paraId="1F34E2AB" w14:textId="77777777" w:rsidR="008B3A69" w:rsidRPr="00250A3D" w:rsidRDefault="008B3A69" w:rsidP="00FE7FE7">
            <w:pPr>
              <w:pStyle w:val="COMTableheadingrow"/>
              <w:keepLines/>
              <w:jc w:val="center"/>
              <w:rPr>
                <w:lang w:val="en-AU"/>
              </w:rPr>
            </w:pPr>
            <w:r w:rsidRPr="00250A3D">
              <w:rPr>
                <w:lang w:val="en-AU"/>
              </w:rPr>
              <w:t>Year 4</w:t>
            </w:r>
          </w:p>
        </w:tc>
        <w:tc>
          <w:tcPr>
            <w:tcW w:w="1134" w:type="dxa"/>
            <w:shd w:val="clear" w:color="auto" w:fill="auto"/>
            <w:vAlign w:val="center"/>
          </w:tcPr>
          <w:p w14:paraId="4AE87A42" w14:textId="77777777" w:rsidR="008B3A69" w:rsidRPr="00250A3D" w:rsidRDefault="008B3A69" w:rsidP="00FE7FE7">
            <w:pPr>
              <w:pStyle w:val="COMTableheadingrow"/>
              <w:keepLines/>
              <w:jc w:val="center"/>
              <w:rPr>
                <w:lang w:val="en-AU"/>
              </w:rPr>
            </w:pPr>
            <w:r w:rsidRPr="00250A3D">
              <w:rPr>
                <w:lang w:val="en-AU"/>
              </w:rPr>
              <w:t>Year 5</w:t>
            </w:r>
          </w:p>
        </w:tc>
        <w:tc>
          <w:tcPr>
            <w:tcW w:w="1134" w:type="dxa"/>
            <w:shd w:val="clear" w:color="auto" w:fill="auto"/>
            <w:vAlign w:val="center"/>
          </w:tcPr>
          <w:p w14:paraId="53A72266" w14:textId="77777777" w:rsidR="008B3A69" w:rsidRPr="00250A3D" w:rsidRDefault="008B3A69" w:rsidP="00FE7FE7">
            <w:pPr>
              <w:pStyle w:val="COMTableheadingrow"/>
              <w:keepLines/>
              <w:jc w:val="center"/>
              <w:rPr>
                <w:lang w:val="en-AU"/>
              </w:rPr>
            </w:pPr>
            <w:r w:rsidRPr="00250A3D">
              <w:rPr>
                <w:lang w:val="en-AU"/>
              </w:rPr>
              <w:t>Year 6</w:t>
            </w:r>
          </w:p>
        </w:tc>
      </w:tr>
      <w:tr w:rsidR="008B3A69" w:rsidRPr="00250A3D" w14:paraId="03FC84F9" w14:textId="77777777" w:rsidTr="00767A5C">
        <w:trPr>
          <w:trHeight w:val="70"/>
        </w:trPr>
        <w:tc>
          <w:tcPr>
            <w:tcW w:w="9067" w:type="dxa"/>
            <w:gridSpan w:val="7"/>
            <w:shd w:val="clear" w:color="auto" w:fill="auto"/>
            <w:vAlign w:val="center"/>
          </w:tcPr>
          <w:p w14:paraId="10D2D9DC" w14:textId="77777777" w:rsidR="008B3A69" w:rsidRPr="00250A3D" w:rsidRDefault="008B3A69" w:rsidP="00FE7FE7">
            <w:pPr>
              <w:pStyle w:val="COMTabletext"/>
              <w:keepLines/>
              <w:rPr>
                <w:b/>
                <w:bCs w:val="0"/>
                <w:iCs/>
              </w:rPr>
            </w:pPr>
            <w:r w:rsidRPr="00250A3D">
              <w:rPr>
                <w:b/>
                <w:bCs w:val="0"/>
                <w:iCs/>
              </w:rPr>
              <w:t>Estimated extent of use</w:t>
            </w:r>
          </w:p>
        </w:tc>
      </w:tr>
      <w:tr w:rsidR="008B3A69" w:rsidRPr="00250A3D" w14:paraId="4E672DC2" w14:textId="77777777" w:rsidTr="00767A5C">
        <w:tc>
          <w:tcPr>
            <w:tcW w:w="2263" w:type="dxa"/>
            <w:shd w:val="clear" w:color="auto" w:fill="auto"/>
            <w:vAlign w:val="center"/>
          </w:tcPr>
          <w:p w14:paraId="0985F2D7" w14:textId="77777777" w:rsidR="008B3A69" w:rsidRPr="00250A3D" w:rsidRDefault="008B3A69" w:rsidP="00FE7FE7">
            <w:pPr>
              <w:pStyle w:val="COMTabletext"/>
              <w:keepLines/>
              <w:rPr>
                <w:iCs/>
              </w:rPr>
            </w:pPr>
            <w:r w:rsidRPr="00250A3D">
              <w:rPr>
                <w:iCs/>
              </w:rPr>
              <w:t>Initiating patients</w:t>
            </w:r>
          </w:p>
        </w:tc>
        <w:tc>
          <w:tcPr>
            <w:tcW w:w="1134" w:type="dxa"/>
            <w:shd w:val="clear" w:color="auto" w:fill="auto"/>
            <w:vAlign w:val="center"/>
          </w:tcPr>
          <w:p w14:paraId="72C1E64A" w14:textId="7F3375BE" w:rsidR="008B3A69" w:rsidRPr="000A309B" w:rsidRDefault="00AA076A" w:rsidP="00FE7FE7">
            <w:pPr>
              <w:pStyle w:val="COMTabletext"/>
              <w:keepLines/>
              <w:jc w:val="center"/>
              <w:rPr>
                <w:iCs/>
                <w:vertAlign w:val="superscript"/>
              </w:rPr>
            </w:pPr>
            <w:r w:rsidRPr="00AA076A">
              <w:rPr>
                <w:rFonts w:hint="eastAsia"/>
                <w:iCs/>
                <w:color w:val="000000"/>
                <w:w w:val="15"/>
                <w:shd w:val="solid" w:color="000000" w:fill="000000"/>
                <w:fitText w:val="40" w:id="-893118714"/>
                <w14:textFill>
                  <w14:solidFill>
                    <w14:srgbClr w14:val="000000">
                      <w14:alpha w14:val="100000"/>
                    </w14:srgbClr>
                  </w14:solidFill>
                </w14:textFill>
              </w:rPr>
              <w:t xml:space="preserve">　</w:t>
            </w:r>
            <w:r w:rsidRPr="00AA076A">
              <w:rPr>
                <w:iCs/>
                <w:color w:val="000000"/>
                <w:w w:val="15"/>
                <w:shd w:val="solid" w:color="000000" w:fill="000000"/>
                <w:fitText w:val="40" w:id="-893118714"/>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714"/>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13AC89F7" w14:textId="12A2B0EA"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713"/>
                <w14:textFill>
                  <w14:solidFill>
                    <w14:srgbClr w14:val="000000">
                      <w14:alpha w14:val="100000"/>
                    </w14:srgbClr>
                  </w14:solidFill>
                </w14:textFill>
              </w:rPr>
              <w:t xml:space="preserve">　</w:t>
            </w:r>
            <w:r w:rsidRPr="00AA076A">
              <w:rPr>
                <w:iCs/>
                <w:color w:val="000000"/>
                <w:w w:val="15"/>
                <w:shd w:val="solid" w:color="000000" w:fill="000000"/>
                <w:fitText w:val="40" w:id="-893118713"/>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713"/>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5D357D8E" w14:textId="18F7E83D"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712"/>
                <w14:textFill>
                  <w14:solidFill>
                    <w14:srgbClr w14:val="000000">
                      <w14:alpha w14:val="100000"/>
                    </w14:srgbClr>
                  </w14:solidFill>
                </w14:textFill>
              </w:rPr>
              <w:t xml:space="preserve">　</w:t>
            </w:r>
            <w:r w:rsidRPr="00AA076A">
              <w:rPr>
                <w:iCs/>
                <w:color w:val="000000"/>
                <w:w w:val="15"/>
                <w:shd w:val="solid" w:color="000000" w:fill="000000"/>
                <w:fitText w:val="40" w:id="-893118712"/>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712"/>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681E8C99" w14:textId="7C2B59E7"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711"/>
                <w14:textFill>
                  <w14:solidFill>
                    <w14:srgbClr w14:val="000000">
                      <w14:alpha w14:val="100000"/>
                    </w14:srgbClr>
                  </w14:solidFill>
                </w14:textFill>
              </w:rPr>
              <w:t xml:space="preserve">　</w:t>
            </w:r>
            <w:r w:rsidRPr="00AA076A">
              <w:rPr>
                <w:iCs/>
                <w:color w:val="000000"/>
                <w:w w:val="15"/>
                <w:shd w:val="solid" w:color="000000" w:fill="000000"/>
                <w:fitText w:val="40" w:id="-893118711"/>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711"/>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7704A584" w14:textId="2B4823C4"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4"/>
                <w14:textFill>
                  <w14:solidFill>
                    <w14:srgbClr w14:val="000000">
                      <w14:alpha w14:val="100000"/>
                    </w14:srgbClr>
                  </w14:solidFill>
                </w14:textFill>
              </w:rPr>
              <w:t xml:space="preserve">　</w:t>
            </w:r>
            <w:r w:rsidRPr="00AA076A">
              <w:rPr>
                <w:iCs/>
                <w:color w:val="000000"/>
                <w:w w:val="15"/>
                <w:shd w:val="solid" w:color="000000" w:fill="000000"/>
                <w:fitText w:val="40" w:id="-893118464"/>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4"/>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084EB44A" w14:textId="43776583"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3"/>
                <w14:textFill>
                  <w14:solidFill>
                    <w14:srgbClr w14:val="000000">
                      <w14:alpha w14:val="100000"/>
                    </w14:srgbClr>
                  </w14:solidFill>
                </w14:textFill>
              </w:rPr>
              <w:t xml:space="preserve">　</w:t>
            </w:r>
            <w:r w:rsidRPr="00AA076A">
              <w:rPr>
                <w:iCs/>
                <w:color w:val="000000"/>
                <w:w w:val="15"/>
                <w:shd w:val="solid" w:color="000000" w:fill="000000"/>
                <w:fitText w:val="40" w:id="-893118463"/>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3"/>
                <w14:textFill>
                  <w14:solidFill>
                    <w14:srgbClr w14:val="000000">
                      <w14:alpha w14:val="100000"/>
                    </w14:srgbClr>
                  </w14:solidFill>
                </w14:textFill>
              </w:rPr>
              <w:t xml:space="preserve">　</w:t>
            </w:r>
            <w:r w:rsidR="000A309B">
              <w:rPr>
                <w:iCs/>
                <w:vertAlign w:val="superscript"/>
              </w:rPr>
              <w:t xml:space="preserve"> 1</w:t>
            </w:r>
          </w:p>
        </w:tc>
      </w:tr>
      <w:tr w:rsidR="008B3A69" w:rsidRPr="00250A3D" w14:paraId="3FA58C27" w14:textId="77777777" w:rsidTr="00767A5C">
        <w:tc>
          <w:tcPr>
            <w:tcW w:w="2263" w:type="dxa"/>
            <w:shd w:val="clear" w:color="auto" w:fill="auto"/>
            <w:vAlign w:val="center"/>
          </w:tcPr>
          <w:p w14:paraId="67535220" w14:textId="77777777" w:rsidR="008B3A69" w:rsidRPr="00250A3D" w:rsidRDefault="008B3A69" w:rsidP="00FE7FE7">
            <w:pPr>
              <w:pStyle w:val="COMTabletext"/>
              <w:keepLines/>
              <w:rPr>
                <w:iCs/>
              </w:rPr>
            </w:pPr>
            <w:r w:rsidRPr="00250A3D">
              <w:rPr>
                <w:iCs/>
              </w:rPr>
              <w:t>Responders at 6 months (63.9%)</w:t>
            </w:r>
          </w:p>
        </w:tc>
        <w:tc>
          <w:tcPr>
            <w:tcW w:w="1134" w:type="dxa"/>
            <w:shd w:val="clear" w:color="auto" w:fill="auto"/>
            <w:vAlign w:val="center"/>
          </w:tcPr>
          <w:p w14:paraId="02828FFD" w14:textId="3EFF7681" w:rsidR="008B3A69" w:rsidRPr="00250A3D" w:rsidRDefault="00AA076A" w:rsidP="00FE7FE7">
            <w:pPr>
              <w:pStyle w:val="COMTabletext"/>
              <w:keepLines/>
              <w:jc w:val="center"/>
              <w:rPr>
                <w:iCs/>
              </w:rPr>
            </w:pPr>
            <w:r w:rsidRPr="00AA076A">
              <w:rPr>
                <w:rFonts w:hint="eastAsia"/>
                <w:iCs/>
                <w:color w:val="000000"/>
                <w:w w:val="22"/>
                <w:shd w:val="solid" w:color="000000" w:fill="000000"/>
                <w:fitText w:val="100" w:id="-893118462"/>
                <w14:textFill>
                  <w14:solidFill>
                    <w14:srgbClr w14:val="000000">
                      <w14:alpha w14:val="100000"/>
                    </w14:srgbClr>
                  </w14:solidFill>
                </w14:textFill>
              </w:rPr>
              <w:t xml:space="preserve">　</w:t>
            </w:r>
            <w:r w:rsidRPr="00AA076A">
              <w:rPr>
                <w:iCs/>
                <w:color w:val="000000"/>
                <w:w w:val="22"/>
                <w:shd w:val="solid" w:color="000000" w:fill="000000"/>
                <w:fitText w:val="100" w:id="-893118462"/>
                <w14:textFill>
                  <w14:solidFill>
                    <w14:srgbClr w14:val="000000">
                      <w14:alpha w14:val="100000"/>
                    </w14:srgbClr>
                  </w14:solidFill>
                </w14:textFill>
              </w:rPr>
              <w:t>|</w:t>
            </w:r>
            <w:r w:rsidRPr="00AA076A">
              <w:rPr>
                <w:rFonts w:hint="eastAsia"/>
                <w:iCs/>
                <w:color w:val="000000"/>
                <w:spacing w:val="3"/>
                <w:w w:val="22"/>
                <w:shd w:val="solid" w:color="000000" w:fill="000000"/>
                <w:fitText w:val="100" w:id="-893118462"/>
                <w14:textFill>
                  <w14:solidFill>
                    <w14:srgbClr w14:val="000000">
                      <w14:alpha w14:val="100000"/>
                    </w14:srgbClr>
                  </w14:solidFill>
                </w14:textFill>
              </w:rPr>
              <w:t xml:space="preserve">　</w:t>
            </w:r>
            <w:r w:rsidR="008B3A69" w:rsidRPr="00250A3D">
              <w:rPr>
                <w:iCs/>
                <w:vertAlign w:val="superscript"/>
              </w:rPr>
              <w:t xml:space="preserve"> a</w:t>
            </w:r>
            <w:r w:rsidR="000A309B">
              <w:rPr>
                <w:iCs/>
                <w:vertAlign w:val="superscript"/>
              </w:rPr>
              <w:t xml:space="preserve"> 1</w:t>
            </w:r>
          </w:p>
        </w:tc>
        <w:tc>
          <w:tcPr>
            <w:tcW w:w="1134" w:type="dxa"/>
            <w:shd w:val="clear" w:color="auto" w:fill="auto"/>
            <w:vAlign w:val="center"/>
          </w:tcPr>
          <w:p w14:paraId="65DA81C6" w14:textId="19E33254"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1"/>
                <w14:textFill>
                  <w14:solidFill>
                    <w14:srgbClr w14:val="000000">
                      <w14:alpha w14:val="100000"/>
                    </w14:srgbClr>
                  </w14:solidFill>
                </w14:textFill>
              </w:rPr>
              <w:t xml:space="preserve">　</w:t>
            </w:r>
            <w:r w:rsidRPr="00AA076A">
              <w:rPr>
                <w:iCs/>
                <w:color w:val="000000"/>
                <w:w w:val="15"/>
                <w:shd w:val="solid" w:color="000000" w:fill="000000"/>
                <w:fitText w:val="40" w:id="-893118461"/>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1"/>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0AB170DC" w14:textId="30F66925"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0"/>
                <w14:textFill>
                  <w14:solidFill>
                    <w14:srgbClr w14:val="000000">
                      <w14:alpha w14:val="100000"/>
                    </w14:srgbClr>
                  </w14:solidFill>
                </w14:textFill>
              </w:rPr>
              <w:t xml:space="preserve">　</w:t>
            </w:r>
            <w:r w:rsidRPr="00AA076A">
              <w:rPr>
                <w:iCs/>
                <w:color w:val="000000"/>
                <w:w w:val="15"/>
                <w:shd w:val="solid" w:color="000000" w:fill="000000"/>
                <w:fitText w:val="40" w:id="-893118460"/>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0"/>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54436FED" w14:textId="4A87AF6C"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9"/>
                <w14:textFill>
                  <w14:solidFill>
                    <w14:srgbClr w14:val="000000">
                      <w14:alpha w14:val="100000"/>
                    </w14:srgbClr>
                  </w14:solidFill>
                </w14:textFill>
              </w:rPr>
              <w:t xml:space="preserve">　</w:t>
            </w:r>
            <w:r w:rsidRPr="00AA076A">
              <w:rPr>
                <w:iCs/>
                <w:color w:val="000000"/>
                <w:w w:val="15"/>
                <w:shd w:val="solid" w:color="000000" w:fill="000000"/>
                <w:fitText w:val="40" w:id="-893118459"/>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9"/>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3A29C64B" w14:textId="5C2E6933"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8"/>
                <w14:textFill>
                  <w14:solidFill>
                    <w14:srgbClr w14:val="000000">
                      <w14:alpha w14:val="100000"/>
                    </w14:srgbClr>
                  </w14:solidFill>
                </w14:textFill>
              </w:rPr>
              <w:t xml:space="preserve">　</w:t>
            </w:r>
            <w:r w:rsidRPr="00AA076A">
              <w:rPr>
                <w:iCs/>
                <w:color w:val="000000"/>
                <w:w w:val="15"/>
                <w:shd w:val="solid" w:color="000000" w:fill="000000"/>
                <w:fitText w:val="40" w:id="-893118458"/>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8"/>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6FA8F400" w14:textId="67B3F4C6"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7"/>
                <w14:textFill>
                  <w14:solidFill>
                    <w14:srgbClr w14:val="000000">
                      <w14:alpha w14:val="100000"/>
                    </w14:srgbClr>
                  </w14:solidFill>
                </w14:textFill>
              </w:rPr>
              <w:t xml:space="preserve">　</w:t>
            </w:r>
            <w:r w:rsidRPr="00AA076A">
              <w:rPr>
                <w:iCs/>
                <w:color w:val="000000"/>
                <w:w w:val="15"/>
                <w:shd w:val="solid" w:color="000000" w:fill="000000"/>
                <w:fitText w:val="40" w:id="-893118457"/>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7"/>
                <w14:textFill>
                  <w14:solidFill>
                    <w14:srgbClr w14:val="000000">
                      <w14:alpha w14:val="100000"/>
                    </w14:srgbClr>
                  </w14:solidFill>
                </w14:textFill>
              </w:rPr>
              <w:t xml:space="preserve">　</w:t>
            </w:r>
            <w:r w:rsidR="000A309B">
              <w:rPr>
                <w:iCs/>
                <w:vertAlign w:val="superscript"/>
              </w:rPr>
              <w:t xml:space="preserve"> 1</w:t>
            </w:r>
          </w:p>
        </w:tc>
      </w:tr>
      <w:tr w:rsidR="008B3A69" w:rsidRPr="00250A3D" w14:paraId="11C09ED8" w14:textId="77777777" w:rsidTr="00767A5C">
        <w:tc>
          <w:tcPr>
            <w:tcW w:w="2263" w:type="dxa"/>
            <w:shd w:val="clear" w:color="auto" w:fill="auto"/>
            <w:vAlign w:val="center"/>
          </w:tcPr>
          <w:p w14:paraId="4CFE7A3A" w14:textId="77777777" w:rsidR="008B3A69" w:rsidRPr="00250A3D" w:rsidRDefault="008B3A69" w:rsidP="00FE7FE7">
            <w:pPr>
              <w:pStyle w:val="COMTabletext"/>
              <w:keepLines/>
              <w:rPr>
                <w:iCs/>
              </w:rPr>
            </w:pPr>
            <w:r w:rsidRPr="00250A3D">
              <w:rPr>
                <w:iCs/>
              </w:rPr>
              <w:t>Continuing patients (responders from previous year; 2</w:t>
            </w:r>
            <w:r w:rsidRPr="00250A3D">
              <w:rPr>
                <w:iCs/>
                <w:vertAlign w:val="superscript"/>
              </w:rPr>
              <w:t>nd</w:t>
            </w:r>
            <w:r w:rsidRPr="00250A3D">
              <w:rPr>
                <w:iCs/>
              </w:rPr>
              <w:t xml:space="preserve"> year only)</w:t>
            </w:r>
          </w:p>
        </w:tc>
        <w:tc>
          <w:tcPr>
            <w:tcW w:w="1134" w:type="dxa"/>
            <w:shd w:val="clear" w:color="auto" w:fill="auto"/>
            <w:vAlign w:val="center"/>
          </w:tcPr>
          <w:p w14:paraId="59A3D68A" w14:textId="77777777" w:rsidR="008B3A69" w:rsidRPr="00250A3D" w:rsidRDefault="008B3A69" w:rsidP="00FE7FE7">
            <w:pPr>
              <w:pStyle w:val="COMTabletext"/>
              <w:keepLines/>
              <w:jc w:val="center"/>
              <w:rPr>
                <w:iCs/>
              </w:rPr>
            </w:pPr>
            <w:r w:rsidRPr="00250A3D">
              <w:rPr>
                <w:iCs/>
              </w:rPr>
              <w:t>-</w:t>
            </w:r>
          </w:p>
        </w:tc>
        <w:tc>
          <w:tcPr>
            <w:tcW w:w="1134" w:type="dxa"/>
            <w:shd w:val="clear" w:color="auto" w:fill="auto"/>
            <w:vAlign w:val="center"/>
          </w:tcPr>
          <w:p w14:paraId="7D6A534E" w14:textId="595F107B" w:rsidR="008B3A69" w:rsidRPr="00250A3D" w:rsidRDefault="00AA076A" w:rsidP="00FE7FE7">
            <w:pPr>
              <w:pStyle w:val="COMTabletext"/>
              <w:keepLines/>
              <w:jc w:val="center"/>
              <w:rPr>
                <w:iCs/>
              </w:rPr>
            </w:pPr>
            <w:r w:rsidRPr="00AA076A">
              <w:rPr>
                <w:rFonts w:hint="eastAsia"/>
                <w:iCs/>
                <w:color w:val="000000"/>
                <w:w w:val="22"/>
                <w:shd w:val="solid" w:color="000000" w:fill="000000"/>
                <w:fitText w:val="100" w:id="-893118456"/>
                <w14:textFill>
                  <w14:solidFill>
                    <w14:srgbClr w14:val="000000">
                      <w14:alpha w14:val="100000"/>
                    </w14:srgbClr>
                  </w14:solidFill>
                </w14:textFill>
              </w:rPr>
              <w:t xml:space="preserve">　</w:t>
            </w:r>
            <w:r w:rsidRPr="00AA076A">
              <w:rPr>
                <w:iCs/>
                <w:color w:val="000000"/>
                <w:w w:val="22"/>
                <w:shd w:val="solid" w:color="000000" w:fill="000000"/>
                <w:fitText w:val="100" w:id="-893118456"/>
                <w14:textFill>
                  <w14:solidFill>
                    <w14:srgbClr w14:val="000000">
                      <w14:alpha w14:val="100000"/>
                    </w14:srgbClr>
                  </w14:solidFill>
                </w14:textFill>
              </w:rPr>
              <w:t>|</w:t>
            </w:r>
            <w:r w:rsidRPr="00AA076A">
              <w:rPr>
                <w:rFonts w:hint="eastAsia"/>
                <w:iCs/>
                <w:color w:val="000000"/>
                <w:spacing w:val="3"/>
                <w:w w:val="22"/>
                <w:shd w:val="solid" w:color="000000" w:fill="000000"/>
                <w:fitText w:val="100" w:id="-893118456"/>
                <w14:textFill>
                  <w14:solidFill>
                    <w14:srgbClr w14:val="000000">
                      <w14:alpha w14:val="100000"/>
                    </w14:srgbClr>
                  </w14:solidFill>
                </w14:textFill>
              </w:rPr>
              <w:t xml:space="preserve">　</w:t>
            </w:r>
            <w:r w:rsidR="008B3A69" w:rsidRPr="00250A3D">
              <w:rPr>
                <w:iCs/>
                <w:vertAlign w:val="superscript"/>
              </w:rPr>
              <w:t xml:space="preserve"> a</w:t>
            </w:r>
            <w:r w:rsidR="000A309B">
              <w:rPr>
                <w:iCs/>
                <w:vertAlign w:val="superscript"/>
              </w:rPr>
              <w:t xml:space="preserve"> 1</w:t>
            </w:r>
          </w:p>
        </w:tc>
        <w:tc>
          <w:tcPr>
            <w:tcW w:w="1134" w:type="dxa"/>
            <w:shd w:val="clear" w:color="auto" w:fill="auto"/>
            <w:vAlign w:val="center"/>
          </w:tcPr>
          <w:p w14:paraId="730ADC1B" w14:textId="313B9C40"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5"/>
                <w14:textFill>
                  <w14:solidFill>
                    <w14:srgbClr w14:val="000000">
                      <w14:alpha w14:val="100000"/>
                    </w14:srgbClr>
                  </w14:solidFill>
                </w14:textFill>
              </w:rPr>
              <w:t xml:space="preserve">　</w:t>
            </w:r>
            <w:r w:rsidRPr="00AA076A">
              <w:rPr>
                <w:iCs/>
                <w:color w:val="000000"/>
                <w:w w:val="15"/>
                <w:shd w:val="solid" w:color="000000" w:fill="000000"/>
                <w:fitText w:val="40" w:id="-893118455"/>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5"/>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02AAF2EB" w14:textId="623598D3"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4"/>
                <w14:textFill>
                  <w14:solidFill>
                    <w14:srgbClr w14:val="000000">
                      <w14:alpha w14:val="100000"/>
                    </w14:srgbClr>
                  </w14:solidFill>
                </w14:textFill>
              </w:rPr>
              <w:t xml:space="preserve">　</w:t>
            </w:r>
            <w:r w:rsidRPr="00AA076A">
              <w:rPr>
                <w:iCs/>
                <w:color w:val="000000"/>
                <w:w w:val="15"/>
                <w:shd w:val="solid" w:color="000000" w:fill="000000"/>
                <w:fitText w:val="40" w:id="-893118454"/>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4"/>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7335E5A1" w14:textId="3BE1F69D"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3"/>
                <w14:textFill>
                  <w14:solidFill>
                    <w14:srgbClr w14:val="000000">
                      <w14:alpha w14:val="100000"/>
                    </w14:srgbClr>
                  </w14:solidFill>
                </w14:textFill>
              </w:rPr>
              <w:t xml:space="preserve">　</w:t>
            </w:r>
            <w:r w:rsidRPr="00AA076A">
              <w:rPr>
                <w:iCs/>
                <w:color w:val="000000"/>
                <w:w w:val="15"/>
                <w:shd w:val="solid" w:color="000000" w:fill="000000"/>
                <w:fitText w:val="40" w:id="-893118453"/>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3"/>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75B73D89" w14:textId="44E501FF"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2"/>
                <w14:textFill>
                  <w14:solidFill>
                    <w14:srgbClr w14:val="000000">
                      <w14:alpha w14:val="100000"/>
                    </w14:srgbClr>
                  </w14:solidFill>
                </w14:textFill>
              </w:rPr>
              <w:t xml:space="preserve">　</w:t>
            </w:r>
            <w:r w:rsidRPr="00AA076A">
              <w:rPr>
                <w:iCs/>
                <w:color w:val="000000"/>
                <w:w w:val="15"/>
                <w:shd w:val="solid" w:color="000000" w:fill="000000"/>
                <w:fitText w:val="40" w:id="-893118452"/>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2"/>
                <w14:textFill>
                  <w14:solidFill>
                    <w14:srgbClr w14:val="000000">
                      <w14:alpha w14:val="100000"/>
                    </w14:srgbClr>
                  </w14:solidFill>
                </w14:textFill>
              </w:rPr>
              <w:t xml:space="preserve">　</w:t>
            </w:r>
            <w:r w:rsidR="000A309B">
              <w:rPr>
                <w:iCs/>
                <w:vertAlign w:val="superscript"/>
              </w:rPr>
              <w:t xml:space="preserve"> 1</w:t>
            </w:r>
          </w:p>
        </w:tc>
      </w:tr>
      <w:tr w:rsidR="008B3A69" w:rsidRPr="00250A3D" w14:paraId="1E5B9ADF" w14:textId="77777777" w:rsidTr="00767A5C">
        <w:tc>
          <w:tcPr>
            <w:tcW w:w="2263" w:type="dxa"/>
            <w:shd w:val="clear" w:color="auto" w:fill="auto"/>
            <w:vAlign w:val="center"/>
          </w:tcPr>
          <w:p w14:paraId="259A7181" w14:textId="77777777" w:rsidR="008B3A69" w:rsidRPr="00250A3D" w:rsidRDefault="008B3A69" w:rsidP="00FE7FE7">
            <w:pPr>
              <w:pStyle w:val="COMTabletext"/>
              <w:keepLines/>
              <w:rPr>
                <w:iCs/>
              </w:rPr>
            </w:pPr>
            <w:r w:rsidRPr="00250A3D">
              <w:rPr>
                <w:iCs/>
              </w:rPr>
              <w:t>Total treated patients</w:t>
            </w:r>
          </w:p>
        </w:tc>
        <w:tc>
          <w:tcPr>
            <w:tcW w:w="1134" w:type="dxa"/>
            <w:shd w:val="clear" w:color="auto" w:fill="auto"/>
            <w:vAlign w:val="center"/>
          </w:tcPr>
          <w:p w14:paraId="31011BB6" w14:textId="0944DAE9"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1"/>
                <w14:textFill>
                  <w14:solidFill>
                    <w14:srgbClr w14:val="000000">
                      <w14:alpha w14:val="100000"/>
                    </w14:srgbClr>
                  </w14:solidFill>
                </w14:textFill>
              </w:rPr>
              <w:t xml:space="preserve">　</w:t>
            </w:r>
            <w:r w:rsidRPr="00AA076A">
              <w:rPr>
                <w:iCs/>
                <w:color w:val="000000"/>
                <w:w w:val="15"/>
                <w:shd w:val="solid" w:color="000000" w:fill="000000"/>
                <w:fitText w:val="40" w:id="-893118451"/>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1"/>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1290D14A" w14:textId="50AFBE1C"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0"/>
                <w14:textFill>
                  <w14:solidFill>
                    <w14:srgbClr w14:val="000000">
                      <w14:alpha w14:val="100000"/>
                    </w14:srgbClr>
                  </w14:solidFill>
                </w14:textFill>
              </w:rPr>
              <w:t xml:space="preserve">　</w:t>
            </w:r>
            <w:r w:rsidRPr="00AA076A">
              <w:rPr>
                <w:iCs/>
                <w:color w:val="000000"/>
                <w:w w:val="15"/>
                <w:shd w:val="solid" w:color="000000" w:fill="000000"/>
                <w:fitText w:val="40" w:id="-893118450"/>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0"/>
                <w14:textFill>
                  <w14:solidFill>
                    <w14:srgbClr w14:val="000000">
                      <w14:alpha w14:val="100000"/>
                    </w14:srgbClr>
                  </w14:solidFill>
                </w14:textFill>
              </w:rPr>
              <w:t xml:space="preserve">　</w:t>
            </w:r>
            <w:r w:rsidR="000A309B">
              <w:rPr>
                <w:iCs/>
                <w:vertAlign w:val="superscript"/>
              </w:rPr>
              <w:t xml:space="preserve"> 1</w:t>
            </w:r>
          </w:p>
        </w:tc>
        <w:tc>
          <w:tcPr>
            <w:tcW w:w="1134" w:type="dxa"/>
            <w:shd w:val="clear" w:color="auto" w:fill="auto"/>
            <w:vAlign w:val="center"/>
          </w:tcPr>
          <w:p w14:paraId="58B9B1E3" w14:textId="3E635731"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49"/>
                <w14:textFill>
                  <w14:solidFill>
                    <w14:srgbClr w14:val="000000">
                      <w14:alpha w14:val="100000"/>
                    </w14:srgbClr>
                  </w14:solidFill>
                </w14:textFill>
              </w:rPr>
              <w:t xml:space="preserve">　</w:t>
            </w:r>
            <w:r w:rsidRPr="00AA076A">
              <w:rPr>
                <w:iCs/>
                <w:color w:val="000000"/>
                <w:w w:val="15"/>
                <w:shd w:val="solid" w:color="000000" w:fill="000000"/>
                <w:fitText w:val="40" w:id="-893118449"/>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49"/>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66EA3F88" w14:textId="2CEAA103"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48"/>
                <w14:textFill>
                  <w14:solidFill>
                    <w14:srgbClr w14:val="000000">
                      <w14:alpha w14:val="100000"/>
                    </w14:srgbClr>
                  </w14:solidFill>
                </w14:textFill>
              </w:rPr>
              <w:t xml:space="preserve">　</w:t>
            </w:r>
            <w:r w:rsidRPr="00AA076A">
              <w:rPr>
                <w:iCs/>
                <w:color w:val="000000"/>
                <w:w w:val="15"/>
                <w:shd w:val="solid" w:color="000000" w:fill="000000"/>
                <w:fitText w:val="40" w:id="-893118448"/>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48"/>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43943E17" w14:textId="12505D92"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4"/>
                <w14:textFill>
                  <w14:solidFill>
                    <w14:srgbClr w14:val="000000">
                      <w14:alpha w14:val="100000"/>
                    </w14:srgbClr>
                  </w14:solidFill>
                </w14:textFill>
              </w:rPr>
              <w:t xml:space="preserve">　</w:t>
            </w:r>
            <w:r w:rsidRPr="00AA076A">
              <w:rPr>
                <w:iCs/>
                <w:color w:val="000000"/>
                <w:w w:val="15"/>
                <w:shd w:val="solid" w:color="000000" w:fill="000000"/>
                <w:fitText w:val="40" w:id="-893118464"/>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4"/>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291ED199" w14:textId="6A1ACA27"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3"/>
                <w14:textFill>
                  <w14:solidFill>
                    <w14:srgbClr w14:val="000000">
                      <w14:alpha w14:val="100000"/>
                    </w14:srgbClr>
                  </w14:solidFill>
                </w14:textFill>
              </w:rPr>
              <w:t xml:space="preserve">　</w:t>
            </w:r>
            <w:r w:rsidRPr="00AA076A">
              <w:rPr>
                <w:iCs/>
                <w:color w:val="000000"/>
                <w:w w:val="15"/>
                <w:shd w:val="solid" w:color="000000" w:fill="000000"/>
                <w:fitText w:val="40" w:id="-893118463"/>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3"/>
                <w14:textFill>
                  <w14:solidFill>
                    <w14:srgbClr w14:val="000000">
                      <w14:alpha w14:val="100000"/>
                    </w14:srgbClr>
                  </w14:solidFill>
                </w14:textFill>
              </w:rPr>
              <w:t xml:space="preserve">　</w:t>
            </w:r>
            <w:r w:rsidR="000A309B">
              <w:rPr>
                <w:iCs/>
                <w:vertAlign w:val="superscript"/>
              </w:rPr>
              <w:t xml:space="preserve"> 2</w:t>
            </w:r>
          </w:p>
        </w:tc>
      </w:tr>
      <w:tr w:rsidR="008B3A69" w:rsidRPr="00250A3D" w14:paraId="465EA382" w14:textId="77777777" w:rsidTr="00767A5C">
        <w:tc>
          <w:tcPr>
            <w:tcW w:w="2263" w:type="dxa"/>
            <w:shd w:val="clear" w:color="auto" w:fill="auto"/>
            <w:vAlign w:val="center"/>
          </w:tcPr>
          <w:p w14:paraId="3B513102" w14:textId="77777777" w:rsidR="008B3A69" w:rsidRPr="00250A3D" w:rsidRDefault="008B3A69" w:rsidP="00FE7FE7">
            <w:pPr>
              <w:pStyle w:val="COMTabletext"/>
              <w:keepLines/>
              <w:rPr>
                <w:iCs/>
              </w:rPr>
            </w:pPr>
            <w:r w:rsidRPr="00250A3D">
              <w:rPr>
                <w:iCs/>
              </w:rPr>
              <w:t>Initial scripts</w:t>
            </w:r>
            <w:r w:rsidRPr="00250A3D">
              <w:rPr>
                <w:iCs/>
                <w:vertAlign w:val="superscript"/>
              </w:rPr>
              <w:t xml:space="preserve"> b</w:t>
            </w:r>
          </w:p>
        </w:tc>
        <w:tc>
          <w:tcPr>
            <w:tcW w:w="1134" w:type="dxa"/>
            <w:shd w:val="clear" w:color="auto" w:fill="auto"/>
            <w:vAlign w:val="center"/>
          </w:tcPr>
          <w:p w14:paraId="34D1E4F5" w14:textId="462E6E59"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2"/>
                <w14:textFill>
                  <w14:solidFill>
                    <w14:srgbClr w14:val="000000">
                      <w14:alpha w14:val="100000"/>
                    </w14:srgbClr>
                  </w14:solidFill>
                </w14:textFill>
              </w:rPr>
              <w:t xml:space="preserve">　</w:t>
            </w:r>
            <w:r w:rsidRPr="00AA076A">
              <w:rPr>
                <w:iCs/>
                <w:color w:val="000000"/>
                <w:w w:val="15"/>
                <w:shd w:val="solid" w:color="000000" w:fill="000000"/>
                <w:fitText w:val="40" w:id="-893118462"/>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2"/>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73494C90" w14:textId="256EE6B5"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1"/>
                <w14:textFill>
                  <w14:solidFill>
                    <w14:srgbClr w14:val="000000">
                      <w14:alpha w14:val="100000"/>
                    </w14:srgbClr>
                  </w14:solidFill>
                </w14:textFill>
              </w:rPr>
              <w:t xml:space="preserve">　</w:t>
            </w:r>
            <w:r w:rsidRPr="00AA076A">
              <w:rPr>
                <w:iCs/>
                <w:color w:val="000000"/>
                <w:w w:val="15"/>
                <w:shd w:val="solid" w:color="000000" w:fill="000000"/>
                <w:fitText w:val="40" w:id="-893118461"/>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1"/>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5E0B2E0A" w14:textId="3F2B29DE"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0"/>
                <w14:textFill>
                  <w14:solidFill>
                    <w14:srgbClr w14:val="000000">
                      <w14:alpha w14:val="100000"/>
                    </w14:srgbClr>
                  </w14:solidFill>
                </w14:textFill>
              </w:rPr>
              <w:t xml:space="preserve">　</w:t>
            </w:r>
            <w:r w:rsidRPr="00AA076A">
              <w:rPr>
                <w:iCs/>
                <w:color w:val="000000"/>
                <w:w w:val="15"/>
                <w:shd w:val="solid" w:color="000000" w:fill="000000"/>
                <w:fitText w:val="40" w:id="-893118460"/>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0"/>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6DF22E0A" w14:textId="04E8F0E1"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9"/>
                <w14:textFill>
                  <w14:solidFill>
                    <w14:srgbClr w14:val="000000">
                      <w14:alpha w14:val="100000"/>
                    </w14:srgbClr>
                  </w14:solidFill>
                </w14:textFill>
              </w:rPr>
              <w:t xml:space="preserve">　</w:t>
            </w:r>
            <w:r w:rsidRPr="00AA076A">
              <w:rPr>
                <w:iCs/>
                <w:color w:val="000000"/>
                <w:w w:val="15"/>
                <w:shd w:val="solid" w:color="000000" w:fill="000000"/>
                <w:fitText w:val="40" w:id="-893118459"/>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9"/>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7EDD31DC" w14:textId="2CAFE7C7"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8"/>
                <w14:textFill>
                  <w14:solidFill>
                    <w14:srgbClr w14:val="000000">
                      <w14:alpha w14:val="100000"/>
                    </w14:srgbClr>
                  </w14:solidFill>
                </w14:textFill>
              </w:rPr>
              <w:t xml:space="preserve">　</w:t>
            </w:r>
            <w:r w:rsidRPr="00AA076A">
              <w:rPr>
                <w:iCs/>
                <w:color w:val="000000"/>
                <w:w w:val="15"/>
                <w:shd w:val="solid" w:color="000000" w:fill="000000"/>
                <w:fitText w:val="40" w:id="-893118458"/>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8"/>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06CECB6C" w14:textId="4F8B34DB"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7"/>
                <w14:textFill>
                  <w14:solidFill>
                    <w14:srgbClr w14:val="000000">
                      <w14:alpha w14:val="100000"/>
                    </w14:srgbClr>
                  </w14:solidFill>
                </w14:textFill>
              </w:rPr>
              <w:t xml:space="preserve">　</w:t>
            </w:r>
            <w:r w:rsidRPr="00AA076A">
              <w:rPr>
                <w:iCs/>
                <w:color w:val="000000"/>
                <w:w w:val="15"/>
                <w:shd w:val="solid" w:color="000000" w:fill="000000"/>
                <w:fitText w:val="40" w:id="-893118457"/>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7"/>
                <w14:textFill>
                  <w14:solidFill>
                    <w14:srgbClr w14:val="000000">
                      <w14:alpha w14:val="100000"/>
                    </w14:srgbClr>
                  </w14:solidFill>
                </w14:textFill>
              </w:rPr>
              <w:t xml:space="preserve">　</w:t>
            </w:r>
            <w:r w:rsidR="000A309B">
              <w:rPr>
                <w:iCs/>
                <w:vertAlign w:val="superscript"/>
              </w:rPr>
              <w:t xml:space="preserve"> 2</w:t>
            </w:r>
          </w:p>
        </w:tc>
      </w:tr>
      <w:tr w:rsidR="008B3A69" w:rsidRPr="00250A3D" w14:paraId="12FE72E8" w14:textId="77777777" w:rsidTr="00767A5C">
        <w:trPr>
          <w:trHeight w:val="70"/>
        </w:trPr>
        <w:tc>
          <w:tcPr>
            <w:tcW w:w="2263" w:type="dxa"/>
            <w:shd w:val="clear" w:color="auto" w:fill="auto"/>
            <w:vAlign w:val="center"/>
          </w:tcPr>
          <w:p w14:paraId="37B391B0" w14:textId="77777777" w:rsidR="008B3A69" w:rsidRPr="00250A3D" w:rsidRDefault="008B3A69" w:rsidP="00FE7FE7">
            <w:pPr>
              <w:pStyle w:val="COMTabletext"/>
              <w:keepLines/>
              <w:rPr>
                <w:iCs/>
              </w:rPr>
            </w:pPr>
            <w:r w:rsidRPr="00250A3D">
              <w:rPr>
                <w:iCs/>
              </w:rPr>
              <w:t>Continuing scripts</w:t>
            </w:r>
            <w:r w:rsidRPr="00250A3D">
              <w:rPr>
                <w:iCs/>
                <w:vertAlign w:val="superscript"/>
              </w:rPr>
              <w:t xml:space="preserve"> c</w:t>
            </w:r>
          </w:p>
        </w:tc>
        <w:tc>
          <w:tcPr>
            <w:tcW w:w="1134" w:type="dxa"/>
            <w:shd w:val="clear" w:color="auto" w:fill="auto"/>
            <w:vAlign w:val="center"/>
          </w:tcPr>
          <w:p w14:paraId="7EE8D025" w14:textId="22C61AC7"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6"/>
                <w14:textFill>
                  <w14:solidFill>
                    <w14:srgbClr w14:val="000000">
                      <w14:alpha w14:val="100000"/>
                    </w14:srgbClr>
                  </w14:solidFill>
                </w14:textFill>
              </w:rPr>
              <w:t xml:space="preserve">　</w:t>
            </w:r>
            <w:r w:rsidRPr="00AA076A">
              <w:rPr>
                <w:iCs/>
                <w:color w:val="000000"/>
                <w:w w:val="15"/>
                <w:shd w:val="solid" w:color="000000" w:fill="000000"/>
                <w:fitText w:val="40" w:id="-893118456"/>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6"/>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44861905" w14:textId="70D5D91C"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5"/>
                <w14:textFill>
                  <w14:solidFill>
                    <w14:srgbClr w14:val="000000">
                      <w14:alpha w14:val="100000"/>
                    </w14:srgbClr>
                  </w14:solidFill>
                </w14:textFill>
              </w:rPr>
              <w:t xml:space="preserve">　</w:t>
            </w:r>
            <w:r w:rsidRPr="00AA076A">
              <w:rPr>
                <w:iCs/>
                <w:color w:val="000000"/>
                <w:w w:val="15"/>
                <w:shd w:val="solid" w:color="000000" w:fill="000000"/>
                <w:fitText w:val="40" w:id="-893118455"/>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5"/>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677ABF23" w14:textId="32F6CE94"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4"/>
                <w14:textFill>
                  <w14:solidFill>
                    <w14:srgbClr w14:val="000000">
                      <w14:alpha w14:val="100000"/>
                    </w14:srgbClr>
                  </w14:solidFill>
                </w14:textFill>
              </w:rPr>
              <w:t xml:space="preserve">　</w:t>
            </w:r>
            <w:r w:rsidRPr="00AA076A">
              <w:rPr>
                <w:iCs/>
                <w:color w:val="000000"/>
                <w:w w:val="15"/>
                <w:shd w:val="solid" w:color="000000" w:fill="000000"/>
                <w:fitText w:val="40" w:id="-893118454"/>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4"/>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6B039840" w14:textId="7564AF5F"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3"/>
                <w14:textFill>
                  <w14:solidFill>
                    <w14:srgbClr w14:val="000000">
                      <w14:alpha w14:val="100000"/>
                    </w14:srgbClr>
                  </w14:solidFill>
                </w14:textFill>
              </w:rPr>
              <w:t xml:space="preserve">　</w:t>
            </w:r>
            <w:r w:rsidRPr="00AA076A">
              <w:rPr>
                <w:iCs/>
                <w:color w:val="000000"/>
                <w:w w:val="15"/>
                <w:shd w:val="solid" w:color="000000" w:fill="000000"/>
                <w:fitText w:val="40" w:id="-893118453"/>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3"/>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03F4B6BB" w14:textId="6A14646A"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2"/>
                <w14:textFill>
                  <w14:solidFill>
                    <w14:srgbClr w14:val="000000">
                      <w14:alpha w14:val="100000"/>
                    </w14:srgbClr>
                  </w14:solidFill>
                </w14:textFill>
              </w:rPr>
              <w:t xml:space="preserve">　</w:t>
            </w:r>
            <w:r w:rsidRPr="00AA076A">
              <w:rPr>
                <w:iCs/>
                <w:color w:val="000000"/>
                <w:w w:val="15"/>
                <w:shd w:val="solid" w:color="000000" w:fill="000000"/>
                <w:fitText w:val="40" w:id="-893118452"/>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2"/>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5E12D190" w14:textId="06D064F4"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1"/>
                <w14:textFill>
                  <w14:solidFill>
                    <w14:srgbClr w14:val="000000">
                      <w14:alpha w14:val="100000"/>
                    </w14:srgbClr>
                  </w14:solidFill>
                </w14:textFill>
              </w:rPr>
              <w:t xml:space="preserve">　</w:t>
            </w:r>
            <w:r w:rsidRPr="00AA076A">
              <w:rPr>
                <w:iCs/>
                <w:color w:val="000000"/>
                <w:w w:val="15"/>
                <w:shd w:val="solid" w:color="000000" w:fill="000000"/>
                <w:fitText w:val="40" w:id="-893118451"/>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1"/>
                <w14:textFill>
                  <w14:solidFill>
                    <w14:srgbClr w14:val="000000">
                      <w14:alpha w14:val="100000"/>
                    </w14:srgbClr>
                  </w14:solidFill>
                </w14:textFill>
              </w:rPr>
              <w:t xml:space="preserve">　</w:t>
            </w:r>
            <w:r w:rsidR="000A309B">
              <w:rPr>
                <w:iCs/>
                <w:vertAlign w:val="superscript"/>
              </w:rPr>
              <w:t xml:space="preserve"> 2</w:t>
            </w:r>
          </w:p>
        </w:tc>
      </w:tr>
      <w:tr w:rsidR="008B3A69" w:rsidRPr="00250A3D" w14:paraId="11828DDE" w14:textId="77777777" w:rsidTr="00767A5C">
        <w:tc>
          <w:tcPr>
            <w:tcW w:w="2263" w:type="dxa"/>
            <w:shd w:val="clear" w:color="auto" w:fill="auto"/>
            <w:vAlign w:val="center"/>
          </w:tcPr>
          <w:p w14:paraId="468AEFD8" w14:textId="77777777" w:rsidR="008B3A69" w:rsidRPr="00250A3D" w:rsidRDefault="008B3A69" w:rsidP="00FE7FE7">
            <w:pPr>
              <w:pStyle w:val="COMTabletext"/>
              <w:keepLines/>
              <w:rPr>
                <w:iCs/>
              </w:rPr>
            </w:pPr>
            <w:r w:rsidRPr="00250A3D">
              <w:rPr>
                <w:iCs/>
              </w:rPr>
              <w:t>Number of scripts dispensed</w:t>
            </w:r>
          </w:p>
        </w:tc>
        <w:tc>
          <w:tcPr>
            <w:tcW w:w="1134" w:type="dxa"/>
            <w:shd w:val="clear" w:color="auto" w:fill="auto"/>
            <w:vAlign w:val="center"/>
          </w:tcPr>
          <w:p w14:paraId="5B2008D5" w14:textId="173068A4"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50"/>
                <w14:textFill>
                  <w14:solidFill>
                    <w14:srgbClr w14:val="000000">
                      <w14:alpha w14:val="100000"/>
                    </w14:srgbClr>
                  </w14:solidFill>
                </w14:textFill>
              </w:rPr>
              <w:t xml:space="preserve">　</w:t>
            </w:r>
            <w:r w:rsidRPr="00AA076A">
              <w:rPr>
                <w:iCs/>
                <w:color w:val="000000"/>
                <w:w w:val="15"/>
                <w:shd w:val="solid" w:color="000000" w:fill="000000"/>
                <w:fitText w:val="40" w:id="-893118450"/>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50"/>
                <w14:textFill>
                  <w14:solidFill>
                    <w14:srgbClr w14:val="000000">
                      <w14:alpha w14:val="100000"/>
                    </w14:srgbClr>
                  </w14:solidFill>
                </w14:textFill>
              </w:rPr>
              <w:t xml:space="preserve">　</w:t>
            </w:r>
            <w:r w:rsidR="000A309B">
              <w:rPr>
                <w:iCs/>
                <w:vertAlign w:val="superscript"/>
              </w:rPr>
              <w:t xml:space="preserve"> 2</w:t>
            </w:r>
          </w:p>
        </w:tc>
        <w:tc>
          <w:tcPr>
            <w:tcW w:w="1134" w:type="dxa"/>
            <w:shd w:val="clear" w:color="auto" w:fill="auto"/>
            <w:vAlign w:val="center"/>
          </w:tcPr>
          <w:p w14:paraId="76FFCBA3" w14:textId="5F3317DE"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49"/>
                <w14:textFill>
                  <w14:solidFill>
                    <w14:srgbClr w14:val="000000">
                      <w14:alpha w14:val="100000"/>
                    </w14:srgbClr>
                  </w14:solidFill>
                </w14:textFill>
              </w:rPr>
              <w:t xml:space="preserve">　</w:t>
            </w:r>
            <w:r w:rsidRPr="00AA076A">
              <w:rPr>
                <w:iCs/>
                <w:color w:val="000000"/>
                <w:w w:val="15"/>
                <w:shd w:val="solid" w:color="000000" w:fill="000000"/>
                <w:fitText w:val="40" w:id="-893118449"/>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49"/>
                <w14:textFill>
                  <w14:solidFill>
                    <w14:srgbClr w14:val="000000">
                      <w14:alpha w14:val="100000"/>
                    </w14:srgbClr>
                  </w14:solidFill>
                </w14:textFill>
              </w:rPr>
              <w:t xml:space="preserve">　</w:t>
            </w:r>
            <w:r w:rsidR="000A309B">
              <w:rPr>
                <w:iCs/>
                <w:vertAlign w:val="superscript"/>
              </w:rPr>
              <w:t xml:space="preserve"> 3</w:t>
            </w:r>
          </w:p>
        </w:tc>
        <w:tc>
          <w:tcPr>
            <w:tcW w:w="1134" w:type="dxa"/>
            <w:shd w:val="clear" w:color="auto" w:fill="auto"/>
            <w:vAlign w:val="center"/>
          </w:tcPr>
          <w:p w14:paraId="4E341A82" w14:textId="3114B05A"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48"/>
                <w14:textFill>
                  <w14:solidFill>
                    <w14:srgbClr w14:val="000000">
                      <w14:alpha w14:val="100000"/>
                    </w14:srgbClr>
                  </w14:solidFill>
                </w14:textFill>
              </w:rPr>
              <w:t xml:space="preserve">　</w:t>
            </w:r>
            <w:r w:rsidRPr="00AA076A">
              <w:rPr>
                <w:iCs/>
                <w:color w:val="000000"/>
                <w:w w:val="15"/>
                <w:shd w:val="solid" w:color="000000" w:fill="000000"/>
                <w:fitText w:val="40" w:id="-893118448"/>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48"/>
                <w14:textFill>
                  <w14:solidFill>
                    <w14:srgbClr w14:val="000000">
                      <w14:alpha w14:val="100000"/>
                    </w14:srgbClr>
                  </w14:solidFill>
                </w14:textFill>
              </w:rPr>
              <w:t xml:space="preserve">　</w:t>
            </w:r>
            <w:r w:rsidR="000A309B">
              <w:rPr>
                <w:iCs/>
                <w:vertAlign w:val="superscript"/>
              </w:rPr>
              <w:t xml:space="preserve"> 3</w:t>
            </w:r>
          </w:p>
        </w:tc>
        <w:tc>
          <w:tcPr>
            <w:tcW w:w="1134" w:type="dxa"/>
            <w:shd w:val="clear" w:color="auto" w:fill="auto"/>
            <w:vAlign w:val="center"/>
          </w:tcPr>
          <w:p w14:paraId="3FE9D574" w14:textId="532985C1"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4"/>
                <w14:textFill>
                  <w14:solidFill>
                    <w14:srgbClr w14:val="000000">
                      <w14:alpha w14:val="100000"/>
                    </w14:srgbClr>
                  </w14:solidFill>
                </w14:textFill>
              </w:rPr>
              <w:t xml:space="preserve">　</w:t>
            </w:r>
            <w:r w:rsidRPr="00AA076A">
              <w:rPr>
                <w:iCs/>
                <w:color w:val="000000"/>
                <w:w w:val="15"/>
                <w:shd w:val="solid" w:color="000000" w:fill="000000"/>
                <w:fitText w:val="40" w:id="-893118464"/>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4"/>
                <w14:textFill>
                  <w14:solidFill>
                    <w14:srgbClr w14:val="000000">
                      <w14:alpha w14:val="100000"/>
                    </w14:srgbClr>
                  </w14:solidFill>
                </w14:textFill>
              </w:rPr>
              <w:t xml:space="preserve">　</w:t>
            </w:r>
            <w:r w:rsidR="000A309B">
              <w:rPr>
                <w:iCs/>
                <w:vertAlign w:val="superscript"/>
              </w:rPr>
              <w:t xml:space="preserve"> 3</w:t>
            </w:r>
          </w:p>
        </w:tc>
        <w:tc>
          <w:tcPr>
            <w:tcW w:w="1134" w:type="dxa"/>
            <w:shd w:val="clear" w:color="auto" w:fill="auto"/>
            <w:vAlign w:val="center"/>
          </w:tcPr>
          <w:p w14:paraId="08AE9005" w14:textId="636DD02E"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3"/>
                <w14:textFill>
                  <w14:solidFill>
                    <w14:srgbClr w14:val="000000">
                      <w14:alpha w14:val="100000"/>
                    </w14:srgbClr>
                  </w14:solidFill>
                </w14:textFill>
              </w:rPr>
              <w:t xml:space="preserve">　</w:t>
            </w:r>
            <w:r w:rsidRPr="00AA076A">
              <w:rPr>
                <w:iCs/>
                <w:color w:val="000000"/>
                <w:w w:val="15"/>
                <w:shd w:val="solid" w:color="000000" w:fill="000000"/>
                <w:fitText w:val="40" w:id="-893118463"/>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3"/>
                <w14:textFill>
                  <w14:solidFill>
                    <w14:srgbClr w14:val="000000">
                      <w14:alpha w14:val="100000"/>
                    </w14:srgbClr>
                  </w14:solidFill>
                </w14:textFill>
              </w:rPr>
              <w:t xml:space="preserve">　</w:t>
            </w:r>
            <w:r w:rsidR="000A309B">
              <w:rPr>
                <w:iCs/>
                <w:vertAlign w:val="superscript"/>
              </w:rPr>
              <w:t xml:space="preserve"> 3</w:t>
            </w:r>
          </w:p>
        </w:tc>
        <w:tc>
          <w:tcPr>
            <w:tcW w:w="1134" w:type="dxa"/>
            <w:shd w:val="clear" w:color="auto" w:fill="auto"/>
            <w:vAlign w:val="center"/>
          </w:tcPr>
          <w:p w14:paraId="2BD7D13B" w14:textId="6103E46F" w:rsidR="008B3A69" w:rsidRPr="00250A3D" w:rsidRDefault="00AA076A" w:rsidP="00FE7FE7">
            <w:pPr>
              <w:pStyle w:val="COMTabletext"/>
              <w:keepLines/>
              <w:jc w:val="center"/>
              <w:rPr>
                <w:iCs/>
              </w:rPr>
            </w:pPr>
            <w:r w:rsidRPr="00AA076A">
              <w:rPr>
                <w:rFonts w:hint="eastAsia"/>
                <w:iCs/>
                <w:color w:val="000000"/>
                <w:w w:val="15"/>
                <w:shd w:val="solid" w:color="000000" w:fill="000000"/>
                <w:fitText w:val="40" w:id="-893118462"/>
                <w14:textFill>
                  <w14:solidFill>
                    <w14:srgbClr w14:val="000000">
                      <w14:alpha w14:val="100000"/>
                    </w14:srgbClr>
                  </w14:solidFill>
                </w14:textFill>
              </w:rPr>
              <w:t xml:space="preserve">　</w:t>
            </w:r>
            <w:r w:rsidRPr="00AA076A">
              <w:rPr>
                <w:iCs/>
                <w:color w:val="000000"/>
                <w:w w:val="15"/>
                <w:shd w:val="solid" w:color="000000" w:fill="000000"/>
                <w:fitText w:val="40" w:id="-893118462"/>
                <w14:textFill>
                  <w14:solidFill>
                    <w14:srgbClr w14:val="000000">
                      <w14:alpha w14:val="100000"/>
                    </w14:srgbClr>
                  </w14:solidFill>
                </w14:textFill>
              </w:rPr>
              <w:t>|</w:t>
            </w:r>
            <w:r w:rsidRPr="00AA076A">
              <w:rPr>
                <w:rFonts w:hint="eastAsia"/>
                <w:iCs/>
                <w:color w:val="000000"/>
                <w:spacing w:val="-25"/>
                <w:w w:val="15"/>
                <w:shd w:val="solid" w:color="000000" w:fill="000000"/>
                <w:fitText w:val="40" w:id="-893118462"/>
                <w14:textFill>
                  <w14:solidFill>
                    <w14:srgbClr w14:val="000000">
                      <w14:alpha w14:val="100000"/>
                    </w14:srgbClr>
                  </w14:solidFill>
                </w14:textFill>
              </w:rPr>
              <w:t xml:space="preserve">　</w:t>
            </w:r>
            <w:r w:rsidR="000A309B">
              <w:rPr>
                <w:iCs/>
                <w:vertAlign w:val="superscript"/>
              </w:rPr>
              <w:t xml:space="preserve"> 3</w:t>
            </w:r>
          </w:p>
        </w:tc>
      </w:tr>
      <w:tr w:rsidR="008B3A69" w:rsidRPr="00250A3D" w14:paraId="2239E9C8" w14:textId="77777777" w:rsidTr="00767A5C">
        <w:tc>
          <w:tcPr>
            <w:tcW w:w="9067" w:type="dxa"/>
            <w:gridSpan w:val="7"/>
            <w:shd w:val="clear" w:color="auto" w:fill="auto"/>
            <w:vAlign w:val="center"/>
          </w:tcPr>
          <w:p w14:paraId="5889316C" w14:textId="77777777" w:rsidR="008B3A69" w:rsidRPr="00250A3D" w:rsidRDefault="008B3A69" w:rsidP="00FE7FE7">
            <w:pPr>
              <w:pStyle w:val="COMTabletext"/>
              <w:keepLines/>
              <w:rPr>
                <w:b/>
                <w:bCs w:val="0"/>
                <w:iCs/>
              </w:rPr>
            </w:pPr>
            <w:r w:rsidRPr="00250A3D">
              <w:rPr>
                <w:b/>
                <w:bCs w:val="0"/>
                <w:iCs/>
              </w:rPr>
              <w:t>Net financial implications to the PBS/MBS</w:t>
            </w:r>
          </w:p>
        </w:tc>
      </w:tr>
      <w:tr w:rsidR="008B3A69" w:rsidRPr="0067052A" w14:paraId="02158335" w14:textId="77777777" w:rsidTr="00767A5C">
        <w:tc>
          <w:tcPr>
            <w:tcW w:w="2263" w:type="dxa"/>
            <w:shd w:val="clear" w:color="auto" w:fill="auto"/>
            <w:vAlign w:val="center"/>
          </w:tcPr>
          <w:p w14:paraId="22CA6690" w14:textId="77777777" w:rsidR="008B3A69" w:rsidRPr="0067052A" w:rsidRDefault="008B3A69" w:rsidP="00FE7FE7">
            <w:pPr>
              <w:pStyle w:val="COMTabletext"/>
              <w:keepLines/>
              <w:rPr>
                <w:b/>
                <w:bCs w:val="0"/>
                <w:iCs/>
              </w:rPr>
            </w:pPr>
            <w:r w:rsidRPr="0067052A">
              <w:rPr>
                <w:b/>
                <w:bCs w:val="0"/>
                <w:iCs/>
              </w:rPr>
              <w:t>Net cost to the PBS</w:t>
            </w:r>
          </w:p>
        </w:tc>
        <w:tc>
          <w:tcPr>
            <w:tcW w:w="1134" w:type="dxa"/>
            <w:shd w:val="clear" w:color="auto" w:fill="auto"/>
            <w:vAlign w:val="center"/>
          </w:tcPr>
          <w:p w14:paraId="49CD7209" w14:textId="1C947CEF" w:rsidR="008B3A69" w:rsidRPr="0067052A" w:rsidRDefault="008B3A69" w:rsidP="00FE7FE7">
            <w:pPr>
              <w:pStyle w:val="COMTabletext"/>
              <w:keepLines/>
              <w:jc w:val="center"/>
              <w:rPr>
                <w:b/>
                <w:bCs w:val="0"/>
                <w:iCs/>
              </w:rPr>
            </w:pPr>
            <w:r w:rsidRPr="0067052A">
              <w:rPr>
                <w:b/>
                <w:bCs w:val="0"/>
                <w:iCs/>
              </w:rPr>
              <w:t>$</w:t>
            </w:r>
            <w:r w:rsidR="00AA076A" w:rsidRPr="00AA076A">
              <w:rPr>
                <w:rFonts w:hint="eastAsia"/>
                <w:b/>
                <w:bCs w:val="0"/>
                <w:iCs/>
                <w:color w:val="000000"/>
                <w:w w:val="33"/>
                <w:shd w:val="solid" w:color="000000" w:fill="000000"/>
                <w:fitText w:val="150" w:id="-893118461"/>
                <w14:textFill>
                  <w14:solidFill>
                    <w14:srgbClr w14:val="000000">
                      <w14:alpha w14:val="100000"/>
                    </w14:srgbClr>
                  </w14:solidFill>
                </w14:textFill>
              </w:rPr>
              <w:t xml:space="preserve">　</w:t>
            </w:r>
            <w:r w:rsidR="00AA076A" w:rsidRPr="00AA076A">
              <w:rPr>
                <w:b/>
                <w:bCs w:val="0"/>
                <w:iCs/>
                <w:color w:val="000000"/>
                <w:w w:val="33"/>
                <w:shd w:val="solid" w:color="000000" w:fill="000000"/>
                <w:fitText w:val="150" w:id="-893118461"/>
                <w14:textFill>
                  <w14:solidFill>
                    <w14:srgbClr w14:val="000000">
                      <w14:alpha w14:val="100000"/>
                    </w14:srgbClr>
                  </w14:solidFill>
                </w14:textFill>
              </w:rPr>
              <w:t>|</w:t>
            </w:r>
            <w:r w:rsidR="00AA076A" w:rsidRPr="00AA076A">
              <w:rPr>
                <w:rFonts w:hint="eastAsia"/>
                <w:b/>
                <w:bCs w:val="0"/>
                <w:iCs/>
                <w:color w:val="000000"/>
                <w:spacing w:val="3"/>
                <w:w w:val="33"/>
                <w:shd w:val="solid" w:color="000000" w:fill="000000"/>
                <w:fitText w:val="150" w:id="-893118461"/>
                <w14:textFill>
                  <w14:solidFill>
                    <w14:srgbClr w14:val="000000">
                      <w14:alpha w14:val="100000"/>
                    </w14:srgbClr>
                  </w14:solidFill>
                </w14:textFill>
              </w:rPr>
              <w:t xml:space="preserve">　</w:t>
            </w:r>
            <w:r w:rsidR="000A309B">
              <w:rPr>
                <w:iCs/>
                <w:vertAlign w:val="superscript"/>
              </w:rPr>
              <w:t xml:space="preserve"> 4</w:t>
            </w:r>
          </w:p>
        </w:tc>
        <w:tc>
          <w:tcPr>
            <w:tcW w:w="1134" w:type="dxa"/>
            <w:shd w:val="clear" w:color="auto" w:fill="auto"/>
            <w:vAlign w:val="center"/>
          </w:tcPr>
          <w:p w14:paraId="699CA74C" w14:textId="585D5ADF" w:rsidR="008B3A69" w:rsidRPr="0067052A" w:rsidRDefault="008B3A69" w:rsidP="00FE7FE7">
            <w:pPr>
              <w:pStyle w:val="COMTabletext"/>
              <w:keepLines/>
              <w:jc w:val="center"/>
              <w:rPr>
                <w:b/>
                <w:bCs w:val="0"/>
                <w:iCs/>
              </w:rPr>
            </w:pPr>
            <w:r w:rsidRPr="0067052A">
              <w:rPr>
                <w:b/>
                <w:bCs w:val="0"/>
                <w:iCs/>
              </w:rPr>
              <w:t>$</w:t>
            </w:r>
            <w:r w:rsidR="00AA076A" w:rsidRPr="00AA076A">
              <w:rPr>
                <w:rFonts w:hint="eastAsia"/>
                <w:b/>
                <w:bCs w:val="0"/>
                <w:iCs/>
                <w:color w:val="000000"/>
                <w:w w:val="33"/>
                <w:shd w:val="solid" w:color="000000" w:fill="000000"/>
                <w:fitText w:val="150" w:id="-893118460"/>
                <w14:textFill>
                  <w14:solidFill>
                    <w14:srgbClr w14:val="000000">
                      <w14:alpha w14:val="100000"/>
                    </w14:srgbClr>
                  </w14:solidFill>
                </w14:textFill>
              </w:rPr>
              <w:t xml:space="preserve">　</w:t>
            </w:r>
            <w:r w:rsidR="00AA076A" w:rsidRPr="00AA076A">
              <w:rPr>
                <w:b/>
                <w:bCs w:val="0"/>
                <w:iCs/>
                <w:color w:val="000000"/>
                <w:w w:val="33"/>
                <w:shd w:val="solid" w:color="000000" w:fill="000000"/>
                <w:fitText w:val="150" w:id="-893118460"/>
                <w14:textFill>
                  <w14:solidFill>
                    <w14:srgbClr w14:val="000000">
                      <w14:alpha w14:val="100000"/>
                    </w14:srgbClr>
                  </w14:solidFill>
                </w14:textFill>
              </w:rPr>
              <w:t>|</w:t>
            </w:r>
            <w:r w:rsidR="00AA076A" w:rsidRPr="00AA076A">
              <w:rPr>
                <w:rFonts w:hint="eastAsia"/>
                <w:b/>
                <w:bCs w:val="0"/>
                <w:iCs/>
                <w:color w:val="000000"/>
                <w:spacing w:val="3"/>
                <w:w w:val="33"/>
                <w:shd w:val="solid" w:color="000000" w:fill="000000"/>
                <w:fitText w:val="150" w:id="-893118460"/>
                <w14:textFill>
                  <w14:solidFill>
                    <w14:srgbClr w14:val="000000">
                      <w14:alpha w14:val="100000"/>
                    </w14:srgbClr>
                  </w14:solidFill>
                </w14:textFill>
              </w:rPr>
              <w:t xml:space="preserve">　</w:t>
            </w:r>
            <w:r w:rsidR="000A309B">
              <w:rPr>
                <w:iCs/>
                <w:vertAlign w:val="superscript"/>
              </w:rPr>
              <w:t xml:space="preserve"> 5</w:t>
            </w:r>
          </w:p>
        </w:tc>
        <w:tc>
          <w:tcPr>
            <w:tcW w:w="1134" w:type="dxa"/>
            <w:shd w:val="clear" w:color="auto" w:fill="auto"/>
            <w:vAlign w:val="center"/>
          </w:tcPr>
          <w:p w14:paraId="39CAFB42" w14:textId="3FD51DE7" w:rsidR="008B3A69" w:rsidRPr="0067052A" w:rsidRDefault="008B3A69" w:rsidP="00FE7FE7">
            <w:pPr>
              <w:pStyle w:val="COMTabletext"/>
              <w:keepLines/>
              <w:jc w:val="center"/>
              <w:rPr>
                <w:b/>
                <w:bCs w:val="0"/>
                <w:iCs/>
              </w:rPr>
            </w:pPr>
            <w:r w:rsidRPr="0067052A">
              <w:rPr>
                <w:b/>
                <w:bCs w:val="0"/>
                <w:iCs/>
              </w:rPr>
              <w:t>$</w:t>
            </w:r>
            <w:r w:rsidR="00AA076A" w:rsidRPr="00AA076A">
              <w:rPr>
                <w:rFonts w:hint="eastAsia"/>
                <w:b/>
                <w:bCs w:val="0"/>
                <w:iCs/>
                <w:color w:val="000000"/>
                <w:w w:val="33"/>
                <w:shd w:val="solid" w:color="000000" w:fill="000000"/>
                <w:fitText w:val="150" w:id="-893118459"/>
                <w14:textFill>
                  <w14:solidFill>
                    <w14:srgbClr w14:val="000000">
                      <w14:alpha w14:val="100000"/>
                    </w14:srgbClr>
                  </w14:solidFill>
                </w14:textFill>
              </w:rPr>
              <w:t xml:space="preserve">　</w:t>
            </w:r>
            <w:r w:rsidR="00AA076A" w:rsidRPr="00AA076A">
              <w:rPr>
                <w:b/>
                <w:bCs w:val="0"/>
                <w:iCs/>
                <w:color w:val="000000"/>
                <w:w w:val="33"/>
                <w:shd w:val="solid" w:color="000000" w:fill="000000"/>
                <w:fitText w:val="150" w:id="-893118459"/>
                <w14:textFill>
                  <w14:solidFill>
                    <w14:srgbClr w14:val="000000">
                      <w14:alpha w14:val="100000"/>
                    </w14:srgbClr>
                  </w14:solidFill>
                </w14:textFill>
              </w:rPr>
              <w:t>|</w:t>
            </w:r>
            <w:r w:rsidR="00AA076A" w:rsidRPr="00AA076A">
              <w:rPr>
                <w:rFonts w:hint="eastAsia"/>
                <w:b/>
                <w:bCs w:val="0"/>
                <w:iCs/>
                <w:color w:val="000000"/>
                <w:spacing w:val="3"/>
                <w:w w:val="33"/>
                <w:shd w:val="solid" w:color="000000" w:fill="000000"/>
                <w:fitText w:val="150" w:id="-893118459"/>
                <w14:textFill>
                  <w14:solidFill>
                    <w14:srgbClr w14:val="000000">
                      <w14:alpha w14:val="100000"/>
                    </w14:srgbClr>
                  </w14:solidFill>
                </w14:textFill>
              </w:rPr>
              <w:t xml:space="preserve">　</w:t>
            </w:r>
            <w:r w:rsidR="006A3E04">
              <w:rPr>
                <w:iCs/>
                <w:vertAlign w:val="superscript"/>
              </w:rPr>
              <w:t xml:space="preserve"> 6</w:t>
            </w:r>
          </w:p>
        </w:tc>
        <w:tc>
          <w:tcPr>
            <w:tcW w:w="1134" w:type="dxa"/>
            <w:shd w:val="clear" w:color="auto" w:fill="auto"/>
            <w:vAlign w:val="center"/>
          </w:tcPr>
          <w:p w14:paraId="3B15D4FD" w14:textId="5D2809BC" w:rsidR="008B3A69" w:rsidRPr="0067052A" w:rsidRDefault="008B3A69" w:rsidP="00FE7FE7">
            <w:pPr>
              <w:pStyle w:val="COMTabletext"/>
              <w:keepLines/>
              <w:jc w:val="center"/>
              <w:rPr>
                <w:b/>
                <w:bCs w:val="0"/>
                <w:iCs/>
              </w:rPr>
            </w:pPr>
            <w:r w:rsidRPr="0067052A">
              <w:rPr>
                <w:b/>
                <w:bCs w:val="0"/>
                <w:iCs/>
              </w:rPr>
              <w:t>$</w:t>
            </w:r>
            <w:r w:rsidR="00AA076A" w:rsidRPr="00AA076A">
              <w:rPr>
                <w:rFonts w:hint="eastAsia"/>
                <w:b/>
                <w:bCs w:val="0"/>
                <w:iCs/>
                <w:color w:val="000000"/>
                <w:w w:val="33"/>
                <w:shd w:val="solid" w:color="000000" w:fill="000000"/>
                <w:fitText w:val="150" w:id="-893118458"/>
                <w14:textFill>
                  <w14:solidFill>
                    <w14:srgbClr w14:val="000000">
                      <w14:alpha w14:val="100000"/>
                    </w14:srgbClr>
                  </w14:solidFill>
                </w14:textFill>
              </w:rPr>
              <w:t xml:space="preserve">　</w:t>
            </w:r>
            <w:r w:rsidR="00AA076A" w:rsidRPr="00AA076A">
              <w:rPr>
                <w:b/>
                <w:bCs w:val="0"/>
                <w:iCs/>
                <w:color w:val="000000"/>
                <w:w w:val="33"/>
                <w:shd w:val="solid" w:color="000000" w:fill="000000"/>
                <w:fitText w:val="150" w:id="-893118458"/>
                <w14:textFill>
                  <w14:solidFill>
                    <w14:srgbClr w14:val="000000">
                      <w14:alpha w14:val="100000"/>
                    </w14:srgbClr>
                  </w14:solidFill>
                </w14:textFill>
              </w:rPr>
              <w:t>|</w:t>
            </w:r>
            <w:r w:rsidR="00AA076A" w:rsidRPr="00AA076A">
              <w:rPr>
                <w:rFonts w:hint="eastAsia"/>
                <w:b/>
                <w:bCs w:val="0"/>
                <w:iCs/>
                <w:color w:val="000000"/>
                <w:spacing w:val="3"/>
                <w:w w:val="33"/>
                <w:shd w:val="solid" w:color="000000" w:fill="000000"/>
                <w:fitText w:val="150" w:id="-893118458"/>
                <w14:textFill>
                  <w14:solidFill>
                    <w14:srgbClr w14:val="000000">
                      <w14:alpha w14:val="100000"/>
                    </w14:srgbClr>
                  </w14:solidFill>
                </w14:textFill>
              </w:rPr>
              <w:t xml:space="preserve">　</w:t>
            </w:r>
            <w:r w:rsidR="006A3E04">
              <w:rPr>
                <w:iCs/>
                <w:vertAlign w:val="superscript"/>
              </w:rPr>
              <w:t xml:space="preserve"> 6</w:t>
            </w:r>
          </w:p>
        </w:tc>
        <w:tc>
          <w:tcPr>
            <w:tcW w:w="1134" w:type="dxa"/>
            <w:shd w:val="clear" w:color="auto" w:fill="auto"/>
            <w:vAlign w:val="center"/>
          </w:tcPr>
          <w:p w14:paraId="4F98C8B9" w14:textId="57DB7C47" w:rsidR="008B3A69" w:rsidRPr="0067052A" w:rsidRDefault="008B3A69" w:rsidP="00FE7FE7">
            <w:pPr>
              <w:pStyle w:val="COMTabletext"/>
              <w:keepLines/>
              <w:jc w:val="center"/>
              <w:rPr>
                <w:b/>
                <w:bCs w:val="0"/>
                <w:iCs/>
              </w:rPr>
            </w:pPr>
            <w:r w:rsidRPr="0067052A">
              <w:rPr>
                <w:b/>
                <w:bCs w:val="0"/>
                <w:iCs/>
              </w:rPr>
              <w:t>$</w:t>
            </w:r>
            <w:r w:rsidR="00AA076A" w:rsidRPr="00AA076A">
              <w:rPr>
                <w:rFonts w:hint="eastAsia"/>
                <w:b/>
                <w:bCs w:val="0"/>
                <w:iCs/>
                <w:color w:val="000000"/>
                <w:w w:val="33"/>
                <w:shd w:val="solid" w:color="000000" w:fill="000000"/>
                <w:fitText w:val="150" w:id="-893118457"/>
                <w14:textFill>
                  <w14:solidFill>
                    <w14:srgbClr w14:val="000000">
                      <w14:alpha w14:val="100000"/>
                    </w14:srgbClr>
                  </w14:solidFill>
                </w14:textFill>
              </w:rPr>
              <w:t xml:space="preserve">　</w:t>
            </w:r>
            <w:r w:rsidR="00AA076A" w:rsidRPr="00AA076A">
              <w:rPr>
                <w:b/>
                <w:bCs w:val="0"/>
                <w:iCs/>
                <w:color w:val="000000"/>
                <w:w w:val="33"/>
                <w:shd w:val="solid" w:color="000000" w:fill="000000"/>
                <w:fitText w:val="150" w:id="-893118457"/>
                <w14:textFill>
                  <w14:solidFill>
                    <w14:srgbClr w14:val="000000">
                      <w14:alpha w14:val="100000"/>
                    </w14:srgbClr>
                  </w14:solidFill>
                </w14:textFill>
              </w:rPr>
              <w:t>|</w:t>
            </w:r>
            <w:r w:rsidR="00AA076A" w:rsidRPr="00AA076A">
              <w:rPr>
                <w:rFonts w:hint="eastAsia"/>
                <w:b/>
                <w:bCs w:val="0"/>
                <w:iCs/>
                <w:color w:val="000000"/>
                <w:spacing w:val="3"/>
                <w:w w:val="33"/>
                <w:shd w:val="solid" w:color="000000" w:fill="000000"/>
                <w:fitText w:val="150" w:id="-893118457"/>
                <w14:textFill>
                  <w14:solidFill>
                    <w14:srgbClr w14:val="000000">
                      <w14:alpha w14:val="100000"/>
                    </w14:srgbClr>
                  </w14:solidFill>
                </w14:textFill>
              </w:rPr>
              <w:t xml:space="preserve">　</w:t>
            </w:r>
            <w:r w:rsidR="006A3E04">
              <w:rPr>
                <w:iCs/>
                <w:vertAlign w:val="superscript"/>
              </w:rPr>
              <w:t xml:space="preserve"> 6</w:t>
            </w:r>
          </w:p>
        </w:tc>
        <w:tc>
          <w:tcPr>
            <w:tcW w:w="1134" w:type="dxa"/>
            <w:shd w:val="clear" w:color="auto" w:fill="auto"/>
            <w:vAlign w:val="center"/>
          </w:tcPr>
          <w:p w14:paraId="335940BE" w14:textId="1ED256EA" w:rsidR="008B3A69" w:rsidRPr="0067052A" w:rsidRDefault="008B3A69" w:rsidP="00FE7FE7">
            <w:pPr>
              <w:pStyle w:val="COMTabletext"/>
              <w:keepLines/>
              <w:jc w:val="center"/>
              <w:rPr>
                <w:b/>
                <w:bCs w:val="0"/>
                <w:iCs/>
              </w:rPr>
            </w:pPr>
            <w:r w:rsidRPr="0067052A">
              <w:rPr>
                <w:b/>
                <w:bCs w:val="0"/>
                <w:iCs/>
              </w:rPr>
              <w:t>$</w:t>
            </w:r>
            <w:r w:rsidR="00AA076A" w:rsidRPr="00AA076A">
              <w:rPr>
                <w:rFonts w:hint="eastAsia"/>
                <w:b/>
                <w:bCs w:val="0"/>
                <w:iCs/>
                <w:color w:val="000000"/>
                <w:w w:val="33"/>
                <w:shd w:val="solid" w:color="000000" w:fill="000000"/>
                <w:fitText w:val="150" w:id="-893118456"/>
                <w14:textFill>
                  <w14:solidFill>
                    <w14:srgbClr w14:val="000000">
                      <w14:alpha w14:val="100000"/>
                    </w14:srgbClr>
                  </w14:solidFill>
                </w14:textFill>
              </w:rPr>
              <w:t xml:space="preserve">　</w:t>
            </w:r>
            <w:r w:rsidR="00AA076A" w:rsidRPr="00AA076A">
              <w:rPr>
                <w:b/>
                <w:bCs w:val="0"/>
                <w:iCs/>
                <w:color w:val="000000"/>
                <w:w w:val="33"/>
                <w:shd w:val="solid" w:color="000000" w:fill="000000"/>
                <w:fitText w:val="150" w:id="-893118456"/>
                <w14:textFill>
                  <w14:solidFill>
                    <w14:srgbClr w14:val="000000">
                      <w14:alpha w14:val="100000"/>
                    </w14:srgbClr>
                  </w14:solidFill>
                </w14:textFill>
              </w:rPr>
              <w:t>|</w:t>
            </w:r>
            <w:r w:rsidR="00AA076A" w:rsidRPr="00AA076A">
              <w:rPr>
                <w:rFonts w:hint="eastAsia"/>
                <w:b/>
                <w:bCs w:val="0"/>
                <w:iCs/>
                <w:color w:val="000000"/>
                <w:spacing w:val="3"/>
                <w:w w:val="33"/>
                <w:shd w:val="solid" w:color="000000" w:fill="000000"/>
                <w:fitText w:val="150" w:id="-893118456"/>
                <w14:textFill>
                  <w14:solidFill>
                    <w14:srgbClr w14:val="000000">
                      <w14:alpha w14:val="100000"/>
                    </w14:srgbClr>
                  </w14:solidFill>
                </w14:textFill>
              </w:rPr>
              <w:t xml:space="preserve">　</w:t>
            </w:r>
            <w:r w:rsidR="006A3E04">
              <w:rPr>
                <w:iCs/>
                <w:vertAlign w:val="superscript"/>
              </w:rPr>
              <w:t xml:space="preserve"> 6</w:t>
            </w:r>
          </w:p>
        </w:tc>
      </w:tr>
      <w:tr w:rsidR="008B3A69" w:rsidRPr="0067052A" w14:paraId="35728A26" w14:textId="77777777" w:rsidTr="00767A5C">
        <w:tc>
          <w:tcPr>
            <w:tcW w:w="2263" w:type="dxa"/>
            <w:shd w:val="clear" w:color="auto" w:fill="auto"/>
            <w:vAlign w:val="center"/>
          </w:tcPr>
          <w:p w14:paraId="0E5734FD" w14:textId="77777777" w:rsidR="008B3A69" w:rsidRPr="0067052A" w:rsidRDefault="008B3A69" w:rsidP="00FE7FE7">
            <w:pPr>
              <w:pStyle w:val="COMTabletext"/>
              <w:keepLines/>
              <w:rPr>
                <w:iCs/>
              </w:rPr>
            </w:pPr>
            <w:r w:rsidRPr="0067052A">
              <w:rPr>
                <w:bCs w:val="0"/>
                <w:iCs/>
              </w:rPr>
              <w:t>Cost to the MBS</w:t>
            </w:r>
            <w:r w:rsidRPr="0067052A">
              <w:rPr>
                <w:bCs w:val="0"/>
                <w:iCs/>
                <w:vertAlign w:val="superscript"/>
              </w:rPr>
              <w:t xml:space="preserve"> d</w:t>
            </w:r>
          </w:p>
        </w:tc>
        <w:tc>
          <w:tcPr>
            <w:tcW w:w="1134" w:type="dxa"/>
            <w:shd w:val="clear" w:color="auto" w:fill="auto"/>
            <w:vAlign w:val="center"/>
          </w:tcPr>
          <w:p w14:paraId="4298923F" w14:textId="3450F282"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55"/>
                <w14:textFill>
                  <w14:solidFill>
                    <w14:srgbClr w14:val="000000">
                      <w14:alpha w14:val="100000"/>
                    </w14:srgbClr>
                  </w14:solidFill>
                </w14:textFill>
              </w:rPr>
              <w:t xml:space="preserve">　</w:t>
            </w:r>
            <w:r w:rsidR="00AA076A" w:rsidRPr="00AA076A">
              <w:rPr>
                <w:iCs/>
                <w:color w:val="000000"/>
                <w:w w:val="22"/>
                <w:shd w:val="solid" w:color="000000" w:fill="000000"/>
                <w:fitText w:val="100" w:id="-893118455"/>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55"/>
                <w14:textFill>
                  <w14:solidFill>
                    <w14:srgbClr w14:val="000000">
                      <w14:alpha w14:val="100000"/>
                    </w14:srgbClr>
                  </w14:solidFill>
                </w14:textFill>
              </w:rPr>
              <w:t xml:space="preserve">　</w:t>
            </w:r>
            <w:r w:rsidR="006A3E04">
              <w:rPr>
                <w:iCs/>
                <w:vertAlign w:val="superscript"/>
              </w:rPr>
              <w:t xml:space="preserve"> 7</w:t>
            </w:r>
          </w:p>
        </w:tc>
        <w:tc>
          <w:tcPr>
            <w:tcW w:w="1134" w:type="dxa"/>
            <w:shd w:val="clear" w:color="auto" w:fill="auto"/>
            <w:vAlign w:val="center"/>
          </w:tcPr>
          <w:p w14:paraId="722F5E8A" w14:textId="5D55702F"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54"/>
                <w14:textFill>
                  <w14:solidFill>
                    <w14:srgbClr w14:val="000000">
                      <w14:alpha w14:val="100000"/>
                    </w14:srgbClr>
                  </w14:solidFill>
                </w14:textFill>
              </w:rPr>
              <w:t xml:space="preserve">　</w:t>
            </w:r>
            <w:r w:rsidR="00AA076A" w:rsidRPr="00AA076A">
              <w:rPr>
                <w:iCs/>
                <w:color w:val="000000"/>
                <w:w w:val="22"/>
                <w:shd w:val="solid" w:color="000000" w:fill="000000"/>
                <w:fitText w:val="100" w:id="-893118454"/>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54"/>
                <w14:textFill>
                  <w14:solidFill>
                    <w14:srgbClr w14:val="000000">
                      <w14:alpha w14:val="100000"/>
                    </w14:srgbClr>
                  </w14:solidFill>
                </w14:textFill>
              </w:rPr>
              <w:t xml:space="preserve">　</w:t>
            </w:r>
            <w:r w:rsidR="006A3E04">
              <w:rPr>
                <w:iCs/>
                <w:vertAlign w:val="superscript"/>
              </w:rPr>
              <w:t xml:space="preserve"> 7</w:t>
            </w:r>
          </w:p>
        </w:tc>
        <w:tc>
          <w:tcPr>
            <w:tcW w:w="1134" w:type="dxa"/>
            <w:shd w:val="clear" w:color="auto" w:fill="auto"/>
            <w:vAlign w:val="center"/>
          </w:tcPr>
          <w:p w14:paraId="1E4AC44E" w14:textId="0DCAA960"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53"/>
                <w14:textFill>
                  <w14:solidFill>
                    <w14:srgbClr w14:val="000000">
                      <w14:alpha w14:val="100000"/>
                    </w14:srgbClr>
                  </w14:solidFill>
                </w14:textFill>
              </w:rPr>
              <w:t xml:space="preserve">　</w:t>
            </w:r>
            <w:r w:rsidR="00AA076A" w:rsidRPr="00AA076A">
              <w:rPr>
                <w:iCs/>
                <w:color w:val="000000"/>
                <w:w w:val="22"/>
                <w:shd w:val="solid" w:color="000000" w:fill="000000"/>
                <w:fitText w:val="100" w:id="-893118453"/>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53"/>
                <w14:textFill>
                  <w14:solidFill>
                    <w14:srgbClr w14:val="000000">
                      <w14:alpha w14:val="100000"/>
                    </w14:srgbClr>
                  </w14:solidFill>
                </w14:textFill>
              </w:rPr>
              <w:t xml:space="preserve">　</w:t>
            </w:r>
            <w:r w:rsidR="006A3E04">
              <w:rPr>
                <w:iCs/>
                <w:vertAlign w:val="superscript"/>
              </w:rPr>
              <w:t xml:space="preserve"> 7</w:t>
            </w:r>
          </w:p>
        </w:tc>
        <w:tc>
          <w:tcPr>
            <w:tcW w:w="1134" w:type="dxa"/>
            <w:shd w:val="clear" w:color="auto" w:fill="auto"/>
            <w:vAlign w:val="center"/>
          </w:tcPr>
          <w:p w14:paraId="355994AA" w14:textId="45B3392F"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52"/>
                <w14:textFill>
                  <w14:solidFill>
                    <w14:srgbClr w14:val="000000">
                      <w14:alpha w14:val="100000"/>
                    </w14:srgbClr>
                  </w14:solidFill>
                </w14:textFill>
              </w:rPr>
              <w:t xml:space="preserve">　</w:t>
            </w:r>
            <w:r w:rsidR="00AA076A" w:rsidRPr="00AA076A">
              <w:rPr>
                <w:iCs/>
                <w:color w:val="000000"/>
                <w:w w:val="22"/>
                <w:shd w:val="solid" w:color="000000" w:fill="000000"/>
                <w:fitText w:val="100" w:id="-893118452"/>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52"/>
                <w14:textFill>
                  <w14:solidFill>
                    <w14:srgbClr w14:val="000000">
                      <w14:alpha w14:val="100000"/>
                    </w14:srgbClr>
                  </w14:solidFill>
                </w14:textFill>
              </w:rPr>
              <w:t xml:space="preserve">　</w:t>
            </w:r>
            <w:r w:rsidR="006A3E04">
              <w:rPr>
                <w:iCs/>
                <w:vertAlign w:val="superscript"/>
              </w:rPr>
              <w:t xml:space="preserve"> 7</w:t>
            </w:r>
          </w:p>
        </w:tc>
        <w:tc>
          <w:tcPr>
            <w:tcW w:w="1134" w:type="dxa"/>
            <w:shd w:val="clear" w:color="auto" w:fill="auto"/>
            <w:vAlign w:val="center"/>
          </w:tcPr>
          <w:p w14:paraId="48A91DAA" w14:textId="5376560A"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51"/>
                <w14:textFill>
                  <w14:solidFill>
                    <w14:srgbClr w14:val="000000">
                      <w14:alpha w14:val="100000"/>
                    </w14:srgbClr>
                  </w14:solidFill>
                </w14:textFill>
              </w:rPr>
              <w:t xml:space="preserve">　</w:t>
            </w:r>
            <w:r w:rsidR="00AA076A" w:rsidRPr="00AA076A">
              <w:rPr>
                <w:iCs/>
                <w:color w:val="000000"/>
                <w:w w:val="22"/>
                <w:shd w:val="solid" w:color="000000" w:fill="000000"/>
                <w:fitText w:val="100" w:id="-893118451"/>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51"/>
                <w14:textFill>
                  <w14:solidFill>
                    <w14:srgbClr w14:val="000000">
                      <w14:alpha w14:val="100000"/>
                    </w14:srgbClr>
                  </w14:solidFill>
                </w14:textFill>
              </w:rPr>
              <w:t xml:space="preserve">　</w:t>
            </w:r>
            <w:r w:rsidR="006A3E04">
              <w:rPr>
                <w:iCs/>
                <w:vertAlign w:val="superscript"/>
              </w:rPr>
              <w:t xml:space="preserve"> 7</w:t>
            </w:r>
          </w:p>
        </w:tc>
        <w:tc>
          <w:tcPr>
            <w:tcW w:w="1134" w:type="dxa"/>
            <w:shd w:val="clear" w:color="auto" w:fill="auto"/>
            <w:vAlign w:val="center"/>
          </w:tcPr>
          <w:p w14:paraId="1AE3EFC8" w14:textId="7A754898"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50"/>
                <w14:textFill>
                  <w14:solidFill>
                    <w14:srgbClr w14:val="000000">
                      <w14:alpha w14:val="100000"/>
                    </w14:srgbClr>
                  </w14:solidFill>
                </w14:textFill>
              </w:rPr>
              <w:t xml:space="preserve">　</w:t>
            </w:r>
            <w:r w:rsidR="00AA076A" w:rsidRPr="00AA076A">
              <w:rPr>
                <w:iCs/>
                <w:color w:val="000000"/>
                <w:w w:val="22"/>
                <w:shd w:val="solid" w:color="000000" w:fill="000000"/>
                <w:fitText w:val="100" w:id="-893118450"/>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50"/>
                <w14:textFill>
                  <w14:solidFill>
                    <w14:srgbClr w14:val="000000">
                      <w14:alpha w14:val="100000"/>
                    </w14:srgbClr>
                  </w14:solidFill>
                </w14:textFill>
              </w:rPr>
              <w:t xml:space="preserve">　</w:t>
            </w:r>
            <w:r w:rsidR="006A3E04">
              <w:rPr>
                <w:iCs/>
                <w:vertAlign w:val="superscript"/>
              </w:rPr>
              <w:t xml:space="preserve"> 7</w:t>
            </w:r>
          </w:p>
        </w:tc>
      </w:tr>
      <w:tr w:rsidR="008B3A69" w:rsidRPr="0067052A" w14:paraId="747B5D16" w14:textId="77777777" w:rsidTr="00767A5C">
        <w:tc>
          <w:tcPr>
            <w:tcW w:w="2263" w:type="dxa"/>
            <w:shd w:val="clear" w:color="auto" w:fill="auto"/>
            <w:vAlign w:val="center"/>
          </w:tcPr>
          <w:p w14:paraId="062A9A04" w14:textId="77777777" w:rsidR="008B3A69" w:rsidRPr="0067052A" w:rsidRDefault="008B3A69" w:rsidP="00FE7FE7">
            <w:pPr>
              <w:pStyle w:val="COMTabletext"/>
              <w:keepLines/>
              <w:rPr>
                <w:iCs/>
              </w:rPr>
            </w:pPr>
            <w:r w:rsidRPr="0067052A">
              <w:rPr>
                <w:b/>
                <w:iCs/>
              </w:rPr>
              <w:t>Total cost to PBS/MBS</w:t>
            </w:r>
          </w:p>
        </w:tc>
        <w:tc>
          <w:tcPr>
            <w:tcW w:w="1134" w:type="dxa"/>
            <w:shd w:val="clear" w:color="auto" w:fill="auto"/>
            <w:vAlign w:val="center"/>
          </w:tcPr>
          <w:p w14:paraId="2B634680" w14:textId="1ACD3C69"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49"/>
                <w14:textFill>
                  <w14:solidFill>
                    <w14:srgbClr w14:val="000000">
                      <w14:alpha w14:val="100000"/>
                    </w14:srgbClr>
                  </w14:solidFill>
                </w14:textFill>
              </w:rPr>
              <w:t xml:space="preserve">　</w:t>
            </w:r>
            <w:r w:rsidR="00AA076A" w:rsidRPr="00AA076A">
              <w:rPr>
                <w:iCs/>
                <w:color w:val="000000"/>
                <w:w w:val="22"/>
                <w:shd w:val="solid" w:color="000000" w:fill="000000"/>
                <w:fitText w:val="100" w:id="-893118449"/>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49"/>
                <w14:textFill>
                  <w14:solidFill>
                    <w14:srgbClr w14:val="000000">
                      <w14:alpha w14:val="100000"/>
                    </w14:srgbClr>
                  </w14:solidFill>
                </w14:textFill>
              </w:rPr>
              <w:t xml:space="preserve">　</w:t>
            </w:r>
            <w:r w:rsidR="000A309B">
              <w:rPr>
                <w:iCs/>
                <w:vertAlign w:val="superscript"/>
              </w:rPr>
              <w:t xml:space="preserve"> 4</w:t>
            </w:r>
          </w:p>
        </w:tc>
        <w:tc>
          <w:tcPr>
            <w:tcW w:w="1134" w:type="dxa"/>
            <w:shd w:val="clear" w:color="auto" w:fill="auto"/>
            <w:vAlign w:val="center"/>
          </w:tcPr>
          <w:p w14:paraId="1A945513" w14:textId="0E1AD816"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48"/>
                <w14:textFill>
                  <w14:solidFill>
                    <w14:srgbClr w14:val="000000">
                      <w14:alpha w14:val="100000"/>
                    </w14:srgbClr>
                  </w14:solidFill>
                </w14:textFill>
              </w:rPr>
              <w:t xml:space="preserve">　</w:t>
            </w:r>
            <w:r w:rsidR="00AA076A" w:rsidRPr="00AA076A">
              <w:rPr>
                <w:iCs/>
                <w:color w:val="000000"/>
                <w:w w:val="22"/>
                <w:shd w:val="solid" w:color="000000" w:fill="000000"/>
                <w:fitText w:val="100" w:id="-893118448"/>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48"/>
                <w14:textFill>
                  <w14:solidFill>
                    <w14:srgbClr w14:val="000000">
                      <w14:alpha w14:val="100000"/>
                    </w14:srgbClr>
                  </w14:solidFill>
                </w14:textFill>
              </w:rPr>
              <w:t xml:space="preserve">　</w:t>
            </w:r>
            <w:r w:rsidR="000A309B">
              <w:rPr>
                <w:iCs/>
                <w:vertAlign w:val="superscript"/>
              </w:rPr>
              <w:t xml:space="preserve"> 5</w:t>
            </w:r>
          </w:p>
        </w:tc>
        <w:tc>
          <w:tcPr>
            <w:tcW w:w="1134" w:type="dxa"/>
            <w:shd w:val="clear" w:color="auto" w:fill="auto"/>
            <w:vAlign w:val="center"/>
          </w:tcPr>
          <w:p w14:paraId="479072B3" w14:textId="12484691"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64"/>
                <w14:textFill>
                  <w14:solidFill>
                    <w14:srgbClr w14:val="000000">
                      <w14:alpha w14:val="100000"/>
                    </w14:srgbClr>
                  </w14:solidFill>
                </w14:textFill>
              </w:rPr>
              <w:t xml:space="preserve">　</w:t>
            </w:r>
            <w:r w:rsidR="00AA076A" w:rsidRPr="00AA076A">
              <w:rPr>
                <w:iCs/>
                <w:color w:val="000000"/>
                <w:w w:val="22"/>
                <w:shd w:val="solid" w:color="000000" w:fill="000000"/>
                <w:fitText w:val="100" w:id="-893118464"/>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64"/>
                <w14:textFill>
                  <w14:solidFill>
                    <w14:srgbClr w14:val="000000">
                      <w14:alpha w14:val="100000"/>
                    </w14:srgbClr>
                  </w14:solidFill>
                </w14:textFill>
              </w:rPr>
              <w:t xml:space="preserve">　</w:t>
            </w:r>
            <w:r w:rsidR="006A3E04">
              <w:rPr>
                <w:iCs/>
                <w:vertAlign w:val="superscript"/>
              </w:rPr>
              <w:t xml:space="preserve"> 6</w:t>
            </w:r>
          </w:p>
        </w:tc>
        <w:tc>
          <w:tcPr>
            <w:tcW w:w="1134" w:type="dxa"/>
            <w:shd w:val="clear" w:color="auto" w:fill="auto"/>
            <w:vAlign w:val="center"/>
          </w:tcPr>
          <w:p w14:paraId="0B8D0ABB" w14:textId="5A6B2B78"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63"/>
                <w14:textFill>
                  <w14:solidFill>
                    <w14:srgbClr w14:val="000000">
                      <w14:alpha w14:val="100000"/>
                    </w14:srgbClr>
                  </w14:solidFill>
                </w14:textFill>
              </w:rPr>
              <w:t xml:space="preserve">　</w:t>
            </w:r>
            <w:r w:rsidR="00AA076A" w:rsidRPr="00AA076A">
              <w:rPr>
                <w:iCs/>
                <w:color w:val="000000"/>
                <w:w w:val="22"/>
                <w:shd w:val="solid" w:color="000000" w:fill="000000"/>
                <w:fitText w:val="100" w:id="-893118463"/>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63"/>
                <w14:textFill>
                  <w14:solidFill>
                    <w14:srgbClr w14:val="000000">
                      <w14:alpha w14:val="100000"/>
                    </w14:srgbClr>
                  </w14:solidFill>
                </w14:textFill>
              </w:rPr>
              <w:t xml:space="preserve">　</w:t>
            </w:r>
            <w:r w:rsidR="006A3E04">
              <w:rPr>
                <w:iCs/>
                <w:vertAlign w:val="superscript"/>
              </w:rPr>
              <w:t xml:space="preserve"> 6</w:t>
            </w:r>
          </w:p>
        </w:tc>
        <w:tc>
          <w:tcPr>
            <w:tcW w:w="1134" w:type="dxa"/>
            <w:shd w:val="clear" w:color="auto" w:fill="auto"/>
            <w:vAlign w:val="center"/>
          </w:tcPr>
          <w:p w14:paraId="3CE16946" w14:textId="5715F1AC"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62"/>
                <w14:textFill>
                  <w14:solidFill>
                    <w14:srgbClr w14:val="000000">
                      <w14:alpha w14:val="100000"/>
                    </w14:srgbClr>
                  </w14:solidFill>
                </w14:textFill>
              </w:rPr>
              <w:t xml:space="preserve">　</w:t>
            </w:r>
            <w:r w:rsidR="00AA076A" w:rsidRPr="00AA076A">
              <w:rPr>
                <w:iCs/>
                <w:color w:val="000000"/>
                <w:w w:val="22"/>
                <w:shd w:val="solid" w:color="000000" w:fill="000000"/>
                <w:fitText w:val="100" w:id="-893118462"/>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62"/>
                <w14:textFill>
                  <w14:solidFill>
                    <w14:srgbClr w14:val="000000">
                      <w14:alpha w14:val="100000"/>
                    </w14:srgbClr>
                  </w14:solidFill>
                </w14:textFill>
              </w:rPr>
              <w:t xml:space="preserve">　</w:t>
            </w:r>
            <w:r w:rsidR="006A3E04">
              <w:rPr>
                <w:iCs/>
                <w:vertAlign w:val="superscript"/>
              </w:rPr>
              <w:t xml:space="preserve"> 6</w:t>
            </w:r>
          </w:p>
        </w:tc>
        <w:tc>
          <w:tcPr>
            <w:tcW w:w="1134" w:type="dxa"/>
            <w:shd w:val="clear" w:color="auto" w:fill="auto"/>
            <w:vAlign w:val="center"/>
          </w:tcPr>
          <w:p w14:paraId="2E9064E4" w14:textId="63FA9580" w:rsidR="008B3A69" w:rsidRPr="0067052A" w:rsidRDefault="008B3A69" w:rsidP="00FE7FE7">
            <w:pPr>
              <w:pStyle w:val="COMTabletext"/>
              <w:keepLines/>
              <w:jc w:val="center"/>
              <w:rPr>
                <w:iCs/>
              </w:rPr>
            </w:pPr>
            <w:r w:rsidRPr="0067052A">
              <w:rPr>
                <w:iCs/>
              </w:rPr>
              <w:t>$</w:t>
            </w:r>
            <w:r w:rsidR="00AA076A" w:rsidRPr="00AA076A">
              <w:rPr>
                <w:rFonts w:hint="eastAsia"/>
                <w:iCs/>
                <w:color w:val="000000"/>
                <w:w w:val="22"/>
                <w:shd w:val="solid" w:color="000000" w:fill="000000"/>
                <w:fitText w:val="100" w:id="-893118461"/>
                <w14:textFill>
                  <w14:solidFill>
                    <w14:srgbClr w14:val="000000">
                      <w14:alpha w14:val="100000"/>
                    </w14:srgbClr>
                  </w14:solidFill>
                </w14:textFill>
              </w:rPr>
              <w:t xml:space="preserve">　</w:t>
            </w:r>
            <w:r w:rsidR="00AA076A" w:rsidRPr="00AA076A">
              <w:rPr>
                <w:iCs/>
                <w:color w:val="000000"/>
                <w:w w:val="22"/>
                <w:shd w:val="solid" w:color="000000" w:fill="000000"/>
                <w:fitText w:val="100" w:id="-893118461"/>
                <w14:textFill>
                  <w14:solidFill>
                    <w14:srgbClr w14:val="000000">
                      <w14:alpha w14:val="100000"/>
                    </w14:srgbClr>
                  </w14:solidFill>
                </w14:textFill>
              </w:rPr>
              <w:t>|</w:t>
            </w:r>
            <w:r w:rsidR="00AA076A" w:rsidRPr="00AA076A">
              <w:rPr>
                <w:rFonts w:hint="eastAsia"/>
                <w:iCs/>
                <w:color w:val="000000"/>
                <w:spacing w:val="3"/>
                <w:w w:val="22"/>
                <w:shd w:val="solid" w:color="000000" w:fill="000000"/>
                <w:fitText w:val="100" w:id="-893118461"/>
                <w14:textFill>
                  <w14:solidFill>
                    <w14:srgbClr w14:val="000000">
                      <w14:alpha w14:val="100000"/>
                    </w14:srgbClr>
                  </w14:solidFill>
                </w14:textFill>
              </w:rPr>
              <w:t xml:space="preserve">　</w:t>
            </w:r>
            <w:r w:rsidR="006A3E04">
              <w:rPr>
                <w:iCs/>
                <w:vertAlign w:val="superscript"/>
              </w:rPr>
              <w:t xml:space="preserve"> 6</w:t>
            </w:r>
          </w:p>
        </w:tc>
      </w:tr>
    </w:tbl>
    <w:p w14:paraId="3BAF022A" w14:textId="77777777" w:rsidR="008B3A69" w:rsidRPr="0067052A" w:rsidRDefault="008B3A69" w:rsidP="00FE7FE7">
      <w:pPr>
        <w:pStyle w:val="COMTablefooter"/>
        <w:keepNext/>
        <w:keepLines/>
        <w:rPr>
          <w:iCs/>
        </w:rPr>
      </w:pPr>
      <w:r w:rsidRPr="0067052A">
        <w:rPr>
          <w:iCs/>
        </w:rPr>
        <w:t>Source: Table 4-6, p155; Table 4-7, p157; Table 4-12, p161; Table 4-15, p164 of the submission; ‘Attachment 8 Financial utilisation model’ spreadsheet provided with the submission.</w:t>
      </w:r>
    </w:p>
    <w:p w14:paraId="43F2D1C2" w14:textId="77777777" w:rsidR="008B3A69" w:rsidRPr="0067052A" w:rsidRDefault="008B3A69" w:rsidP="00FE7FE7">
      <w:pPr>
        <w:pStyle w:val="COMTablefooter"/>
        <w:keepNext/>
        <w:keepLines/>
        <w:rPr>
          <w:iCs/>
        </w:rPr>
      </w:pPr>
      <w:r w:rsidRPr="0067052A">
        <w:rPr>
          <w:iCs/>
        </w:rPr>
        <w:t>Note: An error in the calculation of MBS costs (the number of administrations for continuing patients was applied to grandfathered patients) was corrected during the evaluation.</w:t>
      </w:r>
    </w:p>
    <w:p w14:paraId="5565EAC6" w14:textId="1C50BF3E" w:rsidR="008B3A69" w:rsidRPr="00250A3D" w:rsidRDefault="008B3A69" w:rsidP="00FE7FE7">
      <w:pPr>
        <w:pStyle w:val="COMTablefooter"/>
        <w:keepNext/>
        <w:keepLines/>
      </w:pPr>
      <w:r w:rsidRPr="00250A3D">
        <w:rPr>
          <w:vertAlign w:val="superscript"/>
        </w:rPr>
        <w:t xml:space="preserve">a </w:t>
      </w:r>
      <w:r w:rsidRPr="00250A3D">
        <w:t xml:space="preserve">Includes </w:t>
      </w:r>
      <w:r w:rsidR="000A309B">
        <w:t>&lt; 500</w:t>
      </w:r>
      <w:r w:rsidR="000A309B" w:rsidRPr="00250A3D">
        <w:t xml:space="preserve"> </w:t>
      </w:r>
      <w:r w:rsidRPr="00250A3D">
        <w:t>grandfathered patients who received initial treatment as part of an early access program and met the response continuation criterion.</w:t>
      </w:r>
    </w:p>
    <w:p w14:paraId="41EC8BF7" w14:textId="77777777" w:rsidR="008B3A69" w:rsidRPr="00250A3D" w:rsidRDefault="008B3A69" w:rsidP="00FE7FE7">
      <w:pPr>
        <w:pStyle w:val="COMTablefooter"/>
        <w:keepNext/>
        <w:keepLines/>
      </w:pPr>
      <w:r w:rsidRPr="00250A3D">
        <w:rPr>
          <w:vertAlign w:val="superscript"/>
        </w:rPr>
        <w:t xml:space="preserve">b </w:t>
      </w:r>
      <w:r w:rsidRPr="00250A3D">
        <w:t>8 scripts per initiating patient (4 scripts of 300 mg dose; 4 scripts of 1,100 mg dose); adjusted for 91.7% adherence.</w:t>
      </w:r>
    </w:p>
    <w:p w14:paraId="2AC25AFF" w14:textId="77777777" w:rsidR="008B3A69" w:rsidRPr="00250A3D" w:rsidRDefault="008B3A69" w:rsidP="00FE7FE7">
      <w:pPr>
        <w:pStyle w:val="COMTablefooter"/>
        <w:keepNext/>
        <w:keepLines/>
      </w:pPr>
      <w:r w:rsidRPr="00250A3D">
        <w:rPr>
          <w:vertAlign w:val="superscript"/>
        </w:rPr>
        <w:t xml:space="preserve">c </w:t>
      </w:r>
      <w:r w:rsidRPr="00250A3D">
        <w:t>Includes 8 scripts per responding patient in their 1st year of treatment (4 scripts of 300 mg dose; 4 scripts of 1,100 mg dose); 12 scripts per responding patient in their 2nd year of treatment (6 scripts of 300 mg dose; 6 scripts of 1,100 mg dose); 12 scripts per grandfathered patient in their 1st year of treatment (6 scripts of 300 mg dose; 6 scripts of 1,100 mg dose); 8 scripts per grandfathered patient in their 2nd year of treatment (4 scripts of 300 mg dose; 4 scripts of 1,100 mg dose); adjusted for 91.7% adherence.</w:t>
      </w:r>
    </w:p>
    <w:p w14:paraId="7D29C16C" w14:textId="77777777" w:rsidR="008B3A69" w:rsidRDefault="008B3A69" w:rsidP="00FE7FE7">
      <w:pPr>
        <w:pStyle w:val="COMTablefooter"/>
        <w:keepNext/>
        <w:keepLines/>
        <w:spacing w:after="0"/>
      </w:pPr>
      <w:r w:rsidRPr="00250A3D">
        <w:rPr>
          <w:vertAlign w:val="superscript"/>
        </w:rPr>
        <w:t xml:space="preserve">d </w:t>
      </w:r>
      <w:r w:rsidRPr="00250A3D">
        <w:t>Administration costs for ravulizumab, based on the cost of a subsequent specialist consultation ($47.80; 80% of the fee for MBS item 105), applied to the number of doses per year.</w:t>
      </w:r>
    </w:p>
    <w:p w14:paraId="0C051848" w14:textId="77777777" w:rsidR="00E94AE0" w:rsidRPr="009A6D58" w:rsidRDefault="00E94AE0" w:rsidP="00FE7FE7">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A812F44" w14:textId="0621568D" w:rsidR="00E94AE0" w:rsidRPr="009A6D58" w:rsidRDefault="00E94AE0" w:rsidP="00FE7FE7">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5C1D11" w:rsidRPr="005C1D11">
        <w:rPr>
          <w:rFonts w:ascii="Arial Narrow" w:hAnsi="Arial Narrow"/>
          <w:i/>
          <w:sz w:val="18"/>
          <w:szCs w:val="18"/>
        </w:rPr>
        <w:t>&lt; 500</w:t>
      </w:r>
    </w:p>
    <w:p w14:paraId="08FF0485" w14:textId="2F60AD61" w:rsidR="00E94AE0" w:rsidRPr="009A6D58" w:rsidRDefault="00E94AE0" w:rsidP="00FE7FE7">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6235D9" w:rsidRPr="006235D9">
        <w:rPr>
          <w:rFonts w:ascii="Arial Narrow" w:hAnsi="Arial Narrow"/>
          <w:i/>
          <w:sz w:val="18"/>
          <w:szCs w:val="18"/>
        </w:rPr>
        <w:t>500 to &lt; 5,000</w:t>
      </w:r>
    </w:p>
    <w:p w14:paraId="3A5D1A5D" w14:textId="67BAC28B" w:rsidR="00E94AE0" w:rsidRDefault="00E94AE0" w:rsidP="00FE7FE7">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E06C57" w:rsidRPr="00E06C57">
        <w:rPr>
          <w:rFonts w:ascii="Arial Narrow" w:hAnsi="Arial Narrow"/>
          <w:i/>
          <w:sz w:val="18"/>
          <w:szCs w:val="18"/>
        </w:rPr>
        <w:t>5,000 to &lt; 10,000</w:t>
      </w:r>
    </w:p>
    <w:p w14:paraId="20C93688" w14:textId="6969DE7D" w:rsidR="00E94AE0" w:rsidRDefault="00E94AE0" w:rsidP="00FE7FE7">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8F7EC2" w:rsidRPr="008F7EC2">
        <w:rPr>
          <w:rFonts w:ascii="Arial Narrow" w:hAnsi="Arial Narrow"/>
          <w:i/>
          <w:sz w:val="18"/>
          <w:szCs w:val="18"/>
        </w:rPr>
        <w:t>$40 million to &lt; $50 million</w:t>
      </w:r>
    </w:p>
    <w:p w14:paraId="623DC397" w14:textId="2D1D7D88" w:rsidR="00E94AE0" w:rsidRDefault="00E94AE0" w:rsidP="00FE7FE7">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8D0B33" w:rsidRPr="008D0B33">
        <w:rPr>
          <w:rFonts w:ascii="Arial Narrow" w:hAnsi="Arial Narrow"/>
          <w:i/>
          <w:sz w:val="18"/>
          <w:szCs w:val="18"/>
        </w:rPr>
        <w:t>$90 million to &lt; $100 million</w:t>
      </w:r>
    </w:p>
    <w:p w14:paraId="76855CEE" w14:textId="639D4977" w:rsidR="00E94AE0" w:rsidRDefault="00E94AE0" w:rsidP="00FE7FE7">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B948CA" w:rsidRPr="00B948CA">
        <w:rPr>
          <w:rFonts w:ascii="Arial Narrow" w:hAnsi="Arial Narrow"/>
          <w:i/>
          <w:sz w:val="18"/>
          <w:szCs w:val="18"/>
        </w:rPr>
        <w:t>$100 million to &lt; $200 million</w:t>
      </w:r>
    </w:p>
    <w:p w14:paraId="08CD3174" w14:textId="60C56CD6" w:rsidR="00E94AE0" w:rsidRPr="00E94AE0" w:rsidRDefault="00E94AE0" w:rsidP="00FE7FE7">
      <w:pPr>
        <w:keepNext/>
        <w:keepLines/>
        <w:spacing w:after="120"/>
      </w:pPr>
      <w:r>
        <w:rPr>
          <w:rFonts w:ascii="Arial Narrow" w:hAnsi="Arial Narrow"/>
          <w:i/>
          <w:sz w:val="18"/>
          <w:szCs w:val="18"/>
          <w:vertAlign w:val="superscript"/>
        </w:rPr>
        <w:t>7</w:t>
      </w:r>
      <w:r>
        <w:rPr>
          <w:rFonts w:ascii="Arial Narrow" w:hAnsi="Arial Narrow"/>
          <w:i/>
          <w:sz w:val="18"/>
          <w:szCs w:val="18"/>
        </w:rPr>
        <w:t xml:space="preserve"> </w:t>
      </w:r>
      <w:r w:rsidR="00155521" w:rsidRPr="00155521">
        <w:rPr>
          <w:rFonts w:ascii="Arial Narrow" w:hAnsi="Arial Narrow"/>
          <w:i/>
          <w:sz w:val="18"/>
          <w:szCs w:val="18"/>
        </w:rPr>
        <w:t>$0 to &lt; $10 million</w:t>
      </w:r>
    </w:p>
    <w:p w14:paraId="45EE55CD" w14:textId="7CCC6B52" w:rsidR="008B3A69" w:rsidRPr="00250A3D" w:rsidRDefault="008B3A69" w:rsidP="00BE772A">
      <w:pPr>
        <w:pStyle w:val="COMexecsumnumberedpara"/>
        <w:numPr>
          <w:ilvl w:val="1"/>
          <w:numId w:val="1"/>
        </w:numPr>
      </w:pPr>
      <w:r w:rsidRPr="00250A3D">
        <w:t xml:space="preserve">The total cost to the PBS of listing ravulizumab for </w:t>
      </w:r>
      <w:r w:rsidR="0067052A">
        <w:t>gMG</w:t>
      </w:r>
      <w:r w:rsidRPr="00250A3D">
        <w:t xml:space="preserve"> was estimated to be </w:t>
      </w:r>
      <w:bookmarkStart w:id="69" w:name="_Hlk113629074"/>
      <w:r w:rsidR="00BE772A" w:rsidRPr="00BE772A">
        <w:t>$40 million to &lt; $50 million</w:t>
      </w:r>
      <w:bookmarkEnd w:id="69"/>
      <w:r w:rsidRPr="00250A3D">
        <w:t xml:space="preserve"> in Year 1, increasing to </w:t>
      </w:r>
      <w:r w:rsidR="006B6224" w:rsidRPr="006B6224">
        <w:t>$100 million to &lt; $200 million</w:t>
      </w:r>
      <w:r w:rsidR="006B6224" w:rsidRPr="006B6224" w:rsidDel="006B6224">
        <w:t xml:space="preserve"> </w:t>
      </w:r>
      <w:r w:rsidRPr="00250A3D">
        <w:t xml:space="preserve">in Year 6; a total of </w:t>
      </w:r>
      <w:r w:rsidR="002438E7" w:rsidRPr="002438E7">
        <w:t>$600 million to &lt; $700 million</w:t>
      </w:r>
      <w:r w:rsidR="002438E7" w:rsidRPr="002438E7" w:rsidDel="002438E7">
        <w:t xml:space="preserve"> </w:t>
      </w:r>
      <w:r w:rsidRPr="00250A3D">
        <w:t>in the first 6 years of listing</w:t>
      </w:r>
      <w:r w:rsidRPr="00BE772A">
        <w:rPr>
          <w:color w:val="3366FF"/>
        </w:rPr>
        <w:t>.</w:t>
      </w:r>
    </w:p>
    <w:p w14:paraId="2801070C" w14:textId="75C97196" w:rsidR="008B3A69" w:rsidRPr="0067052A" w:rsidRDefault="008B3A69" w:rsidP="0067052A">
      <w:pPr>
        <w:pStyle w:val="COMexecsumnumberedpara"/>
        <w:numPr>
          <w:ilvl w:val="1"/>
          <w:numId w:val="1"/>
        </w:numPr>
      </w:pPr>
      <w:bookmarkStart w:id="70" w:name="_Ref174256348"/>
      <w:r w:rsidRPr="0067052A">
        <w:t>DUSC consider</w:t>
      </w:r>
      <w:r w:rsidR="0067052A">
        <w:t xml:space="preserve">ed that </w:t>
      </w:r>
      <w:r w:rsidRPr="0067052A">
        <w:t xml:space="preserve">the </w:t>
      </w:r>
      <w:r w:rsidR="0067052A">
        <w:t xml:space="preserve">financial </w:t>
      </w:r>
      <w:r w:rsidRPr="0067052A">
        <w:t xml:space="preserve">estimates presented in the submission </w:t>
      </w:r>
      <w:r w:rsidR="0067052A">
        <w:t>were</w:t>
      </w:r>
      <w:r w:rsidRPr="0067052A">
        <w:t xml:space="preserve"> uncertain and underestimated. The </w:t>
      </w:r>
      <w:r w:rsidR="00937175">
        <w:t xml:space="preserve">DUSC considered the </w:t>
      </w:r>
      <w:r w:rsidRPr="0067052A">
        <w:t xml:space="preserve">main issues </w:t>
      </w:r>
      <w:r w:rsidR="0067052A">
        <w:t>we</w:t>
      </w:r>
      <w:r w:rsidRPr="0067052A">
        <w:t>re:</w:t>
      </w:r>
      <w:bookmarkEnd w:id="70"/>
    </w:p>
    <w:p w14:paraId="4DAE8E04" w14:textId="059F416A" w:rsidR="002846D4" w:rsidRPr="00477BBC" w:rsidRDefault="008B3A69" w:rsidP="00477BBC">
      <w:pPr>
        <w:pStyle w:val="COMexecsummbulletlist"/>
        <w:ind w:left="1134"/>
        <w:rPr>
          <w:rFonts w:eastAsia="SimSun"/>
          <w:b/>
        </w:rPr>
      </w:pPr>
      <w:r w:rsidRPr="00477BBC">
        <w:rPr>
          <w:rFonts w:eastAsia="SimSun"/>
          <w:bCs/>
        </w:rPr>
        <w:t xml:space="preserve">there was uncertainty in the estimates of the prevalence of </w:t>
      </w:r>
      <w:r w:rsidRPr="00477BBC">
        <w:t>myasthenia gravis and the proportion of myasthenia gravis patients with gMG due to the method in deriving the prevalent population and the range of estimates for the proportion with gMG</w:t>
      </w:r>
      <w:r w:rsidRPr="00477BBC">
        <w:rPr>
          <w:rFonts w:eastAsia="SimSun"/>
          <w:bCs/>
        </w:rPr>
        <w:t>.</w:t>
      </w:r>
      <w:r w:rsidR="002846D4" w:rsidRPr="00477BBC">
        <w:rPr>
          <w:rFonts w:eastAsia="SimSun"/>
          <w:bCs/>
        </w:rPr>
        <w:t xml:space="preserve"> </w:t>
      </w:r>
    </w:p>
    <w:p w14:paraId="2743AFB9" w14:textId="2F9E44F0" w:rsidR="008B3A69" w:rsidRPr="002846D4" w:rsidRDefault="002846D4" w:rsidP="007744B7">
      <w:pPr>
        <w:pStyle w:val="COMexecsummbulletlist"/>
        <w:ind w:left="1134"/>
        <w:rPr>
          <w:rFonts w:eastAsia="SimSun"/>
          <w:bCs/>
        </w:rPr>
      </w:pPr>
      <w:r w:rsidRPr="002846D4">
        <w:rPr>
          <w:rFonts w:eastAsia="SimSun"/>
          <w:bCs/>
        </w:rPr>
        <w:t xml:space="preserve">the prevalence of myasthenia gravis may be underestimated </w:t>
      </w:r>
      <w:r>
        <w:rPr>
          <w:rFonts w:eastAsia="SimSun"/>
          <w:bCs/>
        </w:rPr>
        <w:t xml:space="preserve">as it was </w:t>
      </w:r>
      <w:r w:rsidRPr="002846D4">
        <w:t>based on the use of pyridostigmine on the PBS</w:t>
      </w:r>
      <w:r w:rsidRPr="002846D4">
        <w:rPr>
          <w:rFonts w:eastAsia="SimSun"/>
          <w:bCs/>
        </w:rPr>
        <w:t xml:space="preserve"> though not all treated patients will be treated with pyridostigmine</w:t>
      </w:r>
      <w:r w:rsidR="007744B7">
        <w:rPr>
          <w:rFonts w:eastAsia="SimSun"/>
          <w:bCs/>
        </w:rPr>
        <w:t>.</w:t>
      </w:r>
      <w:r w:rsidRPr="002846D4">
        <w:rPr>
          <w:rFonts w:eastAsia="SimSun"/>
          <w:bCs/>
        </w:rPr>
        <w:t xml:space="preserve"> </w:t>
      </w:r>
    </w:p>
    <w:p w14:paraId="53EA76CD" w14:textId="65C78300" w:rsidR="002846D4" w:rsidRPr="002846D4" w:rsidRDefault="002846D4" w:rsidP="00477BBC">
      <w:pPr>
        <w:pStyle w:val="COMexecsummbulletlist"/>
        <w:ind w:left="1134"/>
        <w:rPr>
          <w:rFonts w:eastAsia="SimSun"/>
        </w:rPr>
      </w:pPr>
      <w:r w:rsidRPr="002846D4">
        <w:rPr>
          <w:rFonts w:eastAsia="SimSun"/>
        </w:rPr>
        <w:t>the submission inappropriately assumed a constant prevalence over time, which was inconsistent with data from the commissioned analysis indicating increasing prevalence</w:t>
      </w:r>
      <w:r w:rsidR="007744B7">
        <w:rPr>
          <w:rFonts w:eastAsia="SimSun"/>
        </w:rPr>
        <w:t>.</w:t>
      </w:r>
    </w:p>
    <w:p w14:paraId="6AB926CB" w14:textId="4E7DFF52" w:rsidR="008B3A69" w:rsidRPr="008A0747" w:rsidRDefault="008B3A69" w:rsidP="00477BBC">
      <w:pPr>
        <w:pStyle w:val="COMexecsummbulletlist"/>
        <w:ind w:left="1134"/>
        <w:rPr>
          <w:rFonts w:eastAsia="SimSun"/>
          <w:b/>
        </w:rPr>
      </w:pPr>
      <w:r w:rsidRPr="008A0747">
        <w:t xml:space="preserve">the proportion of patients with the relevant functional impairment </w:t>
      </w:r>
      <w:r w:rsidR="00937175">
        <w:t>were</w:t>
      </w:r>
      <w:r w:rsidRPr="008A0747">
        <w:t xml:space="preserve"> an underestimate due to the subjective nature of the measuring instrument </w:t>
      </w:r>
      <w:r w:rsidR="002846D4">
        <w:t>(MG-ADL)</w:t>
      </w:r>
      <w:r w:rsidR="002846D4" w:rsidRPr="008A0747">
        <w:t xml:space="preserve"> as it only incorporates patient subjective </w:t>
      </w:r>
      <w:r w:rsidR="002846D4" w:rsidRPr="00477BBC">
        <w:rPr>
          <w:rFonts w:eastAsia="SimSun"/>
        </w:rPr>
        <w:t>assessment</w:t>
      </w:r>
      <w:r w:rsidR="002846D4" w:rsidRPr="008A0747">
        <w:t xml:space="preserve"> of their functional impairment</w:t>
      </w:r>
      <w:r w:rsidR="007744B7">
        <w:t>.</w:t>
      </w:r>
    </w:p>
    <w:p w14:paraId="5C122ABD" w14:textId="2BBC3203" w:rsidR="008B3A69" w:rsidRPr="008A0747" w:rsidRDefault="008B3A69" w:rsidP="00477BBC">
      <w:pPr>
        <w:pStyle w:val="COMexecsummbulletlist"/>
        <w:ind w:left="1134"/>
        <w:rPr>
          <w:rFonts w:eastAsia="SimSun"/>
          <w:bCs/>
        </w:rPr>
      </w:pPr>
      <w:r w:rsidRPr="008A0747">
        <w:rPr>
          <w:bCs/>
        </w:rPr>
        <w:t xml:space="preserve">the uptake rate </w:t>
      </w:r>
      <w:r w:rsidR="00937175">
        <w:rPr>
          <w:bCs/>
        </w:rPr>
        <w:t>wa</w:t>
      </w:r>
      <w:r w:rsidRPr="008A0747">
        <w:rPr>
          <w:bCs/>
        </w:rPr>
        <w:t xml:space="preserve">s uncertain and </w:t>
      </w:r>
      <w:r w:rsidR="00937175">
        <w:rPr>
          <w:bCs/>
        </w:rPr>
        <w:t>wa</w:t>
      </w:r>
      <w:r w:rsidRPr="008A0747">
        <w:rPr>
          <w:bCs/>
        </w:rPr>
        <w:t xml:space="preserve">s probably an underestimate due to </w:t>
      </w:r>
      <w:r w:rsidRPr="008A0747">
        <w:t xml:space="preserve">the unmet clinical need, </w:t>
      </w:r>
      <w:r w:rsidRPr="008A0747">
        <w:rPr>
          <w:bCs/>
        </w:rPr>
        <w:t xml:space="preserve">uncertainty of </w:t>
      </w:r>
      <w:r w:rsidRPr="008A0747">
        <w:t xml:space="preserve">ravulizumab’s place in therapy, and the subjective nature of the </w:t>
      </w:r>
      <w:r w:rsidR="0067052A" w:rsidRPr="008A0747">
        <w:t>MG-ADL</w:t>
      </w:r>
      <w:r w:rsidRPr="008A0747">
        <w:t xml:space="preserve"> instrument.</w:t>
      </w:r>
    </w:p>
    <w:p w14:paraId="3FFE6B34" w14:textId="6DD771C2" w:rsidR="008B3A69" w:rsidRPr="008A0747" w:rsidRDefault="008B3A69" w:rsidP="00477BBC">
      <w:pPr>
        <w:pStyle w:val="COMexecsummbulletlist"/>
        <w:ind w:left="1134"/>
        <w:rPr>
          <w:rFonts w:eastAsia="SimSun"/>
          <w:b/>
        </w:rPr>
      </w:pPr>
      <w:r w:rsidRPr="008A0747">
        <w:t>there was uncertainty in duration of therapy and in treatment continuation beyond the time when a patient has likely achieved an appropriate level of immunosuppression with steroids or immunomodulatory therapy. DUSC considered that the 18-24 months stated in the submission to achieve adequate immunosuppression was unsupported and likely overestimated.</w:t>
      </w:r>
    </w:p>
    <w:p w14:paraId="14CDC6F6" w14:textId="7D34030E" w:rsidR="002846D4" w:rsidRPr="00F1105A" w:rsidRDefault="008B3A69" w:rsidP="00477BBC">
      <w:pPr>
        <w:pStyle w:val="COMexecsummbulletlist"/>
        <w:ind w:left="1134"/>
        <w:rPr>
          <w:rFonts w:eastAsia="SimSun"/>
          <w:b/>
        </w:rPr>
      </w:pPr>
      <w:r w:rsidRPr="00F1105A">
        <w:rPr>
          <w:rFonts w:eastAsia="SimSun"/>
          <w:bCs/>
        </w:rPr>
        <w:t>there was uncertainty in relation to treatment cessation after the patient becomes stable or does not show adequate symptom control</w:t>
      </w:r>
      <w:r w:rsidR="002846D4" w:rsidRPr="00F1105A">
        <w:rPr>
          <w:rFonts w:eastAsia="SimSun"/>
          <w:bCs/>
        </w:rPr>
        <w:t xml:space="preserve"> and that </w:t>
      </w:r>
      <w:r w:rsidRPr="00F1105A">
        <w:rPr>
          <w:rFonts w:eastAsia="SimSun"/>
          <w:bCs/>
        </w:rPr>
        <w:t>a stopping rule should be included in the restriction.</w:t>
      </w:r>
      <w:r w:rsidR="002846D4" w:rsidRPr="00F1105A">
        <w:rPr>
          <w:rFonts w:eastAsia="SimSun"/>
          <w:bCs/>
        </w:rPr>
        <w:t xml:space="preserve"> </w:t>
      </w:r>
    </w:p>
    <w:p w14:paraId="7FF4FA67" w14:textId="77777777" w:rsidR="00F1105A" w:rsidRPr="00F1105A" w:rsidRDefault="00F1105A" w:rsidP="00F1105A">
      <w:pPr>
        <w:pStyle w:val="COMexecsumnumberedpara"/>
      </w:pPr>
      <w:r w:rsidRPr="00F1105A">
        <w:t>The evaluation considered the assumption that patients receive a maximum of 2 years of ravulizumab (at which point they are assumed to be in remission and no longer require ravulizumab treatment) was inadequately justified. The available clinical data are limited to 60 weeks of ongoing therapy with no evidence that ravulizumab can achieve clinical remission without ongoing treatment. The optimal duration of ravulizumab therapy for generalised myasthenia gravis is currently unknown.</w:t>
      </w:r>
    </w:p>
    <w:p w14:paraId="2238DEE9" w14:textId="2CAFEA44" w:rsidR="00576972" w:rsidRPr="008B3A69" w:rsidRDefault="00576972" w:rsidP="00606FBA">
      <w:pPr>
        <w:pStyle w:val="COMH2-non-numbered"/>
        <w:rPr>
          <w:iCs/>
        </w:rPr>
      </w:pPr>
      <w:bookmarkStart w:id="71" w:name="_Toc22897648"/>
      <w:bookmarkStart w:id="72" w:name="_Toc156986109"/>
      <w:r w:rsidRPr="008B3A69">
        <w:rPr>
          <w:iCs/>
        </w:rPr>
        <w:t>Quality Use of Medicines</w:t>
      </w:r>
      <w:bookmarkEnd w:id="71"/>
      <w:bookmarkEnd w:id="72"/>
    </w:p>
    <w:p w14:paraId="7799560C" w14:textId="39EEE28A" w:rsidR="00B05606" w:rsidRPr="0067052A" w:rsidRDefault="00B05606" w:rsidP="00B05606">
      <w:pPr>
        <w:pStyle w:val="COMexecsumnumberedpara"/>
      </w:pPr>
      <w:r w:rsidRPr="008B3A69">
        <w:t>The submission detailed the implementation of risk minimisation measures, including targeted education materials, controlled distribution in Australia, and annual meningococcal vaccination reminder</w:t>
      </w:r>
      <w:r w:rsidR="009E0C29" w:rsidRPr="008B3A69">
        <w:t>s</w:t>
      </w:r>
      <w:r w:rsidRPr="008B3A69">
        <w:t xml:space="preserve">, to be managed via a digital risk minimisation platform. The sponsor will require a completed certificate of vaccination </w:t>
      </w:r>
      <w:r w:rsidRPr="0067052A">
        <w:t xml:space="preserve">against </w:t>
      </w:r>
      <w:r w:rsidRPr="00EA0B68">
        <w:rPr>
          <w:i/>
          <w:iCs/>
        </w:rPr>
        <w:t>N. meningitides</w:t>
      </w:r>
      <w:r w:rsidRPr="0067052A">
        <w:t xml:space="preserve"> and/or treatment with prophylactic antibiotics to allow distribution to occur.</w:t>
      </w:r>
      <w:r w:rsidR="008B3A69" w:rsidRPr="0067052A">
        <w:t xml:space="preserve"> </w:t>
      </w:r>
    </w:p>
    <w:p w14:paraId="4C3BD4FF" w14:textId="77777777" w:rsidR="008B3A69" w:rsidRPr="0067052A" w:rsidRDefault="008B3A69" w:rsidP="008B3A69">
      <w:pPr>
        <w:pStyle w:val="COMexecsumnumberedpara"/>
      </w:pPr>
      <w:r w:rsidRPr="0067052A">
        <w:t xml:space="preserve">DUSC considered that, while </w:t>
      </w:r>
      <w:r w:rsidRPr="00E706E0">
        <w:rPr>
          <w:i/>
          <w:iCs/>
        </w:rPr>
        <w:t>Meningococcus</w:t>
      </w:r>
      <w:r w:rsidRPr="0067052A">
        <w:t xml:space="preserve"> prevention has been adequately addressed, the overall risk of other possible infections (such as those caused by other </w:t>
      </w:r>
      <w:r w:rsidRPr="00E706E0">
        <w:rPr>
          <w:i/>
          <w:iCs/>
        </w:rPr>
        <w:t xml:space="preserve">Neisseria </w:t>
      </w:r>
      <w:r w:rsidRPr="0067052A">
        <w:t>species) also need QUM activities.</w:t>
      </w:r>
    </w:p>
    <w:p w14:paraId="6015A395" w14:textId="5AEF5072" w:rsidR="00576972" w:rsidRPr="008B3A69" w:rsidRDefault="00576972" w:rsidP="00606FBA">
      <w:pPr>
        <w:pStyle w:val="COMH2-non-numbered"/>
        <w:rPr>
          <w:iCs/>
        </w:rPr>
      </w:pPr>
      <w:bookmarkStart w:id="73" w:name="_Toc22897649"/>
      <w:bookmarkStart w:id="74" w:name="_Toc156986110"/>
      <w:r w:rsidRPr="008B3A69">
        <w:rPr>
          <w:iCs/>
        </w:rPr>
        <w:t>Financial Management – Risk Sharing Arrangements</w:t>
      </w:r>
      <w:bookmarkEnd w:id="73"/>
      <w:bookmarkEnd w:id="74"/>
    </w:p>
    <w:p w14:paraId="4B24B0D7" w14:textId="5E6B73EA" w:rsidR="0067052A" w:rsidRDefault="00B05606" w:rsidP="00B05606">
      <w:pPr>
        <w:pStyle w:val="COMexecsumnumberedpara"/>
      </w:pPr>
      <w:r w:rsidRPr="008B3A69">
        <w:t xml:space="preserve">The submission noted the sponsor's intention to enter a risk sharing arrangement </w:t>
      </w:r>
      <w:r w:rsidR="0067052A">
        <w:t xml:space="preserve">(RSA) </w:t>
      </w:r>
      <w:r w:rsidRPr="008B3A69">
        <w:t>should ravulizumab be listed on the PBS, with Commonwealth Payment Thresholds based on agreed financial estimates.</w:t>
      </w:r>
    </w:p>
    <w:p w14:paraId="45AE9C4D" w14:textId="5E5903AB" w:rsidR="0067052A" w:rsidRPr="0067052A" w:rsidRDefault="0067052A" w:rsidP="0067052A">
      <w:pPr>
        <w:pStyle w:val="COMexecsumnumberedpara"/>
      </w:pPr>
      <w:r w:rsidRPr="0067052A">
        <w:t>DUSC considered that a</w:t>
      </w:r>
      <w:r w:rsidR="00E706E0">
        <w:t>n</w:t>
      </w:r>
      <w:r w:rsidRPr="0067052A">
        <w:t xml:space="preserve"> RSA would be appropriate.</w:t>
      </w:r>
    </w:p>
    <w:p w14:paraId="414A6297" w14:textId="52A2CCE5" w:rsidR="00AA6452" w:rsidRPr="008B3A69" w:rsidRDefault="008B3A69" w:rsidP="00AA6452">
      <w:pPr>
        <w:pStyle w:val="COMexecsumnumberedpara"/>
        <w:numPr>
          <w:ilvl w:val="0"/>
          <w:numId w:val="0"/>
        </w:numPr>
        <w:ind w:left="720"/>
        <w:rPr>
          <w:i/>
          <w:iCs/>
        </w:rPr>
      </w:pPr>
      <w:r w:rsidRPr="008B3A69">
        <w:rPr>
          <w:i/>
          <w:iCs/>
        </w:rPr>
        <w:t>For more detail on PBAC’s view, see section 7 PBAC outcome.</w:t>
      </w:r>
    </w:p>
    <w:p w14:paraId="0F5B8A6D" w14:textId="77777777" w:rsidR="00A2714D" w:rsidRPr="00A2714D" w:rsidRDefault="00A2714D" w:rsidP="00A2714D">
      <w:pPr>
        <w:keepNext/>
        <w:numPr>
          <w:ilvl w:val="0"/>
          <w:numId w:val="1"/>
        </w:numPr>
        <w:spacing w:before="240" w:after="120"/>
        <w:jc w:val="left"/>
        <w:outlineLvl w:val="0"/>
        <w:rPr>
          <w:rFonts w:asciiTheme="minorHAnsi" w:hAnsiTheme="minorHAnsi"/>
          <w:b/>
          <w:snapToGrid w:val="0"/>
          <w:sz w:val="32"/>
          <w:szCs w:val="32"/>
        </w:rPr>
      </w:pPr>
      <w:bookmarkStart w:id="75" w:name="_Hlk76381249"/>
      <w:bookmarkStart w:id="76" w:name="_Hlk76377955"/>
      <w:r w:rsidRPr="00A2714D">
        <w:rPr>
          <w:rFonts w:asciiTheme="minorHAnsi" w:hAnsiTheme="minorHAnsi"/>
          <w:b/>
          <w:snapToGrid w:val="0"/>
          <w:sz w:val="32"/>
          <w:szCs w:val="32"/>
        </w:rPr>
        <w:t>PBAC Outcome</w:t>
      </w:r>
    </w:p>
    <w:p w14:paraId="203295EE" w14:textId="08BFD934" w:rsidR="00FC445F" w:rsidRPr="00600018" w:rsidRDefault="00A2714D">
      <w:pPr>
        <w:widowControl w:val="0"/>
        <w:numPr>
          <w:ilvl w:val="1"/>
          <w:numId w:val="1"/>
        </w:numPr>
        <w:spacing w:after="120"/>
        <w:rPr>
          <w:rFonts w:asciiTheme="minorHAnsi" w:hAnsiTheme="minorHAnsi"/>
          <w:snapToGrid w:val="0"/>
          <w:lang w:val="en-GB" w:eastAsia="en-US"/>
        </w:rPr>
      </w:pPr>
      <w:bookmarkStart w:id="77" w:name="_Hlk174459277"/>
      <w:r w:rsidRPr="00600018">
        <w:rPr>
          <w:rFonts w:asciiTheme="minorHAnsi" w:hAnsiTheme="minorHAnsi"/>
          <w:snapToGrid w:val="0"/>
          <w:lang w:val="en-GB" w:eastAsia="en-US"/>
        </w:rPr>
        <w:t>The PBAC did not recommend</w:t>
      </w:r>
      <w:r w:rsidR="00466E5C" w:rsidRPr="00600018">
        <w:rPr>
          <w:rFonts w:asciiTheme="minorHAnsi" w:hAnsiTheme="minorHAnsi"/>
          <w:snapToGrid w:val="0"/>
          <w:lang w:val="en-GB" w:eastAsia="en-US"/>
        </w:rPr>
        <w:t xml:space="preserve"> </w:t>
      </w:r>
      <w:r w:rsidR="00625715" w:rsidRPr="00600018">
        <w:rPr>
          <w:rFonts w:asciiTheme="minorHAnsi" w:hAnsiTheme="minorHAnsi"/>
          <w:snapToGrid w:val="0"/>
          <w:lang w:val="en-GB" w:eastAsia="en-US"/>
        </w:rPr>
        <w:t xml:space="preserve">the listing of </w:t>
      </w:r>
      <w:r w:rsidR="00466E5C" w:rsidRPr="00600018">
        <w:rPr>
          <w:rFonts w:asciiTheme="minorHAnsi" w:hAnsiTheme="minorHAnsi"/>
          <w:snapToGrid w:val="0"/>
          <w:lang w:val="en-GB" w:eastAsia="en-US"/>
        </w:rPr>
        <w:t>ravu</w:t>
      </w:r>
      <w:r w:rsidR="004C4230" w:rsidRPr="00600018">
        <w:rPr>
          <w:rFonts w:asciiTheme="minorHAnsi" w:hAnsiTheme="minorHAnsi"/>
          <w:snapToGrid w:val="0"/>
          <w:lang w:val="en-GB" w:eastAsia="en-US"/>
        </w:rPr>
        <w:t xml:space="preserve">lizumab for the treatment of </w:t>
      </w:r>
      <w:r w:rsidR="004C4230" w:rsidRPr="008B3A69">
        <w:t xml:space="preserve">patients with generalised myasthenia gravis </w:t>
      </w:r>
      <w:r w:rsidR="00625715">
        <w:t xml:space="preserve">(gMG) </w:t>
      </w:r>
      <w:r w:rsidR="004C4230" w:rsidRPr="008B3A69">
        <w:t>who are anti-acetylcholine receptor (AChR) antibody positive</w:t>
      </w:r>
      <w:r w:rsidR="00FC445F">
        <w:t xml:space="preserve">. </w:t>
      </w:r>
      <w:r w:rsidR="00600018">
        <w:t>T</w:t>
      </w:r>
      <w:r w:rsidR="00600018" w:rsidRPr="00600018">
        <w:t xml:space="preserve">he PBAC considered </w:t>
      </w:r>
      <w:r w:rsidR="00E43F4F">
        <w:t xml:space="preserve">that the </w:t>
      </w:r>
      <w:r w:rsidR="00600018" w:rsidRPr="00600018">
        <w:t xml:space="preserve">incremental </w:t>
      </w:r>
      <w:r w:rsidR="00717D48">
        <w:t xml:space="preserve">benefit shown in the </w:t>
      </w:r>
      <w:r w:rsidR="00600018" w:rsidRPr="00600018">
        <w:t>t</w:t>
      </w:r>
      <w:r w:rsidR="00717D48">
        <w:t>rial</w:t>
      </w:r>
      <w:r w:rsidR="00600018" w:rsidRPr="00600018">
        <w:t xml:space="preserve"> was </w:t>
      </w:r>
      <w:r w:rsidR="00717D48">
        <w:t>modest</w:t>
      </w:r>
      <w:r w:rsidR="00E43F4F">
        <w:t xml:space="preserve"> and</w:t>
      </w:r>
      <w:r w:rsidR="00717D48">
        <w:t xml:space="preserve"> that</w:t>
      </w:r>
      <w:r w:rsidR="00E43F4F">
        <w:t xml:space="preserve"> it was difficult to determine whether </w:t>
      </w:r>
      <w:r w:rsidR="00717D48">
        <w:t xml:space="preserve">the incremental benefit </w:t>
      </w:r>
      <w:r w:rsidR="00E43F4F">
        <w:t xml:space="preserve">would be </w:t>
      </w:r>
      <w:r w:rsidR="00600018" w:rsidRPr="00600018">
        <w:t>clinically meaningful</w:t>
      </w:r>
      <w:r w:rsidR="00E43F4F">
        <w:t xml:space="preserve"> in the broad population requested for listing</w:t>
      </w:r>
      <w:r w:rsidR="00600018">
        <w:t>. Further, t</w:t>
      </w:r>
      <w:r w:rsidR="00FC445F" w:rsidRPr="00600018">
        <w:rPr>
          <w:rFonts w:asciiTheme="minorHAnsi" w:hAnsiTheme="minorHAnsi"/>
          <w:snapToGrid w:val="0"/>
          <w:lang w:val="en-GB" w:eastAsia="en-US"/>
        </w:rPr>
        <w:t xml:space="preserve">he PBAC considered the incremental cost-effectiveness ratio </w:t>
      </w:r>
      <w:r w:rsidR="006F59CE" w:rsidRPr="00600018">
        <w:rPr>
          <w:rFonts w:asciiTheme="minorHAnsi" w:hAnsiTheme="minorHAnsi"/>
          <w:snapToGrid w:val="0"/>
          <w:lang w:val="en-GB" w:eastAsia="en-US"/>
        </w:rPr>
        <w:t xml:space="preserve">(ICER) </w:t>
      </w:r>
      <w:r w:rsidR="00FC445F" w:rsidRPr="00600018">
        <w:rPr>
          <w:rFonts w:asciiTheme="minorHAnsi" w:hAnsiTheme="minorHAnsi"/>
          <w:snapToGrid w:val="0"/>
          <w:lang w:val="en-GB" w:eastAsia="en-US"/>
        </w:rPr>
        <w:t>presented in the submission was very high and likely to have been underestimated</w:t>
      </w:r>
      <w:r w:rsidR="00717D48">
        <w:t>,</w:t>
      </w:r>
      <w:r w:rsidR="00717D48" w:rsidRPr="00FE0D57">
        <w:t xml:space="preserve"> and the proposed price was very high</w:t>
      </w:r>
      <w:r w:rsidR="00FC445F" w:rsidRPr="00600018">
        <w:rPr>
          <w:rFonts w:asciiTheme="minorHAnsi" w:hAnsiTheme="minorHAnsi"/>
          <w:snapToGrid w:val="0"/>
          <w:lang w:val="en-GB" w:eastAsia="en-US"/>
        </w:rPr>
        <w:t xml:space="preserve">. </w:t>
      </w:r>
      <w:r w:rsidR="007C5249">
        <w:t xml:space="preserve">The PBAC recognised the high clinical need for effective therapies for gMG, particularly in patients </w:t>
      </w:r>
      <w:r w:rsidR="007C5249" w:rsidRPr="005D179C">
        <w:t>who are not responding to or are unable to use existing therapies, and for those with refractory disease.</w:t>
      </w:r>
    </w:p>
    <w:bookmarkEnd w:id="77"/>
    <w:p w14:paraId="3F14E07C" w14:textId="3CAAA62E" w:rsidR="00B07815" w:rsidRPr="00E13555" w:rsidRDefault="00B07815" w:rsidP="00B07815">
      <w:pPr>
        <w:widowControl w:val="0"/>
        <w:numPr>
          <w:ilvl w:val="1"/>
          <w:numId w:val="1"/>
        </w:numPr>
        <w:spacing w:after="120"/>
        <w:rPr>
          <w:rFonts w:asciiTheme="minorHAnsi" w:hAnsiTheme="minorHAnsi"/>
          <w:snapToGrid w:val="0"/>
          <w:lang w:val="en-GB"/>
        </w:rPr>
      </w:pPr>
      <w:r w:rsidRPr="00E13555">
        <w:rPr>
          <w:rFonts w:asciiTheme="minorHAnsi" w:hAnsiTheme="minorHAnsi"/>
          <w:snapToGrid w:val="0"/>
          <w:lang w:val="en-GB"/>
        </w:rPr>
        <w:t>The primary reason for this outcome was the comparative clinical evidence.</w:t>
      </w:r>
    </w:p>
    <w:p w14:paraId="673439D5" w14:textId="1F7D5F95" w:rsidR="00461F4A" w:rsidDel="00B44CC5" w:rsidRDefault="00461F4A" w:rsidP="00461F4A">
      <w:pPr>
        <w:widowControl w:val="0"/>
        <w:numPr>
          <w:ilvl w:val="1"/>
          <w:numId w:val="1"/>
        </w:numPr>
        <w:spacing w:after="120"/>
        <w:rPr>
          <w:rFonts w:asciiTheme="minorHAnsi" w:hAnsiTheme="minorHAnsi"/>
          <w:snapToGrid w:val="0"/>
          <w:lang w:val="en-GB"/>
        </w:rPr>
      </w:pPr>
      <w:r w:rsidRPr="00E13555" w:rsidDel="00B44CC5">
        <w:rPr>
          <w:rFonts w:asciiTheme="minorHAnsi" w:hAnsiTheme="minorHAnsi"/>
          <w:snapToGrid w:val="0"/>
          <w:lang w:val="en-GB"/>
        </w:rPr>
        <w:t xml:space="preserve">The </w:t>
      </w:r>
      <w:r w:rsidDel="00B44CC5">
        <w:rPr>
          <w:rFonts w:asciiTheme="minorHAnsi" w:hAnsiTheme="minorHAnsi"/>
          <w:snapToGrid w:val="0"/>
          <w:lang w:val="en-GB"/>
        </w:rPr>
        <w:t xml:space="preserve">PBAC </w:t>
      </w:r>
      <w:r>
        <w:rPr>
          <w:rFonts w:asciiTheme="minorHAnsi" w:hAnsiTheme="minorHAnsi"/>
          <w:snapToGrid w:val="0"/>
          <w:lang w:val="en-GB"/>
        </w:rPr>
        <w:t xml:space="preserve">noted the strong consumer and clinician support for ravulizumab </w:t>
      </w:r>
      <w:r w:rsidDel="00B44CC5">
        <w:rPr>
          <w:rFonts w:asciiTheme="minorHAnsi" w:hAnsiTheme="minorHAnsi"/>
          <w:snapToGrid w:val="0"/>
          <w:lang w:val="en-GB"/>
        </w:rPr>
        <w:t>received via the Consumer Comments facility on the PBS website</w:t>
      </w:r>
      <w:r>
        <w:rPr>
          <w:rFonts w:asciiTheme="minorHAnsi" w:hAnsiTheme="minorHAnsi"/>
          <w:snapToGrid w:val="0"/>
          <w:lang w:val="en-GB"/>
        </w:rPr>
        <w:t xml:space="preserve"> (see paragraphs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_Ref174015043 \r \h </w:instrText>
      </w:r>
      <w:r>
        <w:rPr>
          <w:rFonts w:asciiTheme="minorHAnsi" w:hAnsiTheme="minorHAnsi"/>
          <w:snapToGrid w:val="0"/>
          <w:lang w:val="en-GB"/>
        </w:rPr>
      </w:r>
      <w:r>
        <w:rPr>
          <w:rFonts w:asciiTheme="minorHAnsi" w:hAnsiTheme="minorHAnsi"/>
          <w:snapToGrid w:val="0"/>
          <w:lang w:val="en-GB"/>
        </w:rPr>
        <w:fldChar w:fldCharType="separate"/>
      </w:r>
      <w:r w:rsidR="0081771C">
        <w:rPr>
          <w:rFonts w:asciiTheme="minorHAnsi" w:hAnsiTheme="minorHAnsi"/>
          <w:snapToGrid w:val="0"/>
          <w:lang w:val="en-GB"/>
        </w:rPr>
        <w:t>6.3</w:t>
      </w:r>
      <w:r>
        <w:rPr>
          <w:rFonts w:asciiTheme="minorHAnsi" w:hAnsiTheme="minorHAnsi"/>
          <w:snapToGrid w:val="0"/>
          <w:lang w:val="en-GB"/>
        </w:rPr>
        <w:fldChar w:fldCharType="end"/>
      </w:r>
      <w:r>
        <w:rPr>
          <w:rFonts w:asciiTheme="minorHAnsi" w:hAnsiTheme="minorHAnsi"/>
          <w:snapToGrid w:val="0"/>
          <w:lang w:val="en-GB"/>
        </w:rPr>
        <w:t xml:space="preserve"> to</w:t>
      </w:r>
      <w:r w:rsidR="0081771C">
        <w:rPr>
          <w:rFonts w:asciiTheme="minorHAnsi" w:hAnsiTheme="minorHAnsi"/>
          <w:snapToGrid w:val="0"/>
          <w:lang w:val="en-GB"/>
        </w:rPr>
        <w:t xml:space="preserve"> </w:t>
      </w:r>
      <w:r w:rsidR="0081771C">
        <w:rPr>
          <w:rFonts w:asciiTheme="minorHAnsi" w:hAnsiTheme="minorHAnsi"/>
          <w:snapToGrid w:val="0"/>
          <w:lang w:val="en-GB"/>
        </w:rPr>
        <w:fldChar w:fldCharType="begin" w:fldLock="1"/>
      </w:r>
      <w:r w:rsidR="0081771C">
        <w:rPr>
          <w:rFonts w:asciiTheme="minorHAnsi" w:hAnsiTheme="minorHAnsi"/>
          <w:snapToGrid w:val="0"/>
          <w:lang w:val="en-GB"/>
        </w:rPr>
        <w:instrText xml:space="preserve"> REF _Ref174695700 \r \h </w:instrText>
      </w:r>
      <w:r w:rsidR="0081771C">
        <w:rPr>
          <w:rFonts w:asciiTheme="minorHAnsi" w:hAnsiTheme="minorHAnsi"/>
          <w:snapToGrid w:val="0"/>
          <w:lang w:val="en-GB"/>
        </w:rPr>
      </w:r>
      <w:r w:rsidR="0081771C">
        <w:rPr>
          <w:rFonts w:asciiTheme="minorHAnsi" w:hAnsiTheme="minorHAnsi"/>
          <w:snapToGrid w:val="0"/>
          <w:lang w:val="en-GB"/>
        </w:rPr>
        <w:fldChar w:fldCharType="separate"/>
      </w:r>
      <w:r w:rsidR="0081771C">
        <w:rPr>
          <w:rFonts w:asciiTheme="minorHAnsi" w:hAnsiTheme="minorHAnsi"/>
          <w:snapToGrid w:val="0"/>
          <w:lang w:val="en-GB"/>
        </w:rPr>
        <w:t>6.7</w:t>
      </w:r>
      <w:r w:rsidR="0081771C">
        <w:rPr>
          <w:rFonts w:asciiTheme="minorHAnsi" w:hAnsiTheme="minorHAnsi"/>
          <w:snapToGrid w:val="0"/>
          <w:lang w:val="en-GB"/>
        </w:rPr>
        <w:fldChar w:fldCharType="end"/>
      </w:r>
      <w:r>
        <w:rPr>
          <w:rFonts w:asciiTheme="minorHAnsi" w:hAnsiTheme="minorHAnsi"/>
          <w:snapToGrid w:val="0"/>
          <w:lang w:val="en-GB"/>
        </w:rPr>
        <w:t xml:space="preserve">), the sponsor hearing (see paragraphs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_Ref174015084 \r \h </w:instrText>
      </w:r>
      <w:r>
        <w:rPr>
          <w:rFonts w:asciiTheme="minorHAnsi" w:hAnsiTheme="minorHAnsi"/>
          <w:snapToGrid w:val="0"/>
          <w:lang w:val="en-GB"/>
        </w:rPr>
      </w:r>
      <w:r>
        <w:rPr>
          <w:rFonts w:asciiTheme="minorHAnsi" w:hAnsiTheme="minorHAnsi"/>
          <w:snapToGrid w:val="0"/>
          <w:lang w:val="en-GB"/>
        </w:rPr>
        <w:fldChar w:fldCharType="separate"/>
      </w:r>
      <w:r w:rsidR="0081771C">
        <w:rPr>
          <w:rFonts w:asciiTheme="minorHAnsi" w:hAnsiTheme="minorHAnsi"/>
          <w:snapToGrid w:val="0"/>
          <w:lang w:val="en-GB"/>
        </w:rPr>
        <w:t>6.1</w:t>
      </w:r>
      <w:r>
        <w:rPr>
          <w:rFonts w:asciiTheme="minorHAnsi" w:hAnsiTheme="minorHAnsi"/>
          <w:snapToGrid w:val="0"/>
          <w:lang w:val="en-GB"/>
        </w:rPr>
        <w:fldChar w:fldCharType="end"/>
      </w:r>
      <w:r>
        <w:rPr>
          <w:rFonts w:asciiTheme="minorHAnsi" w:hAnsiTheme="minorHAnsi"/>
          <w:snapToGrid w:val="0"/>
          <w:lang w:val="en-GB"/>
        </w:rPr>
        <w:t xml:space="preserve"> and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_Ref174015086 \r \h </w:instrText>
      </w:r>
      <w:r>
        <w:rPr>
          <w:rFonts w:asciiTheme="minorHAnsi" w:hAnsiTheme="minorHAnsi"/>
          <w:snapToGrid w:val="0"/>
          <w:lang w:val="en-GB"/>
        </w:rPr>
      </w:r>
      <w:r>
        <w:rPr>
          <w:rFonts w:asciiTheme="minorHAnsi" w:hAnsiTheme="minorHAnsi"/>
          <w:snapToGrid w:val="0"/>
          <w:lang w:val="en-GB"/>
        </w:rPr>
        <w:fldChar w:fldCharType="separate"/>
      </w:r>
      <w:r w:rsidR="0081771C">
        <w:rPr>
          <w:rFonts w:asciiTheme="minorHAnsi" w:hAnsiTheme="minorHAnsi"/>
          <w:snapToGrid w:val="0"/>
          <w:lang w:val="en-GB"/>
        </w:rPr>
        <w:t>6.2</w:t>
      </w:r>
      <w:r>
        <w:rPr>
          <w:rFonts w:asciiTheme="minorHAnsi" w:hAnsiTheme="minorHAnsi"/>
          <w:snapToGrid w:val="0"/>
          <w:lang w:val="en-GB"/>
        </w:rPr>
        <w:fldChar w:fldCharType="end"/>
      </w:r>
      <w:r>
        <w:rPr>
          <w:rFonts w:asciiTheme="minorHAnsi" w:hAnsiTheme="minorHAnsi"/>
          <w:snapToGrid w:val="0"/>
          <w:lang w:val="en-GB"/>
        </w:rPr>
        <w:t>)</w:t>
      </w:r>
      <w:r w:rsidDel="00B44CC5">
        <w:rPr>
          <w:rFonts w:asciiTheme="minorHAnsi" w:hAnsiTheme="minorHAnsi"/>
          <w:snapToGrid w:val="0"/>
          <w:lang w:val="en-GB"/>
        </w:rPr>
        <w:t xml:space="preserve"> and as part of the stakeholder meeting</w:t>
      </w:r>
      <w:r>
        <w:rPr>
          <w:rFonts w:asciiTheme="minorHAnsi" w:hAnsiTheme="minorHAnsi"/>
          <w:snapToGrid w:val="0"/>
          <w:lang w:val="en-GB"/>
        </w:rPr>
        <w:t xml:space="preserve"> (see paragraphs </w:t>
      </w:r>
      <w:r w:rsidR="00620F64">
        <w:rPr>
          <w:rFonts w:asciiTheme="minorHAnsi" w:hAnsiTheme="minorHAnsi"/>
          <w:snapToGrid w:val="0"/>
          <w:lang w:val="en-GB"/>
        </w:rPr>
        <w:fldChar w:fldCharType="begin" w:fldLock="1"/>
      </w:r>
      <w:r w:rsidR="00620F64">
        <w:rPr>
          <w:rFonts w:asciiTheme="minorHAnsi" w:hAnsiTheme="minorHAnsi"/>
          <w:snapToGrid w:val="0"/>
          <w:lang w:val="en-GB"/>
        </w:rPr>
        <w:instrText xml:space="preserve"> REF _Ref172801116 \r \h </w:instrText>
      </w:r>
      <w:r w:rsidR="00620F64">
        <w:rPr>
          <w:rFonts w:asciiTheme="minorHAnsi" w:hAnsiTheme="minorHAnsi"/>
          <w:snapToGrid w:val="0"/>
          <w:lang w:val="en-GB"/>
        </w:rPr>
      </w:r>
      <w:r w:rsidR="00620F64">
        <w:rPr>
          <w:rFonts w:asciiTheme="minorHAnsi" w:hAnsiTheme="minorHAnsi"/>
          <w:snapToGrid w:val="0"/>
          <w:lang w:val="en-GB"/>
        </w:rPr>
        <w:fldChar w:fldCharType="separate"/>
      </w:r>
      <w:r w:rsidR="0081771C">
        <w:rPr>
          <w:rFonts w:asciiTheme="minorHAnsi" w:hAnsiTheme="minorHAnsi"/>
          <w:snapToGrid w:val="0"/>
          <w:lang w:val="en-GB"/>
        </w:rPr>
        <w:t>2.3</w:t>
      </w:r>
      <w:r w:rsidR="00620F64">
        <w:rPr>
          <w:rFonts w:asciiTheme="minorHAnsi" w:hAnsiTheme="minorHAnsi"/>
          <w:snapToGrid w:val="0"/>
          <w:lang w:val="en-GB"/>
        </w:rPr>
        <w:fldChar w:fldCharType="end"/>
      </w:r>
      <w:r w:rsidR="00620F64">
        <w:rPr>
          <w:rFonts w:asciiTheme="minorHAnsi" w:hAnsiTheme="minorHAnsi"/>
          <w:snapToGrid w:val="0"/>
          <w:lang w:val="en-GB"/>
        </w:rPr>
        <w:t xml:space="preserve"> and </w:t>
      </w:r>
      <w:r w:rsidR="00620F64">
        <w:rPr>
          <w:rFonts w:asciiTheme="minorHAnsi" w:hAnsiTheme="minorHAnsi"/>
          <w:snapToGrid w:val="0"/>
          <w:lang w:val="en-GB"/>
        </w:rPr>
        <w:fldChar w:fldCharType="begin" w:fldLock="1"/>
      </w:r>
      <w:r w:rsidR="00620F64">
        <w:rPr>
          <w:rFonts w:asciiTheme="minorHAnsi" w:hAnsiTheme="minorHAnsi"/>
          <w:snapToGrid w:val="0"/>
          <w:lang w:val="en-GB"/>
        </w:rPr>
        <w:instrText xml:space="preserve"> REF _Ref169170181 \r \h </w:instrText>
      </w:r>
      <w:r w:rsidR="00620F64">
        <w:rPr>
          <w:rFonts w:asciiTheme="minorHAnsi" w:hAnsiTheme="minorHAnsi"/>
          <w:snapToGrid w:val="0"/>
          <w:lang w:val="en-GB"/>
        </w:rPr>
      </w:r>
      <w:r w:rsidR="00620F64">
        <w:rPr>
          <w:rFonts w:asciiTheme="minorHAnsi" w:hAnsiTheme="minorHAnsi"/>
          <w:snapToGrid w:val="0"/>
          <w:lang w:val="en-GB"/>
        </w:rPr>
        <w:fldChar w:fldCharType="separate"/>
      </w:r>
      <w:r w:rsidR="0081771C">
        <w:rPr>
          <w:rFonts w:asciiTheme="minorHAnsi" w:hAnsiTheme="minorHAnsi"/>
          <w:snapToGrid w:val="0"/>
          <w:lang w:val="en-GB"/>
        </w:rPr>
        <w:t>2.4</w:t>
      </w:r>
      <w:r w:rsidR="00620F64">
        <w:rPr>
          <w:rFonts w:asciiTheme="minorHAnsi" w:hAnsiTheme="minorHAnsi"/>
          <w:snapToGrid w:val="0"/>
          <w:lang w:val="en-GB"/>
        </w:rPr>
        <w:fldChar w:fldCharType="end"/>
      </w:r>
      <w:r>
        <w:rPr>
          <w:rFonts w:asciiTheme="minorHAnsi" w:hAnsiTheme="minorHAnsi"/>
          <w:snapToGrid w:val="0"/>
          <w:lang w:val="en-GB"/>
        </w:rPr>
        <w:t>)</w:t>
      </w:r>
      <w:r w:rsidDel="00B44CC5">
        <w:rPr>
          <w:rFonts w:asciiTheme="minorHAnsi" w:hAnsiTheme="minorHAnsi"/>
          <w:snapToGrid w:val="0"/>
          <w:lang w:val="en-GB"/>
        </w:rPr>
        <w:t xml:space="preserve">. </w:t>
      </w:r>
      <w:r>
        <w:rPr>
          <w:rFonts w:asciiTheme="minorHAnsi" w:hAnsiTheme="minorHAnsi"/>
          <w:snapToGrid w:val="0"/>
          <w:lang w:val="en-GB"/>
        </w:rPr>
        <w:t xml:space="preserve">The PBAC appreciated </w:t>
      </w:r>
      <w:r w:rsidR="0081771C">
        <w:rPr>
          <w:rFonts w:asciiTheme="minorHAnsi" w:hAnsiTheme="minorHAnsi"/>
          <w:snapToGrid w:val="0"/>
          <w:lang w:val="en-GB"/>
        </w:rPr>
        <w:t xml:space="preserve">the </w:t>
      </w:r>
      <w:r>
        <w:rPr>
          <w:rFonts w:asciiTheme="minorHAnsi" w:hAnsiTheme="minorHAnsi"/>
          <w:snapToGrid w:val="0"/>
          <w:lang w:val="en-GB"/>
        </w:rPr>
        <w:t xml:space="preserve">input provided by patients, carers and clinicians in these forums and found the comments very informative for understanding the high and unmet clinical need for new effective treatments and the potential use of complement inhibitors in the management gMG. </w:t>
      </w:r>
      <w:r w:rsidDel="00B44CC5">
        <w:rPr>
          <w:rFonts w:asciiTheme="minorHAnsi" w:hAnsiTheme="minorHAnsi"/>
          <w:snapToGrid w:val="0"/>
          <w:lang w:val="en-GB"/>
        </w:rPr>
        <w:t xml:space="preserve">The PBAC noted that the comments described the </w:t>
      </w:r>
      <w:r>
        <w:rPr>
          <w:rFonts w:asciiTheme="minorHAnsi" w:hAnsiTheme="minorHAnsi"/>
          <w:snapToGrid w:val="0"/>
          <w:lang w:val="en-GB"/>
        </w:rPr>
        <w:t xml:space="preserve">substantial adverse effects associated with </w:t>
      </w:r>
      <w:r w:rsidDel="00B44CC5">
        <w:rPr>
          <w:rFonts w:asciiTheme="minorHAnsi" w:hAnsiTheme="minorHAnsi"/>
          <w:snapToGrid w:val="0"/>
          <w:lang w:val="en-GB"/>
        </w:rPr>
        <w:t xml:space="preserve">current therapies </w:t>
      </w:r>
      <w:r>
        <w:rPr>
          <w:rFonts w:asciiTheme="minorHAnsi" w:hAnsiTheme="minorHAnsi"/>
          <w:snapToGrid w:val="0"/>
          <w:lang w:val="en-GB"/>
        </w:rPr>
        <w:t xml:space="preserve">particularly </w:t>
      </w:r>
      <w:r w:rsidDel="00B44CC5">
        <w:rPr>
          <w:rFonts w:asciiTheme="minorHAnsi" w:hAnsiTheme="minorHAnsi"/>
          <w:snapToGrid w:val="0"/>
          <w:lang w:val="en-GB"/>
        </w:rPr>
        <w:t>corticosteroids,</w:t>
      </w:r>
      <w:r w:rsidRPr="00EB7850" w:rsidDel="00B44CC5">
        <w:rPr>
          <w:rFonts w:asciiTheme="minorHAnsi" w:hAnsiTheme="minorHAnsi"/>
          <w:snapToGrid w:val="0"/>
          <w:lang w:val="en-GB"/>
        </w:rPr>
        <w:t xml:space="preserve"> </w:t>
      </w:r>
      <w:r w:rsidDel="00B44CC5">
        <w:rPr>
          <w:rFonts w:asciiTheme="minorHAnsi" w:hAnsiTheme="minorHAnsi"/>
          <w:snapToGrid w:val="0"/>
          <w:lang w:val="en-GB"/>
        </w:rPr>
        <w:t xml:space="preserve">and the </w:t>
      </w:r>
      <w:r>
        <w:rPr>
          <w:rFonts w:asciiTheme="minorHAnsi" w:hAnsiTheme="minorHAnsi"/>
          <w:snapToGrid w:val="0"/>
          <w:lang w:val="en-GB"/>
        </w:rPr>
        <w:t>limited</w:t>
      </w:r>
      <w:r w:rsidDel="00B44CC5">
        <w:rPr>
          <w:rFonts w:asciiTheme="minorHAnsi" w:hAnsiTheme="minorHAnsi"/>
          <w:snapToGrid w:val="0"/>
          <w:lang w:val="en-GB"/>
        </w:rPr>
        <w:t xml:space="preserve"> options available for patients who are refractory to available treatments</w:t>
      </w:r>
      <w:r>
        <w:rPr>
          <w:rFonts w:asciiTheme="minorHAnsi" w:hAnsiTheme="minorHAnsi"/>
          <w:snapToGrid w:val="0"/>
          <w:lang w:val="en-GB"/>
        </w:rPr>
        <w:t xml:space="preserve"> or </w:t>
      </w:r>
      <w:r w:rsidRPr="00923634">
        <w:rPr>
          <w:rFonts w:asciiTheme="minorHAnsi" w:hAnsiTheme="minorHAnsi"/>
          <w:snapToGrid w:val="0"/>
          <w:lang w:val="en-GB"/>
        </w:rPr>
        <w:t xml:space="preserve">who are </w:t>
      </w:r>
      <w:r w:rsidR="007E5FBD" w:rsidRPr="00923634">
        <w:t>not responding to or are unable to use existing therapies</w:t>
      </w:r>
      <w:r w:rsidDel="00B44CC5">
        <w:rPr>
          <w:rFonts w:asciiTheme="minorHAnsi" w:hAnsiTheme="minorHAnsi"/>
          <w:snapToGrid w:val="0"/>
          <w:lang w:val="en-GB"/>
        </w:rPr>
        <w:t xml:space="preserve">. The input outlined that there are many patients whose condition is not adequately controlled with currently available treatments (e.g. their condition is not stable, or they cannot undertake daily activities including work or family commitments). The PBAC noted that </w:t>
      </w:r>
      <w:r>
        <w:rPr>
          <w:rFonts w:asciiTheme="minorHAnsi" w:hAnsiTheme="minorHAnsi"/>
          <w:snapToGrid w:val="0"/>
          <w:lang w:val="en-GB"/>
        </w:rPr>
        <w:t>many of</w:t>
      </w:r>
      <w:r w:rsidDel="00B44CC5">
        <w:rPr>
          <w:rFonts w:asciiTheme="minorHAnsi" w:hAnsiTheme="minorHAnsi"/>
          <w:snapToGrid w:val="0"/>
          <w:lang w:val="en-GB"/>
        </w:rPr>
        <w:t xml:space="preserve"> the comments described the hope that </w:t>
      </w:r>
      <w:r w:rsidR="00620F64">
        <w:rPr>
          <w:rFonts w:asciiTheme="minorHAnsi" w:hAnsiTheme="minorHAnsi"/>
          <w:snapToGrid w:val="0"/>
          <w:lang w:val="en-GB"/>
        </w:rPr>
        <w:t>ravulizumab</w:t>
      </w:r>
      <w:r w:rsidDel="00B44CC5">
        <w:rPr>
          <w:rFonts w:asciiTheme="minorHAnsi" w:hAnsiTheme="minorHAnsi"/>
          <w:snapToGrid w:val="0"/>
          <w:lang w:val="en-GB"/>
        </w:rPr>
        <w:t xml:space="preserve"> would improve quality of life, and safely and quickly relieve symptoms.</w:t>
      </w:r>
    </w:p>
    <w:p w14:paraId="12BFAC1D" w14:textId="1286BE93" w:rsidR="00695009" w:rsidRPr="00695009" w:rsidRDefault="00695009" w:rsidP="00620F64">
      <w:pPr>
        <w:widowControl w:val="0"/>
        <w:numPr>
          <w:ilvl w:val="1"/>
          <w:numId w:val="1"/>
        </w:numPr>
        <w:spacing w:after="120"/>
        <w:rPr>
          <w:rFonts w:asciiTheme="minorHAnsi" w:hAnsiTheme="minorHAnsi"/>
          <w:snapToGrid w:val="0"/>
          <w:lang w:val="en-GB"/>
        </w:rPr>
      </w:pPr>
      <w:r w:rsidRPr="00BD756E">
        <w:rPr>
          <w:lang w:val="en-GB" w:eastAsia="en-US"/>
        </w:rPr>
        <w:t xml:space="preserve">The </w:t>
      </w:r>
      <w:r>
        <w:rPr>
          <w:lang w:val="en-GB" w:eastAsia="en-US"/>
        </w:rPr>
        <w:t xml:space="preserve">PBAC noted that the PSCR and </w:t>
      </w:r>
      <w:r w:rsidRPr="00BD756E">
        <w:rPr>
          <w:lang w:val="en-GB" w:eastAsia="en-US"/>
        </w:rPr>
        <w:t xml:space="preserve">pre-PBAC response </w:t>
      </w:r>
      <w:r>
        <w:rPr>
          <w:lang w:val="en-GB" w:eastAsia="en-US"/>
        </w:rPr>
        <w:t>stated</w:t>
      </w:r>
      <w:r w:rsidRPr="00BD756E">
        <w:rPr>
          <w:lang w:val="en-GB" w:eastAsia="en-US"/>
        </w:rPr>
        <w:t xml:space="preserve"> that the intended place in therapy for ravulizumab was prior to consideration of chronic IVIg. However, the PBAC noted that th</w:t>
      </w:r>
      <w:r w:rsidR="00D27E31">
        <w:rPr>
          <w:lang w:val="en-GB" w:eastAsia="en-US"/>
        </w:rPr>
        <w:t xml:space="preserve">is was inconsistent with </w:t>
      </w:r>
      <w:r w:rsidR="00D27E31" w:rsidRPr="00D27E31">
        <w:rPr>
          <w:lang w:val="en-GB" w:eastAsia="en-US"/>
        </w:rPr>
        <w:t>other elements of the submission</w:t>
      </w:r>
      <w:r w:rsidR="00D27E31">
        <w:rPr>
          <w:lang w:val="en-GB" w:eastAsia="en-US"/>
        </w:rPr>
        <w:t xml:space="preserve">, including the </w:t>
      </w:r>
      <w:r w:rsidRPr="00BD756E">
        <w:rPr>
          <w:lang w:val="en-GB" w:eastAsia="en-US"/>
        </w:rPr>
        <w:t xml:space="preserve">proposed restriction </w:t>
      </w:r>
      <w:r w:rsidR="000F02EB">
        <w:rPr>
          <w:lang w:val="en-GB" w:eastAsia="en-US"/>
        </w:rPr>
        <w:t xml:space="preserve">which </w:t>
      </w:r>
      <w:r w:rsidRPr="00BD756E">
        <w:rPr>
          <w:lang w:val="en-GB" w:eastAsia="en-US"/>
        </w:rPr>
        <w:t xml:space="preserve">would also </w:t>
      </w:r>
      <w:r w:rsidR="00923634">
        <w:rPr>
          <w:lang w:val="en-GB" w:eastAsia="en-US"/>
        </w:rPr>
        <w:t>allow</w:t>
      </w:r>
      <w:r w:rsidRPr="00BD756E">
        <w:rPr>
          <w:lang w:val="en-GB" w:eastAsia="en-US"/>
        </w:rPr>
        <w:t xml:space="preserve"> use of ravulizumab in later lines of therap</w:t>
      </w:r>
      <w:r w:rsidR="00923634">
        <w:rPr>
          <w:lang w:val="en-GB" w:eastAsia="en-US"/>
        </w:rPr>
        <w:t>y</w:t>
      </w:r>
      <w:r w:rsidRPr="00BD756E">
        <w:rPr>
          <w:lang w:val="en-GB" w:eastAsia="en-US"/>
        </w:rPr>
        <w:t>, including in those patients who would otherwise be treated with chronic IVIg/PLEX</w:t>
      </w:r>
      <w:r>
        <w:rPr>
          <w:lang w:val="en-GB" w:eastAsia="en-US"/>
        </w:rPr>
        <w:t xml:space="preserve">. </w:t>
      </w:r>
    </w:p>
    <w:p w14:paraId="0F397E00" w14:textId="7FE1BED5" w:rsidR="00620F64" w:rsidRDefault="00322E61" w:rsidP="00620F64">
      <w:pPr>
        <w:widowControl w:val="0"/>
        <w:numPr>
          <w:ilvl w:val="1"/>
          <w:numId w:val="1"/>
        </w:numPr>
        <w:spacing w:after="120"/>
        <w:rPr>
          <w:rFonts w:asciiTheme="minorHAnsi" w:hAnsiTheme="minorHAnsi"/>
          <w:snapToGrid w:val="0"/>
          <w:lang w:val="en-GB"/>
        </w:rPr>
      </w:pPr>
      <w:r>
        <w:rPr>
          <w:lang w:val="en-GB" w:eastAsia="en-US"/>
        </w:rPr>
        <w:t>As such, t</w:t>
      </w:r>
      <w:r w:rsidR="00620F64">
        <w:rPr>
          <w:rFonts w:asciiTheme="minorHAnsi" w:hAnsiTheme="minorHAnsi"/>
          <w:snapToGrid w:val="0"/>
          <w:lang w:val="en-GB"/>
        </w:rPr>
        <w:t xml:space="preserve">he PBAC noted that the submission requested listing of ravulizumab in a broad patient population which comprised two key, distinct places in therapy: </w:t>
      </w:r>
    </w:p>
    <w:p w14:paraId="2BA38A43" w14:textId="0CF85A34" w:rsidR="00620F64" w:rsidRDefault="00620F64" w:rsidP="003576A3">
      <w:pPr>
        <w:pStyle w:val="ListParagraph"/>
        <w:widowControl w:val="0"/>
        <w:numPr>
          <w:ilvl w:val="0"/>
          <w:numId w:val="24"/>
        </w:numPr>
        <w:ind w:left="1134"/>
        <w:rPr>
          <w:lang w:val="en-GB"/>
        </w:rPr>
      </w:pPr>
      <w:r w:rsidRPr="00761A2E">
        <w:rPr>
          <w:lang w:val="en-GB"/>
        </w:rPr>
        <w:t xml:space="preserve">early in </w:t>
      </w:r>
      <w:r w:rsidR="00983475">
        <w:rPr>
          <w:lang w:val="en-GB"/>
        </w:rPr>
        <w:t xml:space="preserve">the treatment algorithm, </w:t>
      </w:r>
      <w:r w:rsidR="005877D5">
        <w:rPr>
          <w:lang w:val="en-GB"/>
        </w:rPr>
        <w:t>initiated</w:t>
      </w:r>
      <w:r w:rsidR="00983475">
        <w:rPr>
          <w:lang w:val="en-GB"/>
        </w:rPr>
        <w:t xml:space="preserve"> in </w:t>
      </w:r>
      <w:r w:rsidRPr="00761A2E">
        <w:rPr>
          <w:lang w:val="en-GB"/>
        </w:rPr>
        <w:t xml:space="preserve">combination with </w:t>
      </w:r>
      <w:r w:rsidR="003F06EA" w:rsidRPr="00B04B96">
        <w:rPr>
          <w:lang w:val="en-GB" w:eastAsia="en-US"/>
        </w:rPr>
        <w:t xml:space="preserve">at least one </w:t>
      </w:r>
      <w:r w:rsidR="003F06EA" w:rsidRPr="00EB2260">
        <w:rPr>
          <w:lang w:val="en-GB" w:eastAsia="en-US"/>
        </w:rPr>
        <w:t>immunosuppressive therap</w:t>
      </w:r>
      <w:r w:rsidR="003F06EA">
        <w:rPr>
          <w:lang w:val="en-GB" w:eastAsia="en-US"/>
        </w:rPr>
        <w:t>y</w:t>
      </w:r>
      <w:r w:rsidRPr="00761A2E">
        <w:rPr>
          <w:lang w:val="en-GB"/>
        </w:rPr>
        <w:t xml:space="preserve">; and </w:t>
      </w:r>
    </w:p>
    <w:p w14:paraId="3BFBF206" w14:textId="77777777" w:rsidR="00620F64" w:rsidRDefault="00620F64" w:rsidP="003576A3">
      <w:pPr>
        <w:pStyle w:val="ListParagraph"/>
        <w:widowControl w:val="0"/>
        <w:numPr>
          <w:ilvl w:val="0"/>
          <w:numId w:val="24"/>
        </w:numPr>
        <w:ind w:left="1134"/>
        <w:rPr>
          <w:lang w:val="en-GB"/>
        </w:rPr>
      </w:pPr>
      <w:r w:rsidRPr="00761A2E">
        <w:rPr>
          <w:lang w:val="en-GB"/>
        </w:rPr>
        <w:t xml:space="preserve">later in the disease course in refractory patients. </w:t>
      </w:r>
    </w:p>
    <w:p w14:paraId="6ED22745" w14:textId="01DF8312" w:rsidR="00620F64" w:rsidRPr="00620F64" w:rsidRDefault="00620F64" w:rsidP="00620F64">
      <w:pPr>
        <w:widowControl w:val="0"/>
        <w:spacing w:after="120"/>
        <w:ind w:left="720"/>
        <w:rPr>
          <w:rFonts w:asciiTheme="minorHAnsi" w:hAnsiTheme="minorHAnsi"/>
          <w:snapToGrid w:val="0"/>
          <w:lang w:val="en-GB" w:eastAsia="en-US"/>
        </w:rPr>
      </w:pPr>
      <w:r w:rsidRPr="00761A2E">
        <w:rPr>
          <w:snapToGrid w:val="0"/>
          <w:lang w:val="en-GB"/>
        </w:rPr>
        <w:t xml:space="preserve">The PBAC noted this </w:t>
      </w:r>
      <w:r>
        <w:rPr>
          <w:snapToGrid w:val="0"/>
          <w:lang w:val="en-GB"/>
        </w:rPr>
        <w:t>broad patient population</w:t>
      </w:r>
      <w:r w:rsidRPr="00761A2E">
        <w:rPr>
          <w:snapToGrid w:val="0"/>
          <w:lang w:val="en-GB"/>
        </w:rPr>
        <w:t xml:space="preserve"> aligned with the </w:t>
      </w:r>
      <w:r>
        <w:rPr>
          <w:snapToGrid w:val="0"/>
          <w:lang w:val="en-GB"/>
        </w:rPr>
        <w:t xml:space="preserve">feedback received both at the </w:t>
      </w:r>
      <w:r w:rsidRPr="00761A2E">
        <w:rPr>
          <w:snapToGrid w:val="0"/>
          <w:lang w:val="en-GB"/>
        </w:rPr>
        <w:t xml:space="preserve">stakeholder meeting and </w:t>
      </w:r>
      <w:r>
        <w:rPr>
          <w:snapToGrid w:val="0"/>
          <w:lang w:val="en-GB"/>
        </w:rPr>
        <w:t>through t</w:t>
      </w:r>
      <w:r w:rsidRPr="00761A2E">
        <w:rPr>
          <w:snapToGrid w:val="0"/>
          <w:lang w:val="en-GB"/>
        </w:rPr>
        <w:t>he consumer</w:t>
      </w:r>
      <w:r>
        <w:rPr>
          <w:snapToGrid w:val="0"/>
          <w:lang w:val="en-GB"/>
        </w:rPr>
        <w:t xml:space="preserve"> comment</w:t>
      </w:r>
      <w:r w:rsidRPr="00761A2E">
        <w:rPr>
          <w:snapToGrid w:val="0"/>
          <w:lang w:val="en-GB"/>
        </w:rPr>
        <w:t>s regarding the ideal clinical positioning of the newer agents for gMG</w:t>
      </w:r>
      <w:r w:rsidRPr="00FE0D57">
        <w:rPr>
          <w:snapToGrid w:val="0"/>
          <w:lang w:val="en-GB"/>
        </w:rPr>
        <w:t xml:space="preserve">. As such, the PBAC expressed a preference for listing these therapies in this broad </w:t>
      </w:r>
      <w:r w:rsidRPr="002F333A">
        <w:rPr>
          <w:snapToGrid w:val="0"/>
          <w:lang w:val="en-GB"/>
        </w:rPr>
        <w:t xml:space="preserve">patient population. However, </w:t>
      </w:r>
      <w:r w:rsidR="0044203E" w:rsidRPr="002F333A">
        <w:rPr>
          <w:snapToGrid w:val="0"/>
          <w:lang w:val="en-GB"/>
        </w:rPr>
        <w:t>the PBAC considered it was unclear whether ravulizumab would be suitable for listing in this broad population given</w:t>
      </w:r>
      <w:r w:rsidR="003315F2">
        <w:rPr>
          <w:snapToGrid w:val="0"/>
          <w:lang w:val="en-GB"/>
        </w:rPr>
        <w:t>:</w:t>
      </w:r>
      <w:r w:rsidR="0032286D" w:rsidRPr="002F333A">
        <w:rPr>
          <w:snapToGrid w:val="0"/>
          <w:lang w:val="en-GB"/>
        </w:rPr>
        <w:t xml:space="preserve"> </w:t>
      </w:r>
      <w:r w:rsidRPr="002F333A">
        <w:rPr>
          <w:snapToGrid w:val="0"/>
          <w:lang w:val="en-GB"/>
        </w:rPr>
        <w:t xml:space="preserve">the </w:t>
      </w:r>
      <w:r w:rsidR="00717D48">
        <w:rPr>
          <w:snapToGrid w:val="0"/>
          <w:lang w:val="en-GB"/>
        </w:rPr>
        <w:t xml:space="preserve">very modest clinical efficacy demonstrated in the </w:t>
      </w:r>
      <w:r w:rsidR="001E4C07" w:rsidRPr="008B3A69">
        <w:t>CHAMPION-MG</w:t>
      </w:r>
      <w:r w:rsidR="001E4C07">
        <w:t xml:space="preserve"> trial</w:t>
      </w:r>
      <w:r w:rsidR="00717D48">
        <w:t xml:space="preserve"> (noting </w:t>
      </w:r>
      <w:r w:rsidR="008C38B2" w:rsidRPr="008C38B2">
        <w:t xml:space="preserve">that a similar proportion of patients in both treatment arms achieved </w:t>
      </w:r>
      <w:r w:rsidR="008C38B2">
        <w:t xml:space="preserve">the MCID threshold of a </w:t>
      </w:r>
      <w:r w:rsidR="008C38B2" w:rsidRPr="008C38B2">
        <w:t>≥ 2-point reduction in the MG-ADL score</w:t>
      </w:r>
      <w:r w:rsidR="008C38B2">
        <w:t>)</w:t>
      </w:r>
      <w:r w:rsidR="003315F2">
        <w:t>;</w:t>
      </w:r>
      <w:r w:rsidR="00527A9B">
        <w:t xml:space="preserve"> </w:t>
      </w:r>
      <w:r w:rsidRPr="002F333A">
        <w:rPr>
          <w:snapToGrid w:val="0"/>
          <w:lang w:val="en-GB"/>
        </w:rPr>
        <w:t xml:space="preserve">and </w:t>
      </w:r>
      <w:bookmarkStart w:id="78" w:name="_Hlk174114340"/>
      <w:r w:rsidRPr="002F333A">
        <w:rPr>
          <w:snapToGrid w:val="0"/>
          <w:lang w:val="en-GB"/>
        </w:rPr>
        <w:t>the</w:t>
      </w:r>
      <w:r w:rsidR="00BB472B">
        <w:rPr>
          <w:snapToGrid w:val="0"/>
          <w:lang w:val="en-GB"/>
        </w:rPr>
        <w:t xml:space="preserve"> available</w:t>
      </w:r>
      <w:r w:rsidRPr="002F333A">
        <w:rPr>
          <w:snapToGrid w:val="0"/>
          <w:lang w:val="en-GB"/>
        </w:rPr>
        <w:t xml:space="preserve"> therapies </w:t>
      </w:r>
      <w:r w:rsidR="0081771C">
        <w:rPr>
          <w:snapToGrid w:val="0"/>
          <w:lang w:val="en-GB"/>
        </w:rPr>
        <w:t>may</w:t>
      </w:r>
      <w:r w:rsidR="00CF74C0">
        <w:rPr>
          <w:snapToGrid w:val="0"/>
          <w:lang w:val="en-GB"/>
        </w:rPr>
        <w:t xml:space="preserve"> be</w:t>
      </w:r>
      <w:r w:rsidR="00BB472B">
        <w:rPr>
          <w:snapToGrid w:val="0"/>
          <w:lang w:val="en-GB"/>
        </w:rPr>
        <w:t xml:space="preserve"> effective</w:t>
      </w:r>
      <w:r w:rsidR="001E4C07">
        <w:rPr>
          <w:snapToGrid w:val="0"/>
          <w:lang w:val="en-GB"/>
        </w:rPr>
        <w:t xml:space="preserve"> </w:t>
      </w:r>
      <w:r w:rsidRPr="002F333A">
        <w:rPr>
          <w:snapToGrid w:val="0"/>
          <w:lang w:val="en-GB"/>
        </w:rPr>
        <w:t>for many patients</w:t>
      </w:r>
      <w:bookmarkEnd w:id="78"/>
      <w:r w:rsidR="0032286D" w:rsidRPr="002F333A">
        <w:rPr>
          <w:snapToGrid w:val="0"/>
          <w:lang w:val="en-GB"/>
        </w:rPr>
        <w:t>. Further, the PBAC considered that</w:t>
      </w:r>
      <w:r w:rsidRPr="002F333A">
        <w:rPr>
          <w:snapToGrid w:val="0"/>
          <w:lang w:val="en-GB"/>
        </w:rPr>
        <w:t xml:space="preserve"> a substantially lower ICER (based on a model that incorporates the issues raised in paragraphs </w:t>
      </w:r>
      <w:r w:rsidR="0049781C">
        <w:rPr>
          <w:snapToGrid w:val="0"/>
          <w:lang w:val="en-GB"/>
        </w:rPr>
        <w:fldChar w:fldCharType="begin" w:fldLock="1"/>
      </w:r>
      <w:r w:rsidR="0049781C">
        <w:rPr>
          <w:snapToGrid w:val="0"/>
          <w:lang w:val="en-GB"/>
        </w:rPr>
        <w:instrText xml:space="preserve"> REF _Ref174257021 \r \h </w:instrText>
      </w:r>
      <w:r w:rsidR="0049781C">
        <w:rPr>
          <w:snapToGrid w:val="0"/>
          <w:lang w:val="en-GB"/>
        </w:rPr>
      </w:r>
      <w:r w:rsidR="0049781C">
        <w:rPr>
          <w:snapToGrid w:val="0"/>
          <w:lang w:val="en-GB"/>
        </w:rPr>
        <w:fldChar w:fldCharType="separate"/>
      </w:r>
      <w:r w:rsidR="0081771C">
        <w:rPr>
          <w:snapToGrid w:val="0"/>
          <w:lang w:val="en-GB"/>
        </w:rPr>
        <w:t>7.15</w:t>
      </w:r>
      <w:r w:rsidR="0049781C">
        <w:rPr>
          <w:snapToGrid w:val="0"/>
          <w:lang w:val="en-GB"/>
        </w:rPr>
        <w:fldChar w:fldCharType="end"/>
      </w:r>
      <w:r w:rsidR="0049781C">
        <w:rPr>
          <w:snapToGrid w:val="0"/>
          <w:lang w:val="en-GB"/>
        </w:rPr>
        <w:t xml:space="preserve"> </w:t>
      </w:r>
      <w:r w:rsidR="001E18B4">
        <w:rPr>
          <w:snapToGrid w:val="0"/>
          <w:lang w:val="en-GB"/>
        </w:rPr>
        <w:t>and</w:t>
      </w:r>
      <w:r w:rsidR="0049781C">
        <w:rPr>
          <w:snapToGrid w:val="0"/>
          <w:lang w:val="en-GB"/>
        </w:rPr>
        <w:t xml:space="preserve"> </w:t>
      </w:r>
      <w:r w:rsidR="0049781C">
        <w:rPr>
          <w:snapToGrid w:val="0"/>
          <w:lang w:val="en-GB"/>
        </w:rPr>
        <w:fldChar w:fldCharType="begin" w:fldLock="1"/>
      </w:r>
      <w:r w:rsidR="0049781C">
        <w:rPr>
          <w:snapToGrid w:val="0"/>
          <w:lang w:val="en-GB"/>
        </w:rPr>
        <w:instrText xml:space="preserve"> REF _Ref174257023 \r \h </w:instrText>
      </w:r>
      <w:r w:rsidR="0049781C">
        <w:rPr>
          <w:snapToGrid w:val="0"/>
          <w:lang w:val="en-GB"/>
        </w:rPr>
      </w:r>
      <w:r w:rsidR="0049781C">
        <w:rPr>
          <w:snapToGrid w:val="0"/>
          <w:lang w:val="en-GB"/>
        </w:rPr>
        <w:fldChar w:fldCharType="separate"/>
      </w:r>
      <w:r w:rsidR="0081771C">
        <w:rPr>
          <w:snapToGrid w:val="0"/>
          <w:lang w:val="en-GB"/>
        </w:rPr>
        <w:t>7.16</w:t>
      </w:r>
      <w:r w:rsidR="0049781C">
        <w:rPr>
          <w:snapToGrid w:val="0"/>
          <w:lang w:val="en-GB"/>
        </w:rPr>
        <w:fldChar w:fldCharType="end"/>
      </w:r>
      <w:r w:rsidR="0049781C">
        <w:rPr>
          <w:snapToGrid w:val="0"/>
          <w:lang w:val="en-GB"/>
        </w:rPr>
        <w:t xml:space="preserve">) </w:t>
      </w:r>
      <w:r w:rsidRPr="002F333A">
        <w:rPr>
          <w:snapToGrid w:val="0"/>
          <w:lang w:val="en-GB"/>
        </w:rPr>
        <w:t>would be required for listing in a broad patient population</w:t>
      </w:r>
      <w:r w:rsidR="0032286D" w:rsidRPr="002F333A">
        <w:rPr>
          <w:snapToGrid w:val="0"/>
          <w:lang w:val="en-GB"/>
        </w:rPr>
        <w:t>.</w:t>
      </w:r>
      <w:r w:rsidR="000D27A2" w:rsidRPr="002F333A">
        <w:rPr>
          <w:snapToGrid w:val="0"/>
          <w:lang w:val="en-GB"/>
        </w:rPr>
        <w:t xml:space="preserve"> </w:t>
      </w:r>
      <w:r w:rsidR="000D27A2" w:rsidRPr="002F333A">
        <w:rPr>
          <w:rFonts w:asciiTheme="minorHAnsi" w:hAnsiTheme="minorHAnsi"/>
          <w:snapToGrid w:val="0"/>
          <w:lang w:val="en-GB"/>
        </w:rPr>
        <w:t xml:space="preserve">Alternatively, the PBAC </w:t>
      </w:r>
      <w:r w:rsidR="00CD72E0" w:rsidRPr="002F333A">
        <w:rPr>
          <w:rFonts w:asciiTheme="minorHAnsi" w:hAnsiTheme="minorHAnsi"/>
          <w:snapToGrid w:val="0"/>
          <w:lang w:val="en-GB"/>
        </w:rPr>
        <w:t>considered there could be potential for listing the newer gMG therapies in a distinct population where the alternative treatment</w:t>
      </w:r>
      <w:r w:rsidR="00CD72E0" w:rsidRPr="00CD72E0">
        <w:rPr>
          <w:rFonts w:asciiTheme="minorHAnsi" w:hAnsiTheme="minorHAnsi"/>
          <w:snapToGrid w:val="0"/>
          <w:lang w:val="en-GB"/>
        </w:rPr>
        <w:t xml:space="preserve"> options are more limited</w:t>
      </w:r>
      <w:r w:rsidR="002C470C">
        <w:rPr>
          <w:rFonts w:asciiTheme="minorHAnsi" w:hAnsiTheme="minorHAnsi"/>
          <w:snapToGrid w:val="0"/>
          <w:lang w:val="en-GB"/>
        </w:rPr>
        <w:t>,</w:t>
      </w:r>
      <w:r w:rsidR="002C470C" w:rsidRPr="002C470C">
        <w:rPr>
          <w:rFonts w:asciiTheme="minorHAnsi" w:hAnsiTheme="minorHAnsi"/>
          <w:snapToGrid w:val="0"/>
          <w:lang w:val="en-GB"/>
        </w:rPr>
        <w:t xml:space="preserve"> </w:t>
      </w:r>
      <w:r w:rsidR="002C470C" w:rsidRPr="000D27A2">
        <w:rPr>
          <w:rFonts w:asciiTheme="minorHAnsi" w:hAnsiTheme="minorHAnsi"/>
          <w:snapToGrid w:val="0"/>
          <w:lang w:val="en-GB"/>
        </w:rPr>
        <w:t>if this were supported by clinical evidence</w:t>
      </w:r>
      <w:r w:rsidR="002C470C">
        <w:rPr>
          <w:rFonts w:asciiTheme="minorHAnsi" w:hAnsiTheme="minorHAnsi"/>
          <w:snapToGrid w:val="0"/>
          <w:lang w:val="en-GB"/>
        </w:rPr>
        <w:t>. F</w:t>
      </w:r>
      <w:r w:rsidR="00D74077">
        <w:rPr>
          <w:rFonts w:asciiTheme="minorHAnsi" w:hAnsiTheme="minorHAnsi"/>
          <w:snapToGrid w:val="0"/>
          <w:lang w:val="en-GB"/>
        </w:rPr>
        <w:t>or example</w:t>
      </w:r>
      <w:r w:rsidR="00512F4E">
        <w:rPr>
          <w:rFonts w:asciiTheme="minorHAnsi" w:hAnsiTheme="minorHAnsi"/>
          <w:snapToGrid w:val="0"/>
          <w:lang w:val="en-GB"/>
        </w:rPr>
        <w:t>,</w:t>
      </w:r>
      <w:r w:rsidR="00D74077">
        <w:rPr>
          <w:rFonts w:asciiTheme="minorHAnsi" w:hAnsiTheme="minorHAnsi"/>
          <w:snapToGrid w:val="0"/>
          <w:lang w:val="en-GB"/>
        </w:rPr>
        <w:t xml:space="preserve"> </w:t>
      </w:r>
      <w:r w:rsidR="00CD72E0" w:rsidRPr="00CD72E0">
        <w:rPr>
          <w:rFonts w:asciiTheme="minorHAnsi" w:hAnsiTheme="minorHAnsi"/>
          <w:snapToGrid w:val="0"/>
          <w:lang w:val="en-GB"/>
        </w:rPr>
        <w:t xml:space="preserve">the PBAC considered that the highest unmet clinical need is in </w:t>
      </w:r>
      <w:r w:rsidR="002C470C">
        <w:rPr>
          <w:rFonts w:asciiTheme="minorHAnsi" w:hAnsiTheme="minorHAnsi"/>
          <w:snapToGrid w:val="0"/>
          <w:lang w:val="en-GB"/>
        </w:rPr>
        <w:t xml:space="preserve">patients who </w:t>
      </w:r>
      <w:r w:rsidR="00CD72E0" w:rsidRPr="00CD72E0">
        <w:rPr>
          <w:rFonts w:asciiTheme="minorHAnsi" w:hAnsiTheme="minorHAnsi"/>
          <w:snapToGrid w:val="0"/>
          <w:lang w:val="en-GB"/>
        </w:rPr>
        <w:t>would otherwise be treated with chronic IVIg or PLEX</w:t>
      </w:r>
      <w:r w:rsidR="00EA470F">
        <w:rPr>
          <w:rFonts w:asciiTheme="minorHAnsi" w:hAnsiTheme="minorHAnsi"/>
          <w:snapToGrid w:val="0"/>
          <w:lang w:val="en-GB"/>
        </w:rPr>
        <w:t xml:space="preserve"> (noting access to these therapies can be difficult). </w:t>
      </w:r>
    </w:p>
    <w:p w14:paraId="679C03B8" w14:textId="771DEEFC" w:rsidR="00184BB1" w:rsidRDefault="00184BB1" w:rsidP="003C3150">
      <w:pPr>
        <w:pStyle w:val="COMexecsumnumberedpara"/>
        <w:rPr>
          <w:lang w:val="en-GB" w:eastAsia="en-US"/>
        </w:rPr>
      </w:pPr>
      <w:r>
        <w:rPr>
          <w:lang w:val="en-GB" w:eastAsia="en-US"/>
        </w:rPr>
        <w:t xml:space="preserve">The PBAC considered that it may have been preferable to have proposed separate initial and continuing </w:t>
      </w:r>
      <w:r>
        <w:rPr>
          <w:lang w:val="en-GB"/>
        </w:rPr>
        <w:t>treatment criteria for refractory and non-refractory patients</w:t>
      </w:r>
      <w:r w:rsidR="005A2417">
        <w:rPr>
          <w:lang w:val="en-GB"/>
        </w:rPr>
        <w:t xml:space="preserve">. </w:t>
      </w:r>
      <w:r w:rsidR="00630DE7">
        <w:rPr>
          <w:lang w:val="en-GB"/>
        </w:rPr>
        <w:t>Further, t</w:t>
      </w:r>
      <w:r w:rsidR="005A2417">
        <w:rPr>
          <w:lang w:val="en-GB"/>
        </w:rPr>
        <w:t>he PBAC considered that it was unclear w</w:t>
      </w:r>
      <w:r>
        <w:rPr>
          <w:lang w:val="en-GB"/>
        </w:rPr>
        <w:t>hether there is evidence to support use</w:t>
      </w:r>
      <w:r w:rsidR="001E4C07">
        <w:rPr>
          <w:lang w:val="en-GB"/>
        </w:rPr>
        <w:t xml:space="preserve"> of ravulizumab</w:t>
      </w:r>
      <w:r>
        <w:rPr>
          <w:lang w:val="en-GB"/>
        </w:rPr>
        <w:t xml:space="preserve"> in gMG exacerbations/crises or if this setting should </w:t>
      </w:r>
      <w:r w:rsidR="00365356">
        <w:rPr>
          <w:lang w:val="en-GB"/>
        </w:rPr>
        <w:t xml:space="preserve">have </w:t>
      </w:r>
      <w:r>
        <w:rPr>
          <w:lang w:val="en-GB"/>
        </w:rPr>
        <w:t>be</w:t>
      </w:r>
      <w:r w:rsidR="00365356">
        <w:rPr>
          <w:lang w:val="en-GB"/>
        </w:rPr>
        <w:t>en</w:t>
      </w:r>
      <w:r>
        <w:rPr>
          <w:lang w:val="en-GB"/>
        </w:rPr>
        <w:t xml:space="preserve"> explicitly excluded.</w:t>
      </w:r>
    </w:p>
    <w:p w14:paraId="4EAD83EC" w14:textId="76B3ED21" w:rsidR="00620F64" w:rsidRPr="00EB2260" w:rsidRDefault="00A63282" w:rsidP="00B04B96">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T</w:t>
      </w:r>
      <w:r w:rsidR="00620F64">
        <w:rPr>
          <w:rFonts w:asciiTheme="minorHAnsi" w:hAnsiTheme="minorHAnsi"/>
          <w:snapToGrid w:val="0"/>
          <w:lang w:val="en-GB" w:eastAsia="en-US"/>
        </w:rPr>
        <w:t xml:space="preserve">he </w:t>
      </w:r>
      <w:r w:rsidR="00B04B96" w:rsidRPr="00B04B96">
        <w:rPr>
          <w:rFonts w:asciiTheme="minorHAnsi" w:hAnsiTheme="minorHAnsi"/>
          <w:snapToGrid w:val="0"/>
          <w:lang w:val="en-GB" w:eastAsia="en-US"/>
        </w:rPr>
        <w:t>pre-PBAC response proposed amending the requested initial restriction to require patient</w:t>
      </w:r>
      <w:r>
        <w:rPr>
          <w:rFonts w:asciiTheme="minorHAnsi" w:hAnsiTheme="minorHAnsi"/>
          <w:snapToGrid w:val="0"/>
          <w:lang w:val="en-GB" w:eastAsia="en-US"/>
        </w:rPr>
        <w:t>s</w:t>
      </w:r>
      <w:r w:rsidR="00B04B96" w:rsidRPr="00B04B96">
        <w:rPr>
          <w:rFonts w:asciiTheme="minorHAnsi" w:hAnsiTheme="minorHAnsi"/>
          <w:snapToGrid w:val="0"/>
          <w:lang w:val="en-GB" w:eastAsia="en-US"/>
        </w:rPr>
        <w:t xml:space="preserve"> </w:t>
      </w:r>
      <w:r w:rsidR="00B04B96">
        <w:rPr>
          <w:rFonts w:asciiTheme="minorHAnsi" w:hAnsiTheme="minorHAnsi"/>
          <w:snapToGrid w:val="0"/>
          <w:lang w:val="en-GB" w:eastAsia="en-US"/>
        </w:rPr>
        <w:t>to</w:t>
      </w:r>
      <w:r w:rsidR="00B04B96" w:rsidRPr="00B04B96">
        <w:rPr>
          <w:rFonts w:asciiTheme="minorHAnsi" w:hAnsiTheme="minorHAnsi"/>
          <w:snapToGrid w:val="0"/>
          <w:lang w:val="en-GB" w:eastAsia="en-US"/>
        </w:rPr>
        <w:t xml:space="preserve"> have an MG-ADL score of ≥ 6 points despite </w:t>
      </w:r>
      <w:r w:rsidR="00B04B96">
        <w:rPr>
          <w:rFonts w:asciiTheme="minorHAnsi" w:hAnsiTheme="minorHAnsi"/>
          <w:snapToGrid w:val="0"/>
          <w:lang w:val="en-GB" w:eastAsia="en-US"/>
        </w:rPr>
        <w:t>‘</w:t>
      </w:r>
      <w:r w:rsidR="00B04B96" w:rsidRPr="00B04B96">
        <w:rPr>
          <w:rFonts w:asciiTheme="minorHAnsi" w:hAnsiTheme="minorHAnsi"/>
          <w:snapToGrid w:val="0"/>
          <w:lang w:val="en-GB" w:eastAsia="en-US"/>
        </w:rPr>
        <w:t xml:space="preserve">at least one </w:t>
      </w:r>
      <w:r w:rsidR="00EB2260" w:rsidRPr="00EB2260">
        <w:rPr>
          <w:rFonts w:asciiTheme="minorHAnsi" w:hAnsiTheme="minorHAnsi"/>
          <w:snapToGrid w:val="0"/>
          <w:lang w:val="en-GB" w:eastAsia="en-US"/>
        </w:rPr>
        <w:t>immunosuppressive therap</w:t>
      </w:r>
      <w:r w:rsidR="00EB2260">
        <w:rPr>
          <w:rFonts w:asciiTheme="minorHAnsi" w:hAnsiTheme="minorHAnsi"/>
          <w:snapToGrid w:val="0"/>
          <w:lang w:val="en-GB" w:eastAsia="en-US"/>
        </w:rPr>
        <w:t>y</w:t>
      </w:r>
      <w:r w:rsidR="00B04B96">
        <w:rPr>
          <w:rFonts w:asciiTheme="minorHAnsi" w:hAnsiTheme="minorHAnsi"/>
          <w:snapToGrid w:val="0"/>
          <w:lang w:val="en-GB" w:eastAsia="en-US"/>
        </w:rPr>
        <w:t>’ (</w:t>
      </w:r>
      <w:r w:rsidR="00B04B96">
        <w:t>rather than despite ‘standard therapy’</w:t>
      </w:r>
      <w:r w:rsidR="00B04B96">
        <w:rPr>
          <w:rFonts w:asciiTheme="minorHAnsi" w:hAnsiTheme="minorHAnsi"/>
          <w:snapToGrid w:val="0"/>
          <w:lang w:val="en-GB" w:eastAsia="en-US"/>
        </w:rPr>
        <w:t xml:space="preserve"> to </w:t>
      </w:r>
      <w:r w:rsidR="00B04B96" w:rsidRPr="00EB2260">
        <w:rPr>
          <w:rFonts w:asciiTheme="minorHAnsi" w:hAnsiTheme="minorHAnsi"/>
          <w:snapToGrid w:val="0"/>
          <w:lang w:val="en-GB" w:eastAsia="en-US"/>
        </w:rPr>
        <w:t xml:space="preserve">help clarify that ravulizumab should </w:t>
      </w:r>
      <w:r w:rsidR="00B04B96" w:rsidRPr="00A07CC7">
        <w:rPr>
          <w:rFonts w:asciiTheme="minorHAnsi" w:hAnsiTheme="minorHAnsi"/>
          <w:snapToGrid w:val="0"/>
          <w:lang w:val="en-GB" w:eastAsia="en-US"/>
        </w:rPr>
        <w:t xml:space="preserve">be used as add-on to </w:t>
      </w:r>
      <w:r w:rsidR="00EB2260" w:rsidRPr="00A07CC7">
        <w:rPr>
          <w:rFonts w:asciiTheme="minorHAnsi" w:hAnsiTheme="minorHAnsi"/>
          <w:snapToGrid w:val="0"/>
          <w:lang w:val="en-GB" w:eastAsia="en-US"/>
        </w:rPr>
        <w:t>immunosuppressive therapy</w:t>
      </w:r>
      <w:r w:rsidR="003315F2">
        <w:rPr>
          <w:rFonts w:asciiTheme="minorHAnsi" w:hAnsiTheme="minorHAnsi"/>
          <w:snapToGrid w:val="0"/>
          <w:lang w:val="en-GB" w:eastAsia="en-US"/>
        </w:rPr>
        <w:t>)</w:t>
      </w:r>
      <w:r w:rsidR="00D43603">
        <w:rPr>
          <w:rFonts w:asciiTheme="minorHAnsi" w:hAnsiTheme="minorHAnsi"/>
          <w:snapToGrid w:val="0"/>
          <w:lang w:val="en-GB" w:eastAsia="en-US"/>
        </w:rPr>
        <w:t xml:space="preserve">. </w:t>
      </w:r>
      <w:r w:rsidR="00B04B96" w:rsidRPr="00A07CC7">
        <w:rPr>
          <w:rFonts w:asciiTheme="minorHAnsi" w:hAnsiTheme="minorHAnsi"/>
          <w:snapToGrid w:val="0"/>
          <w:lang w:val="en-GB" w:eastAsia="en-US"/>
        </w:rPr>
        <w:t>The PBAC considered</w:t>
      </w:r>
      <w:r w:rsidR="00B04B96" w:rsidRPr="00EB2260">
        <w:rPr>
          <w:rFonts w:asciiTheme="minorHAnsi" w:hAnsiTheme="minorHAnsi"/>
          <w:snapToGrid w:val="0"/>
          <w:lang w:val="en-GB" w:eastAsia="en-US"/>
        </w:rPr>
        <w:t xml:space="preserve"> that this remained broad given it did not require the </w:t>
      </w:r>
      <w:r w:rsidR="00EB2260" w:rsidRPr="00EB2260">
        <w:rPr>
          <w:rFonts w:asciiTheme="minorHAnsi" w:hAnsiTheme="minorHAnsi"/>
          <w:snapToGrid w:val="0"/>
          <w:lang w:val="en-GB" w:eastAsia="en-US"/>
        </w:rPr>
        <w:t>immunosuppressive therap</w:t>
      </w:r>
      <w:r w:rsidR="00EB2260" w:rsidRPr="00EB2260">
        <w:rPr>
          <w:lang w:val="en-GB" w:eastAsia="en-US"/>
        </w:rPr>
        <w:t>y</w:t>
      </w:r>
      <w:r w:rsidR="00B04B96" w:rsidRPr="00EB2260">
        <w:rPr>
          <w:rFonts w:asciiTheme="minorHAnsi" w:hAnsiTheme="minorHAnsi"/>
          <w:snapToGrid w:val="0"/>
          <w:lang w:val="en-GB" w:eastAsia="en-US"/>
        </w:rPr>
        <w:t xml:space="preserve"> to have been optimised, nor specify a timeframe for assessing response prior to commencing ravulizumab.</w:t>
      </w:r>
    </w:p>
    <w:p w14:paraId="5CC68D02" w14:textId="277143C5" w:rsidR="001F270C" w:rsidRPr="006063FE" w:rsidRDefault="001F270C" w:rsidP="001F270C">
      <w:pPr>
        <w:pStyle w:val="COMexecsumnumberedpara"/>
      </w:pPr>
      <w:r w:rsidRPr="008B3A69">
        <w:t xml:space="preserve">The </w:t>
      </w:r>
      <w:r>
        <w:t xml:space="preserve">PBAC noted that the </w:t>
      </w:r>
      <w:r w:rsidRPr="008B3A69">
        <w:t>proposed restriction state</w:t>
      </w:r>
      <w:r>
        <w:t>d</w:t>
      </w:r>
      <w:r w:rsidR="004C0A2F">
        <w:t xml:space="preserve"> ‘</w:t>
      </w:r>
      <w:r w:rsidRPr="008B3A69">
        <w:t>patients who are clinically stable should be considered for a trial of cessation of therapy to identify disease remission</w:t>
      </w:r>
      <w:r w:rsidR="001C0DA0">
        <w:t>’</w:t>
      </w:r>
      <w:r w:rsidRPr="008B3A69">
        <w:t xml:space="preserve">. The </w:t>
      </w:r>
      <w:r>
        <w:t xml:space="preserve">PBAC agreed with </w:t>
      </w:r>
      <w:r w:rsidRPr="000F492E">
        <w:t xml:space="preserve">the clinicians present at the stakeholder meeting that there should </w:t>
      </w:r>
      <w:r w:rsidRPr="00A94641">
        <w:t xml:space="preserve">be robust stopping rules </w:t>
      </w:r>
      <w:r w:rsidR="000D7BDC">
        <w:t>(</w:t>
      </w:r>
      <w:r w:rsidR="000D7BDC" w:rsidRPr="000D7BDC">
        <w:t>i.e. to require cessation in responding patients in order to prevent ongoing use that may be unnecessary</w:t>
      </w:r>
      <w:r w:rsidR="003315F2">
        <w:t>)</w:t>
      </w:r>
      <w:r w:rsidRPr="001F270C">
        <w:t>, noting that it would be harder to cease treatment in refractory patients</w:t>
      </w:r>
      <w:r>
        <w:t xml:space="preserve">. </w:t>
      </w:r>
      <w:r w:rsidR="004A4174">
        <w:t xml:space="preserve">However, the PBAC considered that the </w:t>
      </w:r>
      <w:r w:rsidR="004A4174" w:rsidRPr="008B3A69">
        <w:t xml:space="preserve">wording </w:t>
      </w:r>
      <w:r w:rsidR="004A4174">
        <w:t xml:space="preserve">in the proposed restriction was </w:t>
      </w:r>
      <w:r w:rsidR="004A4174" w:rsidRPr="008B3A69">
        <w:t>ambiguous as it d</w:t>
      </w:r>
      <w:r w:rsidR="004A4174">
        <w:t xml:space="preserve">id </w:t>
      </w:r>
      <w:r w:rsidR="004A4174" w:rsidRPr="008B3A69">
        <w:t xml:space="preserve">not mandate cessation nor provide sufficient detail </w:t>
      </w:r>
      <w:r w:rsidR="00365356">
        <w:t>as to</w:t>
      </w:r>
      <w:r w:rsidR="004A4174" w:rsidRPr="008B3A69">
        <w:t xml:space="preserve"> when and how stable disease should be assessed. </w:t>
      </w:r>
      <w:r w:rsidR="007F3B66">
        <w:t>As such,</w:t>
      </w:r>
      <w:r w:rsidRPr="006063FE">
        <w:t xml:space="preserve"> the PBAC considered that </w:t>
      </w:r>
      <w:r w:rsidR="007F3B66">
        <w:t xml:space="preserve">based on the proposed restriction </w:t>
      </w:r>
      <w:r w:rsidRPr="006063FE">
        <w:t xml:space="preserve">it would be unlikely that all patients would cease ravulizumab after </w:t>
      </w:r>
      <w:r w:rsidR="007F3B66">
        <w:t xml:space="preserve">a maximum of </w:t>
      </w:r>
      <w:r w:rsidRPr="006063FE">
        <w:t xml:space="preserve">two years, </w:t>
      </w:r>
      <w:r w:rsidR="00715FD9" w:rsidRPr="006063FE">
        <w:t xml:space="preserve">as assumed in the </w:t>
      </w:r>
      <w:r w:rsidR="00656A2B">
        <w:t>economic model and financial estimates</w:t>
      </w:r>
      <w:r w:rsidR="00F433E7">
        <w:t>.</w:t>
      </w:r>
    </w:p>
    <w:p w14:paraId="392ED620" w14:textId="573EE8A3" w:rsidR="00B04B96" w:rsidRPr="00D63C4E" w:rsidRDefault="00B04B96" w:rsidP="00F47EB9">
      <w:pPr>
        <w:widowControl w:val="0"/>
        <w:numPr>
          <w:ilvl w:val="1"/>
          <w:numId w:val="1"/>
        </w:numPr>
        <w:spacing w:after="120"/>
        <w:rPr>
          <w:rFonts w:asciiTheme="minorHAnsi" w:hAnsiTheme="minorHAnsi"/>
          <w:snapToGrid w:val="0"/>
          <w:lang w:val="en-GB"/>
        </w:rPr>
      </w:pPr>
      <w:r w:rsidRPr="001F270C">
        <w:rPr>
          <w:rFonts w:asciiTheme="minorHAnsi" w:hAnsiTheme="minorHAnsi"/>
          <w:snapToGrid w:val="0"/>
          <w:lang w:val="en-GB"/>
        </w:rPr>
        <w:t>In</w:t>
      </w:r>
      <w:r w:rsidRPr="001F270C">
        <w:t xml:space="preserve"> terms of the continuation criteria for assessing response</w:t>
      </w:r>
      <w:r w:rsidR="00D11FAA">
        <w:t xml:space="preserve"> (i.e. to require cessation in p</w:t>
      </w:r>
      <w:r w:rsidR="00D11FAA" w:rsidRPr="000B4777">
        <w:t xml:space="preserve">atients </w:t>
      </w:r>
      <w:r w:rsidR="00D11FAA">
        <w:t>who experience</w:t>
      </w:r>
      <w:r w:rsidR="00D11FAA" w:rsidRPr="000B4777">
        <w:t xml:space="preserve"> an inadequate response</w:t>
      </w:r>
      <w:r w:rsidR="00D11FAA">
        <w:t>)</w:t>
      </w:r>
      <w:r w:rsidRPr="001F270C">
        <w:t xml:space="preserve">, the PBAC noted that the submission proposed </w:t>
      </w:r>
      <w:r w:rsidR="00C96E73">
        <w:t>that</w:t>
      </w:r>
      <w:r w:rsidRPr="001F270C">
        <w:t xml:space="preserve"> a 2-point reduction in MG-ADL from baseline</w:t>
      </w:r>
      <w:r w:rsidR="00FE74D4">
        <w:t xml:space="preserve"> would be required for on-going treatment</w:t>
      </w:r>
      <w:r w:rsidRPr="001F270C">
        <w:t xml:space="preserve">. However, the PBAC considered this required further consideration as it would mean that over half of patients would be continuing based on the placebo effect alone, </w:t>
      </w:r>
      <w:r w:rsidR="00F47EB9">
        <w:t xml:space="preserve">given 53.0% of patients in the placebo arm achieved this </w:t>
      </w:r>
      <w:r w:rsidR="00F47EB9" w:rsidRPr="00D63C4E">
        <w:t xml:space="preserve">response level in the trial (versus </w:t>
      </w:r>
      <w:r w:rsidRPr="00D63C4E">
        <w:t xml:space="preserve">63.9% </w:t>
      </w:r>
      <w:r w:rsidR="00F47EB9" w:rsidRPr="00D63C4E">
        <w:t xml:space="preserve">in the ravulizumab group, </w:t>
      </w:r>
      <w:r w:rsidRPr="00D63C4E">
        <w:t>based on the proportion of patients with a ≥ </w:t>
      </w:r>
      <w:r w:rsidR="001F270C" w:rsidRPr="00D63C4E">
        <w:t>2</w:t>
      </w:r>
      <w:r w:rsidRPr="00D63C4E">
        <w:noBreakHyphen/>
        <w:t xml:space="preserve">point reduction in MG-ADL scores from baseline to Week </w:t>
      </w:r>
      <w:r w:rsidR="001F270C" w:rsidRPr="00D63C4E">
        <w:t>26</w:t>
      </w:r>
      <w:r w:rsidRPr="00D63C4E">
        <w:t>).</w:t>
      </w:r>
      <w:r w:rsidRPr="00D63C4E">
        <w:rPr>
          <w:rFonts w:asciiTheme="minorHAnsi" w:hAnsiTheme="minorHAnsi"/>
          <w:snapToGrid w:val="0"/>
          <w:lang w:val="en-GB"/>
        </w:rPr>
        <w:t xml:space="preserve"> </w:t>
      </w:r>
    </w:p>
    <w:p w14:paraId="3445BC5F" w14:textId="07A7EC35" w:rsidR="00ED21F4" w:rsidRPr="00ED21F4" w:rsidRDefault="00A06483">
      <w:pPr>
        <w:widowControl w:val="0"/>
        <w:numPr>
          <w:ilvl w:val="1"/>
          <w:numId w:val="1"/>
        </w:numPr>
        <w:spacing w:after="120"/>
        <w:rPr>
          <w:rFonts w:asciiTheme="minorHAnsi" w:hAnsiTheme="minorHAnsi"/>
          <w:snapToGrid w:val="0"/>
          <w:lang w:val="en-GB"/>
        </w:rPr>
      </w:pPr>
      <w:bookmarkStart w:id="79" w:name="_Ref174114450"/>
      <w:r w:rsidRPr="00D63C4E">
        <w:rPr>
          <w:rFonts w:asciiTheme="minorHAnsi" w:hAnsiTheme="minorHAnsi"/>
          <w:snapToGrid w:val="0"/>
          <w:lang w:val="en-GB"/>
        </w:rPr>
        <w:t xml:space="preserve">The PBAC noted that the submission nominated </w:t>
      </w:r>
      <w:r w:rsidR="00010634" w:rsidRPr="00D63C4E">
        <w:t>standard therapy (consisting of anticholinesterases</w:t>
      </w:r>
      <w:r w:rsidR="00010634" w:rsidRPr="008B3A69">
        <w:t>, corticosteroids and other immunosuppressive agents such as mycophenolate mofetil, azathioprine, methotrexate, tacrolimus, cyclosporin) as the main comparator</w:t>
      </w:r>
      <w:r w:rsidR="00010634">
        <w:t xml:space="preserve">. </w:t>
      </w:r>
      <w:r>
        <w:t xml:space="preserve">The PBAC </w:t>
      </w:r>
      <w:r w:rsidR="0026168E">
        <w:t xml:space="preserve">agreed with the evaluation and the ESC, that </w:t>
      </w:r>
      <w:r w:rsidR="00820E4B" w:rsidRPr="008B3A69">
        <w:t xml:space="preserve">ravulizumab </w:t>
      </w:r>
      <w:r w:rsidR="0026168E" w:rsidRPr="008B3A69">
        <w:t>would displace existing treatment options which should therefore be considered as treatment comparators</w:t>
      </w:r>
      <w:r w:rsidR="00601A2B">
        <w:t xml:space="preserve"> </w:t>
      </w:r>
      <w:r w:rsidR="0026168E" w:rsidRPr="008B3A69">
        <w:t>including existing immunosuppressive therapies</w:t>
      </w:r>
      <w:r w:rsidR="00E36180">
        <w:t xml:space="preserve"> and</w:t>
      </w:r>
      <w:r w:rsidR="0026168E" w:rsidRPr="008B3A69">
        <w:t xml:space="preserve"> chronic PLEX/IVIg</w:t>
      </w:r>
      <w:r w:rsidR="00E36180">
        <w:t xml:space="preserve"> (refractory setting)</w:t>
      </w:r>
      <w:r w:rsidR="0024079D">
        <w:t>.</w:t>
      </w:r>
      <w:r w:rsidR="00C80866">
        <w:t xml:space="preserve"> </w:t>
      </w:r>
      <w:r w:rsidR="00054235">
        <w:t>As such, t</w:t>
      </w:r>
      <w:r>
        <w:t xml:space="preserve">he PBAC considered for the non-refractory group, the comparator should be optimisation of existing therapies. </w:t>
      </w:r>
      <w:r w:rsidR="00ED21F4" w:rsidRPr="00ED21F4">
        <w:t xml:space="preserve">For refractory patients and those who are unable to use or not responding to existing therapies, the PBAC acknowledged that there are variations in access to IVIg/PLEX and that any clinical comparisons may be limited by the lack of evidence for IVIg/PLEX. As such, the PBAC considered that placebo may be a reasonable comparator in this group. However, the PBAC considered that chronic IVIg/PLEX remained a relevant comparator for providing a frame of reference for interpreting the cost per patient of </w:t>
      </w:r>
      <w:r w:rsidR="00ED21F4">
        <w:t xml:space="preserve">ravulizumab </w:t>
      </w:r>
      <w:r w:rsidR="00ED21F4" w:rsidRPr="00ED21F4">
        <w:t>in the refractory setting.</w:t>
      </w:r>
    </w:p>
    <w:bookmarkEnd w:id="79"/>
    <w:p w14:paraId="77349AEA" w14:textId="64AC922E" w:rsidR="006551D5" w:rsidRPr="00087430" w:rsidRDefault="00C63536" w:rsidP="006551D5">
      <w:pPr>
        <w:widowControl w:val="0"/>
        <w:numPr>
          <w:ilvl w:val="1"/>
          <w:numId w:val="1"/>
        </w:numPr>
        <w:spacing w:after="120"/>
        <w:rPr>
          <w:rFonts w:asciiTheme="minorHAnsi" w:hAnsiTheme="minorHAnsi"/>
          <w:snapToGrid w:val="0"/>
          <w:lang w:val="en-GB" w:eastAsia="en-US"/>
        </w:rPr>
      </w:pPr>
      <w:r>
        <w:rPr>
          <w:lang w:val="en-GB" w:eastAsia="en-US"/>
        </w:rPr>
        <w:t xml:space="preserve">The PBAC noted that the clinical claim was based on the </w:t>
      </w:r>
      <w:r w:rsidR="005A4FF3" w:rsidRPr="005A4FF3">
        <w:rPr>
          <w:lang w:val="en-GB" w:eastAsia="en-US"/>
        </w:rPr>
        <w:t xml:space="preserve">CHAMPION-MG </w:t>
      </w:r>
      <w:r w:rsidR="005A4FF3">
        <w:rPr>
          <w:lang w:val="en-GB" w:eastAsia="en-US"/>
        </w:rPr>
        <w:t xml:space="preserve">trial, a </w:t>
      </w:r>
      <w:r w:rsidR="005A4FF3" w:rsidRPr="005A4FF3">
        <w:rPr>
          <w:lang w:val="en-GB" w:eastAsia="en-US"/>
        </w:rPr>
        <w:t>randomised</w:t>
      </w:r>
      <w:r w:rsidR="00F03B96">
        <w:rPr>
          <w:lang w:val="en-GB" w:eastAsia="en-US"/>
        </w:rPr>
        <w:t>,</w:t>
      </w:r>
      <w:r w:rsidR="005A4FF3" w:rsidRPr="005A4FF3">
        <w:rPr>
          <w:lang w:val="en-GB" w:eastAsia="en-US"/>
        </w:rPr>
        <w:t xml:space="preserve"> </w:t>
      </w:r>
      <w:r w:rsidR="002C38F0">
        <w:rPr>
          <w:lang w:val="en-GB" w:eastAsia="en-US"/>
        </w:rPr>
        <w:t xml:space="preserve">double-blind </w:t>
      </w:r>
      <w:r w:rsidR="005A4FF3" w:rsidRPr="005A4FF3">
        <w:rPr>
          <w:lang w:val="en-GB" w:eastAsia="en-US"/>
        </w:rPr>
        <w:t xml:space="preserve">trial comparing ravulizumab </w:t>
      </w:r>
      <w:r w:rsidR="00FE37AE">
        <w:rPr>
          <w:lang w:val="en-GB" w:eastAsia="en-US"/>
        </w:rPr>
        <w:t>with</w:t>
      </w:r>
      <w:r w:rsidR="005A4FF3" w:rsidRPr="005A4FF3">
        <w:rPr>
          <w:lang w:val="en-GB" w:eastAsia="en-US"/>
        </w:rPr>
        <w:t xml:space="preserve"> placebo</w:t>
      </w:r>
      <w:r w:rsidR="00F03B96">
        <w:rPr>
          <w:lang w:val="en-GB" w:eastAsia="en-US"/>
        </w:rPr>
        <w:t xml:space="preserve"> for 26 weeks</w:t>
      </w:r>
      <w:r w:rsidR="005A4FF3">
        <w:rPr>
          <w:lang w:val="en-GB" w:eastAsia="en-US"/>
        </w:rPr>
        <w:t>. The PBAC</w:t>
      </w:r>
      <w:r w:rsidR="004C4993" w:rsidRPr="004C4993">
        <w:rPr>
          <w:lang w:val="en-GB" w:eastAsia="en-US"/>
        </w:rPr>
        <w:t xml:space="preserve"> considered that, while the primary outcome was statistically significant (mean difference in the </w:t>
      </w:r>
      <w:r w:rsidR="00E14503" w:rsidRPr="00351A17">
        <w:rPr>
          <w:lang w:val="en-GB" w:eastAsia="en-US"/>
        </w:rPr>
        <w:t xml:space="preserve">Myasthenia Gravis Activities of Daily Living instrument </w:t>
      </w:r>
      <w:r w:rsidR="00E14503">
        <w:rPr>
          <w:lang w:val="en-GB" w:eastAsia="en-US"/>
        </w:rPr>
        <w:t>(</w:t>
      </w:r>
      <w:r w:rsidR="004C4993" w:rsidRPr="004C4993">
        <w:rPr>
          <w:lang w:val="en-GB" w:eastAsia="en-US"/>
        </w:rPr>
        <w:t>MG-ADL</w:t>
      </w:r>
      <w:r w:rsidR="00E14503">
        <w:rPr>
          <w:lang w:val="en-GB" w:eastAsia="en-US"/>
        </w:rPr>
        <w:t>)</w:t>
      </w:r>
      <w:r w:rsidR="004C4993" w:rsidRPr="004C4993">
        <w:rPr>
          <w:lang w:val="en-GB" w:eastAsia="en-US"/>
        </w:rPr>
        <w:t xml:space="preserve"> score of -1.6 (95% CI: -2.6, -0.7)</w:t>
      </w:r>
      <w:r w:rsidR="002344FF">
        <w:rPr>
          <w:lang w:val="en-GB" w:eastAsia="en-US"/>
        </w:rPr>
        <w:t xml:space="preserve"> from baseline to Week 26</w:t>
      </w:r>
      <w:r w:rsidR="004C4993" w:rsidRPr="004C4993">
        <w:rPr>
          <w:lang w:val="en-GB" w:eastAsia="en-US"/>
        </w:rPr>
        <w:t>), the clinical relevance of this to individual patients was unclear</w:t>
      </w:r>
      <w:r w:rsidR="001F3804">
        <w:rPr>
          <w:lang w:val="en-GB" w:eastAsia="en-US"/>
        </w:rPr>
        <w:t xml:space="preserve">. </w:t>
      </w:r>
      <w:r w:rsidR="00255776">
        <w:rPr>
          <w:lang w:val="en-GB" w:eastAsia="en-US"/>
        </w:rPr>
        <w:t>For context, the PBAC noted that the</w:t>
      </w:r>
      <w:r w:rsidR="001F3804">
        <w:rPr>
          <w:lang w:val="en-GB" w:eastAsia="en-US"/>
        </w:rPr>
        <w:t xml:space="preserve"> MCID</w:t>
      </w:r>
      <w:r w:rsidR="00255776">
        <w:rPr>
          <w:lang w:val="en-GB" w:eastAsia="en-US"/>
        </w:rPr>
        <w:t xml:space="preserve"> in an individual patient is a </w:t>
      </w:r>
      <w:bookmarkStart w:id="80" w:name="_Hlk174438055"/>
      <w:r w:rsidR="00BA6C59" w:rsidRPr="00351A17">
        <w:rPr>
          <w:lang w:val="en-GB" w:eastAsia="en-US"/>
        </w:rPr>
        <w:t xml:space="preserve">≥ </w:t>
      </w:r>
      <w:r w:rsidR="00255776">
        <w:rPr>
          <w:lang w:val="en-GB" w:eastAsia="en-US"/>
        </w:rPr>
        <w:t xml:space="preserve">2-point </w:t>
      </w:r>
      <w:r w:rsidR="00BB41CD">
        <w:rPr>
          <w:lang w:val="en-GB" w:eastAsia="en-US"/>
        </w:rPr>
        <w:t>reduction</w:t>
      </w:r>
      <w:r w:rsidR="00255776">
        <w:rPr>
          <w:lang w:val="en-GB" w:eastAsia="en-US"/>
        </w:rPr>
        <w:t xml:space="preserve"> in the MG-ADL score</w:t>
      </w:r>
      <w:bookmarkEnd w:id="80"/>
      <w:r w:rsidR="00E14503">
        <w:rPr>
          <w:lang w:val="en-GB" w:eastAsia="en-US"/>
        </w:rPr>
        <w:t xml:space="preserve">, and that a </w:t>
      </w:r>
      <w:r w:rsidR="00351A17" w:rsidRPr="00351A17">
        <w:rPr>
          <w:lang w:val="en-GB" w:eastAsia="en-US"/>
        </w:rPr>
        <w:t>similar proportion of patients in both treatment arms achieved th</w:t>
      </w:r>
      <w:r w:rsidR="00BA6C59">
        <w:rPr>
          <w:lang w:val="en-GB" w:eastAsia="en-US"/>
        </w:rPr>
        <w:t>is</w:t>
      </w:r>
      <w:r w:rsidR="005E2CA0">
        <w:rPr>
          <w:lang w:val="en-GB" w:eastAsia="en-US"/>
        </w:rPr>
        <w:t xml:space="preserve"> </w:t>
      </w:r>
      <w:r w:rsidR="00351A17" w:rsidRPr="00351A17">
        <w:rPr>
          <w:lang w:val="en-GB" w:eastAsia="en-US"/>
        </w:rPr>
        <w:t xml:space="preserve">MCID with no statistically significant difference between ravulizumab and placebo (63.9% versus 53.0% at Week 26; nominal p-value = 0.1621). </w:t>
      </w:r>
      <w:r w:rsidR="00351A17">
        <w:rPr>
          <w:lang w:val="en-GB" w:eastAsia="en-US"/>
        </w:rPr>
        <w:t>Overall, the</w:t>
      </w:r>
      <w:r w:rsidR="006551D5">
        <w:t xml:space="preserve"> PBAC considered </w:t>
      </w:r>
      <w:r w:rsidR="00717D48">
        <w:t xml:space="preserve">that, while </w:t>
      </w:r>
      <w:r w:rsidR="006551D5">
        <w:t xml:space="preserve">the claim of superior comparative effectiveness versus </w:t>
      </w:r>
      <w:r w:rsidR="00303067">
        <w:rPr>
          <w:lang w:val="en-GB" w:eastAsia="en-US"/>
        </w:rPr>
        <w:t>standard therapy alone</w:t>
      </w:r>
      <w:r w:rsidR="006551D5">
        <w:t xml:space="preserve"> was </w:t>
      </w:r>
      <w:r w:rsidR="00B42E53">
        <w:t xml:space="preserve">adequately </w:t>
      </w:r>
      <w:r w:rsidR="00303067">
        <w:t>supported</w:t>
      </w:r>
      <w:r w:rsidR="00FC1B68">
        <w:t>,</w:t>
      </w:r>
      <w:r w:rsidR="006551D5">
        <w:t xml:space="preserve"> the incremental benefit shown in the trial was </w:t>
      </w:r>
      <w:r w:rsidR="008C38B2">
        <w:t xml:space="preserve">modest. The PBAC considered that it was </w:t>
      </w:r>
      <w:r w:rsidR="008C38B2" w:rsidRPr="008C38B2">
        <w:t xml:space="preserve">difficult to determine whether the incremental benefit would be </w:t>
      </w:r>
      <w:r w:rsidR="009679A3">
        <w:t>clinically meaningful</w:t>
      </w:r>
      <w:r w:rsidR="008C38B2">
        <w:t xml:space="preserve">, particularly </w:t>
      </w:r>
      <w:r w:rsidR="002605E4">
        <w:t xml:space="preserve">in the broad population requested given </w:t>
      </w:r>
      <w:r w:rsidR="0080511E">
        <w:t xml:space="preserve">effective therapies are </w:t>
      </w:r>
      <w:r w:rsidR="0080511E" w:rsidRPr="0080511E">
        <w:t>availabl</w:t>
      </w:r>
      <w:r w:rsidR="0080511E">
        <w:t xml:space="preserve">e for many of </w:t>
      </w:r>
      <w:r w:rsidR="00F93E34">
        <w:t xml:space="preserve">these patients (e.g. given the high placebo response rates and the potential to optimise </w:t>
      </w:r>
      <w:r w:rsidR="00700138">
        <w:t xml:space="preserve">available therapies in these patients). </w:t>
      </w:r>
    </w:p>
    <w:p w14:paraId="144D3094" w14:textId="2D7525ED" w:rsidR="006C1579" w:rsidRPr="00261FDB" w:rsidRDefault="006C1579" w:rsidP="006C1579">
      <w:pPr>
        <w:pStyle w:val="COMexecsumnumberedpara"/>
        <w:widowControl w:val="0"/>
        <w:numPr>
          <w:ilvl w:val="1"/>
          <w:numId w:val="1"/>
        </w:numPr>
        <w:rPr>
          <w:lang w:val="en-GB"/>
        </w:rPr>
      </w:pPr>
      <w:r w:rsidRPr="00261FDB">
        <w:rPr>
          <w:lang w:val="en-GB"/>
        </w:rPr>
        <w:t xml:space="preserve">Further, the PBAC noted that clinicians and consumers had stated that the new therapies for gMG have rapid onsets of action and thus could be used </w:t>
      </w:r>
      <w:r>
        <w:t xml:space="preserve">early in combination with standard therapy while waiting for </w:t>
      </w:r>
      <w:r w:rsidRPr="0030537D">
        <w:rPr>
          <w:rFonts w:ascii="Calibri" w:hAnsi="Calibri"/>
          <w:snapToGrid/>
        </w:rPr>
        <w:t>non-steroid immunosuppressants to induce</w:t>
      </w:r>
      <w:r>
        <w:rPr>
          <w:rFonts w:ascii="Calibri" w:hAnsi="Calibri"/>
          <w:snapToGrid/>
        </w:rPr>
        <w:t xml:space="preserve"> remission. </w:t>
      </w:r>
      <w:r w:rsidRPr="00261FDB">
        <w:rPr>
          <w:lang w:val="en-GB"/>
        </w:rPr>
        <w:t xml:space="preserve">However, the PBAC noted that no evidence had been presented to specifically demonstrate the difference in onset of action between </w:t>
      </w:r>
      <w:r>
        <w:rPr>
          <w:lang w:val="en-GB"/>
        </w:rPr>
        <w:t>ravulizumab</w:t>
      </w:r>
      <w:r w:rsidRPr="00261FDB">
        <w:rPr>
          <w:lang w:val="en-GB"/>
        </w:rPr>
        <w:t xml:space="preserve"> and </w:t>
      </w:r>
      <w:r w:rsidRPr="0030537D">
        <w:rPr>
          <w:rFonts w:ascii="Calibri" w:hAnsi="Calibri"/>
          <w:snapToGrid/>
        </w:rPr>
        <w:t>non-steroid immunosuppressants</w:t>
      </w:r>
      <w:r>
        <w:rPr>
          <w:rFonts w:ascii="Calibri" w:hAnsi="Calibri"/>
          <w:snapToGrid/>
        </w:rPr>
        <w:t>.</w:t>
      </w:r>
    </w:p>
    <w:p w14:paraId="5838E307" w14:textId="35EFA960" w:rsidR="00087430" w:rsidRPr="006E3EE5" w:rsidRDefault="00A12BC3" w:rsidP="006551D5">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The pre-PBAC response claimed that</w:t>
      </w:r>
      <w:r w:rsidR="00126C5A">
        <w:rPr>
          <w:rFonts w:asciiTheme="minorHAnsi" w:hAnsiTheme="minorHAnsi"/>
          <w:snapToGrid w:val="0"/>
          <w:lang w:val="en-GB" w:eastAsia="en-US"/>
        </w:rPr>
        <w:t xml:space="preserve">, in the </w:t>
      </w:r>
      <w:r w:rsidR="00126C5A" w:rsidRPr="00126C5A">
        <w:rPr>
          <w:rFonts w:asciiTheme="minorHAnsi" w:hAnsiTheme="minorHAnsi"/>
          <w:snapToGrid w:val="0"/>
          <w:lang w:val="en-GB" w:eastAsia="en-US"/>
        </w:rPr>
        <w:t>CHAMPION-MG trial</w:t>
      </w:r>
      <w:r w:rsidR="00126C5A">
        <w:rPr>
          <w:rFonts w:asciiTheme="minorHAnsi" w:hAnsiTheme="minorHAnsi"/>
          <w:snapToGrid w:val="0"/>
          <w:lang w:val="en-GB" w:eastAsia="en-US"/>
        </w:rPr>
        <w:t>,</w:t>
      </w:r>
      <w:r>
        <w:rPr>
          <w:rFonts w:asciiTheme="minorHAnsi" w:hAnsiTheme="minorHAnsi"/>
          <w:snapToGrid w:val="0"/>
          <w:lang w:val="en-GB" w:eastAsia="en-US"/>
        </w:rPr>
        <w:t xml:space="preserve"> </w:t>
      </w:r>
      <w:r w:rsidR="00546B6F" w:rsidRPr="00AB5096">
        <w:t>the greatest reduction</w:t>
      </w:r>
      <w:r w:rsidR="008C68E3">
        <w:t>s</w:t>
      </w:r>
      <w:r w:rsidR="00546B6F" w:rsidRPr="00AB5096">
        <w:t xml:space="preserve"> </w:t>
      </w:r>
      <w:r w:rsidR="00126C5A">
        <w:t>in</w:t>
      </w:r>
      <w:r w:rsidR="00546B6F" w:rsidRPr="00AB5096">
        <w:t xml:space="preserve"> MG-ADL score</w:t>
      </w:r>
      <w:r w:rsidR="00126C5A">
        <w:t>s</w:t>
      </w:r>
      <w:r w:rsidR="00546B6F" w:rsidRPr="00AB5096">
        <w:t xml:space="preserve"> w</w:t>
      </w:r>
      <w:r w:rsidR="008C68E3">
        <w:t>ere</w:t>
      </w:r>
      <w:r w:rsidR="00126C5A">
        <w:t xml:space="preserve"> </w:t>
      </w:r>
      <w:r w:rsidR="00546B6F" w:rsidRPr="00AB5096">
        <w:t>observed when ravulizumab was added early to standard therapy</w:t>
      </w:r>
      <w:r w:rsidR="008339F4" w:rsidRPr="008339F4">
        <w:t xml:space="preserve"> </w:t>
      </w:r>
      <w:r w:rsidR="0064401D">
        <w:t xml:space="preserve">(in </w:t>
      </w:r>
      <w:r w:rsidR="0064401D" w:rsidRPr="0064401D">
        <w:t xml:space="preserve">patients treated with only </w:t>
      </w:r>
      <w:r w:rsidR="0064401D">
        <w:t>one immunosuppressive therapy</w:t>
      </w:r>
      <w:r w:rsidR="0064401D" w:rsidRPr="0064401D">
        <w:t xml:space="preserve"> who had not received chronic IVI</w:t>
      </w:r>
      <w:r w:rsidR="0064401D">
        <w:t>g</w:t>
      </w:r>
      <w:r w:rsidR="0064401D" w:rsidRPr="0064401D">
        <w:t xml:space="preserve"> or PLEX</w:t>
      </w:r>
      <w:r w:rsidR="0064401D">
        <w:t xml:space="preserve">) </w:t>
      </w:r>
      <w:r w:rsidR="00546B6F">
        <w:t>and in patients with a shorter time since diagnosis</w:t>
      </w:r>
      <w:r w:rsidR="00083543">
        <w:t xml:space="preserve"> (refer to paragraph </w:t>
      </w:r>
      <w:r w:rsidR="00083543">
        <w:fldChar w:fldCharType="begin" w:fldLock="1"/>
      </w:r>
      <w:r w:rsidR="00083543">
        <w:instrText xml:space="preserve"> REF _Ref174113932 \r \h </w:instrText>
      </w:r>
      <w:r w:rsidR="00083543">
        <w:fldChar w:fldCharType="separate"/>
      </w:r>
      <w:r w:rsidR="0081771C">
        <w:t>6.22</w:t>
      </w:r>
      <w:r w:rsidR="00083543">
        <w:fldChar w:fldCharType="end"/>
      </w:r>
      <w:r w:rsidR="00083543">
        <w:t>)</w:t>
      </w:r>
      <w:r w:rsidR="00546B6F">
        <w:t xml:space="preserve">. </w:t>
      </w:r>
      <w:r w:rsidR="008C38B2">
        <w:t xml:space="preserve">However, as noted in paragraph </w:t>
      </w:r>
      <w:r w:rsidR="008C38B2">
        <w:fldChar w:fldCharType="begin" w:fldLock="1"/>
      </w:r>
      <w:r w:rsidR="008C38B2">
        <w:instrText xml:space="preserve"> REF _Ref174114450 \r \h </w:instrText>
      </w:r>
      <w:r w:rsidR="008C38B2">
        <w:fldChar w:fldCharType="separate"/>
      </w:r>
      <w:r w:rsidR="0081771C">
        <w:t>7.10</w:t>
      </w:r>
      <w:r w:rsidR="008C38B2">
        <w:fldChar w:fldCharType="end"/>
      </w:r>
      <w:r w:rsidR="008C38B2">
        <w:t xml:space="preserve">, the PBAC </w:t>
      </w:r>
      <w:r w:rsidR="008C38B2" w:rsidRPr="00700138">
        <w:t>considered that effective therapies may be available for many patients earlier in the disease course, and that optimisation of existing therapies would have been a more relevant</w:t>
      </w:r>
      <w:r w:rsidR="008C38B2" w:rsidRPr="00937D68">
        <w:t xml:space="preserve"> comparison </w:t>
      </w:r>
      <w:r w:rsidR="008C38B2">
        <w:t>for some of the patients in these groups. Further, t</w:t>
      </w:r>
      <w:r w:rsidR="00546B6F">
        <w:t>he</w:t>
      </w:r>
      <w:r w:rsidR="00907814">
        <w:t xml:space="preserve"> PBAC noted that the</w:t>
      </w:r>
      <w:r w:rsidR="00546B6F">
        <w:t xml:space="preserve">se </w:t>
      </w:r>
      <w:r w:rsidR="00907814">
        <w:t>appeared</w:t>
      </w:r>
      <w:r w:rsidR="00546B6F">
        <w:t xml:space="preserve"> </w:t>
      </w:r>
      <w:r w:rsidR="00922407">
        <w:t xml:space="preserve">to be </w:t>
      </w:r>
      <w:r w:rsidR="00546B6F">
        <w:t xml:space="preserve">based on </w:t>
      </w:r>
      <w:r w:rsidR="00083543" w:rsidRPr="00083543">
        <w:rPr>
          <w:i/>
          <w:iCs/>
        </w:rPr>
        <w:t>post-hoc</w:t>
      </w:r>
      <w:r w:rsidR="00083543">
        <w:t xml:space="preserve"> analyses and </w:t>
      </w:r>
      <w:r w:rsidR="00083543" w:rsidRPr="00467FCB">
        <w:t>no treatment interaction testing was presented</w:t>
      </w:r>
      <w:r w:rsidR="00083543">
        <w:t>.</w:t>
      </w:r>
      <w:r w:rsidR="003E16F6">
        <w:t xml:space="preserve"> </w:t>
      </w:r>
    </w:p>
    <w:p w14:paraId="2D9035EB" w14:textId="5184C2E9" w:rsidR="00E8619F" w:rsidRPr="00E8619F" w:rsidRDefault="00E8619F" w:rsidP="00E8619F">
      <w:pPr>
        <w:pStyle w:val="COMexecsumnumberedpara"/>
        <w:rPr>
          <w:lang w:val="en-GB" w:eastAsia="en-US"/>
        </w:rPr>
      </w:pPr>
      <w:r w:rsidRPr="00E8619F">
        <w:rPr>
          <w:lang w:val="en-GB" w:eastAsia="en-US"/>
        </w:rPr>
        <w:t>The PBAC considered that</w:t>
      </w:r>
      <w:r w:rsidR="00497DC4">
        <w:rPr>
          <w:lang w:val="en-GB" w:eastAsia="en-US"/>
        </w:rPr>
        <w:t xml:space="preserve"> the claim of</w:t>
      </w:r>
      <w:r w:rsidR="00E760D9">
        <w:rPr>
          <w:lang w:val="en-GB" w:eastAsia="en-US"/>
        </w:rPr>
        <w:t xml:space="preserve"> inferior comparative safety versus standard therapy</w:t>
      </w:r>
      <w:r w:rsidR="005F1176">
        <w:rPr>
          <w:lang w:val="en-GB" w:eastAsia="en-US"/>
        </w:rPr>
        <w:t xml:space="preserve"> alone was reasonable. W</w:t>
      </w:r>
      <w:r>
        <w:rPr>
          <w:lang w:val="en-GB" w:eastAsia="en-US"/>
        </w:rPr>
        <w:t xml:space="preserve">hile ravulizumab </w:t>
      </w:r>
      <w:r w:rsidRPr="00E8619F">
        <w:rPr>
          <w:lang w:val="en-GB" w:eastAsia="en-US"/>
        </w:rPr>
        <w:t>appeared well-tolerated, the</w:t>
      </w:r>
      <w:r w:rsidR="00187E7B">
        <w:rPr>
          <w:lang w:val="en-GB" w:eastAsia="en-US"/>
        </w:rPr>
        <w:t xml:space="preserve"> PBAC noted the</w:t>
      </w:r>
      <w:r w:rsidRPr="00E8619F">
        <w:rPr>
          <w:lang w:val="en-GB" w:eastAsia="en-US"/>
        </w:rPr>
        <w:t xml:space="preserve"> requirement for patients to receive meningococcal vaccinations.</w:t>
      </w:r>
    </w:p>
    <w:p w14:paraId="241B3906" w14:textId="493E270B" w:rsidR="006E3EE5" w:rsidRPr="006E3EE5" w:rsidRDefault="006E3EE5" w:rsidP="006E3EE5">
      <w:pPr>
        <w:pStyle w:val="COMexecsumnumberedpara"/>
        <w:rPr>
          <w:lang w:val="en-GB" w:eastAsia="en-US"/>
        </w:rPr>
      </w:pPr>
      <w:bookmarkStart w:id="81" w:name="_Ref174257021"/>
      <w:r w:rsidRPr="006E3EE5">
        <w:rPr>
          <w:lang w:val="en-GB" w:eastAsia="en-US"/>
        </w:rPr>
        <w:t xml:space="preserve">The </w:t>
      </w:r>
      <w:r w:rsidR="005B2580">
        <w:rPr>
          <w:lang w:val="en-GB" w:eastAsia="en-US"/>
        </w:rPr>
        <w:t>PBAC</w:t>
      </w:r>
      <w:r w:rsidRPr="006E3EE5">
        <w:rPr>
          <w:lang w:val="en-GB" w:eastAsia="en-US"/>
        </w:rPr>
        <w:t xml:space="preserve"> noted that the base case ICER presented in the submission was </w:t>
      </w:r>
      <w:r w:rsidR="00F16CDD" w:rsidRPr="00F16CDD">
        <w:rPr>
          <w:lang w:eastAsia="en-US"/>
        </w:rPr>
        <w:t>$255,000 to &lt; $355,000</w:t>
      </w:r>
      <w:r w:rsidRPr="006E3EE5">
        <w:rPr>
          <w:lang w:val="en-GB" w:eastAsia="en-US"/>
        </w:rPr>
        <w:t xml:space="preserve">/QALY. </w:t>
      </w:r>
      <w:r w:rsidR="005B2580">
        <w:rPr>
          <w:lang w:val="en-GB" w:eastAsia="en-US"/>
        </w:rPr>
        <w:t>The PBAC noted that, d</w:t>
      </w:r>
      <w:r w:rsidRPr="006E3EE5">
        <w:rPr>
          <w:lang w:val="en-GB" w:eastAsia="en-US"/>
        </w:rPr>
        <w:t xml:space="preserve">espite this very high ICER, </w:t>
      </w:r>
      <w:r>
        <w:rPr>
          <w:lang w:val="en-GB" w:eastAsia="en-US"/>
        </w:rPr>
        <w:t xml:space="preserve">the </w:t>
      </w:r>
      <w:r w:rsidRPr="006E3EE5">
        <w:rPr>
          <w:lang w:val="en-GB" w:eastAsia="en-US"/>
        </w:rPr>
        <w:t xml:space="preserve">ESC </w:t>
      </w:r>
      <w:r w:rsidR="005B2580">
        <w:rPr>
          <w:lang w:val="en-GB" w:eastAsia="en-US"/>
        </w:rPr>
        <w:t xml:space="preserve">had </w:t>
      </w:r>
      <w:r w:rsidRPr="006E3EE5">
        <w:rPr>
          <w:lang w:val="en-GB" w:eastAsia="en-US"/>
        </w:rPr>
        <w:t>considered it was still highly likely to be underestimated and was implausible due to the assumptions around:</w:t>
      </w:r>
      <w:bookmarkEnd w:id="81"/>
    </w:p>
    <w:p w14:paraId="436751BA" w14:textId="69D8BC81" w:rsidR="006E3EE5" w:rsidRPr="006E3EE5" w:rsidRDefault="006E3EE5" w:rsidP="003576A3">
      <w:pPr>
        <w:pStyle w:val="ListParagraph"/>
        <w:widowControl w:val="0"/>
        <w:numPr>
          <w:ilvl w:val="0"/>
          <w:numId w:val="24"/>
        </w:numPr>
        <w:ind w:left="1134"/>
        <w:rPr>
          <w:lang w:val="en-GB" w:eastAsia="en-US"/>
        </w:rPr>
      </w:pPr>
      <w:r w:rsidRPr="006E3EE5">
        <w:rPr>
          <w:lang w:val="en-GB" w:eastAsia="en-US"/>
        </w:rPr>
        <w:t xml:space="preserve">the duration of remission in each arm. The ESC considered it was unreasonable to assume that: (a) all patients who respond and remain on ravulizumab for 2 years, cease ravulizumab, achieve disease remission and gradually relapse over the modelled time horizon of 15 years; while (b) all placebo patients lose treatment response within 1 year and can never achieve disease remission. </w:t>
      </w:r>
    </w:p>
    <w:p w14:paraId="6DB72F66" w14:textId="33BEEDE8" w:rsidR="006E3EE5" w:rsidRPr="006E3EE5" w:rsidRDefault="006E3EE5" w:rsidP="003576A3">
      <w:pPr>
        <w:pStyle w:val="ListParagraph"/>
        <w:widowControl w:val="0"/>
        <w:numPr>
          <w:ilvl w:val="0"/>
          <w:numId w:val="24"/>
        </w:numPr>
        <w:ind w:left="1134"/>
        <w:rPr>
          <w:lang w:val="en-GB" w:eastAsia="en-US"/>
        </w:rPr>
      </w:pPr>
      <w:r w:rsidRPr="006E3EE5">
        <w:rPr>
          <w:lang w:val="en-GB" w:eastAsia="en-US"/>
        </w:rPr>
        <w:t xml:space="preserve">utilities for non-responders. The ESC considered that it was unreasonable to assume that patients with non-response to second/third-line treatments would have the same disutility as severe myasthenia gravis despite </w:t>
      </w:r>
      <w:proofErr w:type="gramStart"/>
      <w:r w:rsidRPr="006E3EE5">
        <w:rPr>
          <w:lang w:val="en-GB" w:eastAsia="en-US"/>
        </w:rPr>
        <w:t>the vast majority of</w:t>
      </w:r>
      <w:proofErr w:type="gramEnd"/>
      <w:r w:rsidRPr="006E3EE5">
        <w:rPr>
          <w:lang w:val="en-GB" w:eastAsia="en-US"/>
        </w:rPr>
        <w:t xml:space="preserve"> modelled patients having mild to moderate disease.</w:t>
      </w:r>
    </w:p>
    <w:p w14:paraId="6A2B8A75" w14:textId="77777777" w:rsidR="00D7125B" w:rsidRDefault="005B2580" w:rsidP="00D7125B">
      <w:pPr>
        <w:widowControl w:val="0"/>
        <w:spacing w:after="120"/>
        <w:ind w:left="720"/>
        <w:rPr>
          <w:rFonts w:asciiTheme="minorHAnsi" w:hAnsiTheme="minorHAnsi"/>
          <w:snapToGrid w:val="0"/>
          <w:lang w:val="en-GB" w:eastAsia="en-US"/>
        </w:rPr>
      </w:pPr>
      <w:r w:rsidRPr="00FC1B68">
        <w:rPr>
          <w:rFonts w:asciiTheme="minorHAnsi" w:hAnsiTheme="minorHAnsi"/>
          <w:snapToGrid w:val="0"/>
          <w:lang w:val="en-GB" w:eastAsia="en-US"/>
        </w:rPr>
        <w:t>The PBAC agreed with the issues raised by ESC about the economic model.</w:t>
      </w:r>
      <w:r w:rsidR="00FC1B68" w:rsidRPr="00FC1B68">
        <w:rPr>
          <w:rFonts w:asciiTheme="minorHAnsi" w:hAnsiTheme="minorHAnsi"/>
          <w:snapToGrid w:val="0"/>
          <w:lang w:val="en-GB" w:eastAsia="en-US"/>
        </w:rPr>
        <w:t xml:space="preserve"> </w:t>
      </w:r>
    </w:p>
    <w:p w14:paraId="22AAA88A" w14:textId="0654415C" w:rsidR="005B2580" w:rsidRPr="00FC1B68" w:rsidRDefault="005B2580" w:rsidP="00FC1B68">
      <w:pPr>
        <w:widowControl w:val="0"/>
        <w:numPr>
          <w:ilvl w:val="1"/>
          <w:numId w:val="1"/>
        </w:numPr>
        <w:spacing w:after="120"/>
        <w:rPr>
          <w:rFonts w:asciiTheme="minorHAnsi" w:hAnsiTheme="minorHAnsi"/>
          <w:snapToGrid w:val="0"/>
          <w:lang w:val="en-GB" w:eastAsia="en-US"/>
        </w:rPr>
      </w:pPr>
      <w:bookmarkStart w:id="82" w:name="_Ref174257023"/>
      <w:r w:rsidRPr="00FC1B68">
        <w:rPr>
          <w:rFonts w:asciiTheme="minorHAnsi" w:hAnsiTheme="minorHAnsi"/>
          <w:snapToGrid w:val="0"/>
          <w:lang w:val="en-GB" w:eastAsia="en-US"/>
        </w:rPr>
        <w:t>The PBAC also noted that the economic model only estimated the cost-effectiveness of ravulizumab when used as a new line of therapy immediately prior to the classification of patients as having treatment-refractory disease and d</w:t>
      </w:r>
      <w:r w:rsidR="00734268">
        <w:rPr>
          <w:rFonts w:asciiTheme="minorHAnsi" w:hAnsiTheme="minorHAnsi"/>
          <w:snapToGrid w:val="0"/>
          <w:lang w:val="en-GB" w:eastAsia="en-US"/>
        </w:rPr>
        <w:t>id</w:t>
      </w:r>
      <w:r w:rsidRPr="00FC1B68">
        <w:rPr>
          <w:rFonts w:asciiTheme="minorHAnsi" w:hAnsiTheme="minorHAnsi"/>
          <w:snapToGrid w:val="0"/>
          <w:lang w:val="en-GB" w:eastAsia="en-US"/>
        </w:rPr>
        <w:t xml:space="preserve"> not assess the use of ravulizumab in other clinical roles covered by the proposed PBS listing</w:t>
      </w:r>
      <w:r w:rsidR="00734268">
        <w:rPr>
          <w:rFonts w:asciiTheme="minorHAnsi" w:hAnsiTheme="minorHAnsi"/>
          <w:snapToGrid w:val="0"/>
          <w:lang w:val="en-GB" w:eastAsia="en-US"/>
        </w:rPr>
        <w:t>.</w:t>
      </w:r>
      <w:bookmarkEnd w:id="82"/>
    </w:p>
    <w:p w14:paraId="116368B7" w14:textId="5D226F74" w:rsidR="006E3EE5" w:rsidRDefault="007101C2" w:rsidP="006551D5">
      <w:pPr>
        <w:widowControl w:val="0"/>
        <w:numPr>
          <w:ilvl w:val="1"/>
          <w:numId w:val="1"/>
        </w:numPr>
        <w:spacing w:after="120"/>
        <w:rPr>
          <w:rFonts w:asciiTheme="minorHAnsi" w:hAnsiTheme="minorHAnsi"/>
          <w:snapToGrid w:val="0"/>
          <w:lang w:val="en-GB" w:eastAsia="en-US"/>
        </w:rPr>
      </w:pPr>
      <w:r w:rsidRPr="00895173">
        <w:rPr>
          <w:lang w:val="en-GB"/>
        </w:rPr>
        <w:t xml:space="preserve">The PBAC agreed with the issues with the financial estimates that were raised by DUSC as outlined in paragraph </w:t>
      </w:r>
      <w:r w:rsidR="00E706E0">
        <w:rPr>
          <w:lang w:val="en-GB"/>
        </w:rPr>
        <w:fldChar w:fldCharType="begin" w:fldLock="1"/>
      </w:r>
      <w:r w:rsidR="00E706E0">
        <w:rPr>
          <w:lang w:val="en-GB"/>
        </w:rPr>
        <w:instrText xml:space="preserve"> REF _Ref174256348 \r \h </w:instrText>
      </w:r>
      <w:r w:rsidR="00E706E0">
        <w:rPr>
          <w:lang w:val="en-GB"/>
        </w:rPr>
      </w:r>
      <w:r w:rsidR="00E706E0">
        <w:rPr>
          <w:lang w:val="en-GB"/>
        </w:rPr>
        <w:fldChar w:fldCharType="separate"/>
      </w:r>
      <w:r w:rsidR="0081771C">
        <w:rPr>
          <w:lang w:val="en-GB"/>
        </w:rPr>
        <w:t>6.61</w:t>
      </w:r>
      <w:r w:rsidR="00E706E0">
        <w:rPr>
          <w:lang w:val="en-GB"/>
        </w:rPr>
        <w:fldChar w:fldCharType="end"/>
      </w:r>
      <w:r>
        <w:rPr>
          <w:lang w:val="en-GB"/>
        </w:rPr>
        <w:t xml:space="preserve"> including </w:t>
      </w:r>
      <w:r w:rsidR="00C84CA8" w:rsidRPr="00C84CA8">
        <w:rPr>
          <w:lang w:val="en-GB"/>
        </w:rPr>
        <w:t>the significant uncertainties regarding the</w:t>
      </w:r>
      <w:r w:rsidR="00BF2D9D">
        <w:rPr>
          <w:lang w:val="en-GB"/>
        </w:rPr>
        <w:t>:</w:t>
      </w:r>
      <w:r w:rsidR="00C84CA8" w:rsidRPr="00C84CA8">
        <w:rPr>
          <w:lang w:val="en-GB"/>
        </w:rPr>
        <w:t xml:space="preserve"> prevalence of myasthenia gravis </w:t>
      </w:r>
      <w:r w:rsidR="008A4EC7">
        <w:rPr>
          <w:lang w:val="en-GB"/>
        </w:rPr>
        <w:t xml:space="preserve">(potentially underestimated) </w:t>
      </w:r>
      <w:r w:rsidR="002604EC">
        <w:t xml:space="preserve">and the proportion of </w:t>
      </w:r>
      <w:r w:rsidR="002604EC" w:rsidRPr="00E34356">
        <w:t>myasthenia gravis</w:t>
      </w:r>
      <w:r w:rsidR="002604EC">
        <w:t xml:space="preserve"> patients with gMG</w:t>
      </w:r>
      <w:r w:rsidR="00BF2D9D">
        <w:t>;</w:t>
      </w:r>
      <w:r w:rsidR="00C84CA8" w:rsidRPr="00C84CA8">
        <w:rPr>
          <w:lang w:val="en-GB"/>
        </w:rPr>
        <w:t xml:space="preserve"> </w:t>
      </w:r>
      <w:r w:rsidR="00936D8D" w:rsidRPr="00936D8D">
        <w:rPr>
          <w:lang w:val="en-GB"/>
        </w:rPr>
        <w:t xml:space="preserve">proportion of patients with </w:t>
      </w:r>
      <w:r w:rsidR="00936D8D">
        <w:rPr>
          <w:lang w:val="en-GB"/>
        </w:rPr>
        <w:t xml:space="preserve">MG-ADL </w:t>
      </w:r>
      <w:r w:rsidR="00936D8D">
        <w:rPr>
          <w:rFonts w:cs="Calibri"/>
          <w:lang w:val="en-GB"/>
        </w:rPr>
        <w:t>≥</w:t>
      </w:r>
      <w:r w:rsidR="00936D8D">
        <w:rPr>
          <w:lang w:val="en-GB"/>
        </w:rPr>
        <w:t xml:space="preserve"> 6 (likely underestimated)</w:t>
      </w:r>
      <w:r w:rsidR="00BF2D9D">
        <w:rPr>
          <w:lang w:val="en-GB"/>
        </w:rPr>
        <w:t>;</w:t>
      </w:r>
      <w:r w:rsidR="00C84CA8" w:rsidRPr="00C84CA8">
        <w:rPr>
          <w:lang w:val="en-GB"/>
        </w:rPr>
        <w:t xml:space="preserve"> expected uptake of </w:t>
      </w:r>
      <w:r w:rsidR="00CA2370">
        <w:rPr>
          <w:lang w:val="en-GB"/>
        </w:rPr>
        <w:t xml:space="preserve">ravulizumab </w:t>
      </w:r>
      <w:r w:rsidR="00C84CA8" w:rsidRPr="00C84CA8">
        <w:rPr>
          <w:lang w:val="en-GB"/>
        </w:rPr>
        <w:t>(</w:t>
      </w:r>
      <w:r w:rsidR="008A4EC7">
        <w:rPr>
          <w:lang w:val="en-GB"/>
        </w:rPr>
        <w:t>potentially</w:t>
      </w:r>
      <w:r w:rsidR="00C84CA8" w:rsidRPr="00C84CA8">
        <w:rPr>
          <w:lang w:val="en-GB"/>
        </w:rPr>
        <w:t xml:space="preserve"> </w:t>
      </w:r>
      <w:r w:rsidR="0097387F">
        <w:rPr>
          <w:lang w:val="en-GB"/>
        </w:rPr>
        <w:t>under</w:t>
      </w:r>
      <w:r w:rsidR="00C84CA8" w:rsidRPr="00C84CA8">
        <w:rPr>
          <w:lang w:val="en-GB"/>
        </w:rPr>
        <w:t>estimated)</w:t>
      </w:r>
      <w:r w:rsidR="00BF2D9D">
        <w:rPr>
          <w:lang w:val="en-GB"/>
        </w:rPr>
        <w:t>; and</w:t>
      </w:r>
      <w:r w:rsidR="00C84CA8" w:rsidRPr="00C84CA8">
        <w:rPr>
          <w:lang w:val="en-GB"/>
        </w:rPr>
        <w:t xml:space="preserve"> the likely duration of </w:t>
      </w:r>
      <w:r w:rsidR="00012970">
        <w:rPr>
          <w:lang w:val="en-GB"/>
        </w:rPr>
        <w:t xml:space="preserve">ravulizumab </w:t>
      </w:r>
      <w:r w:rsidR="00C84CA8" w:rsidRPr="00C84CA8">
        <w:rPr>
          <w:lang w:val="en-GB"/>
        </w:rPr>
        <w:t>treatment</w:t>
      </w:r>
      <w:r w:rsidR="005B0F20">
        <w:rPr>
          <w:lang w:val="en-GB"/>
        </w:rPr>
        <w:t>.</w:t>
      </w:r>
    </w:p>
    <w:p w14:paraId="2C30A84A" w14:textId="693398F9" w:rsidR="00A2714D" w:rsidRPr="00A2714D" w:rsidRDefault="00A2714D" w:rsidP="006551D5">
      <w:pPr>
        <w:widowControl w:val="0"/>
        <w:numPr>
          <w:ilvl w:val="1"/>
          <w:numId w:val="1"/>
        </w:numPr>
        <w:spacing w:after="120"/>
        <w:jc w:val="left"/>
        <w:rPr>
          <w:rFonts w:asciiTheme="minorHAnsi" w:hAnsiTheme="minorHAnsi"/>
          <w:bCs/>
          <w:i/>
          <w:snapToGrid w:val="0"/>
          <w:lang w:val="en-GB" w:eastAsia="en-US"/>
        </w:rPr>
      </w:pPr>
      <w:r w:rsidRPr="00A2714D">
        <w:rPr>
          <w:rFonts w:asciiTheme="minorHAnsi" w:hAnsiTheme="minorHAnsi"/>
          <w:bCs/>
          <w:snapToGrid w:val="0"/>
          <w:lang w:val="en-GB" w:eastAsia="en-US"/>
        </w:rPr>
        <w:t xml:space="preserve">The PBAC noted that this submission is eligible for an Independent Review. </w:t>
      </w:r>
    </w:p>
    <w:p w14:paraId="029D13DD" w14:textId="77777777" w:rsidR="00A2714D" w:rsidRPr="00A2714D" w:rsidRDefault="00A2714D" w:rsidP="00A2714D">
      <w:pPr>
        <w:spacing w:before="240"/>
        <w:rPr>
          <w:rFonts w:asciiTheme="minorHAnsi" w:hAnsiTheme="minorHAnsi"/>
          <w:b/>
          <w:bCs/>
          <w:snapToGrid w:val="0"/>
          <w:lang w:val="en-GB" w:eastAsia="en-US"/>
        </w:rPr>
      </w:pPr>
      <w:r w:rsidRPr="00A2714D">
        <w:rPr>
          <w:rFonts w:asciiTheme="minorHAnsi" w:hAnsiTheme="minorHAnsi"/>
          <w:b/>
          <w:bCs/>
          <w:snapToGrid w:val="0"/>
          <w:lang w:val="en-GB" w:eastAsia="en-US"/>
        </w:rPr>
        <w:t>Outcome:</w:t>
      </w:r>
    </w:p>
    <w:p w14:paraId="78F944F8" w14:textId="7C271E33" w:rsidR="00A2714D" w:rsidRDefault="00A2714D" w:rsidP="006551D5">
      <w:pPr>
        <w:spacing w:after="120"/>
        <w:rPr>
          <w:rFonts w:asciiTheme="minorHAnsi" w:hAnsiTheme="minorHAnsi"/>
          <w:bCs/>
          <w:snapToGrid w:val="0"/>
          <w:lang w:val="en-GB" w:eastAsia="en-US"/>
        </w:rPr>
      </w:pPr>
      <w:r w:rsidRPr="00A2714D">
        <w:rPr>
          <w:rFonts w:asciiTheme="minorHAnsi" w:hAnsiTheme="minorHAnsi"/>
          <w:bCs/>
          <w:snapToGrid w:val="0"/>
          <w:lang w:val="en-GB" w:eastAsia="en-US"/>
        </w:rPr>
        <w:t xml:space="preserve">Not recommended </w:t>
      </w:r>
    </w:p>
    <w:p w14:paraId="6FC592CC" w14:textId="77777777" w:rsidR="003B12EB" w:rsidRDefault="003B12EB" w:rsidP="003B12EB">
      <w:pPr>
        <w:pStyle w:val="2-SectionHeading"/>
        <w:numPr>
          <w:ilvl w:val="0"/>
          <w:numId w:val="1"/>
        </w:numPr>
        <w:rPr>
          <w:bCs/>
          <w:lang w:val="en-GB"/>
        </w:rPr>
      </w:pPr>
      <w:r w:rsidRPr="00C07617">
        <w:t>Context for Decision</w:t>
      </w:r>
    </w:p>
    <w:p w14:paraId="099D84B7" w14:textId="77777777" w:rsidR="003B12EB" w:rsidRPr="00311EEF" w:rsidRDefault="003B12EB" w:rsidP="003B12EB">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AF90378" w14:textId="77777777" w:rsidR="003B12EB" w:rsidRPr="00311EEF" w:rsidRDefault="003B12EB" w:rsidP="003B12EB">
      <w:pPr>
        <w:pStyle w:val="2-SectionHeading"/>
        <w:numPr>
          <w:ilvl w:val="0"/>
          <w:numId w:val="1"/>
        </w:numPr>
      </w:pPr>
      <w:r w:rsidRPr="00311EEF">
        <w:t>Sponsor’s Comment</w:t>
      </w:r>
    </w:p>
    <w:p w14:paraId="68B42CEE" w14:textId="2A81D6A6" w:rsidR="003576A3" w:rsidRDefault="00AA72A0" w:rsidP="00FE7FE7">
      <w:pPr>
        <w:spacing w:after="120"/>
        <w:ind w:left="720"/>
        <w:rPr>
          <w:rFonts w:asciiTheme="minorHAnsi" w:hAnsiTheme="minorHAnsi"/>
          <w:bCs/>
          <w:snapToGrid w:val="0"/>
          <w:lang w:val="en-GB" w:eastAsia="en-US"/>
        </w:rPr>
      </w:pPr>
      <w:r w:rsidRPr="00AA72A0">
        <w:rPr>
          <w:rFonts w:asciiTheme="minorHAnsi" w:hAnsiTheme="minorHAnsi"/>
          <w:bCs/>
        </w:rPr>
        <w:t>Whilst Alexion is disappointed with the current outcome and its impact on patients living with gMG, they extend their sincere gratitude to all healthcare professionals, patient organisations and consumers for their invaluable input and support. Alexion is committed to working with the PBAC to ensure Australians living with gMG can access Ultomiris on the PBS at the earliest opportunity.</w:t>
      </w:r>
      <w:bookmarkEnd w:id="75"/>
      <w:bookmarkEnd w:id="76"/>
    </w:p>
    <w:p w14:paraId="3F6530D0" w14:textId="77777777" w:rsidR="00780360" w:rsidRDefault="00780360">
      <w:pPr>
        <w:spacing w:after="120"/>
        <w:ind w:left="720"/>
        <w:rPr>
          <w:rFonts w:asciiTheme="minorHAnsi" w:hAnsiTheme="minorHAnsi"/>
          <w:bCs/>
          <w:snapToGrid w:val="0"/>
          <w:lang w:val="en-GB" w:eastAsia="en-US"/>
        </w:rPr>
      </w:pPr>
    </w:p>
    <w:sectPr w:rsidR="00780360" w:rsidSect="00574EFD">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D3F1A" w14:textId="77777777" w:rsidR="008B7E4E" w:rsidRDefault="008B7E4E" w:rsidP="00124A51">
      <w:r>
        <w:separator/>
      </w:r>
    </w:p>
    <w:p w14:paraId="6E0A8236" w14:textId="77777777" w:rsidR="008B7E4E" w:rsidRDefault="008B7E4E"/>
    <w:p w14:paraId="2432538B" w14:textId="77777777" w:rsidR="008B7E4E" w:rsidRDefault="008B7E4E"/>
  </w:endnote>
  <w:endnote w:type="continuationSeparator" w:id="0">
    <w:p w14:paraId="75C617FB" w14:textId="77777777" w:rsidR="008B7E4E" w:rsidRDefault="008B7E4E" w:rsidP="00124A51">
      <w:r>
        <w:continuationSeparator/>
      </w:r>
    </w:p>
    <w:p w14:paraId="4B92ED25" w14:textId="77777777" w:rsidR="008B7E4E" w:rsidRDefault="008B7E4E"/>
    <w:p w14:paraId="5EA0931C" w14:textId="77777777" w:rsidR="008B7E4E" w:rsidRDefault="008B7E4E"/>
  </w:endnote>
  <w:endnote w:type="continuationNotice" w:id="1">
    <w:p w14:paraId="7F41D902" w14:textId="77777777" w:rsidR="008B7E4E" w:rsidRDefault="008B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DFF5" w14:textId="77777777" w:rsidR="00AA076A" w:rsidRDefault="00AA0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0C0D" w14:textId="45D7C77B" w:rsidR="00291F22" w:rsidRDefault="00291F22" w:rsidP="00291F22">
    <w:pPr>
      <w:pStyle w:val="Footer"/>
    </w:pPr>
  </w:p>
  <w:p w14:paraId="62FD51F1" w14:textId="7222B65F" w:rsidR="00767A5C" w:rsidRPr="00D26715" w:rsidRDefault="0081453B" w:rsidP="00D26715">
    <w:pPr>
      <w:pStyle w:val="Footer"/>
      <w:jc w:val="center"/>
      <w:rPr>
        <w:b/>
        <w:bCs/>
      </w:rPr>
    </w:pPr>
    <w:sdt>
      <w:sdtPr>
        <w:id w:val="1036156457"/>
        <w:docPartObj>
          <w:docPartGallery w:val="Page Numbers (Bottom of Page)"/>
          <w:docPartUnique/>
        </w:docPartObj>
      </w:sdtPr>
      <w:sdtEndPr>
        <w:rPr>
          <w:b/>
          <w:bCs/>
          <w:noProof/>
        </w:rPr>
      </w:sdtEndPr>
      <w:sdtContent>
        <w:r w:rsidR="00291F22" w:rsidRPr="008B3A69">
          <w:rPr>
            <w:b/>
            <w:bCs/>
          </w:rPr>
          <w:fldChar w:fldCharType="begin"/>
        </w:r>
        <w:r w:rsidR="00291F22" w:rsidRPr="008B3A69">
          <w:rPr>
            <w:b/>
            <w:bCs/>
          </w:rPr>
          <w:instrText xml:space="preserve"> PAGE   \* MERGEFORMAT </w:instrText>
        </w:r>
        <w:r w:rsidR="00291F22" w:rsidRPr="008B3A69">
          <w:rPr>
            <w:b/>
            <w:bCs/>
          </w:rPr>
          <w:fldChar w:fldCharType="separate"/>
        </w:r>
        <w:r w:rsidR="00291F22" w:rsidRPr="008B3A69">
          <w:rPr>
            <w:b/>
            <w:bCs/>
          </w:rPr>
          <w:t>1</w:t>
        </w:r>
        <w:r w:rsidR="00291F22" w:rsidRPr="008B3A69">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47F6" w14:textId="77777777" w:rsidR="00AA076A" w:rsidRDefault="00AA0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5206B" w14:textId="77777777" w:rsidR="008B7E4E" w:rsidRDefault="008B7E4E" w:rsidP="00124A51">
      <w:r>
        <w:separator/>
      </w:r>
    </w:p>
  </w:footnote>
  <w:footnote w:type="continuationSeparator" w:id="0">
    <w:p w14:paraId="322AF159" w14:textId="77777777" w:rsidR="008B7E4E" w:rsidRDefault="008B7E4E" w:rsidP="00124A51">
      <w:r>
        <w:continuationSeparator/>
      </w:r>
    </w:p>
    <w:p w14:paraId="34799E74" w14:textId="77777777" w:rsidR="008B7E4E" w:rsidRDefault="008B7E4E"/>
    <w:p w14:paraId="38C087AE" w14:textId="77777777" w:rsidR="008B7E4E" w:rsidRDefault="008B7E4E"/>
  </w:footnote>
  <w:footnote w:type="continuationNotice" w:id="1">
    <w:p w14:paraId="2B63DA54" w14:textId="77777777" w:rsidR="008B7E4E" w:rsidRDefault="008B7E4E"/>
  </w:footnote>
  <w:footnote w:id="2">
    <w:p w14:paraId="72F672BA" w14:textId="49BC6CAB" w:rsidR="000D51A1" w:rsidRPr="00DF1FDE" w:rsidRDefault="000D51A1">
      <w:pPr>
        <w:pStyle w:val="FootnoteText"/>
        <w:rPr>
          <w:rFonts w:ascii="Arial Narrow" w:hAnsi="Arial Narrow"/>
          <w:i/>
          <w:iCs/>
        </w:rPr>
      </w:pPr>
      <w:r w:rsidRPr="000D51A1">
        <w:rPr>
          <w:rStyle w:val="FootnoteReference"/>
          <w:i/>
          <w:iCs/>
        </w:rPr>
        <w:footnoteRef/>
      </w:r>
      <w:r w:rsidRPr="000D51A1">
        <w:rPr>
          <w:i/>
          <w:iCs/>
        </w:rPr>
        <w:t xml:space="preserve"> </w:t>
      </w:r>
      <w:r w:rsidRPr="00DF1FDE">
        <w:rPr>
          <w:rFonts w:ascii="Arial Narrow" w:hAnsi="Arial Narrow"/>
          <w:i/>
          <w:iCs/>
        </w:rPr>
        <w:t>Thomsen JLS, Andersen H. Outcome Measures in Clinical Trials of Patients With Myasthenia Gravis. Front Neurol. 2020 Dec 23;11:596382. doi: 10.3389/fneur.2020.596382. PMID: 33424747; PMCID: PMC7793650</w:t>
      </w:r>
    </w:p>
  </w:footnote>
  <w:footnote w:id="3">
    <w:p w14:paraId="7BC03079" w14:textId="3D88A8C1" w:rsidR="00907D1C" w:rsidRDefault="00907D1C">
      <w:pPr>
        <w:pStyle w:val="FootnoteText"/>
      </w:pPr>
      <w:r>
        <w:rPr>
          <w:rStyle w:val="FootnoteReference"/>
        </w:rPr>
        <w:footnoteRef/>
      </w:r>
      <w:r>
        <w:t xml:space="preserve"> </w:t>
      </w:r>
      <w:r w:rsidRPr="00907D1C">
        <w:rPr>
          <w:rFonts w:ascii="Arial Narrow" w:hAnsi="Arial Narrow"/>
          <w:i/>
          <w:iCs/>
        </w:rPr>
        <w:t>Muppidi, S., G. I. Wolfe, M. Conaway, T. M. Burns, C. Mg and G. Mg-Qol15 Study (2011). "MG-ADL: still a relevant outcome measure." Muscle Nerve 44(5): 727-731.</w:t>
      </w:r>
    </w:p>
  </w:footnote>
  <w:footnote w:id="4">
    <w:p w14:paraId="6236B64C" w14:textId="28FB7D4B" w:rsidR="00FA29DA" w:rsidRPr="00DF1FDE" w:rsidRDefault="00FA29DA">
      <w:pPr>
        <w:pStyle w:val="FootnoteText"/>
        <w:rPr>
          <w:rFonts w:ascii="Arial Narrow" w:hAnsi="Arial Narrow"/>
          <w:i/>
          <w:iCs/>
        </w:rPr>
      </w:pPr>
      <w:r w:rsidRPr="00DF1FDE">
        <w:rPr>
          <w:rStyle w:val="FootnoteReference"/>
          <w:rFonts w:ascii="Arial Narrow" w:hAnsi="Arial Narrow"/>
          <w:i/>
          <w:iCs/>
        </w:rPr>
        <w:footnoteRef/>
      </w:r>
      <w:r w:rsidRPr="00DF1FDE">
        <w:rPr>
          <w:rFonts w:ascii="Arial Narrow" w:hAnsi="Arial Narrow"/>
          <w:i/>
          <w:iCs/>
        </w:rPr>
        <w:t xml:space="preserve"> Regnault A, et al. Measuring Overall Severity of Myasthenia Gravis (MG): Evidence for the Added Value of the MG Symptoms PRO. Neurol Ther. 2023 Oct;12(5):1573-1590. doi: 10.1007/s40120-023-00464-x. </w:t>
      </w:r>
    </w:p>
  </w:footnote>
  <w:footnote w:id="5">
    <w:p w14:paraId="00A0F877" w14:textId="77777777" w:rsidR="001508AE" w:rsidRPr="00F72A6D" w:rsidRDefault="001508AE" w:rsidP="001508AE">
      <w:pPr>
        <w:pStyle w:val="FootnoteText"/>
        <w:rPr>
          <w:i/>
          <w:iCs/>
        </w:rPr>
      </w:pPr>
      <w:r w:rsidRPr="00F72A6D">
        <w:rPr>
          <w:rStyle w:val="FootnoteReference"/>
          <w:i/>
          <w:iCs/>
        </w:rPr>
        <w:footnoteRef/>
      </w:r>
      <w:r w:rsidRPr="00F72A6D">
        <w:rPr>
          <w:i/>
          <w:iCs/>
        </w:rPr>
        <w:t xml:space="preserve"> https://www.criteria.blood.gov.au/MedicalCondition/View/2681</w:t>
      </w:r>
    </w:p>
  </w:footnote>
  <w:footnote w:id="6">
    <w:p w14:paraId="75EAD186" w14:textId="43EFFCD7" w:rsidR="00907D1C" w:rsidRDefault="00907D1C">
      <w:pPr>
        <w:pStyle w:val="FootnoteText"/>
      </w:pPr>
      <w:r>
        <w:rPr>
          <w:rStyle w:val="FootnoteReference"/>
        </w:rPr>
        <w:footnoteRef/>
      </w:r>
      <w:r>
        <w:t xml:space="preserve"> </w:t>
      </w:r>
      <w:r w:rsidRPr="00907D1C">
        <w:rPr>
          <w:rFonts w:ascii="Arial Narrow" w:hAnsi="Arial Narrow"/>
          <w:i/>
          <w:iCs/>
        </w:rPr>
        <w:t>Grob, D., N. Brunner, T. Namba and M. Pagala (2008). "Lifetime course of myasthenia gravis." Muscle &amp; Nerve 37(2): 141-149.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81DC" w14:textId="77777777" w:rsidR="00AA076A" w:rsidRDefault="00AA0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6B94" w14:textId="33B6B82D" w:rsidR="00291F22" w:rsidRPr="004729E0" w:rsidRDefault="004729E0" w:rsidP="00291F22">
    <w:pPr>
      <w:tabs>
        <w:tab w:val="center" w:pos="4513"/>
        <w:tab w:val="right" w:pos="9026"/>
      </w:tabs>
      <w:jc w:val="center"/>
      <w:rPr>
        <w:i/>
        <w:iCs/>
      </w:rPr>
    </w:pPr>
    <w:r w:rsidRPr="004729E0">
      <w:rPr>
        <w:i/>
        <w:iCs/>
      </w:rPr>
      <w:t>Public Summary Document</w:t>
    </w:r>
    <w:r w:rsidR="008B3A69" w:rsidRPr="004729E0">
      <w:rPr>
        <w:i/>
        <w:iCs/>
      </w:rPr>
      <w:t xml:space="preserve"> - </w:t>
    </w:r>
    <w:r w:rsidR="008E0820" w:rsidRPr="004729E0">
      <w:rPr>
        <w:i/>
        <w:iCs/>
      </w:rPr>
      <w:t>July</w:t>
    </w:r>
    <w:r w:rsidR="00291F22" w:rsidRPr="004729E0">
      <w:rPr>
        <w:i/>
        <w:iCs/>
      </w:rPr>
      <w:t xml:space="preserve"> 2024 PBAC meeting</w:t>
    </w:r>
  </w:p>
  <w:p w14:paraId="5118D4E9" w14:textId="77777777" w:rsidR="00767A5C" w:rsidRDefault="00767A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120E" w14:textId="77777777" w:rsidR="00AA076A" w:rsidRDefault="00AA0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3CDC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37502"/>
    <w:multiLevelType w:val="hybridMultilevel"/>
    <w:tmpl w:val="A65240C4"/>
    <w:lvl w:ilvl="0" w:tplc="166EC588">
      <w:start w:val="3"/>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316D6"/>
    <w:multiLevelType w:val="multilevel"/>
    <w:tmpl w:val="A18C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D3632"/>
    <w:multiLevelType w:val="hybridMultilevel"/>
    <w:tmpl w:val="EF564668"/>
    <w:lvl w:ilvl="0" w:tplc="0C090001">
      <w:start w:val="1"/>
      <w:numFmt w:val="bullet"/>
      <w:lvlText w:val=""/>
      <w:lvlJc w:val="left"/>
      <w:pPr>
        <w:ind w:left="1335" w:hanging="360"/>
      </w:pPr>
      <w:rPr>
        <w:rFonts w:ascii="Symbol" w:hAnsi="Symbol" w:hint="default"/>
      </w:rPr>
    </w:lvl>
    <w:lvl w:ilvl="1" w:tplc="6F40814E">
      <w:numFmt w:val="bullet"/>
      <w:lvlText w:val=""/>
      <w:lvlJc w:val="left"/>
      <w:pPr>
        <w:ind w:left="2055" w:hanging="360"/>
      </w:pPr>
      <w:rPr>
        <w:rFonts w:ascii="Wingdings" w:eastAsia="Times New Roman" w:hAnsi="Wingdings" w:cs="Arial"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5" w15:restartNumberingAfterBreak="0">
    <w:nsid w:val="113B2AE4"/>
    <w:multiLevelType w:val="hybridMultilevel"/>
    <w:tmpl w:val="5F76B2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EE1B2F"/>
    <w:multiLevelType w:val="hybridMultilevel"/>
    <w:tmpl w:val="363635D0"/>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7" w15:restartNumberingAfterBreak="0">
    <w:nsid w:val="1FB219F8"/>
    <w:multiLevelType w:val="hybridMultilevel"/>
    <w:tmpl w:val="CD5864BA"/>
    <w:lvl w:ilvl="0" w:tplc="CB7CDD5A">
      <w:start w:val="1"/>
      <w:numFmt w:val="bullet"/>
      <w:pStyle w:val="COMexecsummmainissues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C316C"/>
    <w:multiLevelType w:val="hybridMultilevel"/>
    <w:tmpl w:val="69C667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F22346"/>
    <w:multiLevelType w:val="hybridMultilevel"/>
    <w:tmpl w:val="4B64B9A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603E6"/>
    <w:multiLevelType w:val="hybridMultilevel"/>
    <w:tmpl w:val="725498F4"/>
    <w:lvl w:ilvl="0" w:tplc="416AD90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21C463D"/>
    <w:multiLevelType w:val="hybridMultilevel"/>
    <w:tmpl w:val="FB2A06E4"/>
    <w:lvl w:ilvl="0" w:tplc="0C090001">
      <w:start w:val="1"/>
      <w:numFmt w:val="bullet"/>
      <w:lvlText w:val=""/>
      <w:lvlJc w:val="left"/>
      <w:pPr>
        <w:ind w:left="1500" w:hanging="360"/>
      </w:pPr>
      <w:rPr>
        <w:rFonts w:ascii="Symbol" w:hAnsi="Symbol"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45596"/>
    <w:multiLevelType w:val="hybridMultilevel"/>
    <w:tmpl w:val="B2B8CF5A"/>
    <w:lvl w:ilvl="0" w:tplc="53EC138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115DEF"/>
    <w:multiLevelType w:val="hybridMultilevel"/>
    <w:tmpl w:val="DDC8BB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FA3C06"/>
    <w:multiLevelType w:val="hybridMultilevel"/>
    <w:tmpl w:val="C01C794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4D033C"/>
    <w:multiLevelType w:val="multilevel"/>
    <w:tmpl w:val="85AED71A"/>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86084710">
    <w:abstractNumId w:val="25"/>
  </w:num>
  <w:num w:numId="2" w16cid:durableId="2036077743">
    <w:abstractNumId w:val="13"/>
  </w:num>
  <w:num w:numId="3" w16cid:durableId="370154249">
    <w:abstractNumId w:val="14"/>
  </w:num>
  <w:num w:numId="4" w16cid:durableId="1489518488">
    <w:abstractNumId w:val="0"/>
  </w:num>
  <w:num w:numId="5" w16cid:durableId="338503098">
    <w:abstractNumId w:val="25"/>
  </w:num>
  <w:num w:numId="6" w16cid:durableId="1571774142">
    <w:abstractNumId w:val="7"/>
  </w:num>
  <w:num w:numId="7" w16cid:durableId="301009215">
    <w:abstractNumId w:val="9"/>
  </w:num>
  <w:num w:numId="8" w16cid:durableId="1963540082">
    <w:abstractNumId w:val="5"/>
  </w:num>
  <w:num w:numId="9" w16cid:durableId="129983611">
    <w:abstractNumId w:val="22"/>
  </w:num>
  <w:num w:numId="10" w16cid:durableId="1956718207">
    <w:abstractNumId w:val="6"/>
  </w:num>
  <w:num w:numId="11" w16cid:durableId="2025284079">
    <w:abstractNumId w:val="20"/>
  </w:num>
  <w:num w:numId="12" w16cid:durableId="1909262453">
    <w:abstractNumId w:val="8"/>
  </w:num>
  <w:num w:numId="13" w16cid:durableId="1089891849">
    <w:abstractNumId w:val="23"/>
  </w:num>
  <w:num w:numId="14" w16cid:durableId="131755879">
    <w:abstractNumId w:val="17"/>
  </w:num>
  <w:num w:numId="15" w16cid:durableId="2144342095">
    <w:abstractNumId w:val="18"/>
  </w:num>
  <w:num w:numId="16" w16cid:durableId="1535147702">
    <w:abstractNumId w:val="2"/>
  </w:num>
  <w:num w:numId="17" w16cid:durableId="922572192">
    <w:abstractNumId w:val="11"/>
  </w:num>
  <w:num w:numId="18" w16cid:durableId="412745756">
    <w:abstractNumId w:val="10"/>
  </w:num>
  <w:num w:numId="19" w16cid:durableId="12974431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065446">
    <w:abstractNumId w:val="24"/>
  </w:num>
  <w:num w:numId="21" w16cid:durableId="1371414515">
    <w:abstractNumId w:val="12"/>
  </w:num>
  <w:num w:numId="22" w16cid:durableId="1088692546">
    <w:abstractNumId w:val="15"/>
  </w:num>
  <w:num w:numId="23" w16cid:durableId="1712462595">
    <w:abstractNumId w:val="1"/>
  </w:num>
  <w:num w:numId="24" w16cid:durableId="1903787825">
    <w:abstractNumId w:val="16"/>
  </w:num>
  <w:num w:numId="25" w16cid:durableId="2066678183">
    <w:abstractNumId w:val="25"/>
  </w:num>
  <w:num w:numId="26" w16cid:durableId="837572519">
    <w:abstractNumId w:val="25"/>
  </w:num>
  <w:num w:numId="27" w16cid:durableId="1998457892">
    <w:abstractNumId w:val="25"/>
  </w:num>
  <w:num w:numId="28" w16cid:durableId="1208756201">
    <w:abstractNumId w:val="25"/>
  </w:num>
  <w:num w:numId="29" w16cid:durableId="1939170892">
    <w:abstractNumId w:val="0"/>
  </w:num>
  <w:num w:numId="30" w16cid:durableId="1966499028">
    <w:abstractNumId w:val="0"/>
  </w:num>
  <w:num w:numId="31" w16cid:durableId="341055386">
    <w:abstractNumId w:val="0"/>
  </w:num>
  <w:num w:numId="32" w16cid:durableId="1018191971">
    <w:abstractNumId w:val="0"/>
  </w:num>
  <w:num w:numId="33" w16cid:durableId="951742259">
    <w:abstractNumId w:val="0"/>
  </w:num>
  <w:num w:numId="34" w16cid:durableId="228615329">
    <w:abstractNumId w:val="0"/>
  </w:num>
  <w:num w:numId="35" w16cid:durableId="346103747">
    <w:abstractNumId w:val="14"/>
  </w:num>
  <w:num w:numId="36" w16cid:durableId="1284073556">
    <w:abstractNumId w:val="14"/>
  </w:num>
  <w:num w:numId="37" w16cid:durableId="693306134">
    <w:abstractNumId w:val="14"/>
  </w:num>
  <w:num w:numId="38" w16cid:durableId="319231628">
    <w:abstractNumId w:val="14"/>
  </w:num>
  <w:num w:numId="39" w16cid:durableId="815801974">
    <w:abstractNumId w:val="14"/>
  </w:num>
  <w:num w:numId="40" w16cid:durableId="1092511410">
    <w:abstractNumId w:val="14"/>
  </w:num>
  <w:num w:numId="41" w16cid:durableId="652300988">
    <w:abstractNumId w:val="14"/>
  </w:num>
  <w:num w:numId="42" w16cid:durableId="249891865">
    <w:abstractNumId w:val="14"/>
  </w:num>
  <w:num w:numId="43" w16cid:durableId="344090820">
    <w:abstractNumId w:val="25"/>
  </w:num>
  <w:num w:numId="44" w16cid:durableId="138115149">
    <w:abstractNumId w:val="14"/>
  </w:num>
  <w:num w:numId="45" w16cid:durableId="1228760833">
    <w:abstractNumId w:val="14"/>
  </w:num>
  <w:num w:numId="46" w16cid:durableId="1025985221">
    <w:abstractNumId w:val="19"/>
  </w:num>
  <w:num w:numId="47" w16cid:durableId="583611346">
    <w:abstractNumId w:val="3"/>
  </w:num>
  <w:num w:numId="48" w16cid:durableId="50463311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110"/>
    <w:rsid w:val="00000790"/>
    <w:rsid w:val="0000110B"/>
    <w:rsid w:val="00001451"/>
    <w:rsid w:val="00002394"/>
    <w:rsid w:val="00003499"/>
    <w:rsid w:val="000039B7"/>
    <w:rsid w:val="000056B9"/>
    <w:rsid w:val="000057D6"/>
    <w:rsid w:val="000060BA"/>
    <w:rsid w:val="0000639A"/>
    <w:rsid w:val="00006608"/>
    <w:rsid w:val="00007CB0"/>
    <w:rsid w:val="00010634"/>
    <w:rsid w:val="00010692"/>
    <w:rsid w:val="000112FC"/>
    <w:rsid w:val="00012970"/>
    <w:rsid w:val="00013247"/>
    <w:rsid w:val="00014181"/>
    <w:rsid w:val="000146BE"/>
    <w:rsid w:val="00014844"/>
    <w:rsid w:val="00015886"/>
    <w:rsid w:val="000161FF"/>
    <w:rsid w:val="000162EF"/>
    <w:rsid w:val="00017078"/>
    <w:rsid w:val="000207C9"/>
    <w:rsid w:val="00020946"/>
    <w:rsid w:val="0002225F"/>
    <w:rsid w:val="00023763"/>
    <w:rsid w:val="00023AB6"/>
    <w:rsid w:val="00023E7C"/>
    <w:rsid w:val="000241F0"/>
    <w:rsid w:val="000244AA"/>
    <w:rsid w:val="00024EB5"/>
    <w:rsid w:val="00025EC7"/>
    <w:rsid w:val="00026FE0"/>
    <w:rsid w:val="000274B8"/>
    <w:rsid w:val="000275FB"/>
    <w:rsid w:val="00027C18"/>
    <w:rsid w:val="00030A51"/>
    <w:rsid w:val="00033863"/>
    <w:rsid w:val="00035B6D"/>
    <w:rsid w:val="00035DC0"/>
    <w:rsid w:val="000362E2"/>
    <w:rsid w:val="00036829"/>
    <w:rsid w:val="00036A5F"/>
    <w:rsid w:val="0003776A"/>
    <w:rsid w:val="00037A49"/>
    <w:rsid w:val="000403E8"/>
    <w:rsid w:val="00040895"/>
    <w:rsid w:val="00040D09"/>
    <w:rsid w:val="000410A0"/>
    <w:rsid w:val="00042C38"/>
    <w:rsid w:val="0004307F"/>
    <w:rsid w:val="000433FF"/>
    <w:rsid w:val="000435EE"/>
    <w:rsid w:val="0004371C"/>
    <w:rsid w:val="00043C37"/>
    <w:rsid w:val="00044016"/>
    <w:rsid w:val="00045017"/>
    <w:rsid w:val="000450BE"/>
    <w:rsid w:val="00045A2B"/>
    <w:rsid w:val="0004698F"/>
    <w:rsid w:val="00046D64"/>
    <w:rsid w:val="000508C2"/>
    <w:rsid w:val="00051656"/>
    <w:rsid w:val="000539D0"/>
    <w:rsid w:val="00054235"/>
    <w:rsid w:val="00054621"/>
    <w:rsid w:val="000546D7"/>
    <w:rsid w:val="00054A8D"/>
    <w:rsid w:val="00056437"/>
    <w:rsid w:val="00056D9E"/>
    <w:rsid w:val="00056ECF"/>
    <w:rsid w:val="000604DF"/>
    <w:rsid w:val="000618C1"/>
    <w:rsid w:val="00061AA3"/>
    <w:rsid w:val="00062324"/>
    <w:rsid w:val="00062B8B"/>
    <w:rsid w:val="000634C8"/>
    <w:rsid w:val="00064775"/>
    <w:rsid w:val="000653B5"/>
    <w:rsid w:val="000654A6"/>
    <w:rsid w:val="00066360"/>
    <w:rsid w:val="00066AF8"/>
    <w:rsid w:val="0006746E"/>
    <w:rsid w:val="00071248"/>
    <w:rsid w:val="000717F4"/>
    <w:rsid w:val="0007192C"/>
    <w:rsid w:val="000720B9"/>
    <w:rsid w:val="00072145"/>
    <w:rsid w:val="00073491"/>
    <w:rsid w:val="000737F7"/>
    <w:rsid w:val="00074FCE"/>
    <w:rsid w:val="0007546F"/>
    <w:rsid w:val="000762C5"/>
    <w:rsid w:val="0007672F"/>
    <w:rsid w:val="0007681E"/>
    <w:rsid w:val="00076B54"/>
    <w:rsid w:val="00077047"/>
    <w:rsid w:val="000774F0"/>
    <w:rsid w:val="000806E9"/>
    <w:rsid w:val="00080909"/>
    <w:rsid w:val="000812CA"/>
    <w:rsid w:val="00081375"/>
    <w:rsid w:val="00081CE5"/>
    <w:rsid w:val="00081E63"/>
    <w:rsid w:val="0008258D"/>
    <w:rsid w:val="00082FEB"/>
    <w:rsid w:val="00083543"/>
    <w:rsid w:val="0008382E"/>
    <w:rsid w:val="00083E99"/>
    <w:rsid w:val="00084FA8"/>
    <w:rsid w:val="000856C5"/>
    <w:rsid w:val="00085C31"/>
    <w:rsid w:val="00087430"/>
    <w:rsid w:val="000879EA"/>
    <w:rsid w:val="000902D9"/>
    <w:rsid w:val="00090C7E"/>
    <w:rsid w:val="000911AC"/>
    <w:rsid w:val="00091DBE"/>
    <w:rsid w:val="00092600"/>
    <w:rsid w:val="0009262B"/>
    <w:rsid w:val="00092E7D"/>
    <w:rsid w:val="00093310"/>
    <w:rsid w:val="0009445C"/>
    <w:rsid w:val="000947A9"/>
    <w:rsid w:val="00094EE2"/>
    <w:rsid w:val="00094FF8"/>
    <w:rsid w:val="00095091"/>
    <w:rsid w:val="00095200"/>
    <w:rsid w:val="000958F8"/>
    <w:rsid w:val="00095FE5"/>
    <w:rsid w:val="00096284"/>
    <w:rsid w:val="0009628D"/>
    <w:rsid w:val="00096AA5"/>
    <w:rsid w:val="00097942"/>
    <w:rsid w:val="000A0295"/>
    <w:rsid w:val="000A1BC0"/>
    <w:rsid w:val="000A2A5A"/>
    <w:rsid w:val="000A2CB8"/>
    <w:rsid w:val="000A2F9E"/>
    <w:rsid w:val="000A309B"/>
    <w:rsid w:val="000A32D1"/>
    <w:rsid w:val="000A35FA"/>
    <w:rsid w:val="000A3E47"/>
    <w:rsid w:val="000A4257"/>
    <w:rsid w:val="000A4D6C"/>
    <w:rsid w:val="000A522B"/>
    <w:rsid w:val="000A55A7"/>
    <w:rsid w:val="000A5979"/>
    <w:rsid w:val="000A6039"/>
    <w:rsid w:val="000A677E"/>
    <w:rsid w:val="000A7453"/>
    <w:rsid w:val="000A7D08"/>
    <w:rsid w:val="000B0121"/>
    <w:rsid w:val="000B0670"/>
    <w:rsid w:val="000B0AAE"/>
    <w:rsid w:val="000B0D88"/>
    <w:rsid w:val="000B0E75"/>
    <w:rsid w:val="000B0F50"/>
    <w:rsid w:val="000B287C"/>
    <w:rsid w:val="000B2DCB"/>
    <w:rsid w:val="000B465D"/>
    <w:rsid w:val="000B4C71"/>
    <w:rsid w:val="000B56EB"/>
    <w:rsid w:val="000B5CE0"/>
    <w:rsid w:val="000B5F95"/>
    <w:rsid w:val="000B65DF"/>
    <w:rsid w:val="000B68CA"/>
    <w:rsid w:val="000B6CAC"/>
    <w:rsid w:val="000B7612"/>
    <w:rsid w:val="000B78AE"/>
    <w:rsid w:val="000B7EB4"/>
    <w:rsid w:val="000C15BF"/>
    <w:rsid w:val="000C166F"/>
    <w:rsid w:val="000C24FD"/>
    <w:rsid w:val="000C2690"/>
    <w:rsid w:val="000C2921"/>
    <w:rsid w:val="000C2CAA"/>
    <w:rsid w:val="000C327F"/>
    <w:rsid w:val="000C3DF9"/>
    <w:rsid w:val="000C4CF2"/>
    <w:rsid w:val="000C4D23"/>
    <w:rsid w:val="000C5589"/>
    <w:rsid w:val="000C5742"/>
    <w:rsid w:val="000C6713"/>
    <w:rsid w:val="000C7181"/>
    <w:rsid w:val="000C7F04"/>
    <w:rsid w:val="000D005B"/>
    <w:rsid w:val="000D1BFC"/>
    <w:rsid w:val="000D1D5D"/>
    <w:rsid w:val="000D27A2"/>
    <w:rsid w:val="000D281A"/>
    <w:rsid w:val="000D2848"/>
    <w:rsid w:val="000D326A"/>
    <w:rsid w:val="000D36F2"/>
    <w:rsid w:val="000D51A1"/>
    <w:rsid w:val="000D51FB"/>
    <w:rsid w:val="000D566D"/>
    <w:rsid w:val="000D58A8"/>
    <w:rsid w:val="000D5B5A"/>
    <w:rsid w:val="000D74C8"/>
    <w:rsid w:val="000D7BDC"/>
    <w:rsid w:val="000D7DE0"/>
    <w:rsid w:val="000E0640"/>
    <w:rsid w:val="000E0FF9"/>
    <w:rsid w:val="000E135D"/>
    <w:rsid w:val="000E52C1"/>
    <w:rsid w:val="000E5806"/>
    <w:rsid w:val="000F00BA"/>
    <w:rsid w:val="000F02EB"/>
    <w:rsid w:val="000F1F17"/>
    <w:rsid w:val="000F316A"/>
    <w:rsid w:val="000F3C74"/>
    <w:rsid w:val="000F4722"/>
    <w:rsid w:val="000F4BB8"/>
    <w:rsid w:val="000F4BF0"/>
    <w:rsid w:val="000F4E9F"/>
    <w:rsid w:val="000F4FA9"/>
    <w:rsid w:val="000F53FB"/>
    <w:rsid w:val="000F7127"/>
    <w:rsid w:val="000F7B54"/>
    <w:rsid w:val="001000B3"/>
    <w:rsid w:val="00100288"/>
    <w:rsid w:val="00100F8A"/>
    <w:rsid w:val="00102A35"/>
    <w:rsid w:val="0010452E"/>
    <w:rsid w:val="00105352"/>
    <w:rsid w:val="001055C4"/>
    <w:rsid w:val="00105AE2"/>
    <w:rsid w:val="001060C6"/>
    <w:rsid w:val="00106AEF"/>
    <w:rsid w:val="00106B80"/>
    <w:rsid w:val="0011032E"/>
    <w:rsid w:val="00112BD9"/>
    <w:rsid w:val="0011348B"/>
    <w:rsid w:val="00113699"/>
    <w:rsid w:val="00113D3E"/>
    <w:rsid w:val="00115982"/>
    <w:rsid w:val="00116C53"/>
    <w:rsid w:val="00117AAF"/>
    <w:rsid w:val="001202D6"/>
    <w:rsid w:val="00121799"/>
    <w:rsid w:val="001222FC"/>
    <w:rsid w:val="00123902"/>
    <w:rsid w:val="00124907"/>
    <w:rsid w:val="00124A51"/>
    <w:rsid w:val="0012505F"/>
    <w:rsid w:val="001256C8"/>
    <w:rsid w:val="00126621"/>
    <w:rsid w:val="00126B1D"/>
    <w:rsid w:val="00126C5A"/>
    <w:rsid w:val="0012714E"/>
    <w:rsid w:val="001301E9"/>
    <w:rsid w:val="00130958"/>
    <w:rsid w:val="00131D82"/>
    <w:rsid w:val="00132B22"/>
    <w:rsid w:val="00132DC5"/>
    <w:rsid w:val="00133CA8"/>
    <w:rsid w:val="00133D36"/>
    <w:rsid w:val="001343F7"/>
    <w:rsid w:val="00135AAD"/>
    <w:rsid w:val="00137645"/>
    <w:rsid w:val="0014015A"/>
    <w:rsid w:val="001407C6"/>
    <w:rsid w:val="00140E99"/>
    <w:rsid w:val="00142168"/>
    <w:rsid w:val="001423E6"/>
    <w:rsid w:val="00143F67"/>
    <w:rsid w:val="00144E82"/>
    <w:rsid w:val="00145234"/>
    <w:rsid w:val="00145540"/>
    <w:rsid w:val="001456B0"/>
    <w:rsid w:val="00146E04"/>
    <w:rsid w:val="0014749D"/>
    <w:rsid w:val="00147879"/>
    <w:rsid w:val="001478D6"/>
    <w:rsid w:val="001508AE"/>
    <w:rsid w:val="00151784"/>
    <w:rsid w:val="00151B22"/>
    <w:rsid w:val="00151E44"/>
    <w:rsid w:val="001547AB"/>
    <w:rsid w:val="00155521"/>
    <w:rsid w:val="001567EF"/>
    <w:rsid w:val="00156F8F"/>
    <w:rsid w:val="00157130"/>
    <w:rsid w:val="001576B1"/>
    <w:rsid w:val="00157D46"/>
    <w:rsid w:val="0016047B"/>
    <w:rsid w:val="00160A4C"/>
    <w:rsid w:val="001623F7"/>
    <w:rsid w:val="00162913"/>
    <w:rsid w:val="00163E81"/>
    <w:rsid w:val="00163EFF"/>
    <w:rsid w:val="00163F66"/>
    <w:rsid w:val="0016408C"/>
    <w:rsid w:val="0016471F"/>
    <w:rsid w:val="0016478E"/>
    <w:rsid w:val="001655E8"/>
    <w:rsid w:val="00165EC4"/>
    <w:rsid w:val="001660BB"/>
    <w:rsid w:val="001661FB"/>
    <w:rsid w:val="001662CB"/>
    <w:rsid w:val="00166D68"/>
    <w:rsid w:val="00167022"/>
    <w:rsid w:val="001671A0"/>
    <w:rsid w:val="001675DC"/>
    <w:rsid w:val="0016767F"/>
    <w:rsid w:val="00170084"/>
    <w:rsid w:val="00171941"/>
    <w:rsid w:val="00172053"/>
    <w:rsid w:val="00173565"/>
    <w:rsid w:val="00173B07"/>
    <w:rsid w:val="001751FA"/>
    <w:rsid w:val="001754A3"/>
    <w:rsid w:val="001764D6"/>
    <w:rsid w:val="00177B71"/>
    <w:rsid w:val="00180962"/>
    <w:rsid w:val="00181C10"/>
    <w:rsid w:val="00181D9C"/>
    <w:rsid w:val="00181E66"/>
    <w:rsid w:val="00182CE9"/>
    <w:rsid w:val="001837FF"/>
    <w:rsid w:val="00183A25"/>
    <w:rsid w:val="00184B0E"/>
    <w:rsid w:val="00184BB1"/>
    <w:rsid w:val="00184D26"/>
    <w:rsid w:val="0018752F"/>
    <w:rsid w:val="00187E7B"/>
    <w:rsid w:val="001905E8"/>
    <w:rsid w:val="00191BE0"/>
    <w:rsid w:val="00192472"/>
    <w:rsid w:val="001930D0"/>
    <w:rsid w:val="0019312C"/>
    <w:rsid w:val="00193838"/>
    <w:rsid w:val="00194AD8"/>
    <w:rsid w:val="00195222"/>
    <w:rsid w:val="0019525F"/>
    <w:rsid w:val="00195452"/>
    <w:rsid w:val="001975D8"/>
    <w:rsid w:val="00197BF7"/>
    <w:rsid w:val="001A1317"/>
    <w:rsid w:val="001A178E"/>
    <w:rsid w:val="001A1B1A"/>
    <w:rsid w:val="001A23A4"/>
    <w:rsid w:val="001A43FA"/>
    <w:rsid w:val="001A47C5"/>
    <w:rsid w:val="001A59FB"/>
    <w:rsid w:val="001A5E9E"/>
    <w:rsid w:val="001A6354"/>
    <w:rsid w:val="001A6366"/>
    <w:rsid w:val="001A7AE8"/>
    <w:rsid w:val="001B0738"/>
    <w:rsid w:val="001B1462"/>
    <w:rsid w:val="001B14AB"/>
    <w:rsid w:val="001B204E"/>
    <w:rsid w:val="001B2372"/>
    <w:rsid w:val="001B3443"/>
    <w:rsid w:val="001B4D20"/>
    <w:rsid w:val="001B5532"/>
    <w:rsid w:val="001B5C39"/>
    <w:rsid w:val="001B5D31"/>
    <w:rsid w:val="001B7F84"/>
    <w:rsid w:val="001C0A33"/>
    <w:rsid w:val="001C0DA0"/>
    <w:rsid w:val="001C203E"/>
    <w:rsid w:val="001C2A9B"/>
    <w:rsid w:val="001C3DD6"/>
    <w:rsid w:val="001C4299"/>
    <w:rsid w:val="001C4754"/>
    <w:rsid w:val="001C4874"/>
    <w:rsid w:val="001C5EA1"/>
    <w:rsid w:val="001C5F94"/>
    <w:rsid w:val="001C6E66"/>
    <w:rsid w:val="001C7FE5"/>
    <w:rsid w:val="001D1100"/>
    <w:rsid w:val="001D1391"/>
    <w:rsid w:val="001D1656"/>
    <w:rsid w:val="001D25D7"/>
    <w:rsid w:val="001D50B2"/>
    <w:rsid w:val="001D55C5"/>
    <w:rsid w:val="001D71F4"/>
    <w:rsid w:val="001D7645"/>
    <w:rsid w:val="001E18B4"/>
    <w:rsid w:val="001E1E86"/>
    <w:rsid w:val="001E238E"/>
    <w:rsid w:val="001E2483"/>
    <w:rsid w:val="001E2B1E"/>
    <w:rsid w:val="001E2CFF"/>
    <w:rsid w:val="001E2F24"/>
    <w:rsid w:val="001E2FAB"/>
    <w:rsid w:val="001E30D4"/>
    <w:rsid w:val="001E34DF"/>
    <w:rsid w:val="001E3FA3"/>
    <w:rsid w:val="001E4C07"/>
    <w:rsid w:val="001E4C34"/>
    <w:rsid w:val="001E52EB"/>
    <w:rsid w:val="001E61D2"/>
    <w:rsid w:val="001E6D69"/>
    <w:rsid w:val="001E740C"/>
    <w:rsid w:val="001F1235"/>
    <w:rsid w:val="001F1CB3"/>
    <w:rsid w:val="001F22BF"/>
    <w:rsid w:val="001F270C"/>
    <w:rsid w:val="001F3804"/>
    <w:rsid w:val="001F38B5"/>
    <w:rsid w:val="001F4081"/>
    <w:rsid w:val="001F4570"/>
    <w:rsid w:val="001F5146"/>
    <w:rsid w:val="001F7361"/>
    <w:rsid w:val="001F7770"/>
    <w:rsid w:val="001F7CD6"/>
    <w:rsid w:val="00200103"/>
    <w:rsid w:val="0020090F"/>
    <w:rsid w:val="002011B0"/>
    <w:rsid w:val="00201681"/>
    <w:rsid w:val="00201714"/>
    <w:rsid w:val="00201A82"/>
    <w:rsid w:val="00201E81"/>
    <w:rsid w:val="002024BA"/>
    <w:rsid w:val="00203181"/>
    <w:rsid w:val="00203783"/>
    <w:rsid w:val="0020385F"/>
    <w:rsid w:val="002049AF"/>
    <w:rsid w:val="00204F9C"/>
    <w:rsid w:val="002060C8"/>
    <w:rsid w:val="002068A0"/>
    <w:rsid w:val="002069D7"/>
    <w:rsid w:val="00206B36"/>
    <w:rsid w:val="00207021"/>
    <w:rsid w:val="0020721A"/>
    <w:rsid w:val="0020732F"/>
    <w:rsid w:val="00207D00"/>
    <w:rsid w:val="00210516"/>
    <w:rsid w:val="002105C1"/>
    <w:rsid w:val="00211014"/>
    <w:rsid w:val="002116FD"/>
    <w:rsid w:val="00211D77"/>
    <w:rsid w:val="00212482"/>
    <w:rsid w:val="00213EF5"/>
    <w:rsid w:val="002143B4"/>
    <w:rsid w:val="00216BF5"/>
    <w:rsid w:val="00216C6C"/>
    <w:rsid w:val="00216FAB"/>
    <w:rsid w:val="00217BBA"/>
    <w:rsid w:val="00220735"/>
    <w:rsid w:val="00220A40"/>
    <w:rsid w:val="002210A6"/>
    <w:rsid w:val="002211D9"/>
    <w:rsid w:val="00221F00"/>
    <w:rsid w:val="0022212D"/>
    <w:rsid w:val="00223552"/>
    <w:rsid w:val="00223B49"/>
    <w:rsid w:val="00223C9A"/>
    <w:rsid w:val="00223D5A"/>
    <w:rsid w:val="00224122"/>
    <w:rsid w:val="00224DD4"/>
    <w:rsid w:val="00225387"/>
    <w:rsid w:val="00226247"/>
    <w:rsid w:val="002273BB"/>
    <w:rsid w:val="002278A0"/>
    <w:rsid w:val="00227CAF"/>
    <w:rsid w:val="00227CE0"/>
    <w:rsid w:val="002309CC"/>
    <w:rsid w:val="00230C3D"/>
    <w:rsid w:val="00231BA9"/>
    <w:rsid w:val="00231CC8"/>
    <w:rsid w:val="0023209F"/>
    <w:rsid w:val="00233C01"/>
    <w:rsid w:val="0023413C"/>
    <w:rsid w:val="002344FF"/>
    <w:rsid w:val="002346F0"/>
    <w:rsid w:val="0023629D"/>
    <w:rsid w:val="00237255"/>
    <w:rsid w:val="00240048"/>
    <w:rsid w:val="0024079D"/>
    <w:rsid w:val="002408DF"/>
    <w:rsid w:val="002424AF"/>
    <w:rsid w:val="0024289C"/>
    <w:rsid w:val="002438E7"/>
    <w:rsid w:val="002439DC"/>
    <w:rsid w:val="002441D2"/>
    <w:rsid w:val="00244DC8"/>
    <w:rsid w:val="002456A7"/>
    <w:rsid w:val="002458BA"/>
    <w:rsid w:val="00245CE9"/>
    <w:rsid w:val="0024636C"/>
    <w:rsid w:val="00247925"/>
    <w:rsid w:val="00247F88"/>
    <w:rsid w:val="00250424"/>
    <w:rsid w:val="00250A3D"/>
    <w:rsid w:val="00251006"/>
    <w:rsid w:val="0025104F"/>
    <w:rsid w:val="002524D5"/>
    <w:rsid w:val="00253B1D"/>
    <w:rsid w:val="0025433A"/>
    <w:rsid w:val="00254528"/>
    <w:rsid w:val="002549D0"/>
    <w:rsid w:val="00254DCF"/>
    <w:rsid w:val="00255104"/>
    <w:rsid w:val="0025534B"/>
    <w:rsid w:val="00255776"/>
    <w:rsid w:val="00255BB7"/>
    <w:rsid w:val="00256639"/>
    <w:rsid w:val="00257541"/>
    <w:rsid w:val="00257A39"/>
    <w:rsid w:val="00257AC4"/>
    <w:rsid w:val="00257BBE"/>
    <w:rsid w:val="00257F75"/>
    <w:rsid w:val="002604EC"/>
    <w:rsid w:val="002605E4"/>
    <w:rsid w:val="002612F2"/>
    <w:rsid w:val="0026168E"/>
    <w:rsid w:val="002619C7"/>
    <w:rsid w:val="00261CE0"/>
    <w:rsid w:val="00261EEF"/>
    <w:rsid w:val="00262A1A"/>
    <w:rsid w:val="00262A87"/>
    <w:rsid w:val="00262AB5"/>
    <w:rsid w:val="00263FAF"/>
    <w:rsid w:val="00264D26"/>
    <w:rsid w:val="00265C7E"/>
    <w:rsid w:val="00266B5F"/>
    <w:rsid w:val="00266BCD"/>
    <w:rsid w:val="00267642"/>
    <w:rsid w:val="00267AEA"/>
    <w:rsid w:val="002700E6"/>
    <w:rsid w:val="00271716"/>
    <w:rsid w:val="002728CA"/>
    <w:rsid w:val="0027294B"/>
    <w:rsid w:val="00273EB4"/>
    <w:rsid w:val="00274682"/>
    <w:rsid w:val="00274B74"/>
    <w:rsid w:val="0027512C"/>
    <w:rsid w:val="00275158"/>
    <w:rsid w:val="0027528B"/>
    <w:rsid w:val="00275C5A"/>
    <w:rsid w:val="002807AB"/>
    <w:rsid w:val="00281014"/>
    <w:rsid w:val="00283FFA"/>
    <w:rsid w:val="002846D4"/>
    <w:rsid w:val="00285463"/>
    <w:rsid w:val="00285BCE"/>
    <w:rsid w:val="002864CE"/>
    <w:rsid w:val="0028665D"/>
    <w:rsid w:val="00286928"/>
    <w:rsid w:val="0028692E"/>
    <w:rsid w:val="00286B92"/>
    <w:rsid w:val="00290558"/>
    <w:rsid w:val="00290C40"/>
    <w:rsid w:val="00290F63"/>
    <w:rsid w:val="00291A86"/>
    <w:rsid w:val="00291F22"/>
    <w:rsid w:val="002924DB"/>
    <w:rsid w:val="00293684"/>
    <w:rsid w:val="00294BA0"/>
    <w:rsid w:val="00297534"/>
    <w:rsid w:val="002A019A"/>
    <w:rsid w:val="002A0EDF"/>
    <w:rsid w:val="002A14AB"/>
    <w:rsid w:val="002A2226"/>
    <w:rsid w:val="002A2ADE"/>
    <w:rsid w:val="002A2F50"/>
    <w:rsid w:val="002A4C75"/>
    <w:rsid w:val="002A4E4A"/>
    <w:rsid w:val="002A4E6D"/>
    <w:rsid w:val="002A7943"/>
    <w:rsid w:val="002A7B07"/>
    <w:rsid w:val="002A7E56"/>
    <w:rsid w:val="002B05A1"/>
    <w:rsid w:val="002B09A4"/>
    <w:rsid w:val="002B1C1F"/>
    <w:rsid w:val="002B1EE3"/>
    <w:rsid w:val="002B2370"/>
    <w:rsid w:val="002B3EE7"/>
    <w:rsid w:val="002B432F"/>
    <w:rsid w:val="002B4AEB"/>
    <w:rsid w:val="002B50F5"/>
    <w:rsid w:val="002B53BC"/>
    <w:rsid w:val="002B62B3"/>
    <w:rsid w:val="002B6754"/>
    <w:rsid w:val="002B6CCE"/>
    <w:rsid w:val="002C07D1"/>
    <w:rsid w:val="002C116C"/>
    <w:rsid w:val="002C11DA"/>
    <w:rsid w:val="002C16F6"/>
    <w:rsid w:val="002C2510"/>
    <w:rsid w:val="002C2775"/>
    <w:rsid w:val="002C27C1"/>
    <w:rsid w:val="002C364D"/>
    <w:rsid w:val="002C36E3"/>
    <w:rsid w:val="002C38F0"/>
    <w:rsid w:val="002C470C"/>
    <w:rsid w:val="002C5099"/>
    <w:rsid w:val="002C57C1"/>
    <w:rsid w:val="002C5889"/>
    <w:rsid w:val="002C71CE"/>
    <w:rsid w:val="002D08F8"/>
    <w:rsid w:val="002D23FE"/>
    <w:rsid w:val="002D36FC"/>
    <w:rsid w:val="002D43EC"/>
    <w:rsid w:val="002D49B2"/>
    <w:rsid w:val="002D4C28"/>
    <w:rsid w:val="002D577C"/>
    <w:rsid w:val="002D7832"/>
    <w:rsid w:val="002E0C1E"/>
    <w:rsid w:val="002E1071"/>
    <w:rsid w:val="002E134C"/>
    <w:rsid w:val="002E15B9"/>
    <w:rsid w:val="002E2158"/>
    <w:rsid w:val="002E4F02"/>
    <w:rsid w:val="002E7722"/>
    <w:rsid w:val="002F07BA"/>
    <w:rsid w:val="002F07D3"/>
    <w:rsid w:val="002F0DA9"/>
    <w:rsid w:val="002F1014"/>
    <w:rsid w:val="002F169C"/>
    <w:rsid w:val="002F1E3B"/>
    <w:rsid w:val="002F282A"/>
    <w:rsid w:val="002F333A"/>
    <w:rsid w:val="002F3D57"/>
    <w:rsid w:val="002F3F70"/>
    <w:rsid w:val="002F643C"/>
    <w:rsid w:val="002F71C0"/>
    <w:rsid w:val="002F74F1"/>
    <w:rsid w:val="002F7F29"/>
    <w:rsid w:val="00301017"/>
    <w:rsid w:val="0030155F"/>
    <w:rsid w:val="003015C3"/>
    <w:rsid w:val="0030286A"/>
    <w:rsid w:val="00303067"/>
    <w:rsid w:val="003039AB"/>
    <w:rsid w:val="00303F0F"/>
    <w:rsid w:val="0030424C"/>
    <w:rsid w:val="003048AF"/>
    <w:rsid w:val="003055B0"/>
    <w:rsid w:val="0030587B"/>
    <w:rsid w:val="00305E03"/>
    <w:rsid w:val="00306591"/>
    <w:rsid w:val="00306D98"/>
    <w:rsid w:val="00306E04"/>
    <w:rsid w:val="00306ED8"/>
    <w:rsid w:val="0030786C"/>
    <w:rsid w:val="00307FB7"/>
    <w:rsid w:val="0031031A"/>
    <w:rsid w:val="00310981"/>
    <w:rsid w:val="00311046"/>
    <w:rsid w:val="003112BD"/>
    <w:rsid w:val="00311957"/>
    <w:rsid w:val="00311A4A"/>
    <w:rsid w:val="00311D9B"/>
    <w:rsid w:val="0031226D"/>
    <w:rsid w:val="0031247C"/>
    <w:rsid w:val="003124D9"/>
    <w:rsid w:val="003124DD"/>
    <w:rsid w:val="00312594"/>
    <w:rsid w:val="003126D7"/>
    <w:rsid w:val="00312710"/>
    <w:rsid w:val="0031493B"/>
    <w:rsid w:val="00315498"/>
    <w:rsid w:val="0031564D"/>
    <w:rsid w:val="00316474"/>
    <w:rsid w:val="0031696F"/>
    <w:rsid w:val="00322107"/>
    <w:rsid w:val="00322355"/>
    <w:rsid w:val="0032244B"/>
    <w:rsid w:val="00322846"/>
    <w:rsid w:val="0032286D"/>
    <w:rsid w:val="00322BD2"/>
    <w:rsid w:val="00322E61"/>
    <w:rsid w:val="0032333C"/>
    <w:rsid w:val="00323961"/>
    <w:rsid w:val="003243FF"/>
    <w:rsid w:val="00326DA7"/>
    <w:rsid w:val="00327053"/>
    <w:rsid w:val="003270E4"/>
    <w:rsid w:val="00327952"/>
    <w:rsid w:val="00330B93"/>
    <w:rsid w:val="00330DAA"/>
    <w:rsid w:val="00330F5C"/>
    <w:rsid w:val="003315F2"/>
    <w:rsid w:val="003333EA"/>
    <w:rsid w:val="00334D81"/>
    <w:rsid w:val="00336414"/>
    <w:rsid w:val="003366C9"/>
    <w:rsid w:val="00336D3B"/>
    <w:rsid w:val="003371B0"/>
    <w:rsid w:val="00337D1B"/>
    <w:rsid w:val="00340DF1"/>
    <w:rsid w:val="00343279"/>
    <w:rsid w:val="00346245"/>
    <w:rsid w:val="00347650"/>
    <w:rsid w:val="0035018F"/>
    <w:rsid w:val="003501F5"/>
    <w:rsid w:val="0035026B"/>
    <w:rsid w:val="003517F9"/>
    <w:rsid w:val="00351A17"/>
    <w:rsid w:val="00351AD0"/>
    <w:rsid w:val="00351BA9"/>
    <w:rsid w:val="00351D13"/>
    <w:rsid w:val="00353193"/>
    <w:rsid w:val="00353D42"/>
    <w:rsid w:val="00354F64"/>
    <w:rsid w:val="0035620E"/>
    <w:rsid w:val="003575BE"/>
    <w:rsid w:val="003576A3"/>
    <w:rsid w:val="00357F9C"/>
    <w:rsid w:val="00360345"/>
    <w:rsid w:val="00360A05"/>
    <w:rsid w:val="00361A05"/>
    <w:rsid w:val="003624C4"/>
    <w:rsid w:val="00362A6F"/>
    <w:rsid w:val="00362E1D"/>
    <w:rsid w:val="00363466"/>
    <w:rsid w:val="00363B00"/>
    <w:rsid w:val="00364DF0"/>
    <w:rsid w:val="00365356"/>
    <w:rsid w:val="003654AC"/>
    <w:rsid w:val="00366044"/>
    <w:rsid w:val="0036765F"/>
    <w:rsid w:val="00371021"/>
    <w:rsid w:val="003710CF"/>
    <w:rsid w:val="00371295"/>
    <w:rsid w:val="003725F0"/>
    <w:rsid w:val="0037358A"/>
    <w:rsid w:val="00373B6B"/>
    <w:rsid w:val="0037477F"/>
    <w:rsid w:val="003750F6"/>
    <w:rsid w:val="003760FC"/>
    <w:rsid w:val="003806CE"/>
    <w:rsid w:val="003808C6"/>
    <w:rsid w:val="0038274D"/>
    <w:rsid w:val="0038365C"/>
    <w:rsid w:val="0038369B"/>
    <w:rsid w:val="00383B78"/>
    <w:rsid w:val="00385594"/>
    <w:rsid w:val="00385A9D"/>
    <w:rsid w:val="00387121"/>
    <w:rsid w:val="0038749F"/>
    <w:rsid w:val="00387CEF"/>
    <w:rsid w:val="003902B1"/>
    <w:rsid w:val="0039179C"/>
    <w:rsid w:val="00391B2A"/>
    <w:rsid w:val="00393EDE"/>
    <w:rsid w:val="00393FD0"/>
    <w:rsid w:val="003943B6"/>
    <w:rsid w:val="0039481E"/>
    <w:rsid w:val="00394B55"/>
    <w:rsid w:val="00395169"/>
    <w:rsid w:val="0039605D"/>
    <w:rsid w:val="00396609"/>
    <w:rsid w:val="00396896"/>
    <w:rsid w:val="00396D7D"/>
    <w:rsid w:val="00396FD0"/>
    <w:rsid w:val="003A0ADF"/>
    <w:rsid w:val="003A1A7A"/>
    <w:rsid w:val="003A2392"/>
    <w:rsid w:val="003A2831"/>
    <w:rsid w:val="003A3127"/>
    <w:rsid w:val="003A3CB6"/>
    <w:rsid w:val="003A3ED1"/>
    <w:rsid w:val="003A44DB"/>
    <w:rsid w:val="003A467C"/>
    <w:rsid w:val="003A4C14"/>
    <w:rsid w:val="003A5F61"/>
    <w:rsid w:val="003A67AA"/>
    <w:rsid w:val="003A6814"/>
    <w:rsid w:val="003A6E78"/>
    <w:rsid w:val="003A6EE7"/>
    <w:rsid w:val="003B00FB"/>
    <w:rsid w:val="003B0804"/>
    <w:rsid w:val="003B0BA3"/>
    <w:rsid w:val="003B12EB"/>
    <w:rsid w:val="003B145C"/>
    <w:rsid w:val="003B1679"/>
    <w:rsid w:val="003B21F3"/>
    <w:rsid w:val="003B29FD"/>
    <w:rsid w:val="003B2C55"/>
    <w:rsid w:val="003B3971"/>
    <w:rsid w:val="003B55D1"/>
    <w:rsid w:val="003B5B61"/>
    <w:rsid w:val="003B5C22"/>
    <w:rsid w:val="003B6FFD"/>
    <w:rsid w:val="003B7843"/>
    <w:rsid w:val="003C0367"/>
    <w:rsid w:val="003C0475"/>
    <w:rsid w:val="003C1654"/>
    <w:rsid w:val="003C1E2F"/>
    <w:rsid w:val="003C2DE2"/>
    <w:rsid w:val="003C3150"/>
    <w:rsid w:val="003C3626"/>
    <w:rsid w:val="003C3BCA"/>
    <w:rsid w:val="003C3E6A"/>
    <w:rsid w:val="003C5490"/>
    <w:rsid w:val="003C5542"/>
    <w:rsid w:val="003C5663"/>
    <w:rsid w:val="003C73BB"/>
    <w:rsid w:val="003C7C15"/>
    <w:rsid w:val="003C7D19"/>
    <w:rsid w:val="003C7D2F"/>
    <w:rsid w:val="003D0C5A"/>
    <w:rsid w:val="003D15CE"/>
    <w:rsid w:val="003D1828"/>
    <w:rsid w:val="003D1DE4"/>
    <w:rsid w:val="003D1E9A"/>
    <w:rsid w:val="003D2422"/>
    <w:rsid w:val="003D30A4"/>
    <w:rsid w:val="003D39A1"/>
    <w:rsid w:val="003D3FBF"/>
    <w:rsid w:val="003D4A30"/>
    <w:rsid w:val="003D7452"/>
    <w:rsid w:val="003D7725"/>
    <w:rsid w:val="003D79BB"/>
    <w:rsid w:val="003D7C98"/>
    <w:rsid w:val="003D7D9D"/>
    <w:rsid w:val="003E0543"/>
    <w:rsid w:val="003E16F6"/>
    <w:rsid w:val="003E1E45"/>
    <w:rsid w:val="003E2F75"/>
    <w:rsid w:val="003E329D"/>
    <w:rsid w:val="003E407C"/>
    <w:rsid w:val="003E439E"/>
    <w:rsid w:val="003E5603"/>
    <w:rsid w:val="003E6B40"/>
    <w:rsid w:val="003E6BA0"/>
    <w:rsid w:val="003E749E"/>
    <w:rsid w:val="003F0651"/>
    <w:rsid w:val="003F06EA"/>
    <w:rsid w:val="003F080B"/>
    <w:rsid w:val="003F1980"/>
    <w:rsid w:val="003F4124"/>
    <w:rsid w:val="003F4156"/>
    <w:rsid w:val="003F45CF"/>
    <w:rsid w:val="003F5ADF"/>
    <w:rsid w:val="003F675A"/>
    <w:rsid w:val="003F6D2C"/>
    <w:rsid w:val="0040011E"/>
    <w:rsid w:val="00400B29"/>
    <w:rsid w:val="004027B3"/>
    <w:rsid w:val="00402812"/>
    <w:rsid w:val="00402AB1"/>
    <w:rsid w:val="00403002"/>
    <w:rsid w:val="00404165"/>
    <w:rsid w:val="004041CD"/>
    <w:rsid w:val="00404871"/>
    <w:rsid w:val="0040504B"/>
    <w:rsid w:val="004059F4"/>
    <w:rsid w:val="004071AA"/>
    <w:rsid w:val="00407FE5"/>
    <w:rsid w:val="004101B0"/>
    <w:rsid w:val="0041022A"/>
    <w:rsid w:val="00410326"/>
    <w:rsid w:val="00410708"/>
    <w:rsid w:val="0041082E"/>
    <w:rsid w:val="00410EC7"/>
    <w:rsid w:val="0041133C"/>
    <w:rsid w:val="00411B39"/>
    <w:rsid w:val="004127A7"/>
    <w:rsid w:val="00413A1E"/>
    <w:rsid w:val="00414303"/>
    <w:rsid w:val="00414476"/>
    <w:rsid w:val="00414C2E"/>
    <w:rsid w:val="004151CF"/>
    <w:rsid w:val="004157A6"/>
    <w:rsid w:val="0041595D"/>
    <w:rsid w:val="00415C16"/>
    <w:rsid w:val="00415E60"/>
    <w:rsid w:val="00416364"/>
    <w:rsid w:val="004165E8"/>
    <w:rsid w:val="00417175"/>
    <w:rsid w:val="00420088"/>
    <w:rsid w:val="00420202"/>
    <w:rsid w:val="0042047F"/>
    <w:rsid w:val="00420AA6"/>
    <w:rsid w:val="00420B9F"/>
    <w:rsid w:val="00421718"/>
    <w:rsid w:val="0042192C"/>
    <w:rsid w:val="00421AB8"/>
    <w:rsid w:val="00421F2B"/>
    <w:rsid w:val="00422260"/>
    <w:rsid w:val="004236E8"/>
    <w:rsid w:val="0042395D"/>
    <w:rsid w:val="0042413F"/>
    <w:rsid w:val="00425739"/>
    <w:rsid w:val="00425E61"/>
    <w:rsid w:val="00425F89"/>
    <w:rsid w:val="00426108"/>
    <w:rsid w:val="0043051F"/>
    <w:rsid w:val="00430DDA"/>
    <w:rsid w:val="004319F8"/>
    <w:rsid w:val="00431E55"/>
    <w:rsid w:val="004321F6"/>
    <w:rsid w:val="0043251E"/>
    <w:rsid w:val="00433044"/>
    <w:rsid w:val="00433664"/>
    <w:rsid w:val="00434088"/>
    <w:rsid w:val="00434133"/>
    <w:rsid w:val="00435A67"/>
    <w:rsid w:val="004375B9"/>
    <w:rsid w:val="00437A5C"/>
    <w:rsid w:val="00440911"/>
    <w:rsid w:val="00441837"/>
    <w:rsid w:val="00441D67"/>
    <w:rsid w:val="0044203E"/>
    <w:rsid w:val="004428D0"/>
    <w:rsid w:val="00443756"/>
    <w:rsid w:val="00443E43"/>
    <w:rsid w:val="00443E4E"/>
    <w:rsid w:val="00444185"/>
    <w:rsid w:val="004443A7"/>
    <w:rsid w:val="0044442C"/>
    <w:rsid w:val="004453E1"/>
    <w:rsid w:val="00445941"/>
    <w:rsid w:val="004464EB"/>
    <w:rsid w:val="004469DE"/>
    <w:rsid w:val="00446BAB"/>
    <w:rsid w:val="00447B3D"/>
    <w:rsid w:val="00447D26"/>
    <w:rsid w:val="00447DFC"/>
    <w:rsid w:val="00450073"/>
    <w:rsid w:val="0045164A"/>
    <w:rsid w:val="00451699"/>
    <w:rsid w:val="004544A3"/>
    <w:rsid w:val="00454F92"/>
    <w:rsid w:val="00455D45"/>
    <w:rsid w:val="0045707B"/>
    <w:rsid w:val="00457539"/>
    <w:rsid w:val="00457991"/>
    <w:rsid w:val="00457B0F"/>
    <w:rsid w:val="004606F3"/>
    <w:rsid w:val="00461086"/>
    <w:rsid w:val="004610F4"/>
    <w:rsid w:val="00461F4A"/>
    <w:rsid w:val="00463F55"/>
    <w:rsid w:val="00464595"/>
    <w:rsid w:val="0046525C"/>
    <w:rsid w:val="00465528"/>
    <w:rsid w:val="00465760"/>
    <w:rsid w:val="004658B5"/>
    <w:rsid w:val="00465A01"/>
    <w:rsid w:val="00466E5C"/>
    <w:rsid w:val="00467157"/>
    <w:rsid w:val="0046748B"/>
    <w:rsid w:val="00467F2F"/>
    <w:rsid w:val="00467FCB"/>
    <w:rsid w:val="004712DD"/>
    <w:rsid w:val="00471EA5"/>
    <w:rsid w:val="004729E0"/>
    <w:rsid w:val="00472A79"/>
    <w:rsid w:val="00473E8A"/>
    <w:rsid w:val="00473F19"/>
    <w:rsid w:val="004752D8"/>
    <w:rsid w:val="004759C1"/>
    <w:rsid w:val="00475E22"/>
    <w:rsid w:val="00476485"/>
    <w:rsid w:val="00477312"/>
    <w:rsid w:val="00477BBC"/>
    <w:rsid w:val="00477D4A"/>
    <w:rsid w:val="0048088E"/>
    <w:rsid w:val="00480F2B"/>
    <w:rsid w:val="0048138F"/>
    <w:rsid w:val="00481C37"/>
    <w:rsid w:val="00481EA1"/>
    <w:rsid w:val="00482720"/>
    <w:rsid w:val="004835BF"/>
    <w:rsid w:val="004835E7"/>
    <w:rsid w:val="00484BD0"/>
    <w:rsid w:val="004855B1"/>
    <w:rsid w:val="004859E1"/>
    <w:rsid w:val="00485C23"/>
    <w:rsid w:val="004867E2"/>
    <w:rsid w:val="004879AF"/>
    <w:rsid w:val="00490B17"/>
    <w:rsid w:val="00491916"/>
    <w:rsid w:val="00491B3A"/>
    <w:rsid w:val="00491B72"/>
    <w:rsid w:val="00492CFD"/>
    <w:rsid w:val="00492DBB"/>
    <w:rsid w:val="00493DC7"/>
    <w:rsid w:val="0049417F"/>
    <w:rsid w:val="00494207"/>
    <w:rsid w:val="00494DD5"/>
    <w:rsid w:val="004962D2"/>
    <w:rsid w:val="004972D1"/>
    <w:rsid w:val="0049781C"/>
    <w:rsid w:val="00497DC4"/>
    <w:rsid w:val="004A029E"/>
    <w:rsid w:val="004A0ABD"/>
    <w:rsid w:val="004A0DA1"/>
    <w:rsid w:val="004A13D6"/>
    <w:rsid w:val="004A23BF"/>
    <w:rsid w:val="004A2494"/>
    <w:rsid w:val="004A2DE1"/>
    <w:rsid w:val="004A30DC"/>
    <w:rsid w:val="004A3F94"/>
    <w:rsid w:val="004A414D"/>
    <w:rsid w:val="004A4174"/>
    <w:rsid w:val="004A428F"/>
    <w:rsid w:val="004A45F0"/>
    <w:rsid w:val="004A52E9"/>
    <w:rsid w:val="004A6040"/>
    <w:rsid w:val="004A62C9"/>
    <w:rsid w:val="004A64F7"/>
    <w:rsid w:val="004A6597"/>
    <w:rsid w:val="004A7848"/>
    <w:rsid w:val="004A793B"/>
    <w:rsid w:val="004B1453"/>
    <w:rsid w:val="004B198F"/>
    <w:rsid w:val="004B1CB4"/>
    <w:rsid w:val="004B2762"/>
    <w:rsid w:val="004B2808"/>
    <w:rsid w:val="004B2F18"/>
    <w:rsid w:val="004B3DDB"/>
    <w:rsid w:val="004B4250"/>
    <w:rsid w:val="004B44FD"/>
    <w:rsid w:val="004B4D9E"/>
    <w:rsid w:val="004B5073"/>
    <w:rsid w:val="004B5255"/>
    <w:rsid w:val="004B5BC3"/>
    <w:rsid w:val="004B5CFC"/>
    <w:rsid w:val="004B6A04"/>
    <w:rsid w:val="004B6F79"/>
    <w:rsid w:val="004B7132"/>
    <w:rsid w:val="004B774D"/>
    <w:rsid w:val="004B77D3"/>
    <w:rsid w:val="004B7A34"/>
    <w:rsid w:val="004B7E9D"/>
    <w:rsid w:val="004C06DE"/>
    <w:rsid w:val="004C0A2F"/>
    <w:rsid w:val="004C269E"/>
    <w:rsid w:val="004C28FB"/>
    <w:rsid w:val="004C2AC2"/>
    <w:rsid w:val="004C3435"/>
    <w:rsid w:val="004C3BA8"/>
    <w:rsid w:val="004C4230"/>
    <w:rsid w:val="004C488C"/>
    <w:rsid w:val="004C4993"/>
    <w:rsid w:val="004C4AED"/>
    <w:rsid w:val="004C6CAE"/>
    <w:rsid w:val="004C7B98"/>
    <w:rsid w:val="004C7F0E"/>
    <w:rsid w:val="004D0411"/>
    <w:rsid w:val="004D08F8"/>
    <w:rsid w:val="004D0DB4"/>
    <w:rsid w:val="004D1009"/>
    <w:rsid w:val="004D245E"/>
    <w:rsid w:val="004D2C2D"/>
    <w:rsid w:val="004D3E66"/>
    <w:rsid w:val="004D40CE"/>
    <w:rsid w:val="004D69B5"/>
    <w:rsid w:val="004D6BFF"/>
    <w:rsid w:val="004D7227"/>
    <w:rsid w:val="004D78D7"/>
    <w:rsid w:val="004D7B5E"/>
    <w:rsid w:val="004E0E7F"/>
    <w:rsid w:val="004E0EB8"/>
    <w:rsid w:val="004E18E9"/>
    <w:rsid w:val="004E24C1"/>
    <w:rsid w:val="004E27CB"/>
    <w:rsid w:val="004E2870"/>
    <w:rsid w:val="004E2ADC"/>
    <w:rsid w:val="004E3757"/>
    <w:rsid w:val="004E3B53"/>
    <w:rsid w:val="004E43B2"/>
    <w:rsid w:val="004E4A26"/>
    <w:rsid w:val="004E4CEF"/>
    <w:rsid w:val="004E4D25"/>
    <w:rsid w:val="004E689E"/>
    <w:rsid w:val="004F0706"/>
    <w:rsid w:val="004F1BB1"/>
    <w:rsid w:val="004F1D02"/>
    <w:rsid w:val="004F2679"/>
    <w:rsid w:val="004F2F21"/>
    <w:rsid w:val="004F3DE5"/>
    <w:rsid w:val="004F4D75"/>
    <w:rsid w:val="004F54D1"/>
    <w:rsid w:val="004F5659"/>
    <w:rsid w:val="004F5B82"/>
    <w:rsid w:val="004F5F26"/>
    <w:rsid w:val="004F6913"/>
    <w:rsid w:val="004F6B2B"/>
    <w:rsid w:val="004F7865"/>
    <w:rsid w:val="0050015A"/>
    <w:rsid w:val="00500C18"/>
    <w:rsid w:val="00500E68"/>
    <w:rsid w:val="005013BC"/>
    <w:rsid w:val="0050174E"/>
    <w:rsid w:val="00501854"/>
    <w:rsid w:val="0050219B"/>
    <w:rsid w:val="00503E4C"/>
    <w:rsid w:val="00503F17"/>
    <w:rsid w:val="00503F3A"/>
    <w:rsid w:val="00506928"/>
    <w:rsid w:val="00506FB5"/>
    <w:rsid w:val="005077EF"/>
    <w:rsid w:val="00510477"/>
    <w:rsid w:val="00510C90"/>
    <w:rsid w:val="00511AD5"/>
    <w:rsid w:val="00511B23"/>
    <w:rsid w:val="00511DC7"/>
    <w:rsid w:val="00512F4E"/>
    <w:rsid w:val="005142C5"/>
    <w:rsid w:val="00514812"/>
    <w:rsid w:val="0051501B"/>
    <w:rsid w:val="005152B5"/>
    <w:rsid w:val="005154FE"/>
    <w:rsid w:val="00515594"/>
    <w:rsid w:val="00515886"/>
    <w:rsid w:val="0051777D"/>
    <w:rsid w:val="005210F8"/>
    <w:rsid w:val="0052123C"/>
    <w:rsid w:val="00521319"/>
    <w:rsid w:val="00521895"/>
    <w:rsid w:val="00522791"/>
    <w:rsid w:val="00522BC8"/>
    <w:rsid w:val="00523C28"/>
    <w:rsid w:val="005245DF"/>
    <w:rsid w:val="00525147"/>
    <w:rsid w:val="00527030"/>
    <w:rsid w:val="005270B6"/>
    <w:rsid w:val="00527A9B"/>
    <w:rsid w:val="00527D81"/>
    <w:rsid w:val="005306F2"/>
    <w:rsid w:val="005310F5"/>
    <w:rsid w:val="0053176B"/>
    <w:rsid w:val="00532C20"/>
    <w:rsid w:val="005341B3"/>
    <w:rsid w:val="0053423A"/>
    <w:rsid w:val="0053630F"/>
    <w:rsid w:val="00536F42"/>
    <w:rsid w:val="00537182"/>
    <w:rsid w:val="00537443"/>
    <w:rsid w:val="00540E0F"/>
    <w:rsid w:val="005412A6"/>
    <w:rsid w:val="00541EDD"/>
    <w:rsid w:val="00542295"/>
    <w:rsid w:val="00542743"/>
    <w:rsid w:val="00542C2D"/>
    <w:rsid w:val="0054389F"/>
    <w:rsid w:val="0054476F"/>
    <w:rsid w:val="00546B6F"/>
    <w:rsid w:val="00547381"/>
    <w:rsid w:val="005478BD"/>
    <w:rsid w:val="005479E3"/>
    <w:rsid w:val="005507D8"/>
    <w:rsid w:val="00550C29"/>
    <w:rsid w:val="00551985"/>
    <w:rsid w:val="00552BD3"/>
    <w:rsid w:val="005532A0"/>
    <w:rsid w:val="00554751"/>
    <w:rsid w:val="00555109"/>
    <w:rsid w:val="00556685"/>
    <w:rsid w:val="00556B35"/>
    <w:rsid w:val="0055730A"/>
    <w:rsid w:val="0055741A"/>
    <w:rsid w:val="00560BCD"/>
    <w:rsid w:val="005611B7"/>
    <w:rsid w:val="005618D4"/>
    <w:rsid w:val="00561F7F"/>
    <w:rsid w:val="00562899"/>
    <w:rsid w:val="005641A4"/>
    <w:rsid w:val="00564867"/>
    <w:rsid w:val="005649DC"/>
    <w:rsid w:val="00565C79"/>
    <w:rsid w:val="00565D71"/>
    <w:rsid w:val="00565DC9"/>
    <w:rsid w:val="00565DF0"/>
    <w:rsid w:val="00565EE7"/>
    <w:rsid w:val="0056696F"/>
    <w:rsid w:val="005702C0"/>
    <w:rsid w:val="00570A8F"/>
    <w:rsid w:val="00571F6C"/>
    <w:rsid w:val="00572269"/>
    <w:rsid w:val="0057244A"/>
    <w:rsid w:val="00572BD3"/>
    <w:rsid w:val="00572F26"/>
    <w:rsid w:val="00573F8A"/>
    <w:rsid w:val="00574EFD"/>
    <w:rsid w:val="005750C5"/>
    <w:rsid w:val="005750FB"/>
    <w:rsid w:val="005752DE"/>
    <w:rsid w:val="00575D60"/>
    <w:rsid w:val="00575D8D"/>
    <w:rsid w:val="00576582"/>
    <w:rsid w:val="00576972"/>
    <w:rsid w:val="00576F05"/>
    <w:rsid w:val="00577248"/>
    <w:rsid w:val="00577C37"/>
    <w:rsid w:val="005802D6"/>
    <w:rsid w:val="00580643"/>
    <w:rsid w:val="0058112A"/>
    <w:rsid w:val="00581F59"/>
    <w:rsid w:val="0058250C"/>
    <w:rsid w:val="00583699"/>
    <w:rsid w:val="005843FE"/>
    <w:rsid w:val="00584956"/>
    <w:rsid w:val="00585CDD"/>
    <w:rsid w:val="00587058"/>
    <w:rsid w:val="005877D5"/>
    <w:rsid w:val="00587DEA"/>
    <w:rsid w:val="00591957"/>
    <w:rsid w:val="00594641"/>
    <w:rsid w:val="00594D6A"/>
    <w:rsid w:val="00596632"/>
    <w:rsid w:val="005970A3"/>
    <w:rsid w:val="00597BF9"/>
    <w:rsid w:val="005A02BA"/>
    <w:rsid w:val="005A0C11"/>
    <w:rsid w:val="005A0F3C"/>
    <w:rsid w:val="005A2417"/>
    <w:rsid w:val="005A309A"/>
    <w:rsid w:val="005A373D"/>
    <w:rsid w:val="005A385F"/>
    <w:rsid w:val="005A459D"/>
    <w:rsid w:val="005A4FF3"/>
    <w:rsid w:val="005A5E0A"/>
    <w:rsid w:val="005A605B"/>
    <w:rsid w:val="005A6B82"/>
    <w:rsid w:val="005A72A4"/>
    <w:rsid w:val="005B09A0"/>
    <w:rsid w:val="005B0B58"/>
    <w:rsid w:val="005B0F20"/>
    <w:rsid w:val="005B1437"/>
    <w:rsid w:val="005B2580"/>
    <w:rsid w:val="005B2C8B"/>
    <w:rsid w:val="005B40E2"/>
    <w:rsid w:val="005B4E53"/>
    <w:rsid w:val="005B5776"/>
    <w:rsid w:val="005B5857"/>
    <w:rsid w:val="005B595E"/>
    <w:rsid w:val="005B74F1"/>
    <w:rsid w:val="005C0452"/>
    <w:rsid w:val="005C0B35"/>
    <w:rsid w:val="005C19C4"/>
    <w:rsid w:val="005C1B83"/>
    <w:rsid w:val="005C1D11"/>
    <w:rsid w:val="005C1F2D"/>
    <w:rsid w:val="005C244D"/>
    <w:rsid w:val="005C25FF"/>
    <w:rsid w:val="005C2D55"/>
    <w:rsid w:val="005C346B"/>
    <w:rsid w:val="005C5ABC"/>
    <w:rsid w:val="005C5FA7"/>
    <w:rsid w:val="005C6512"/>
    <w:rsid w:val="005D044D"/>
    <w:rsid w:val="005D079D"/>
    <w:rsid w:val="005D0ABD"/>
    <w:rsid w:val="005D18AD"/>
    <w:rsid w:val="005D26B4"/>
    <w:rsid w:val="005D4D12"/>
    <w:rsid w:val="005D5FC3"/>
    <w:rsid w:val="005D74CD"/>
    <w:rsid w:val="005D7AB8"/>
    <w:rsid w:val="005E1957"/>
    <w:rsid w:val="005E1995"/>
    <w:rsid w:val="005E19C5"/>
    <w:rsid w:val="005E1D70"/>
    <w:rsid w:val="005E26E1"/>
    <w:rsid w:val="005E2CA0"/>
    <w:rsid w:val="005E2FB8"/>
    <w:rsid w:val="005E34E9"/>
    <w:rsid w:val="005E3C66"/>
    <w:rsid w:val="005E416C"/>
    <w:rsid w:val="005E42E2"/>
    <w:rsid w:val="005E4BDA"/>
    <w:rsid w:val="005E4CCF"/>
    <w:rsid w:val="005E66EB"/>
    <w:rsid w:val="005E6CBC"/>
    <w:rsid w:val="005E72FF"/>
    <w:rsid w:val="005E73C0"/>
    <w:rsid w:val="005E75F6"/>
    <w:rsid w:val="005E7932"/>
    <w:rsid w:val="005E7B1D"/>
    <w:rsid w:val="005F07ED"/>
    <w:rsid w:val="005F1176"/>
    <w:rsid w:val="005F1719"/>
    <w:rsid w:val="005F1B85"/>
    <w:rsid w:val="005F2706"/>
    <w:rsid w:val="005F36C1"/>
    <w:rsid w:val="005F4412"/>
    <w:rsid w:val="005F62E2"/>
    <w:rsid w:val="005F6A8F"/>
    <w:rsid w:val="005F6BB7"/>
    <w:rsid w:val="005F7588"/>
    <w:rsid w:val="005F7808"/>
    <w:rsid w:val="00600018"/>
    <w:rsid w:val="00601A2B"/>
    <w:rsid w:val="00602521"/>
    <w:rsid w:val="00603248"/>
    <w:rsid w:val="006036BC"/>
    <w:rsid w:val="00603DB9"/>
    <w:rsid w:val="00604198"/>
    <w:rsid w:val="00604E09"/>
    <w:rsid w:val="0060512F"/>
    <w:rsid w:val="006063FE"/>
    <w:rsid w:val="00606FBA"/>
    <w:rsid w:val="00607669"/>
    <w:rsid w:val="006076F4"/>
    <w:rsid w:val="00607AFD"/>
    <w:rsid w:val="00610145"/>
    <w:rsid w:val="00611B12"/>
    <w:rsid w:val="00611EF2"/>
    <w:rsid w:val="0061210D"/>
    <w:rsid w:val="00612478"/>
    <w:rsid w:val="00612D3B"/>
    <w:rsid w:val="00612F97"/>
    <w:rsid w:val="0061345D"/>
    <w:rsid w:val="006141E5"/>
    <w:rsid w:val="0061549B"/>
    <w:rsid w:val="00616694"/>
    <w:rsid w:val="00616802"/>
    <w:rsid w:val="00617E12"/>
    <w:rsid w:val="00620C25"/>
    <w:rsid w:val="00620F64"/>
    <w:rsid w:val="00621477"/>
    <w:rsid w:val="0062158F"/>
    <w:rsid w:val="00621ADA"/>
    <w:rsid w:val="00622B1E"/>
    <w:rsid w:val="006235D9"/>
    <w:rsid w:val="00623F7B"/>
    <w:rsid w:val="00624311"/>
    <w:rsid w:val="00624BD4"/>
    <w:rsid w:val="0062541D"/>
    <w:rsid w:val="00625715"/>
    <w:rsid w:val="00630DE7"/>
    <w:rsid w:val="0063158F"/>
    <w:rsid w:val="00631CB2"/>
    <w:rsid w:val="00631D6B"/>
    <w:rsid w:val="00632183"/>
    <w:rsid w:val="00632713"/>
    <w:rsid w:val="00632F35"/>
    <w:rsid w:val="006330A1"/>
    <w:rsid w:val="00634702"/>
    <w:rsid w:val="0063479F"/>
    <w:rsid w:val="006353F0"/>
    <w:rsid w:val="006357B5"/>
    <w:rsid w:val="00636139"/>
    <w:rsid w:val="00636397"/>
    <w:rsid w:val="006364A1"/>
    <w:rsid w:val="0063678E"/>
    <w:rsid w:val="00637694"/>
    <w:rsid w:val="0063795F"/>
    <w:rsid w:val="00637BFD"/>
    <w:rsid w:val="00637C5C"/>
    <w:rsid w:val="00641C4E"/>
    <w:rsid w:val="00641FB3"/>
    <w:rsid w:val="0064401D"/>
    <w:rsid w:val="0064434C"/>
    <w:rsid w:val="00646399"/>
    <w:rsid w:val="0064694B"/>
    <w:rsid w:val="006471CC"/>
    <w:rsid w:val="006472FE"/>
    <w:rsid w:val="006473A0"/>
    <w:rsid w:val="00647A29"/>
    <w:rsid w:val="00647A8A"/>
    <w:rsid w:val="006506E6"/>
    <w:rsid w:val="0065079F"/>
    <w:rsid w:val="0065138C"/>
    <w:rsid w:val="00652A28"/>
    <w:rsid w:val="00652D27"/>
    <w:rsid w:val="00652E00"/>
    <w:rsid w:val="00653571"/>
    <w:rsid w:val="0065379F"/>
    <w:rsid w:val="006551D5"/>
    <w:rsid w:val="00656188"/>
    <w:rsid w:val="00656453"/>
    <w:rsid w:val="00656A1E"/>
    <w:rsid w:val="00656A2B"/>
    <w:rsid w:val="00656D32"/>
    <w:rsid w:val="00656DAE"/>
    <w:rsid w:val="0065715A"/>
    <w:rsid w:val="006573DC"/>
    <w:rsid w:val="00657556"/>
    <w:rsid w:val="00657810"/>
    <w:rsid w:val="006610E0"/>
    <w:rsid w:val="006610F1"/>
    <w:rsid w:val="006615B9"/>
    <w:rsid w:val="00661A74"/>
    <w:rsid w:val="00661C6B"/>
    <w:rsid w:val="0066225B"/>
    <w:rsid w:val="00662D3E"/>
    <w:rsid w:val="00664379"/>
    <w:rsid w:val="00664E4C"/>
    <w:rsid w:val="00667441"/>
    <w:rsid w:val="00667469"/>
    <w:rsid w:val="00667BE3"/>
    <w:rsid w:val="006701D8"/>
    <w:rsid w:val="0067052A"/>
    <w:rsid w:val="00670D3F"/>
    <w:rsid w:val="00671004"/>
    <w:rsid w:val="00672646"/>
    <w:rsid w:val="0067311F"/>
    <w:rsid w:val="00673C4D"/>
    <w:rsid w:val="00674E42"/>
    <w:rsid w:val="00676563"/>
    <w:rsid w:val="006775F8"/>
    <w:rsid w:val="00677979"/>
    <w:rsid w:val="0068038D"/>
    <w:rsid w:val="0068041E"/>
    <w:rsid w:val="006804E1"/>
    <w:rsid w:val="00680E73"/>
    <w:rsid w:val="006813F8"/>
    <w:rsid w:val="00682112"/>
    <w:rsid w:val="00682292"/>
    <w:rsid w:val="006822BD"/>
    <w:rsid w:val="006828C8"/>
    <w:rsid w:val="00682BA6"/>
    <w:rsid w:val="00683710"/>
    <w:rsid w:val="00684395"/>
    <w:rsid w:val="0068557E"/>
    <w:rsid w:val="00686957"/>
    <w:rsid w:val="006872BA"/>
    <w:rsid w:val="006875AC"/>
    <w:rsid w:val="00687F45"/>
    <w:rsid w:val="00687F6D"/>
    <w:rsid w:val="00690795"/>
    <w:rsid w:val="00691648"/>
    <w:rsid w:val="006917D7"/>
    <w:rsid w:val="00691DED"/>
    <w:rsid w:val="0069216A"/>
    <w:rsid w:val="00692E39"/>
    <w:rsid w:val="00692F07"/>
    <w:rsid w:val="0069434C"/>
    <w:rsid w:val="00694545"/>
    <w:rsid w:val="00694928"/>
    <w:rsid w:val="00694970"/>
    <w:rsid w:val="00694A2A"/>
    <w:rsid w:val="00694D8D"/>
    <w:rsid w:val="00694E6C"/>
    <w:rsid w:val="00694F44"/>
    <w:rsid w:val="00695009"/>
    <w:rsid w:val="00695322"/>
    <w:rsid w:val="0069550D"/>
    <w:rsid w:val="00695831"/>
    <w:rsid w:val="00696EF9"/>
    <w:rsid w:val="00696F51"/>
    <w:rsid w:val="006979A5"/>
    <w:rsid w:val="006A016F"/>
    <w:rsid w:val="006A03EA"/>
    <w:rsid w:val="006A0DF7"/>
    <w:rsid w:val="006A1CBD"/>
    <w:rsid w:val="006A2C04"/>
    <w:rsid w:val="006A3799"/>
    <w:rsid w:val="006A3E04"/>
    <w:rsid w:val="006A4321"/>
    <w:rsid w:val="006A43D9"/>
    <w:rsid w:val="006A63B8"/>
    <w:rsid w:val="006A657D"/>
    <w:rsid w:val="006A6B99"/>
    <w:rsid w:val="006A74CB"/>
    <w:rsid w:val="006A7E5F"/>
    <w:rsid w:val="006B1AA3"/>
    <w:rsid w:val="006B1EF8"/>
    <w:rsid w:val="006B261B"/>
    <w:rsid w:val="006B2C90"/>
    <w:rsid w:val="006B2F04"/>
    <w:rsid w:val="006B35BE"/>
    <w:rsid w:val="006B35E6"/>
    <w:rsid w:val="006B3F82"/>
    <w:rsid w:val="006B465A"/>
    <w:rsid w:val="006B46DE"/>
    <w:rsid w:val="006B5FF9"/>
    <w:rsid w:val="006B6224"/>
    <w:rsid w:val="006B6487"/>
    <w:rsid w:val="006B6DD0"/>
    <w:rsid w:val="006B73F2"/>
    <w:rsid w:val="006B76E8"/>
    <w:rsid w:val="006B7EC5"/>
    <w:rsid w:val="006C02F4"/>
    <w:rsid w:val="006C0399"/>
    <w:rsid w:val="006C1579"/>
    <w:rsid w:val="006C16F3"/>
    <w:rsid w:val="006C2A8E"/>
    <w:rsid w:val="006C2E25"/>
    <w:rsid w:val="006C3255"/>
    <w:rsid w:val="006C3572"/>
    <w:rsid w:val="006C3BE7"/>
    <w:rsid w:val="006C3F26"/>
    <w:rsid w:val="006C5B72"/>
    <w:rsid w:val="006C5D4B"/>
    <w:rsid w:val="006C6993"/>
    <w:rsid w:val="006C721A"/>
    <w:rsid w:val="006C74D5"/>
    <w:rsid w:val="006C7E53"/>
    <w:rsid w:val="006D06BD"/>
    <w:rsid w:val="006D0AF3"/>
    <w:rsid w:val="006D0D17"/>
    <w:rsid w:val="006D14F0"/>
    <w:rsid w:val="006D249D"/>
    <w:rsid w:val="006D2936"/>
    <w:rsid w:val="006D2B90"/>
    <w:rsid w:val="006D3C7D"/>
    <w:rsid w:val="006D4389"/>
    <w:rsid w:val="006D4659"/>
    <w:rsid w:val="006D466F"/>
    <w:rsid w:val="006D5D5F"/>
    <w:rsid w:val="006D68FB"/>
    <w:rsid w:val="006D6944"/>
    <w:rsid w:val="006D6A1C"/>
    <w:rsid w:val="006D7646"/>
    <w:rsid w:val="006D7AD4"/>
    <w:rsid w:val="006E0D60"/>
    <w:rsid w:val="006E1D88"/>
    <w:rsid w:val="006E2868"/>
    <w:rsid w:val="006E2915"/>
    <w:rsid w:val="006E3EE5"/>
    <w:rsid w:val="006E75C0"/>
    <w:rsid w:val="006E7690"/>
    <w:rsid w:val="006F1D7F"/>
    <w:rsid w:val="006F21A0"/>
    <w:rsid w:val="006F23F9"/>
    <w:rsid w:val="006F306C"/>
    <w:rsid w:val="006F3152"/>
    <w:rsid w:val="006F3830"/>
    <w:rsid w:val="006F4920"/>
    <w:rsid w:val="006F59CE"/>
    <w:rsid w:val="006F63A5"/>
    <w:rsid w:val="006F7E35"/>
    <w:rsid w:val="00700138"/>
    <w:rsid w:val="0070082A"/>
    <w:rsid w:val="0070142B"/>
    <w:rsid w:val="007021EC"/>
    <w:rsid w:val="0070276E"/>
    <w:rsid w:val="00702F8F"/>
    <w:rsid w:val="00702FD9"/>
    <w:rsid w:val="0070509E"/>
    <w:rsid w:val="007079FC"/>
    <w:rsid w:val="00707FF2"/>
    <w:rsid w:val="007101C2"/>
    <w:rsid w:val="007107FD"/>
    <w:rsid w:val="00711325"/>
    <w:rsid w:val="00711A36"/>
    <w:rsid w:val="007125D3"/>
    <w:rsid w:val="00714C26"/>
    <w:rsid w:val="0071529C"/>
    <w:rsid w:val="00715A8F"/>
    <w:rsid w:val="00715FD9"/>
    <w:rsid w:val="007170DA"/>
    <w:rsid w:val="007172AD"/>
    <w:rsid w:val="00717546"/>
    <w:rsid w:val="00717D48"/>
    <w:rsid w:val="00720503"/>
    <w:rsid w:val="00720801"/>
    <w:rsid w:val="0072104B"/>
    <w:rsid w:val="00721EA3"/>
    <w:rsid w:val="00722B1B"/>
    <w:rsid w:val="00723FBB"/>
    <w:rsid w:val="00723FC7"/>
    <w:rsid w:val="0072416F"/>
    <w:rsid w:val="0072518A"/>
    <w:rsid w:val="00725C42"/>
    <w:rsid w:val="007270D4"/>
    <w:rsid w:val="0072710A"/>
    <w:rsid w:val="00727C94"/>
    <w:rsid w:val="00730565"/>
    <w:rsid w:val="00730D45"/>
    <w:rsid w:val="00731B0A"/>
    <w:rsid w:val="00731EAE"/>
    <w:rsid w:val="00733073"/>
    <w:rsid w:val="00734153"/>
    <w:rsid w:val="00734268"/>
    <w:rsid w:val="00734502"/>
    <w:rsid w:val="00735033"/>
    <w:rsid w:val="00735326"/>
    <w:rsid w:val="00735328"/>
    <w:rsid w:val="00736371"/>
    <w:rsid w:val="0073685B"/>
    <w:rsid w:val="00736B14"/>
    <w:rsid w:val="00740279"/>
    <w:rsid w:val="00741CE7"/>
    <w:rsid w:val="00742448"/>
    <w:rsid w:val="00742E4E"/>
    <w:rsid w:val="007449BF"/>
    <w:rsid w:val="00744EE7"/>
    <w:rsid w:val="007450A7"/>
    <w:rsid w:val="007463FE"/>
    <w:rsid w:val="00746BC0"/>
    <w:rsid w:val="0074717D"/>
    <w:rsid w:val="007500AA"/>
    <w:rsid w:val="0075070C"/>
    <w:rsid w:val="00750D22"/>
    <w:rsid w:val="007510B4"/>
    <w:rsid w:val="00751895"/>
    <w:rsid w:val="00751AE9"/>
    <w:rsid w:val="00752142"/>
    <w:rsid w:val="007523F9"/>
    <w:rsid w:val="0075357E"/>
    <w:rsid w:val="00753B29"/>
    <w:rsid w:val="0075424E"/>
    <w:rsid w:val="007556D3"/>
    <w:rsid w:val="00756BC2"/>
    <w:rsid w:val="00756E90"/>
    <w:rsid w:val="007573E8"/>
    <w:rsid w:val="00757440"/>
    <w:rsid w:val="0076085E"/>
    <w:rsid w:val="00760C4E"/>
    <w:rsid w:val="00760F9E"/>
    <w:rsid w:val="007616E6"/>
    <w:rsid w:val="007627BE"/>
    <w:rsid w:val="0076424C"/>
    <w:rsid w:val="00764C1A"/>
    <w:rsid w:val="00764CDE"/>
    <w:rsid w:val="00764F03"/>
    <w:rsid w:val="007653B7"/>
    <w:rsid w:val="00765B1A"/>
    <w:rsid w:val="00765DC1"/>
    <w:rsid w:val="00766061"/>
    <w:rsid w:val="00767A5C"/>
    <w:rsid w:val="0077043F"/>
    <w:rsid w:val="00771BC9"/>
    <w:rsid w:val="00772EC2"/>
    <w:rsid w:val="0077324D"/>
    <w:rsid w:val="00773344"/>
    <w:rsid w:val="0077351E"/>
    <w:rsid w:val="00773A52"/>
    <w:rsid w:val="0077428E"/>
    <w:rsid w:val="007744B7"/>
    <w:rsid w:val="0077480C"/>
    <w:rsid w:val="00777144"/>
    <w:rsid w:val="00777335"/>
    <w:rsid w:val="00777B0D"/>
    <w:rsid w:val="00780360"/>
    <w:rsid w:val="00780AA6"/>
    <w:rsid w:val="0078105D"/>
    <w:rsid w:val="007818BA"/>
    <w:rsid w:val="00782353"/>
    <w:rsid w:val="00782FB8"/>
    <w:rsid w:val="007843F2"/>
    <w:rsid w:val="007846FA"/>
    <w:rsid w:val="00785A9F"/>
    <w:rsid w:val="007864C8"/>
    <w:rsid w:val="00786791"/>
    <w:rsid w:val="00790D73"/>
    <w:rsid w:val="00791ED6"/>
    <w:rsid w:val="007925DF"/>
    <w:rsid w:val="00794820"/>
    <w:rsid w:val="00794AF1"/>
    <w:rsid w:val="00795B90"/>
    <w:rsid w:val="0079607F"/>
    <w:rsid w:val="00796216"/>
    <w:rsid w:val="00796240"/>
    <w:rsid w:val="007968D8"/>
    <w:rsid w:val="0079744F"/>
    <w:rsid w:val="007A08AA"/>
    <w:rsid w:val="007A0A12"/>
    <w:rsid w:val="007A132D"/>
    <w:rsid w:val="007A1345"/>
    <w:rsid w:val="007A2700"/>
    <w:rsid w:val="007A2BC6"/>
    <w:rsid w:val="007A2DDB"/>
    <w:rsid w:val="007A49D3"/>
    <w:rsid w:val="007A6A28"/>
    <w:rsid w:val="007A70BA"/>
    <w:rsid w:val="007A727A"/>
    <w:rsid w:val="007B001B"/>
    <w:rsid w:val="007B0536"/>
    <w:rsid w:val="007B0D68"/>
    <w:rsid w:val="007B0ED0"/>
    <w:rsid w:val="007B213B"/>
    <w:rsid w:val="007B251D"/>
    <w:rsid w:val="007B3223"/>
    <w:rsid w:val="007B3533"/>
    <w:rsid w:val="007B46F9"/>
    <w:rsid w:val="007B4994"/>
    <w:rsid w:val="007B4AD4"/>
    <w:rsid w:val="007B4F58"/>
    <w:rsid w:val="007B528D"/>
    <w:rsid w:val="007B5BCF"/>
    <w:rsid w:val="007B615D"/>
    <w:rsid w:val="007B63CA"/>
    <w:rsid w:val="007B77D1"/>
    <w:rsid w:val="007B7CB3"/>
    <w:rsid w:val="007C07C7"/>
    <w:rsid w:val="007C1CD9"/>
    <w:rsid w:val="007C1E06"/>
    <w:rsid w:val="007C2673"/>
    <w:rsid w:val="007C32EF"/>
    <w:rsid w:val="007C361D"/>
    <w:rsid w:val="007C3747"/>
    <w:rsid w:val="007C4B84"/>
    <w:rsid w:val="007C5249"/>
    <w:rsid w:val="007C70FF"/>
    <w:rsid w:val="007C7C25"/>
    <w:rsid w:val="007D004F"/>
    <w:rsid w:val="007D035F"/>
    <w:rsid w:val="007D038C"/>
    <w:rsid w:val="007D06B2"/>
    <w:rsid w:val="007D0B38"/>
    <w:rsid w:val="007D2614"/>
    <w:rsid w:val="007D2A59"/>
    <w:rsid w:val="007D2CD9"/>
    <w:rsid w:val="007D3C62"/>
    <w:rsid w:val="007D3FF9"/>
    <w:rsid w:val="007D5440"/>
    <w:rsid w:val="007D58D7"/>
    <w:rsid w:val="007D5966"/>
    <w:rsid w:val="007D69EB"/>
    <w:rsid w:val="007D77D8"/>
    <w:rsid w:val="007E02E4"/>
    <w:rsid w:val="007E128F"/>
    <w:rsid w:val="007E3BF3"/>
    <w:rsid w:val="007E47BC"/>
    <w:rsid w:val="007E5237"/>
    <w:rsid w:val="007E5929"/>
    <w:rsid w:val="007E5FBD"/>
    <w:rsid w:val="007E70F7"/>
    <w:rsid w:val="007F0716"/>
    <w:rsid w:val="007F085A"/>
    <w:rsid w:val="007F1017"/>
    <w:rsid w:val="007F1746"/>
    <w:rsid w:val="007F3B66"/>
    <w:rsid w:val="007F3D8D"/>
    <w:rsid w:val="007F4A3F"/>
    <w:rsid w:val="007F4A61"/>
    <w:rsid w:val="007F5255"/>
    <w:rsid w:val="007F56CC"/>
    <w:rsid w:val="007F593B"/>
    <w:rsid w:val="007F5F85"/>
    <w:rsid w:val="007F61C2"/>
    <w:rsid w:val="007F646F"/>
    <w:rsid w:val="007F69B0"/>
    <w:rsid w:val="007F755B"/>
    <w:rsid w:val="00802446"/>
    <w:rsid w:val="008027C7"/>
    <w:rsid w:val="00803EB2"/>
    <w:rsid w:val="008043E7"/>
    <w:rsid w:val="008044F4"/>
    <w:rsid w:val="00804A75"/>
    <w:rsid w:val="0080511E"/>
    <w:rsid w:val="00805142"/>
    <w:rsid w:val="00805751"/>
    <w:rsid w:val="00805FCE"/>
    <w:rsid w:val="00807A59"/>
    <w:rsid w:val="00807A8B"/>
    <w:rsid w:val="0081016E"/>
    <w:rsid w:val="00810C71"/>
    <w:rsid w:val="00811383"/>
    <w:rsid w:val="00812149"/>
    <w:rsid w:val="00812873"/>
    <w:rsid w:val="00812CAC"/>
    <w:rsid w:val="00812F59"/>
    <w:rsid w:val="0081453B"/>
    <w:rsid w:val="00816361"/>
    <w:rsid w:val="008166EF"/>
    <w:rsid w:val="00816D8E"/>
    <w:rsid w:val="00816FEF"/>
    <w:rsid w:val="0081771C"/>
    <w:rsid w:val="00817722"/>
    <w:rsid w:val="00820759"/>
    <w:rsid w:val="00820A8C"/>
    <w:rsid w:val="00820E4B"/>
    <w:rsid w:val="008215FB"/>
    <w:rsid w:val="00821C32"/>
    <w:rsid w:val="008220CC"/>
    <w:rsid w:val="00822C1D"/>
    <w:rsid w:val="00823174"/>
    <w:rsid w:val="00823187"/>
    <w:rsid w:val="008253C3"/>
    <w:rsid w:val="00825751"/>
    <w:rsid w:val="008264EB"/>
    <w:rsid w:val="00826752"/>
    <w:rsid w:val="008268CE"/>
    <w:rsid w:val="00827C23"/>
    <w:rsid w:val="0083018F"/>
    <w:rsid w:val="008302DE"/>
    <w:rsid w:val="008304FC"/>
    <w:rsid w:val="00830889"/>
    <w:rsid w:val="00832900"/>
    <w:rsid w:val="008339A5"/>
    <w:rsid w:val="008339F4"/>
    <w:rsid w:val="00833B05"/>
    <w:rsid w:val="008362B4"/>
    <w:rsid w:val="00836A85"/>
    <w:rsid w:val="00836D01"/>
    <w:rsid w:val="00837138"/>
    <w:rsid w:val="008405A5"/>
    <w:rsid w:val="0084086B"/>
    <w:rsid w:val="00840CA2"/>
    <w:rsid w:val="00840D5D"/>
    <w:rsid w:val="0084295D"/>
    <w:rsid w:val="00842D7A"/>
    <w:rsid w:val="0084374F"/>
    <w:rsid w:val="00844A22"/>
    <w:rsid w:val="00845D44"/>
    <w:rsid w:val="008471F3"/>
    <w:rsid w:val="00847703"/>
    <w:rsid w:val="00847AFF"/>
    <w:rsid w:val="00847DF5"/>
    <w:rsid w:val="00850394"/>
    <w:rsid w:val="008525D9"/>
    <w:rsid w:val="00852727"/>
    <w:rsid w:val="0085309D"/>
    <w:rsid w:val="008537E1"/>
    <w:rsid w:val="00853D88"/>
    <w:rsid w:val="00856410"/>
    <w:rsid w:val="008564CC"/>
    <w:rsid w:val="00856897"/>
    <w:rsid w:val="00856A7C"/>
    <w:rsid w:val="00856E9A"/>
    <w:rsid w:val="0086075D"/>
    <w:rsid w:val="0086152A"/>
    <w:rsid w:val="00861844"/>
    <w:rsid w:val="00862502"/>
    <w:rsid w:val="00862CC1"/>
    <w:rsid w:val="00862F50"/>
    <w:rsid w:val="008642A7"/>
    <w:rsid w:val="00864918"/>
    <w:rsid w:val="008649A7"/>
    <w:rsid w:val="0086551A"/>
    <w:rsid w:val="008660D4"/>
    <w:rsid w:val="008664FA"/>
    <w:rsid w:val="008671C7"/>
    <w:rsid w:val="00870931"/>
    <w:rsid w:val="00871FA9"/>
    <w:rsid w:val="008728E9"/>
    <w:rsid w:val="00874621"/>
    <w:rsid w:val="0087502A"/>
    <w:rsid w:val="008759EB"/>
    <w:rsid w:val="008771C1"/>
    <w:rsid w:val="00881945"/>
    <w:rsid w:val="00881E8A"/>
    <w:rsid w:val="0088200E"/>
    <w:rsid w:val="00882574"/>
    <w:rsid w:val="00882874"/>
    <w:rsid w:val="00882E3C"/>
    <w:rsid w:val="0088308A"/>
    <w:rsid w:val="00883787"/>
    <w:rsid w:val="00883C9C"/>
    <w:rsid w:val="008855E4"/>
    <w:rsid w:val="00886CD2"/>
    <w:rsid w:val="00887733"/>
    <w:rsid w:val="0089087A"/>
    <w:rsid w:val="008911BA"/>
    <w:rsid w:val="00891E6F"/>
    <w:rsid w:val="0089275D"/>
    <w:rsid w:val="00892A36"/>
    <w:rsid w:val="00892E59"/>
    <w:rsid w:val="00893239"/>
    <w:rsid w:val="00894489"/>
    <w:rsid w:val="00894635"/>
    <w:rsid w:val="00894B87"/>
    <w:rsid w:val="00894CD6"/>
    <w:rsid w:val="00894E87"/>
    <w:rsid w:val="008963A5"/>
    <w:rsid w:val="00896D5D"/>
    <w:rsid w:val="00896E88"/>
    <w:rsid w:val="008A0747"/>
    <w:rsid w:val="008A0EEC"/>
    <w:rsid w:val="008A1F61"/>
    <w:rsid w:val="008A222D"/>
    <w:rsid w:val="008A3158"/>
    <w:rsid w:val="008A3363"/>
    <w:rsid w:val="008A3371"/>
    <w:rsid w:val="008A3C3E"/>
    <w:rsid w:val="008A4952"/>
    <w:rsid w:val="008A4EC7"/>
    <w:rsid w:val="008A5A49"/>
    <w:rsid w:val="008A5C57"/>
    <w:rsid w:val="008A62EB"/>
    <w:rsid w:val="008A79DE"/>
    <w:rsid w:val="008A79EB"/>
    <w:rsid w:val="008A7BCE"/>
    <w:rsid w:val="008B13E8"/>
    <w:rsid w:val="008B1748"/>
    <w:rsid w:val="008B1757"/>
    <w:rsid w:val="008B1C33"/>
    <w:rsid w:val="008B250F"/>
    <w:rsid w:val="008B3A69"/>
    <w:rsid w:val="008B40BE"/>
    <w:rsid w:val="008B4B6F"/>
    <w:rsid w:val="008B5F19"/>
    <w:rsid w:val="008B7992"/>
    <w:rsid w:val="008B7D7E"/>
    <w:rsid w:val="008B7E4E"/>
    <w:rsid w:val="008C0A76"/>
    <w:rsid w:val="008C1019"/>
    <w:rsid w:val="008C38B2"/>
    <w:rsid w:val="008C4424"/>
    <w:rsid w:val="008C4BB2"/>
    <w:rsid w:val="008C5610"/>
    <w:rsid w:val="008C5739"/>
    <w:rsid w:val="008C5ECE"/>
    <w:rsid w:val="008C6188"/>
    <w:rsid w:val="008C68E3"/>
    <w:rsid w:val="008C7282"/>
    <w:rsid w:val="008C7ECB"/>
    <w:rsid w:val="008D0173"/>
    <w:rsid w:val="008D0B33"/>
    <w:rsid w:val="008D17AD"/>
    <w:rsid w:val="008D27E7"/>
    <w:rsid w:val="008D2B7A"/>
    <w:rsid w:val="008D372F"/>
    <w:rsid w:val="008D3B86"/>
    <w:rsid w:val="008D43FD"/>
    <w:rsid w:val="008D4755"/>
    <w:rsid w:val="008D4C3D"/>
    <w:rsid w:val="008D572E"/>
    <w:rsid w:val="008D581D"/>
    <w:rsid w:val="008D6467"/>
    <w:rsid w:val="008D69B5"/>
    <w:rsid w:val="008D70A4"/>
    <w:rsid w:val="008D743C"/>
    <w:rsid w:val="008E065C"/>
    <w:rsid w:val="008E06DE"/>
    <w:rsid w:val="008E0820"/>
    <w:rsid w:val="008E0D3C"/>
    <w:rsid w:val="008E1473"/>
    <w:rsid w:val="008E1989"/>
    <w:rsid w:val="008E1B9E"/>
    <w:rsid w:val="008E38FB"/>
    <w:rsid w:val="008E55AB"/>
    <w:rsid w:val="008E55BD"/>
    <w:rsid w:val="008E6861"/>
    <w:rsid w:val="008F06A8"/>
    <w:rsid w:val="008F120A"/>
    <w:rsid w:val="008F22F6"/>
    <w:rsid w:val="008F27E0"/>
    <w:rsid w:val="008F48EB"/>
    <w:rsid w:val="008F4F0B"/>
    <w:rsid w:val="008F6579"/>
    <w:rsid w:val="008F7EC2"/>
    <w:rsid w:val="009040BB"/>
    <w:rsid w:val="009046C4"/>
    <w:rsid w:val="009062A5"/>
    <w:rsid w:val="00906799"/>
    <w:rsid w:val="00906D9D"/>
    <w:rsid w:val="009075FB"/>
    <w:rsid w:val="00907699"/>
    <w:rsid w:val="00907814"/>
    <w:rsid w:val="00907D1C"/>
    <w:rsid w:val="00910CFD"/>
    <w:rsid w:val="00910FA7"/>
    <w:rsid w:val="00911272"/>
    <w:rsid w:val="00911339"/>
    <w:rsid w:val="009116D5"/>
    <w:rsid w:val="009125AF"/>
    <w:rsid w:val="009135D6"/>
    <w:rsid w:val="00914C77"/>
    <w:rsid w:val="00915352"/>
    <w:rsid w:val="009156F5"/>
    <w:rsid w:val="0092052B"/>
    <w:rsid w:val="0092072C"/>
    <w:rsid w:val="00921369"/>
    <w:rsid w:val="00921ACB"/>
    <w:rsid w:val="00922407"/>
    <w:rsid w:val="00922634"/>
    <w:rsid w:val="00923634"/>
    <w:rsid w:val="0092369B"/>
    <w:rsid w:val="009236DB"/>
    <w:rsid w:val="00923C57"/>
    <w:rsid w:val="00923F54"/>
    <w:rsid w:val="009246E0"/>
    <w:rsid w:val="009249FE"/>
    <w:rsid w:val="009270DE"/>
    <w:rsid w:val="009313F4"/>
    <w:rsid w:val="00931B14"/>
    <w:rsid w:val="00932110"/>
    <w:rsid w:val="009335E9"/>
    <w:rsid w:val="00934988"/>
    <w:rsid w:val="00934CD5"/>
    <w:rsid w:val="00935411"/>
    <w:rsid w:val="00936D8D"/>
    <w:rsid w:val="00937089"/>
    <w:rsid w:val="009370BE"/>
    <w:rsid w:val="00937175"/>
    <w:rsid w:val="00937A8A"/>
    <w:rsid w:val="00937D68"/>
    <w:rsid w:val="009409C0"/>
    <w:rsid w:val="00940A68"/>
    <w:rsid w:val="00941D37"/>
    <w:rsid w:val="00941DB7"/>
    <w:rsid w:val="00944B0B"/>
    <w:rsid w:val="00944F8A"/>
    <w:rsid w:val="00945848"/>
    <w:rsid w:val="00946CF2"/>
    <w:rsid w:val="009510A2"/>
    <w:rsid w:val="00953257"/>
    <w:rsid w:val="00953DF1"/>
    <w:rsid w:val="00954543"/>
    <w:rsid w:val="0095474C"/>
    <w:rsid w:val="009549FE"/>
    <w:rsid w:val="00955DBE"/>
    <w:rsid w:val="00955F30"/>
    <w:rsid w:val="00957D92"/>
    <w:rsid w:val="00961947"/>
    <w:rsid w:val="00962016"/>
    <w:rsid w:val="00962A51"/>
    <w:rsid w:val="00962B17"/>
    <w:rsid w:val="00962CB9"/>
    <w:rsid w:val="00964312"/>
    <w:rsid w:val="00964E1F"/>
    <w:rsid w:val="00965B8A"/>
    <w:rsid w:val="00966473"/>
    <w:rsid w:val="009679A3"/>
    <w:rsid w:val="0097071F"/>
    <w:rsid w:val="00970E58"/>
    <w:rsid w:val="009717AC"/>
    <w:rsid w:val="00972838"/>
    <w:rsid w:val="009729A3"/>
    <w:rsid w:val="0097387F"/>
    <w:rsid w:val="009751C1"/>
    <w:rsid w:val="009756BC"/>
    <w:rsid w:val="00977F81"/>
    <w:rsid w:val="00980461"/>
    <w:rsid w:val="009811F1"/>
    <w:rsid w:val="00981EF3"/>
    <w:rsid w:val="0098255F"/>
    <w:rsid w:val="00983475"/>
    <w:rsid w:val="00983884"/>
    <w:rsid w:val="00983C4B"/>
    <w:rsid w:val="00983E37"/>
    <w:rsid w:val="00983E57"/>
    <w:rsid w:val="0098560E"/>
    <w:rsid w:val="00985D0E"/>
    <w:rsid w:val="00985DE2"/>
    <w:rsid w:val="0098616C"/>
    <w:rsid w:val="0098675D"/>
    <w:rsid w:val="00986ED1"/>
    <w:rsid w:val="00987BA4"/>
    <w:rsid w:val="00990A24"/>
    <w:rsid w:val="00991AFC"/>
    <w:rsid w:val="00991BB8"/>
    <w:rsid w:val="009926E0"/>
    <w:rsid w:val="00992FA9"/>
    <w:rsid w:val="0099451E"/>
    <w:rsid w:val="00995CB0"/>
    <w:rsid w:val="00996B06"/>
    <w:rsid w:val="00996B1A"/>
    <w:rsid w:val="00996EAA"/>
    <w:rsid w:val="009A045A"/>
    <w:rsid w:val="009A0654"/>
    <w:rsid w:val="009A18F6"/>
    <w:rsid w:val="009A2DCC"/>
    <w:rsid w:val="009A3FAB"/>
    <w:rsid w:val="009A41D1"/>
    <w:rsid w:val="009A5ABC"/>
    <w:rsid w:val="009A6646"/>
    <w:rsid w:val="009A7F10"/>
    <w:rsid w:val="009B09FC"/>
    <w:rsid w:val="009B18AD"/>
    <w:rsid w:val="009B3E26"/>
    <w:rsid w:val="009B5A28"/>
    <w:rsid w:val="009B6D6F"/>
    <w:rsid w:val="009C08BA"/>
    <w:rsid w:val="009C1271"/>
    <w:rsid w:val="009C16E5"/>
    <w:rsid w:val="009C2A2F"/>
    <w:rsid w:val="009C2C78"/>
    <w:rsid w:val="009C2E82"/>
    <w:rsid w:val="009C3706"/>
    <w:rsid w:val="009C37FD"/>
    <w:rsid w:val="009C3A3A"/>
    <w:rsid w:val="009C3E80"/>
    <w:rsid w:val="009C4A56"/>
    <w:rsid w:val="009C6CEA"/>
    <w:rsid w:val="009C7B85"/>
    <w:rsid w:val="009D0254"/>
    <w:rsid w:val="009D08B2"/>
    <w:rsid w:val="009D1A64"/>
    <w:rsid w:val="009D368A"/>
    <w:rsid w:val="009D4A80"/>
    <w:rsid w:val="009D5B91"/>
    <w:rsid w:val="009D5F16"/>
    <w:rsid w:val="009D782B"/>
    <w:rsid w:val="009D792E"/>
    <w:rsid w:val="009D7E6B"/>
    <w:rsid w:val="009D7F66"/>
    <w:rsid w:val="009E0C29"/>
    <w:rsid w:val="009E0DFE"/>
    <w:rsid w:val="009E1E6A"/>
    <w:rsid w:val="009E3064"/>
    <w:rsid w:val="009E31F6"/>
    <w:rsid w:val="009E35D6"/>
    <w:rsid w:val="009E4C07"/>
    <w:rsid w:val="009E4F44"/>
    <w:rsid w:val="009E56AB"/>
    <w:rsid w:val="009E5B86"/>
    <w:rsid w:val="009E6D34"/>
    <w:rsid w:val="009E7390"/>
    <w:rsid w:val="009E777F"/>
    <w:rsid w:val="009E79AA"/>
    <w:rsid w:val="009E7D8A"/>
    <w:rsid w:val="009F376B"/>
    <w:rsid w:val="009F395D"/>
    <w:rsid w:val="009F3BC4"/>
    <w:rsid w:val="009F3ECB"/>
    <w:rsid w:val="009F5193"/>
    <w:rsid w:val="009F6120"/>
    <w:rsid w:val="009F64AA"/>
    <w:rsid w:val="009F67B6"/>
    <w:rsid w:val="009F6C90"/>
    <w:rsid w:val="009F7785"/>
    <w:rsid w:val="009F7C13"/>
    <w:rsid w:val="009F7E46"/>
    <w:rsid w:val="00A00D76"/>
    <w:rsid w:val="00A01184"/>
    <w:rsid w:val="00A01449"/>
    <w:rsid w:val="00A024B1"/>
    <w:rsid w:val="00A037C2"/>
    <w:rsid w:val="00A03D43"/>
    <w:rsid w:val="00A04380"/>
    <w:rsid w:val="00A04786"/>
    <w:rsid w:val="00A05472"/>
    <w:rsid w:val="00A0556F"/>
    <w:rsid w:val="00A05C32"/>
    <w:rsid w:val="00A05FFC"/>
    <w:rsid w:val="00A06386"/>
    <w:rsid w:val="00A06483"/>
    <w:rsid w:val="00A0653F"/>
    <w:rsid w:val="00A07BFD"/>
    <w:rsid w:val="00A07CC7"/>
    <w:rsid w:val="00A105EF"/>
    <w:rsid w:val="00A10AB3"/>
    <w:rsid w:val="00A11B42"/>
    <w:rsid w:val="00A11C42"/>
    <w:rsid w:val="00A11CD0"/>
    <w:rsid w:val="00A12BC3"/>
    <w:rsid w:val="00A13948"/>
    <w:rsid w:val="00A140CB"/>
    <w:rsid w:val="00A14101"/>
    <w:rsid w:val="00A1555B"/>
    <w:rsid w:val="00A155C5"/>
    <w:rsid w:val="00A158AB"/>
    <w:rsid w:val="00A15A45"/>
    <w:rsid w:val="00A15C7B"/>
    <w:rsid w:val="00A15FC5"/>
    <w:rsid w:val="00A167AD"/>
    <w:rsid w:val="00A16AD8"/>
    <w:rsid w:val="00A2021E"/>
    <w:rsid w:val="00A20871"/>
    <w:rsid w:val="00A20970"/>
    <w:rsid w:val="00A21C95"/>
    <w:rsid w:val="00A21CF3"/>
    <w:rsid w:val="00A228F1"/>
    <w:rsid w:val="00A2321A"/>
    <w:rsid w:val="00A24813"/>
    <w:rsid w:val="00A2714D"/>
    <w:rsid w:val="00A27429"/>
    <w:rsid w:val="00A276C9"/>
    <w:rsid w:val="00A27AEC"/>
    <w:rsid w:val="00A320DB"/>
    <w:rsid w:val="00A33105"/>
    <w:rsid w:val="00A35D16"/>
    <w:rsid w:val="00A36041"/>
    <w:rsid w:val="00A369AE"/>
    <w:rsid w:val="00A37BCD"/>
    <w:rsid w:val="00A41689"/>
    <w:rsid w:val="00A42592"/>
    <w:rsid w:val="00A4331C"/>
    <w:rsid w:val="00A43C59"/>
    <w:rsid w:val="00A43CB6"/>
    <w:rsid w:val="00A43E3F"/>
    <w:rsid w:val="00A43FBF"/>
    <w:rsid w:val="00A444CF"/>
    <w:rsid w:val="00A45833"/>
    <w:rsid w:val="00A4693B"/>
    <w:rsid w:val="00A47E69"/>
    <w:rsid w:val="00A50ECD"/>
    <w:rsid w:val="00A518F3"/>
    <w:rsid w:val="00A525AD"/>
    <w:rsid w:val="00A52729"/>
    <w:rsid w:val="00A53675"/>
    <w:rsid w:val="00A54EC8"/>
    <w:rsid w:val="00A564D7"/>
    <w:rsid w:val="00A56B6A"/>
    <w:rsid w:val="00A56E7B"/>
    <w:rsid w:val="00A56EAE"/>
    <w:rsid w:val="00A578DC"/>
    <w:rsid w:val="00A57C26"/>
    <w:rsid w:val="00A60E2C"/>
    <w:rsid w:val="00A62F40"/>
    <w:rsid w:val="00A63282"/>
    <w:rsid w:val="00A640E2"/>
    <w:rsid w:val="00A640E9"/>
    <w:rsid w:val="00A64D65"/>
    <w:rsid w:val="00A64F51"/>
    <w:rsid w:val="00A6592A"/>
    <w:rsid w:val="00A661E8"/>
    <w:rsid w:val="00A66BA9"/>
    <w:rsid w:val="00A66D3D"/>
    <w:rsid w:val="00A6725B"/>
    <w:rsid w:val="00A70605"/>
    <w:rsid w:val="00A70A92"/>
    <w:rsid w:val="00A7195F"/>
    <w:rsid w:val="00A720BF"/>
    <w:rsid w:val="00A73134"/>
    <w:rsid w:val="00A7365A"/>
    <w:rsid w:val="00A740ED"/>
    <w:rsid w:val="00A75613"/>
    <w:rsid w:val="00A76001"/>
    <w:rsid w:val="00A76A9F"/>
    <w:rsid w:val="00A76E29"/>
    <w:rsid w:val="00A777B2"/>
    <w:rsid w:val="00A77911"/>
    <w:rsid w:val="00A81456"/>
    <w:rsid w:val="00A8215B"/>
    <w:rsid w:val="00A825D4"/>
    <w:rsid w:val="00A82892"/>
    <w:rsid w:val="00A828F6"/>
    <w:rsid w:val="00A82B73"/>
    <w:rsid w:val="00A8476A"/>
    <w:rsid w:val="00A8569E"/>
    <w:rsid w:val="00A859D4"/>
    <w:rsid w:val="00A8633E"/>
    <w:rsid w:val="00A86B4C"/>
    <w:rsid w:val="00A86E8B"/>
    <w:rsid w:val="00A87164"/>
    <w:rsid w:val="00A87175"/>
    <w:rsid w:val="00A871A9"/>
    <w:rsid w:val="00A90D93"/>
    <w:rsid w:val="00A91878"/>
    <w:rsid w:val="00A92379"/>
    <w:rsid w:val="00A93072"/>
    <w:rsid w:val="00A93489"/>
    <w:rsid w:val="00A938BD"/>
    <w:rsid w:val="00A93953"/>
    <w:rsid w:val="00A959D8"/>
    <w:rsid w:val="00A95A79"/>
    <w:rsid w:val="00AA076A"/>
    <w:rsid w:val="00AA091B"/>
    <w:rsid w:val="00AA1020"/>
    <w:rsid w:val="00AA113D"/>
    <w:rsid w:val="00AA154E"/>
    <w:rsid w:val="00AA48BE"/>
    <w:rsid w:val="00AA6452"/>
    <w:rsid w:val="00AA6BD5"/>
    <w:rsid w:val="00AA6BD8"/>
    <w:rsid w:val="00AA6C7D"/>
    <w:rsid w:val="00AA72A0"/>
    <w:rsid w:val="00AA7945"/>
    <w:rsid w:val="00AA7FD6"/>
    <w:rsid w:val="00AB042A"/>
    <w:rsid w:val="00AB0AC3"/>
    <w:rsid w:val="00AB11AD"/>
    <w:rsid w:val="00AB19EF"/>
    <w:rsid w:val="00AB2495"/>
    <w:rsid w:val="00AB2D34"/>
    <w:rsid w:val="00AB3430"/>
    <w:rsid w:val="00AB37B9"/>
    <w:rsid w:val="00AB3B4A"/>
    <w:rsid w:val="00AB3F70"/>
    <w:rsid w:val="00AB4AD1"/>
    <w:rsid w:val="00AB5096"/>
    <w:rsid w:val="00AB5575"/>
    <w:rsid w:val="00AB5BBD"/>
    <w:rsid w:val="00AB5E07"/>
    <w:rsid w:val="00AB609F"/>
    <w:rsid w:val="00AB7CFA"/>
    <w:rsid w:val="00AC0D4C"/>
    <w:rsid w:val="00AC1742"/>
    <w:rsid w:val="00AC2217"/>
    <w:rsid w:val="00AC5B42"/>
    <w:rsid w:val="00AC5B48"/>
    <w:rsid w:val="00AC7D74"/>
    <w:rsid w:val="00AD0CFE"/>
    <w:rsid w:val="00AD1450"/>
    <w:rsid w:val="00AD15E8"/>
    <w:rsid w:val="00AD30D9"/>
    <w:rsid w:val="00AD32F5"/>
    <w:rsid w:val="00AD356D"/>
    <w:rsid w:val="00AD37E4"/>
    <w:rsid w:val="00AD43D6"/>
    <w:rsid w:val="00AD4CD0"/>
    <w:rsid w:val="00AD5A1C"/>
    <w:rsid w:val="00AD600E"/>
    <w:rsid w:val="00AD6502"/>
    <w:rsid w:val="00AD664D"/>
    <w:rsid w:val="00AE058C"/>
    <w:rsid w:val="00AE0695"/>
    <w:rsid w:val="00AE1FCD"/>
    <w:rsid w:val="00AE2478"/>
    <w:rsid w:val="00AE3E7E"/>
    <w:rsid w:val="00AE433A"/>
    <w:rsid w:val="00AE4455"/>
    <w:rsid w:val="00AE5A38"/>
    <w:rsid w:val="00AE5FE6"/>
    <w:rsid w:val="00AE7E53"/>
    <w:rsid w:val="00AF0070"/>
    <w:rsid w:val="00AF0819"/>
    <w:rsid w:val="00AF1315"/>
    <w:rsid w:val="00AF19BF"/>
    <w:rsid w:val="00AF2046"/>
    <w:rsid w:val="00AF2DC3"/>
    <w:rsid w:val="00AF40DF"/>
    <w:rsid w:val="00AF4432"/>
    <w:rsid w:val="00AF4C6A"/>
    <w:rsid w:val="00AF59E6"/>
    <w:rsid w:val="00B00DD5"/>
    <w:rsid w:val="00B01CEC"/>
    <w:rsid w:val="00B033E5"/>
    <w:rsid w:val="00B03A63"/>
    <w:rsid w:val="00B04B96"/>
    <w:rsid w:val="00B054EC"/>
    <w:rsid w:val="00B05606"/>
    <w:rsid w:val="00B05850"/>
    <w:rsid w:val="00B0652D"/>
    <w:rsid w:val="00B07815"/>
    <w:rsid w:val="00B079FE"/>
    <w:rsid w:val="00B07AD2"/>
    <w:rsid w:val="00B10997"/>
    <w:rsid w:val="00B11802"/>
    <w:rsid w:val="00B119B2"/>
    <w:rsid w:val="00B121B3"/>
    <w:rsid w:val="00B129A4"/>
    <w:rsid w:val="00B131CC"/>
    <w:rsid w:val="00B13425"/>
    <w:rsid w:val="00B13441"/>
    <w:rsid w:val="00B153B5"/>
    <w:rsid w:val="00B201A4"/>
    <w:rsid w:val="00B201D1"/>
    <w:rsid w:val="00B20FCB"/>
    <w:rsid w:val="00B210AA"/>
    <w:rsid w:val="00B213A6"/>
    <w:rsid w:val="00B2308E"/>
    <w:rsid w:val="00B235B0"/>
    <w:rsid w:val="00B24002"/>
    <w:rsid w:val="00B24DF6"/>
    <w:rsid w:val="00B25ACC"/>
    <w:rsid w:val="00B25ED4"/>
    <w:rsid w:val="00B2796E"/>
    <w:rsid w:val="00B27A61"/>
    <w:rsid w:val="00B30930"/>
    <w:rsid w:val="00B333F3"/>
    <w:rsid w:val="00B34FE2"/>
    <w:rsid w:val="00B35166"/>
    <w:rsid w:val="00B357D8"/>
    <w:rsid w:val="00B35E59"/>
    <w:rsid w:val="00B360F4"/>
    <w:rsid w:val="00B36A00"/>
    <w:rsid w:val="00B36A8C"/>
    <w:rsid w:val="00B36EA5"/>
    <w:rsid w:val="00B374D3"/>
    <w:rsid w:val="00B3792B"/>
    <w:rsid w:val="00B37BFC"/>
    <w:rsid w:val="00B40358"/>
    <w:rsid w:val="00B40A32"/>
    <w:rsid w:val="00B40FE6"/>
    <w:rsid w:val="00B41614"/>
    <w:rsid w:val="00B41A09"/>
    <w:rsid w:val="00B42851"/>
    <w:rsid w:val="00B42E53"/>
    <w:rsid w:val="00B42F80"/>
    <w:rsid w:val="00B435CB"/>
    <w:rsid w:val="00B43829"/>
    <w:rsid w:val="00B465EC"/>
    <w:rsid w:val="00B46DCA"/>
    <w:rsid w:val="00B46DF8"/>
    <w:rsid w:val="00B501D7"/>
    <w:rsid w:val="00B505C8"/>
    <w:rsid w:val="00B50DB8"/>
    <w:rsid w:val="00B52DEB"/>
    <w:rsid w:val="00B53409"/>
    <w:rsid w:val="00B5341D"/>
    <w:rsid w:val="00B53654"/>
    <w:rsid w:val="00B5370E"/>
    <w:rsid w:val="00B53905"/>
    <w:rsid w:val="00B53B26"/>
    <w:rsid w:val="00B544F0"/>
    <w:rsid w:val="00B546DB"/>
    <w:rsid w:val="00B54B5B"/>
    <w:rsid w:val="00B5562E"/>
    <w:rsid w:val="00B55862"/>
    <w:rsid w:val="00B55D65"/>
    <w:rsid w:val="00B56305"/>
    <w:rsid w:val="00B57000"/>
    <w:rsid w:val="00B6014F"/>
    <w:rsid w:val="00B601A1"/>
    <w:rsid w:val="00B60939"/>
    <w:rsid w:val="00B60AFD"/>
    <w:rsid w:val="00B60AFF"/>
    <w:rsid w:val="00B6157E"/>
    <w:rsid w:val="00B62715"/>
    <w:rsid w:val="00B6356F"/>
    <w:rsid w:val="00B63E51"/>
    <w:rsid w:val="00B6401A"/>
    <w:rsid w:val="00B646BE"/>
    <w:rsid w:val="00B647BF"/>
    <w:rsid w:val="00B65611"/>
    <w:rsid w:val="00B70E8E"/>
    <w:rsid w:val="00B7118E"/>
    <w:rsid w:val="00B71F76"/>
    <w:rsid w:val="00B71FED"/>
    <w:rsid w:val="00B7273E"/>
    <w:rsid w:val="00B72B84"/>
    <w:rsid w:val="00B7450B"/>
    <w:rsid w:val="00B74C1F"/>
    <w:rsid w:val="00B76C92"/>
    <w:rsid w:val="00B771BF"/>
    <w:rsid w:val="00B80EFD"/>
    <w:rsid w:val="00B80FC2"/>
    <w:rsid w:val="00B818A4"/>
    <w:rsid w:val="00B81AB6"/>
    <w:rsid w:val="00B821DB"/>
    <w:rsid w:val="00B827B6"/>
    <w:rsid w:val="00B829C8"/>
    <w:rsid w:val="00B83739"/>
    <w:rsid w:val="00B84117"/>
    <w:rsid w:val="00B84AF6"/>
    <w:rsid w:val="00B851D5"/>
    <w:rsid w:val="00B858F0"/>
    <w:rsid w:val="00B85AA2"/>
    <w:rsid w:val="00B8649C"/>
    <w:rsid w:val="00B8695D"/>
    <w:rsid w:val="00B8713D"/>
    <w:rsid w:val="00B874C8"/>
    <w:rsid w:val="00B87B88"/>
    <w:rsid w:val="00B87F0A"/>
    <w:rsid w:val="00B90DC4"/>
    <w:rsid w:val="00B912E9"/>
    <w:rsid w:val="00B91C6C"/>
    <w:rsid w:val="00B92D0B"/>
    <w:rsid w:val="00B942EE"/>
    <w:rsid w:val="00B948CA"/>
    <w:rsid w:val="00B94945"/>
    <w:rsid w:val="00B94DD6"/>
    <w:rsid w:val="00B9520C"/>
    <w:rsid w:val="00B9648D"/>
    <w:rsid w:val="00B9688F"/>
    <w:rsid w:val="00B96E78"/>
    <w:rsid w:val="00BA011E"/>
    <w:rsid w:val="00BA322D"/>
    <w:rsid w:val="00BA5543"/>
    <w:rsid w:val="00BA607A"/>
    <w:rsid w:val="00BA63FA"/>
    <w:rsid w:val="00BA68C1"/>
    <w:rsid w:val="00BA6BBD"/>
    <w:rsid w:val="00BA6C59"/>
    <w:rsid w:val="00BA7435"/>
    <w:rsid w:val="00BB00B3"/>
    <w:rsid w:val="00BB0BDD"/>
    <w:rsid w:val="00BB176C"/>
    <w:rsid w:val="00BB25D0"/>
    <w:rsid w:val="00BB2A73"/>
    <w:rsid w:val="00BB2EFD"/>
    <w:rsid w:val="00BB3A45"/>
    <w:rsid w:val="00BB3E01"/>
    <w:rsid w:val="00BB41CD"/>
    <w:rsid w:val="00BB43C4"/>
    <w:rsid w:val="00BB4676"/>
    <w:rsid w:val="00BB472B"/>
    <w:rsid w:val="00BB4995"/>
    <w:rsid w:val="00BB4ACC"/>
    <w:rsid w:val="00BB59A8"/>
    <w:rsid w:val="00BB703E"/>
    <w:rsid w:val="00BB732D"/>
    <w:rsid w:val="00BB7405"/>
    <w:rsid w:val="00BC0370"/>
    <w:rsid w:val="00BC0EEE"/>
    <w:rsid w:val="00BC2D9B"/>
    <w:rsid w:val="00BC3625"/>
    <w:rsid w:val="00BC3631"/>
    <w:rsid w:val="00BC591F"/>
    <w:rsid w:val="00BC666C"/>
    <w:rsid w:val="00BC7D6D"/>
    <w:rsid w:val="00BD18D5"/>
    <w:rsid w:val="00BD1E3A"/>
    <w:rsid w:val="00BD1FED"/>
    <w:rsid w:val="00BD2108"/>
    <w:rsid w:val="00BD347F"/>
    <w:rsid w:val="00BD34F1"/>
    <w:rsid w:val="00BD37A8"/>
    <w:rsid w:val="00BD3AAF"/>
    <w:rsid w:val="00BD3AE6"/>
    <w:rsid w:val="00BD491A"/>
    <w:rsid w:val="00BD612D"/>
    <w:rsid w:val="00BD680A"/>
    <w:rsid w:val="00BD68A3"/>
    <w:rsid w:val="00BD6938"/>
    <w:rsid w:val="00BD6CF3"/>
    <w:rsid w:val="00BD756E"/>
    <w:rsid w:val="00BD7F72"/>
    <w:rsid w:val="00BE0D4B"/>
    <w:rsid w:val="00BE0ECA"/>
    <w:rsid w:val="00BE1E8E"/>
    <w:rsid w:val="00BE2180"/>
    <w:rsid w:val="00BE21F2"/>
    <w:rsid w:val="00BE2550"/>
    <w:rsid w:val="00BE4275"/>
    <w:rsid w:val="00BE466A"/>
    <w:rsid w:val="00BE53A0"/>
    <w:rsid w:val="00BE6321"/>
    <w:rsid w:val="00BE6338"/>
    <w:rsid w:val="00BE698C"/>
    <w:rsid w:val="00BE6B80"/>
    <w:rsid w:val="00BE772A"/>
    <w:rsid w:val="00BF06AE"/>
    <w:rsid w:val="00BF0F95"/>
    <w:rsid w:val="00BF15C5"/>
    <w:rsid w:val="00BF1FDF"/>
    <w:rsid w:val="00BF2433"/>
    <w:rsid w:val="00BF2D9D"/>
    <w:rsid w:val="00BF2E6E"/>
    <w:rsid w:val="00BF55BB"/>
    <w:rsid w:val="00BF5B9E"/>
    <w:rsid w:val="00BF61C9"/>
    <w:rsid w:val="00BF6C94"/>
    <w:rsid w:val="00BF70EE"/>
    <w:rsid w:val="00C00424"/>
    <w:rsid w:val="00C00BB0"/>
    <w:rsid w:val="00C02E56"/>
    <w:rsid w:val="00C03846"/>
    <w:rsid w:val="00C042D3"/>
    <w:rsid w:val="00C044A6"/>
    <w:rsid w:val="00C04AB1"/>
    <w:rsid w:val="00C04CE2"/>
    <w:rsid w:val="00C04FFE"/>
    <w:rsid w:val="00C05703"/>
    <w:rsid w:val="00C05EB1"/>
    <w:rsid w:val="00C06AF9"/>
    <w:rsid w:val="00C07312"/>
    <w:rsid w:val="00C075B2"/>
    <w:rsid w:val="00C1179F"/>
    <w:rsid w:val="00C127B9"/>
    <w:rsid w:val="00C128FA"/>
    <w:rsid w:val="00C12C14"/>
    <w:rsid w:val="00C13DC3"/>
    <w:rsid w:val="00C146F9"/>
    <w:rsid w:val="00C15F04"/>
    <w:rsid w:val="00C179B3"/>
    <w:rsid w:val="00C17E3F"/>
    <w:rsid w:val="00C200AA"/>
    <w:rsid w:val="00C217BD"/>
    <w:rsid w:val="00C21C99"/>
    <w:rsid w:val="00C2307C"/>
    <w:rsid w:val="00C237ED"/>
    <w:rsid w:val="00C24632"/>
    <w:rsid w:val="00C25418"/>
    <w:rsid w:val="00C256AA"/>
    <w:rsid w:val="00C2595B"/>
    <w:rsid w:val="00C259E3"/>
    <w:rsid w:val="00C25D9C"/>
    <w:rsid w:val="00C2717A"/>
    <w:rsid w:val="00C271AB"/>
    <w:rsid w:val="00C2778B"/>
    <w:rsid w:val="00C27886"/>
    <w:rsid w:val="00C31649"/>
    <w:rsid w:val="00C31E43"/>
    <w:rsid w:val="00C31FB0"/>
    <w:rsid w:val="00C326CA"/>
    <w:rsid w:val="00C32C26"/>
    <w:rsid w:val="00C32D29"/>
    <w:rsid w:val="00C333A5"/>
    <w:rsid w:val="00C34054"/>
    <w:rsid w:val="00C34196"/>
    <w:rsid w:val="00C3434C"/>
    <w:rsid w:val="00C34888"/>
    <w:rsid w:val="00C371FC"/>
    <w:rsid w:val="00C40385"/>
    <w:rsid w:val="00C41768"/>
    <w:rsid w:val="00C421E0"/>
    <w:rsid w:val="00C42578"/>
    <w:rsid w:val="00C42B1C"/>
    <w:rsid w:val="00C447C4"/>
    <w:rsid w:val="00C475AA"/>
    <w:rsid w:val="00C50A7F"/>
    <w:rsid w:val="00C5200B"/>
    <w:rsid w:val="00C527C7"/>
    <w:rsid w:val="00C539B5"/>
    <w:rsid w:val="00C53C98"/>
    <w:rsid w:val="00C55059"/>
    <w:rsid w:val="00C56140"/>
    <w:rsid w:val="00C56FCF"/>
    <w:rsid w:val="00C57B6C"/>
    <w:rsid w:val="00C61A59"/>
    <w:rsid w:val="00C628A6"/>
    <w:rsid w:val="00C63536"/>
    <w:rsid w:val="00C64344"/>
    <w:rsid w:val="00C65108"/>
    <w:rsid w:val="00C65576"/>
    <w:rsid w:val="00C6609E"/>
    <w:rsid w:val="00C66165"/>
    <w:rsid w:val="00C66287"/>
    <w:rsid w:val="00C7060A"/>
    <w:rsid w:val="00C7151A"/>
    <w:rsid w:val="00C717E3"/>
    <w:rsid w:val="00C71BEA"/>
    <w:rsid w:val="00C71F60"/>
    <w:rsid w:val="00C72241"/>
    <w:rsid w:val="00C72F9F"/>
    <w:rsid w:val="00C7401C"/>
    <w:rsid w:val="00C74DF1"/>
    <w:rsid w:val="00C750C8"/>
    <w:rsid w:val="00C7560F"/>
    <w:rsid w:val="00C80866"/>
    <w:rsid w:val="00C80A0E"/>
    <w:rsid w:val="00C814AB"/>
    <w:rsid w:val="00C8213F"/>
    <w:rsid w:val="00C8303F"/>
    <w:rsid w:val="00C83B2C"/>
    <w:rsid w:val="00C84CA8"/>
    <w:rsid w:val="00C85154"/>
    <w:rsid w:val="00C85A70"/>
    <w:rsid w:val="00C85F47"/>
    <w:rsid w:val="00C870C0"/>
    <w:rsid w:val="00C878F3"/>
    <w:rsid w:val="00C8797A"/>
    <w:rsid w:val="00C87B87"/>
    <w:rsid w:val="00C900B8"/>
    <w:rsid w:val="00C90197"/>
    <w:rsid w:val="00C905EB"/>
    <w:rsid w:val="00C90C71"/>
    <w:rsid w:val="00C91613"/>
    <w:rsid w:val="00C91FD1"/>
    <w:rsid w:val="00C931CF"/>
    <w:rsid w:val="00C938CF"/>
    <w:rsid w:val="00C94053"/>
    <w:rsid w:val="00C947D6"/>
    <w:rsid w:val="00C9505A"/>
    <w:rsid w:val="00C9624D"/>
    <w:rsid w:val="00C969DA"/>
    <w:rsid w:val="00C96E73"/>
    <w:rsid w:val="00CA04C2"/>
    <w:rsid w:val="00CA2370"/>
    <w:rsid w:val="00CA2C77"/>
    <w:rsid w:val="00CA36CE"/>
    <w:rsid w:val="00CA3EF5"/>
    <w:rsid w:val="00CA444F"/>
    <w:rsid w:val="00CA4C49"/>
    <w:rsid w:val="00CA5245"/>
    <w:rsid w:val="00CA6349"/>
    <w:rsid w:val="00CA6CF3"/>
    <w:rsid w:val="00CA6D57"/>
    <w:rsid w:val="00CA71F4"/>
    <w:rsid w:val="00CA7B09"/>
    <w:rsid w:val="00CB12A5"/>
    <w:rsid w:val="00CB1CAC"/>
    <w:rsid w:val="00CB1FEB"/>
    <w:rsid w:val="00CB2F2A"/>
    <w:rsid w:val="00CB5150"/>
    <w:rsid w:val="00CB5B1A"/>
    <w:rsid w:val="00CB6014"/>
    <w:rsid w:val="00CB6B22"/>
    <w:rsid w:val="00CB7F5F"/>
    <w:rsid w:val="00CC1B39"/>
    <w:rsid w:val="00CC1BFA"/>
    <w:rsid w:val="00CC2E93"/>
    <w:rsid w:val="00CC2E9F"/>
    <w:rsid w:val="00CC35EA"/>
    <w:rsid w:val="00CC3848"/>
    <w:rsid w:val="00CC424C"/>
    <w:rsid w:val="00CC4308"/>
    <w:rsid w:val="00CC5E2C"/>
    <w:rsid w:val="00CC6785"/>
    <w:rsid w:val="00CC6D1B"/>
    <w:rsid w:val="00CC6D5E"/>
    <w:rsid w:val="00CC7A54"/>
    <w:rsid w:val="00CD015F"/>
    <w:rsid w:val="00CD0200"/>
    <w:rsid w:val="00CD1A3B"/>
    <w:rsid w:val="00CD2B30"/>
    <w:rsid w:val="00CD2BF1"/>
    <w:rsid w:val="00CD2EC4"/>
    <w:rsid w:val="00CD3E5F"/>
    <w:rsid w:val="00CD3F77"/>
    <w:rsid w:val="00CD4959"/>
    <w:rsid w:val="00CD508D"/>
    <w:rsid w:val="00CD6ADC"/>
    <w:rsid w:val="00CD7193"/>
    <w:rsid w:val="00CD72E0"/>
    <w:rsid w:val="00CD7887"/>
    <w:rsid w:val="00CD7C73"/>
    <w:rsid w:val="00CE1652"/>
    <w:rsid w:val="00CE38C8"/>
    <w:rsid w:val="00CE51CA"/>
    <w:rsid w:val="00CE524F"/>
    <w:rsid w:val="00CE58CC"/>
    <w:rsid w:val="00CE6274"/>
    <w:rsid w:val="00CE77B6"/>
    <w:rsid w:val="00CE7BCD"/>
    <w:rsid w:val="00CE7D5E"/>
    <w:rsid w:val="00CF1A74"/>
    <w:rsid w:val="00CF2447"/>
    <w:rsid w:val="00CF2B8D"/>
    <w:rsid w:val="00CF38EF"/>
    <w:rsid w:val="00CF3A14"/>
    <w:rsid w:val="00CF3A1B"/>
    <w:rsid w:val="00CF3C43"/>
    <w:rsid w:val="00CF3FCA"/>
    <w:rsid w:val="00CF456B"/>
    <w:rsid w:val="00CF4D0B"/>
    <w:rsid w:val="00CF4D59"/>
    <w:rsid w:val="00CF5A22"/>
    <w:rsid w:val="00CF74C0"/>
    <w:rsid w:val="00CF7B79"/>
    <w:rsid w:val="00D013AE"/>
    <w:rsid w:val="00D01810"/>
    <w:rsid w:val="00D019B6"/>
    <w:rsid w:val="00D02143"/>
    <w:rsid w:val="00D0262E"/>
    <w:rsid w:val="00D02BB1"/>
    <w:rsid w:val="00D03223"/>
    <w:rsid w:val="00D03679"/>
    <w:rsid w:val="00D041AD"/>
    <w:rsid w:val="00D05047"/>
    <w:rsid w:val="00D05E3D"/>
    <w:rsid w:val="00D0612C"/>
    <w:rsid w:val="00D06139"/>
    <w:rsid w:val="00D110BD"/>
    <w:rsid w:val="00D11FAA"/>
    <w:rsid w:val="00D12042"/>
    <w:rsid w:val="00D12160"/>
    <w:rsid w:val="00D12A9C"/>
    <w:rsid w:val="00D13365"/>
    <w:rsid w:val="00D13675"/>
    <w:rsid w:val="00D136A1"/>
    <w:rsid w:val="00D141E1"/>
    <w:rsid w:val="00D149A8"/>
    <w:rsid w:val="00D14BB9"/>
    <w:rsid w:val="00D14F3C"/>
    <w:rsid w:val="00D15314"/>
    <w:rsid w:val="00D15B48"/>
    <w:rsid w:val="00D16F67"/>
    <w:rsid w:val="00D17D6C"/>
    <w:rsid w:val="00D2155B"/>
    <w:rsid w:val="00D2398A"/>
    <w:rsid w:val="00D23D11"/>
    <w:rsid w:val="00D2421F"/>
    <w:rsid w:val="00D244B6"/>
    <w:rsid w:val="00D26715"/>
    <w:rsid w:val="00D26B4D"/>
    <w:rsid w:val="00D26C84"/>
    <w:rsid w:val="00D2754D"/>
    <w:rsid w:val="00D27B27"/>
    <w:rsid w:val="00D27E31"/>
    <w:rsid w:val="00D30D5B"/>
    <w:rsid w:val="00D31A12"/>
    <w:rsid w:val="00D32003"/>
    <w:rsid w:val="00D32FAB"/>
    <w:rsid w:val="00D339ED"/>
    <w:rsid w:val="00D33BE9"/>
    <w:rsid w:val="00D33F93"/>
    <w:rsid w:val="00D341E0"/>
    <w:rsid w:val="00D357FF"/>
    <w:rsid w:val="00D367CD"/>
    <w:rsid w:val="00D37545"/>
    <w:rsid w:val="00D410E4"/>
    <w:rsid w:val="00D423FF"/>
    <w:rsid w:val="00D424C7"/>
    <w:rsid w:val="00D43603"/>
    <w:rsid w:val="00D43B2A"/>
    <w:rsid w:val="00D43CF1"/>
    <w:rsid w:val="00D43D83"/>
    <w:rsid w:val="00D4556B"/>
    <w:rsid w:val="00D45AF4"/>
    <w:rsid w:val="00D45BF6"/>
    <w:rsid w:val="00D45D74"/>
    <w:rsid w:val="00D4703B"/>
    <w:rsid w:val="00D47047"/>
    <w:rsid w:val="00D47575"/>
    <w:rsid w:val="00D47D79"/>
    <w:rsid w:val="00D50339"/>
    <w:rsid w:val="00D5243B"/>
    <w:rsid w:val="00D533EC"/>
    <w:rsid w:val="00D53C19"/>
    <w:rsid w:val="00D54C7D"/>
    <w:rsid w:val="00D562B9"/>
    <w:rsid w:val="00D5672D"/>
    <w:rsid w:val="00D56A95"/>
    <w:rsid w:val="00D6022A"/>
    <w:rsid w:val="00D6076E"/>
    <w:rsid w:val="00D63C4E"/>
    <w:rsid w:val="00D647C2"/>
    <w:rsid w:val="00D64F30"/>
    <w:rsid w:val="00D65EA0"/>
    <w:rsid w:val="00D66112"/>
    <w:rsid w:val="00D665DE"/>
    <w:rsid w:val="00D6781E"/>
    <w:rsid w:val="00D7029E"/>
    <w:rsid w:val="00D70F16"/>
    <w:rsid w:val="00D7125B"/>
    <w:rsid w:val="00D71983"/>
    <w:rsid w:val="00D72147"/>
    <w:rsid w:val="00D72617"/>
    <w:rsid w:val="00D72F57"/>
    <w:rsid w:val="00D73914"/>
    <w:rsid w:val="00D74077"/>
    <w:rsid w:val="00D74421"/>
    <w:rsid w:val="00D7522B"/>
    <w:rsid w:val="00D758DF"/>
    <w:rsid w:val="00D761E9"/>
    <w:rsid w:val="00D76A44"/>
    <w:rsid w:val="00D771CA"/>
    <w:rsid w:val="00D77F37"/>
    <w:rsid w:val="00D77FF3"/>
    <w:rsid w:val="00D8046E"/>
    <w:rsid w:val="00D804D7"/>
    <w:rsid w:val="00D815EF"/>
    <w:rsid w:val="00D81949"/>
    <w:rsid w:val="00D81F26"/>
    <w:rsid w:val="00D822E2"/>
    <w:rsid w:val="00D82967"/>
    <w:rsid w:val="00D838F9"/>
    <w:rsid w:val="00D843F2"/>
    <w:rsid w:val="00D86231"/>
    <w:rsid w:val="00D912AB"/>
    <w:rsid w:val="00D91923"/>
    <w:rsid w:val="00D92938"/>
    <w:rsid w:val="00D93235"/>
    <w:rsid w:val="00D93753"/>
    <w:rsid w:val="00D95CB9"/>
    <w:rsid w:val="00D96BDB"/>
    <w:rsid w:val="00D9728B"/>
    <w:rsid w:val="00D977E1"/>
    <w:rsid w:val="00DA1BF5"/>
    <w:rsid w:val="00DA2F51"/>
    <w:rsid w:val="00DA3167"/>
    <w:rsid w:val="00DA46E6"/>
    <w:rsid w:val="00DA4B1B"/>
    <w:rsid w:val="00DA4DC3"/>
    <w:rsid w:val="00DA6A78"/>
    <w:rsid w:val="00DA77A5"/>
    <w:rsid w:val="00DB0020"/>
    <w:rsid w:val="00DB0E36"/>
    <w:rsid w:val="00DB3DBF"/>
    <w:rsid w:val="00DB484F"/>
    <w:rsid w:val="00DB512E"/>
    <w:rsid w:val="00DB627A"/>
    <w:rsid w:val="00DB63AF"/>
    <w:rsid w:val="00DB7AB4"/>
    <w:rsid w:val="00DC04F6"/>
    <w:rsid w:val="00DC0690"/>
    <w:rsid w:val="00DC122D"/>
    <w:rsid w:val="00DC1D65"/>
    <w:rsid w:val="00DC24A3"/>
    <w:rsid w:val="00DC3C57"/>
    <w:rsid w:val="00DC4F16"/>
    <w:rsid w:val="00DC5501"/>
    <w:rsid w:val="00DC5BAB"/>
    <w:rsid w:val="00DC5DE4"/>
    <w:rsid w:val="00DC7154"/>
    <w:rsid w:val="00DC716A"/>
    <w:rsid w:val="00DC7E8A"/>
    <w:rsid w:val="00DD0975"/>
    <w:rsid w:val="00DD0CD1"/>
    <w:rsid w:val="00DD0F78"/>
    <w:rsid w:val="00DD17E7"/>
    <w:rsid w:val="00DD1F85"/>
    <w:rsid w:val="00DD273C"/>
    <w:rsid w:val="00DD2868"/>
    <w:rsid w:val="00DD2DE3"/>
    <w:rsid w:val="00DD3B21"/>
    <w:rsid w:val="00DD3F28"/>
    <w:rsid w:val="00DD4446"/>
    <w:rsid w:val="00DD4537"/>
    <w:rsid w:val="00DD4A18"/>
    <w:rsid w:val="00DD4E15"/>
    <w:rsid w:val="00DD5003"/>
    <w:rsid w:val="00DE13AB"/>
    <w:rsid w:val="00DE159B"/>
    <w:rsid w:val="00DE1A99"/>
    <w:rsid w:val="00DE2304"/>
    <w:rsid w:val="00DE3138"/>
    <w:rsid w:val="00DE32B8"/>
    <w:rsid w:val="00DE356A"/>
    <w:rsid w:val="00DE367E"/>
    <w:rsid w:val="00DE37F8"/>
    <w:rsid w:val="00DE4273"/>
    <w:rsid w:val="00DE4FCB"/>
    <w:rsid w:val="00DE5995"/>
    <w:rsid w:val="00DE5D07"/>
    <w:rsid w:val="00DE6AE9"/>
    <w:rsid w:val="00DE6B97"/>
    <w:rsid w:val="00DE72A7"/>
    <w:rsid w:val="00DE7832"/>
    <w:rsid w:val="00DF18FC"/>
    <w:rsid w:val="00DF1FDE"/>
    <w:rsid w:val="00DF28CB"/>
    <w:rsid w:val="00DF35DE"/>
    <w:rsid w:val="00DF4187"/>
    <w:rsid w:val="00DF474D"/>
    <w:rsid w:val="00DF59B2"/>
    <w:rsid w:val="00DF5D2B"/>
    <w:rsid w:val="00DF6276"/>
    <w:rsid w:val="00DF6341"/>
    <w:rsid w:val="00E00E8E"/>
    <w:rsid w:val="00E02622"/>
    <w:rsid w:val="00E04586"/>
    <w:rsid w:val="00E05630"/>
    <w:rsid w:val="00E068B5"/>
    <w:rsid w:val="00E06C57"/>
    <w:rsid w:val="00E06DBB"/>
    <w:rsid w:val="00E070C6"/>
    <w:rsid w:val="00E10149"/>
    <w:rsid w:val="00E1032A"/>
    <w:rsid w:val="00E1107A"/>
    <w:rsid w:val="00E11340"/>
    <w:rsid w:val="00E11D14"/>
    <w:rsid w:val="00E122A1"/>
    <w:rsid w:val="00E12FC1"/>
    <w:rsid w:val="00E136A7"/>
    <w:rsid w:val="00E14503"/>
    <w:rsid w:val="00E16181"/>
    <w:rsid w:val="00E16372"/>
    <w:rsid w:val="00E16AD8"/>
    <w:rsid w:val="00E16FA1"/>
    <w:rsid w:val="00E17FFA"/>
    <w:rsid w:val="00E2014B"/>
    <w:rsid w:val="00E20202"/>
    <w:rsid w:val="00E20261"/>
    <w:rsid w:val="00E20A1C"/>
    <w:rsid w:val="00E20E4D"/>
    <w:rsid w:val="00E20ED6"/>
    <w:rsid w:val="00E21358"/>
    <w:rsid w:val="00E2249B"/>
    <w:rsid w:val="00E22A0D"/>
    <w:rsid w:val="00E22AB0"/>
    <w:rsid w:val="00E23F3E"/>
    <w:rsid w:val="00E244F6"/>
    <w:rsid w:val="00E24DF2"/>
    <w:rsid w:val="00E2505C"/>
    <w:rsid w:val="00E255A3"/>
    <w:rsid w:val="00E258DB"/>
    <w:rsid w:val="00E265E1"/>
    <w:rsid w:val="00E27541"/>
    <w:rsid w:val="00E2771E"/>
    <w:rsid w:val="00E27BDC"/>
    <w:rsid w:val="00E311EF"/>
    <w:rsid w:val="00E31302"/>
    <w:rsid w:val="00E32180"/>
    <w:rsid w:val="00E32DAE"/>
    <w:rsid w:val="00E33447"/>
    <w:rsid w:val="00E33957"/>
    <w:rsid w:val="00E33B9C"/>
    <w:rsid w:val="00E34689"/>
    <w:rsid w:val="00E34948"/>
    <w:rsid w:val="00E34EC5"/>
    <w:rsid w:val="00E35CCA"/>
    <w:rsid w:val="00E36180"/>
    <w:rsid w:val="00E371B6"/>
    <w:rsid w:val="00E37569"/>
    <w:rsid w:val="00E37D40"/>
    <w:rsid w:val="00E37EC2"/>
    <w:rsid w:val="00E401B2"/>
    <w:rsid w:val="00E40EBE"/>
    <w:rsid w:val="00E41AFC"/>
    <w:rsid w:val="00E41E30"/>
    <w:rsid w:val="00E420EA"/>
    <w:rsid w:val="00E42BC9"/>
    <w:rsid w:val="00E42F73"/>
    <w:rsid w:val="00E43B38"/>
    <w:rsid w:val="00E43D70"/>
    <w:rsid w:val="00E43F4F"/>
    <w:rsid w:val="00E440D3"/>
    <w:rsid w:val="00E44321"/>
    <w:rsid w:val="00E44462"/>
    <w:rsid w:val="00E44D06"/>
    <w:rsid w:val="00E44D18"/>
    <w:rsid w:val="00E46095"/>
    <w:rsid w:val="00E466F3"/>
    <w:rsid w:val="00E46AA1"/>
    <w:rsid w:val="00E47B2C"/>
    <w:rsid w:val="00E500C5"/>
    <w:rsid w:val="00E50FE2"/>
    <w:rsid w:val="00E51560"/>
    <w:rsid w:val="00E51821"/>
    <w:rsid w:val="00E53B51"/>
    <w:rsid w:val="00E53FC8"/>
    <w:rsid w:val="00E54347"/>
    <w:rsid w:val="00E55424"/>
    <w:rsid w:val="00E55915"/>
    <w:rsid w:val="00E55BB5"/>
    <w:rsid w:val="00E57102"/>
    <w:rsid w:val="00E60810"/>
    <w:rsid w:val="00E611DF"/>
    <w:rsid w:val="00E62055"/>
    <w:rsid w:val="00E637AE"/>
    <w:rsid w:val="00E63BA9"/>
    <w:rsid w:val="00E64FBB"/>
    <w:rsid w:val="00E65019"/>
    <w:rsid w:val="00E65351"/>
    <w:rsid w:val="00E654DD"/>
    <w:rsid w:val="00E65E75"/>
    <w:rsid w:val="00E65E79"/>
    <w:rsid w:val="00E66BA2"/>
    <w:rsid w:val="00E67416"/>
    <w:rsid w:val="00E67DB0"/>
    <w:rsid w:val="00E7062D"/>
    <w:rsid w:val="00E706E0"/>
    <w:rsid w:val="00E715DE"/>
    <w:rsid w:val="00E718B6"/>
    <w:rsid w:val="00E71AA3"/>
    <w:rsid w:val="00E723BA"/>
    <w:rsid w:val="00E730D8"/>
    <w:rsid w:val="00E730E9"/>
    <w:rsid w:val="00E73581"/>
    <w:rsid w:val="00E73E1C"/>
    <w:rsid w:val="00E7427B"/>
    <w:rsid w:val="00E74FD7"/>
    <w:rsid w:val="00E75482"/>
    <w:rsid w:val="00E760D9"/>
    <w:rsid w:val="00E77357"/>
    <w:rsid w:val="00E7793A"/>
    <w:rsid w:val="00E77D80"/>
    <w:rsid w:val="00E80B2B"/>
    <w:rsid w:val="00E80E0B"/>
    <w:rsid w:val="00E8183A"/>
    <w:rsid w:val="00E82243"/>
    <w:rsid w:val="00E828EF"/>
    <w:rsid w:val="00E830C2"/>
    <w:rsid w:val="00E833F7"/>
    <w:rsid w:val="00E83BDF"/>
    <w:rsid w:val="00E84FBD"/>
    <w:rsid w:val="00E8619F"/>
    <w:rsid w:val="00E86FCC"/>
    <w:rsid w:val="00E87481"/>
    <w:rsid w:val="00E876A2"/>
    <w:rsid w:val="00E8777B"/>
    <w:rsid w:val="00E87A1D"/>
    <w:rsid w:val="00E9094A"/>
    <w:rsid w:val="00E91474"/>
    <w:rsid w:val="00E918CF"/>
    <w:rsid w:val="00E91B98"/>
    <w:rsid w:val="00E91D35"/>
    <w:rsid w:val="00E9251A"/>
    <w:rsid w:val="00E926A5"/>
    <w:rsid w:val="00E92986"/>
    <w:rsid w:val="00E94AE0"/>
    <w:rsid w:val="00E9522A"/>
    <w:rsid w:val="00E962CC"/>
    <w:rsid w:val="00E96D6A"/>
    <w:rsid w:val="00E97083"/>
    <w:rsid w:val="00E97187"/>
    <w:rsid w:val="00EA0B68"/>
    <w:rsid w:val="00EA17C3"/>
    <w:rsid w:val="00EA2156"/>
    <w:rsid w:val="00EA2A1B"/>
    <w:rsid w:val="00EA2CAA"/>
    <w:rsid w:val="00EA2EAA"/>
    <w:rsid w:val="00EA30FF"/>
    <w:rsid w:val="00EA354A"/>
    <w:rsid w:val="00EA3864"/>
    <w:rsid w:val="00EA470F"/>
    <w:rsid w:val="00EA6EFC"/>
    <w:rsid w:val="00EA7904"/>
    <w:rsid w:val="00EA7F1C"/>
    <w:rsid w:val="00EB15B6"/>
    <w:rsid w:val="00EB1C69"/>
    <w:rsid w:val="00EB20E6"/>
    <w:rsid w:val="00EB2260"/>
    <w:rsid w:val="00EB3A97"/>
    <w:rsid w:val="00EB3CC9"/>
    <w:rsid w:val="00EB3D06"/>
    <w:rsid w:val="00EB4916"/>
    <w:rsid w:val="00EB6E10"/>
    <w:rsid w:val="00EB7CFD"/>
    <w:rsid w:val="00EC00C9"/>
    <w:rsid w:val="00EC03C4"/>
    <w:rsid w:val="00EC0DD9"/>
    <w:rsid w:val="00EC1138"/>
    <w:rsid w:val="00EC2649"/>
    <w:rsid w:val="00EC2B4E"/>
    <w:rsid w:val="00EC31ED"/>
    <w:rsid w:val="00EC37B6"/>
    <w:rsid w:val="00EC3CE3"/>
    <w:rsid w:val="00EC5836"/>
    <w:rsid w:val="00EC688C"/>
    <w:rsid w:val="00EC75BA"/>
    <w:rsid w:val="00EC7FEF"/>
    <w:rsid w:val="00ED12E3"/>
    <w:rsid w:val="00ED1718"/>
    <w:rsid w:val="00ED177A"/>
    <w:rsid w:val="00ED1C29"/>
    <w:rsid w:val="00ED1DB7"/>
    <w:rsid w:val="00ED21F4"/>
    <w:rsid w:val="00ED2AE3"/>
    <w:rsid w:val="00ED2CC0"/>
    <w:rsid w:val="00ED31C0"/>
    <w:rsid w:val="00ED4B04"/>
    <w:rsid w:val="00ED57EA"/>
    <w:rsid w:val="00ED5B64"/>
    <w:rsid w:val="00ED5BD4"/>
    <w:rsid w:val="00ED5BF4"/>
    <w:rsid w:val="00ED62DA"/>
    <w:rsid w:val="00ED6739"/>
    <w:rsid w:val="00ED73DB"/>
    <w:rsid w:val="00EE0313"/>
    <w:rsid w:val="00EE05A8"/>
    <w:rsid w:val="00EE072E"/>
    <w:rsid w:val="00EE07D3"/>
    <w:rsid w:val="00EE0D2B"/>
    <w:rsid w:val="00EE1996"/>
    <w:rsid w:val="00EE1C01"/>
    <w:rsid w:val="00EE22AF"/>
    <w:rsid w:val="00EE266D"/>
    <w:rsid w:val="00EE26AC"/>
    <w:rsid w:val="00EE44FB"/>
    <w:rsid w:val="00EE52C7"/>
    <w:rsid w:val="00EE7751"/>
    <w:rsid w:val="00EF0171"/>
    <w:rsid w:val="00EF1B25"/>
    <w:rsid w:val="00EF1DA0"/>
    <w:rsid w:val="00EF26BD"/>
    <w:rsid w:val="00EF364A"/>
    <w:rsid w:val="00EF3B77"/>
    <w:rsid w:val="00EF41CF"/>
    <w:rsid w:val="00EF46BB"/>
    <w:rsid w:val="00EF4747"/>
    <w:rsid w:val="00EF4BF8"/>
    <w:rsid w:val="00EF4F6F"/>
    <w:rsid w:val="00EF6769"/>
    <w:rsid w:val="00EF6AD4"/>
    <w:rsid w:val="00F01D99"/>
    <w:rsid w:val="00F02253"/>
    <w:rsid w:val="00F02AD5"/>
    <w:rsid w:val="00F03B96"/>
    <w:rsid w:val="00F03C2E"/>
    <w:rsid w:val="00F04A66"/>
    <w:rsid w:val="00F04A91"/>
    <w:rsid w:val="00F04B4B"/>
    <w:rsid w:val="00F0516C"/>
    <w:rsid w:val="00F052E7"/>
    <w:rsid w:val="00F06383"/>
    <w:rsid w:val="00F063C7"/>
    <w:rsid w:val="00F067A2"/>
    <w:rsid w:val="00F06ED3"/>
    <w:rsid w:val="00F07B9E"/>
    <w:rsid w:val="00F1105A"/>
    <w:rsid w:val="00F1116F"/>
    <w:rsid w:val="00F111C9"/>
    <w:rsid w:val="00F1263A"/>
    <w:rsid w:val="00F12AA8"/>
    <w:rsid w:val="00F135A9"/>
    <w:rsid w:val="00F135E4"/>
    <w:rsid w:val="00F139C5"/>
    <w:rsid w:val="00F13B57"/>
    <w:rsid w:val="00F13C05"/>
    <w:rsid w:val="00F14951"/>
    <w:rsid w:val="00F154AA"/>
    <w:rsid w:val="00F1598E"/>
    <w:rsid w:val="00F15B77"/>
    <w:rsid w:val="00F16981"/>
    <w:rsid w:val="00F16CDD"/>
    <w:rsid w:val="00F21236"/>
    <w:rsid w:val="00F217E4"/>
    <w:rsid w:val="00F22F6E"/>
    <w:rsid w:val="00F23771"/>
    <w:rsid w:val="00F239DF"/>
    <w:rsid w:val="00F24837"/>
    <w:rsid w:val="00F2575F"/>
    <w:rsid w:val="00F25827"/>
    <w:rsid w:val="00F25C48"/>
    <w:rsid w:val="00F26075"/>
    <w:rsid w:val="00F27236"/>
    <w:rsid w:val="00F27565"/>
    <w:rsid w:val="00F310D4"/>
    <w:rsid w:val="00F31211"/>
    <w:rsid w:val="00F31680"/>
    <w:rsid w:val="00F31D5A"/>
    <w:rsid w:val="00F3237C"/>
    <w:rsid w:val="00F333F6"/>
    <w:rsid w:val="00F33618"/>
    <w:rsid w:val="00F33975"/>
    <w:rsid w:val="00F33DE9"/>
    <w:rsid w:val="00F35E6D"/>
    <w:rsid w:val="00F3619A"/>
    <w:rsid w:val="00F379D5"/>
    <w:rsid w:val="00F4022A"/>
    <w:rsid w:val="00F402EC"/>
    <w:rsid w:val="00F40AAA"/>
    <w:rsid w:val="00F40BA7"/>
    <w:rsid w:val="00F40BBD"/>
    <w:rsid w:val="00F40F9D"/>
    <w:rsid w:val="00F4105A"/>
    <w:rsid w:val="00F41A34"/>
    <w:rsid w:val="00F41ACD"/>
    <w:rsid w:val="00F433E7"/>
    <w:rsid w:val="00F45147"/>
    <w:rsid w:val="00F4596F"/>
    <w:rsid w:val="00F460F3"/>
    <w:rsid w:val="00F46530"/>
    <w:rsid w:val="00F46CB6"/>
    <w:rsid w:val="00F4708F"/>
    <w:rsid w:val="00F4718A"/>
    <w:rsid w:val="00F4756D"/>
    <w:rsid w:val="00F47DE8"/>
    <w:rsid w:val="00F47E18"/>
    <w:rsid w:val="00F47EB9"/>
    <w:rsid w:val="00F505D7"/>
    <w:rsid w:val="00F51586"/>
    <w:rsid w:val="00F51FD5"/>
    <w:rsid w:val="00F52901"/>
    <w:rsid w:val="00F53EFC"/>
    <w:rsid w:val="00F542C1"/>
    <w:rsid w:val="00F54AC1"/>
    <w:rsid w:val="00F550E3"/>
    <w:rsid w:val="00F55BC1"/>
    <w:rsid w:val="00F55E73"/>
    <w:rsid w:val="00F55EDA"/>
    <w:rsid w:val="00F563CC"/>
    <w:rsid w:val="00F56A78"/>
    <w:rsid w:val="00F56C80"/>
    <w:rsid w:val="00F56D03"/>
    <w:rsid w:val="00F57B6D"/>
    <w:rsid w:val="00F57CCC"/>
    <w:rsid w:val="00F60092"/>
    <w:rsid w:val="00F61C18"/>
    <w:rsid w:val="00F61EF4"/>
    <w:rsid w:val="00F620C7"/>
    <w:rsid w:val="00F641F4"/>
    <w:rsid w:val="00F65F4B"/>
    <w:rsid w:val="00F67A69"/>
    <w:rsid w:val="00F67B68"/>
    <w:rsid w:val="00F67F78"/>
    <w:rsid w:val="00F67FA8"/>
    <w:rsid w:val="00F70BFF"/>
    <w:rsid w:val="00F70C9D"/>
    <w:rsid w:val="00F71010"/>
    <w:rsid w:val="00F7280F"/>
    <w:rsid w:val="00F72A6D"/>
    <w:rsid w:val="00F72CAB"/>
    <w:rsid w:val="00F73664"/>
    <w:rsid w:val="00F73E08"/>
    <w:rsid w:val="00F74154"/>
    <w:rsid w:val="00F7449B"/>
    <w:rsid w:val="00F74CD9"/>
    <w:rsid w:val="00F7507D"/>
    <w:rsid w:val="00F7552B"/>
    <w:rsid w:val="00F75803"/>
    <w:rsid w:val="00F758AA"/>
    <w:rsid w:val="00F75E61"/>
    <w:rsid w:val="00F776B5"/>
    <w:rsid w:val="00F80A7B"/>
    <w:rsid w:val="00F80E5D"/>
    <w:rsid w:val="00F81C7F"/>
    <w:rsid w:val="00F81E78"/>
    <w:rsid w:val="00F83916"/>
    <w:rsid w:val="00F84708"/>
    <w:rsid w:val="00F84843"/>
    <w:rsid w:val="00F851CE"/>
    <w:rsid w:val="00F85F0C"/>
    <w:rsid w:val="00F86AD5"/>
    <w:rsid w:val="00F87DB1"/>
    <w:rsid w:val="00F907DB"/>
    <w:rsid w:val="00F90B85"/>
    <w:rsid w:val="00F91219"/>
    <w:rsid w:val="00F91456"/>
    <w:rsid w:val="00F91E99"/>
    <w:rsid w:val="00F92444"/>
    <w:rsid w:val="00F9393E"/>
    <w:rsid w:val="00F93E34"/>
    <w:rsid w:val="00F94277"/>
    <w:rsid w:val="00F94C66"/>
    <w:rsid w:val="00F962C6"/>
    <w:rsid w:val="00F96FD0"/>
    <w:rsid w:val="00F97A78"/>
    <w:rsid w:val="00FA010A"/>
    <w:rsid w:val="00FA0B20"/>
    <w:rsid w:val="00FA0B44"/>
    <w:rsid w:val="00FA102B"/>
    <w:rsid w:val="00FA24E7"/>
    <w:rsid w:val="00FA29DA"/>
    <w:rsid w:val="00FA32A0"/>
    <w:rsid w:val="00FA5EE6"/>
    <w:rsid w:val="00FA6B24"/>
    <w:rsid w:val="00FA7074"/>
    <w:rsid w:val="00FA7956"/>
    <w:rsid w:val="00FB0824"/>
    <w:rsid w:val="00FB11AF"/>
    <w:rsid w:val="00FB2FCB"/>
    <w:rsid w:val="00FB418D"/>
    <w:rsid w:val="00FB4C9C"/>
    <w:rsid w:val="00FB54B3"/>
    <w:rsid w:val="00FB5949"/>
    <w:rsid w:val="00FB6AAE"/>
    <w:rsid w:val="00FB7BD7"/>
    <w:rsid w:val="00FB7C55"/>
    <w:rsid w:val="00FC0996"/>
    <w:rsid w:val="00FC1074"/>
    <w:rsid w:val="00FC12A8"/>
    <w:rsid w:val="00FC1884"/>
    <w:rsid w:val="00FC1B68"/>
    <w:rsid w:val="00FC2B73"/>
    <w:rsid w:val="00FC371D"/>
    <w:rsid w:val="00FC445F"/>
    <w:rsid w:val="00FC5F0B"/>
    <w:rsid w:val="00FD0B30"/>
    <w:rsid w:val="00FD17EA"/>
    <w:rsid w:val="00FD1D90"/>
    <w:rsid w:val="00FD2100"/>
    <w:rsid w:val="00FD3FD4"/>
    <w:rsid w:val="00FD436C"/>
    <w:rsid w:val="00FD446D"/>
    <w:rsid w:val="00FD4649"/>
    <w:rsid w:val="00FD4ED6"/>
    <w:rsid w:val="00FD4F2C"/>
    <w:rsid w:val="00FD51F6"/>
    <w:rsid w:val="00FD5CF2"/>
    <w:rsid w:val="00FD5F3D"/>
    <w:rsid w:val="00FD6394"/>
    <w:rsid w:val="00FD6D8E"/>
    <w:rsid w:val="00FD7309"/>
    <w:rsid w:val="00FD78FC"/>
    <w:rsid w:val="00FD7CE6"/>
    <w:rsid w:val="00FE01FF"/>
    <w:rsid w:val="00FE0B99"/>
    <w:rsid w:val="00FE0E6C"/>
    <w:rsid w:val="00FE1CDC"/>
    <w:rsid w:val="00FE37AE"/>
    <w:rsid w:val="00FE3EFD"/>
    <w:rsid w:val="00FE4F99"/>
    <w:rsid w:val="00FE51C2"/>
    <w:rsid w:val="00FE6D3C"/>
    <w:rsid w:val="00FE7047"/>
    <w:rsid w:val="00FE70C3"/>
    <w:rsid w:val="00FE7139"/>
    <w:rsid w:val="00FE74D4"/>
    <w:rsid w:val="00FE75DB"/>
    <w:rsid w:val="00FE7A72"/>
    <w:rsid w:val="00FE7FE7"/>
    <w:rsid w:val="00FF0389"/>
    <w:rsid w:val="00FF1434"/>
    <w:rsid w:val="00FF1A8B"/>
    <w:rsid w:val="00FF2512"/>
    <w:rsid w:val="00FF2AD9"/>
    <w:rsid w:val="00FF359F"/>
    <w:rsid w:val="00FF3DCF"/>
    <w:rsid w:val="00FF492C"/>
    <w:rsid w:val="00FF4A21"/>
    <w:rsid w:val="00FF5686"/>
    <w:rsid w:val="00FF5AA3"/>
    <w:rsid w:val="00FF5AD8"/>
    <w:rsid w:val="00FF71A5"/>
    <w:rsid w:val="00FF7DE0"/>
    <w:rsid w:val="137819A1"/>
    <w:rsid w:val="201111AC"/>
    <w:rsid w:val="3E303282"/>
    <w:rsid w:val="5A56759A"/>
    <w:rsid w:val="6148CB45"/>
    <w:rsid w:val="6CBCDA44"/>
    <w:rsid w:val="7F8A406B"/>
    <w:rsid w:val="7FB11F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style>
  <w:style w:type="paragraph" w:customStyle="1" w:styleId="COMexecsummmainissuesbullets">
    <w:name w:val="COM exec summ main issues bullets"/>
    <w:basedOn w:val="ListParagraph"/>
    <w:link w:val="COMexecsummmainissuesbulletsChar"/>
    <w:qFormat/>
    <w:rsid w:val="00023AB6"/>
    <w:pPr>
      <w:numPr>
        <w:numId w:val="6"/>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96EAA"/>
    <w:pPr>
      <w:keepNext/>
      <w:spacing w:after="240"/>
      <w:outlineLvl w:val="2"/>
    </w:pPr>
    <w:rPr>
      <w:b/>
      <w:iCs/>
      <w:sz w:val="28"/>
    </w:rPr>
  </w:style>
  <w:style w:type="paragraph" w:styleId="ListParagraph">
    <w:name w:val="List Paragraph"/>
    <w:aliases w:val="Numbered para,BulletPoints,Styl moj,Akapit z listą1,Akapit z listą11,Bullets Points,List Paragraph1,Bullet1,Footnote,Bullet point,List Paragraph11,Recommendation,ES Paragraph,PBAC ES Paragraph,PBAC normal points,L,Bullet Point,Footer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Numbered para Char,BulletPoints Char,Styl moj Char,Akapit z listą1 Char,Akapit z listą11 Char,Bullets Points Char,List Paragraph1 Char,Bullet1 Char,Footnote Char,Bullet point Char,List Paragraph11 Char,Recommendation Char,L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PBAC table,new style,MSD Table Grid,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D0975"/>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96EAA"/>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5"/>
      </w:numPr>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6A74CB"/>
    <w:rPr>
      <w:color w:val="0000FF" w:themeColor="hyperlink"/>
      <w:u w:val="single"/>
    </w:rPr>
  </w:style>
  <w:style w:type="paragraph" w:styleId="TOC4">
    <w:name w:val="toc 4"/>
    <w:basedOn w:val="Normal"/>
    <w:next w:val="Normal"/>
    <w:autoRedefine/>
    <w:uiPriority w:val="39"/>
    <w:unhideWhenUsed/>
    <w:rsid w:val="006A74CB"/>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A74CB"/>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A74CB"/>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A74CB"/>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A74CB"/>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A74CB"/>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6A74CB"/>
    <w:rPr>
      <w:color w:val="605E5C"/>
      <w:shd w:val="clear" w:color="auto" w:fill="E1DFDD"/>
    </w:rPr>
  </w:style>
  <w:style w:type="paragraph" w:customStyle="1" w:styleId="TableText">
    <w:name w:val="Table Text"/>
    <w:link w:val="TableTextChar"/>
    <w:qFormat/>
    <w:rsid w:val="00C814AB"/>
    <w:pPr>
      <w:keepNext/>
    </w:pPr>
    <w:rPr>
      <w:rFonts w:ascii="Arial Narrow" w:eastAsiaTheme="majorEastAsia" w:hAnsi="Arial Narrow" w:cstheme="majorBidi"/>
      <w:bCs/>
      <w:szCs w:val="24"/>
    </w:rPr>
  </w:style>
  <w:style w:type="paragraph" w:customStyle="1" w:styleId="TableFigureFooter">
    <w:name w:val="Table/Figure Footer"/>
    <w:basedOn w:val="Normal"/>
    <w:link w:val="TableFigureFooterChar"/>
    <w:qFormat/>
    <w:rsid w:val="00C814AB"/>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C814AB"/>
    <w:rPr>
      <w:rFonts w:ascii="Arial Narrow" w:hAnsi="Arial Narrow" w:cs="Arial"/>
      <w:snapToGrid w:val="0"/>
      <w:sz w:val="18"/>
      <w:szCs w:val="22"/>
    </w:rPr>
  </w:style>
  <w:style w:type="character" w:customStyle="1" w:styleId="TableTextChar">
    <w:name w:val="Table Text Char"/>
    <w:basedOn w:val="DefaultParagraphFont"/>
    <w:link w:val="TableText"/>
    <w:rsid w:val="00C814AB"/>
    <w:rPr>
      <w:rFonts w:ascii="Arial Narrow" w:eastAsiaTheme="majorEastAsia" w:hAnsi="Arial Narrow" w:cstheme="majorBidi"/>
      <w:bCs/>
      <w:szCs w:val="24"/>
    </w:rPr>
  </w:style>
  <w:style w:type="paragraph" w:customStyle="1" w:styleId="TableHeading">
    <w:name w:val="Table Heading"/>
    <w:basedOn w:val="Normal"/>
    <w:link w:val="TableHeadingChar"/>
    <w:qFormat/>
    <w:rsid w:val="00C814AB"/>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C814AB"/>
    <w:rPr>
      <w:rFonts w:ascii="Arial Narrow" w:eastAsiaTheme="minorHAnsi" w:hAnsi="Arial Narrow" w:cstheme="minorBidi"/>
      <w:b/>
      <w:szCs w:val="22"/>
      <w:lang w:eastAsia="en-US"/>
    </w:rPr>
  </w:style>
  <w:style w:type="paragraph" w:customStyle="1" w:styleId="5-SubSubSubHead">
    <w:name w:val="5-Sub Sub Sub Head"/>
    <w:basedOn w:val="Heading4"/>
    <w:qFormat/>
    <w:rsid w:val="00E40EBE"/>
  </w:style>
  <w:style w:type="paragraph" w:customStyle="1" w:styleId="V50Instructions">
    <w:name w:val="V5.0 Instructions"/>
    <w:basedOn w:val="Normal"/>
    <w:link w:val="V50InstructionsChar"/>
    <w:qFormat/>
    <w:rsid w:val="00EA6EFC"/>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EA6EFC"/>
    <w:rPr>
      <w:rFonts w:asciiTheme="minorHAnsi" w:eastAsiaTheme="minorHAnsi" w:hAnsiTheme="minorHAnsi" w:cstheme="minorBidi"/>
      <w:color w:val="4BACC6" w:themeColor="accent5"/>
      <w:sz w:val="24"/>
      <w:szCs w:val="22"/>
      <w:lang w:eastAsia="en-US"/>
    </w:rPr>
  </w:style>
  <w:style w:type="character" w:customStyle="1" w:styleId="COMBodyChar0">
    <w:name w:val="COMBody Char"/>
    <w:basedOn w:val="DefaultParagraphFont"/>
    <w:link w:val="COMBody0"/>
    <w:locked/>
    <w:rsid w:val="00EA6EFC"/>
    <w:rPr>
      <w:rFonts w:ascii="Calibri" w:hAnsi="Calibri" w:cs="Arial"/>
      <w:sz w:val="24"/>
    </w:rPr>
  </w:style>
  <w:style w:type="paragraph" w:customStyle="1" w:styleId="COMBody0">
    <w:name w:val="COMBody"/>
    <w:basedOn w:val="Normal"/>
    <w:link w:val="COMBodyChar0"/>
    <w:qFormat/>
    <w:rsid w:val="00EA6EFC"/>
    <w:pPr>
      <w:widowControl w:val="0"/>
      <w:snapToGrid w:val="0"/>
    </w:pPr>
    <w:rPr>
      <w:szCs w:val="20"/>
    </w:rPr>
  </w:style>
  <w:style w:type="paragraph" w:customStyle="1" w:styleId="Tableheadingrow">
    <w:name w:val="Table heading row"/>
    <w:qFormat/>
    <w:rsid w:val="00A43CB6"/>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A43CB6"/>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A43CB6"/>
    <w:rPr>
      <w:rFonts w:ascii="Arial Narrow" w:eastAsiaTheme="majorEastAsia" w:hAnsi="Arial Narrow" w:cstheme="majorBidi"/>
      <w:b/>
      <w:bCs/>
      <w:szCs w:val="24"/>
    </w:rPr>
  </w:style>
  <w:style w:type="character" w:customStyle="1" w:styleId="Small">
    <w:name w:val="Small"/>
    <w:basedOn w:val="DefaultParagraphFont"/>
    <w:uiPriority w:val="4"/>
    <w:qFormat/>
    <w:rsid w:val="00E41AFC"/>
    <w:rPr>
      <w:rFonts w:asciiTheme="minorHAnsi" w:hAnsiTheme="minorHAnsi"/>
      <w:sz w:val="18"/>
    </w:rPr>
  </w:style>
  <w:style w:type="character" w:styleId="CommentReference">
    <w:name w:val="annotation reference"/>
    <w:aliases w:val="Table Title"/>
    <w:uiPriority w:val="99"/>
    <w:qFormat/>
    <w:rsid w:val="005A72A4"/>
    <w:rPr>
      <w:rFonts w:ascii="Arial Narrow" w:hAnsi="Arial Narrow"/>
      <w:b/>
      <w:sz w:val="20"/>
      <w:szCs w:val="16"/>
    </w:rPr>
  </w:style>
  <w:style w:type="paragraph" w:customStyle="1" w:styleId="TableFooter">
    <w:name w:val="Table Footer"/>
    <w:basedOn w:val="Normal"/>
    <w:link w:val="TableFooterChar"/>
    <w:qFormat/>
    <w:rsid w:val="004C6CAE"/>
    <w:pPr>
      <w:widowControl w:val="0"/>
    </w:pPr>
    <w:rPr>
      <w:rFonts w:ascii="Arial Narrow" w:hAnsi="Arial Narrow"/>
      <w:snapToGrid w:val="0"/>
      <w:sz w:val="18"/>
      <w:szCs w:val="22"/>
      <w:lang w:eastAsia="en-US"/>
    </w:rPr>
  </w:style>
  <w:style w:type="character" w:customStyle="1" w:styleId="TableFooterChar">
    <w:name w:val="Table Footer Char"/>
    <w:link w:val="TableFooter"/>
    <w:rsid w:val="004C6CAE"/>
    <w:rPr>
      <w:rFonts w:ascii="Arial Narrow" w:hAnsi="Arial Narrow" w:cs="Arial"/>
      <w:snapToGrid w:val="0"/>
      <w:sz w:val="18"/>
      <w:szCs w:val="22"/>
      <w:lang w:eastAsia="en-US"/>
    </w:rPr>
  </w:style>
  <w:style w:type="paragraph" w:customStyle="1" w:styleId="Tabletext0">
    <w:name w:val="Table text"/>
    <w:basedOn w:val="Normal"/>
    <w:link w:val="TabletextChar0"/>
    <w:uiPriority w:val="99"/>
    <w:qFormat/>
    <w:rsid w:val="00AA7945"/>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AA7945"/>
    <w:rPr>
      <w:rFonts w:ascii="Arial Narrow" w:hAnsi="Arial Narrow"/>
      <w:szCs w:val="22"/>
      <w:lang w:eastAsia="en-US"/>
    </w:rPr>
  </w:style>
  <w:style w:type="paragraph" w:customStyle="1" w:styleId="Commentitalics">
    <w:name w:val="Comment (italics)"/>
    <w:basedOn w:val="Normal"/>
    <w:next w:val="Normal"/>
    <w:qFormat/>
    <w:rsid w:val="00396609"/>
    <w:rPr>
      <w:i/>
    </w:rPr>
  </w:style>
  <w:style w:type="paragraph" w:customStyle="1" w:styleId="4-SubsectSubhead">
    <w:name w:val="4-Subsect Subhead"/>
    <w:basedOn w:val="Heading3"/>
    <w:next w:val="Normal"/>
    <w:link w:val="4-SubsectSubheadChar"/>
    <w:qFormat/>
    <w:rsid w:val="00223C9A"/>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223C9A"/>
    <w:rPr>
      <w:rFonts w:asciiTheme="minorHAnsi" w:eastAsiaTheme="majorEastAsia" w:hAnsiTheme="minorHAnsi" w:cstheme="majorBidi"/>
      <w:b/>
      <w:color w:val="000000" w:themeColor="text1"/>
      <w:sz w:val="28"/>
      <w:szCs w:val="28"/>
    </w:rPr>
  </w:style>
  <w:style w:type="paragraph" w:customStyle="1" w:styleId="TableHeader">
    <w:name w:val="Table Header"/>
    <w:basedOn w:val="Normal"/>
    <w:uiPriority w:val="3"/>
    <w:rsid w:val="00A92379"/>
    <w:pPr>
      <w:widowControl w:val="0"/>
    </w:pPr>
    <w:rPr>
      <w:b/>
      <w:snapToGrid w:val="0"/>
      <w:sz w:val="20"/>
      <w:szCs w:val="22"/>
      <w:lang w:eastAsia="en-US"/>
    </w:rPr>
  </w:style>
  <w:style w:type="paragraph" w:styleId="CommentText">
    <w:name w:val="annotation text"/>
    <w:basedOn w:val="Normal"/>
    <w:link w:val="CommentTextChar"/>
    <w:uiPriority w:val="99"/>
    <w:unhideWhenUsed/>
    <w:rsid w:val="000D5B5A"/>
    <w:rPr>
      <w:sz w:val="20"/>
      <w:szCs w:val="20"/>
    </w:rPr>
  </w:style>
  <w:style w:type="character" w:customStyle="1" w:styleId="CommentTextChar">
    <w:name w:val="Comment Text Char"/>
    <w:basedOn w:val="DefaultParagraphFont"/>
    <w:link w:val="CommentText"/>
    <w:uiPriority w:val="99"/>
    <w:rsid w:val="000D5B5A"/>
    <w:rPr>
      <w:rFonts w:ascii="Calibri" w:hAnsi="Calibri" w:cs="Arial"/>
    </w:rPr>
  </w:style>
  <w:style w:type="table" w:customStyle="1" w:styleId="Submissionstandard">
    <w:name w:val="Submission standard"/>
    <w:uiPriority w:val="99"/>
    <w:qFormat/>
    <w:rsid w:val="00AE5A38"/>
    <w:rPr>
      <w:rFonts w:ascii="Arial Narrow" w:hAnsi="Arial Narrow"/>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Open Sans" w:hAnsi="Open Sans" w:cs="Times New Roman"/>
        <w:b/>
        <w:sz w:val="20"/>
      </w:rPr>
      <w:tblPr/>
      <w:tcPr>
        <w:shd w:val="clear" w:color="auto" w:fill="BFBFBF"/>
      </w:tcPr>
    </w:tblStylePr>
  </w:style>
  <w:style w:type="paragraph" w:styleId="Caption">
    <w:name w:val="caption"/>
    <w:aliases w:val="Caption Char1,Caption Char Char,Caption Char1 Char Char,Caption Char Char Char Char, Char Char Char Char Char,Caption Char Char1,Char Char Char Char Char,wcp_Caption,Légende_Legend,Alexion Caption,Bayer Caption,Table Caption,Caption-FUSA,c,c-,12"/>
    <w:basedOn w:val="Normal"/>
    <w:next w:val="Normal"/>
    <w:link w:val="CaptionChar"/>
    <w:uiPriority w:val="35"/>
    <w:unhideWhenUsed/>
    <w:qFormat/>
    <w:rsid w:val="00616694"/>
    <w:pPr>
      <w:spacing w:after="200"/>
    </w:pPr>
    <w:rPr>
      <w:i/>
      <w:iCs/>
      <w:color w:val="1F497D" w:themeColor="text2"/>
      <w:sz w:val="18"/>
      <w:szCs w:val="18"/>
    </w:rPr>
  </w:style>
  <w:style w:type="paragraph" w:styleId="Header">
    <w:name w:val="header"/>
    <w:basedOn w:val="Normal"/>
    <w:link w:val="HeaderChar"/>
    <w:unhideWhenUsed/>
    <w:qFormat/>
    <w:rsid w:val="00A87175"/>
    <w:pPr>
      <w:tabs>
        <w:tab w:val="center" w:pos="4513"/>
        <w:tab w:val="right" w:pos="9026"/>
      </w:tabs>
    </w:pPr>
  </w:style>
  <w:style w:type="character" w:customStyle="1" w:styleId="HeaderChar">
    <w:name w:val="Header Char"/>
    <w:basedOn w:val="DefaultParagraphFont"/>
    <w:link w:val="Header"/>
    <w:rsid w:val="00A87175"/>
    <w:rPr>
      <w:rFonts w:ascii="Calibri" w:hAnsi="Calibri" w:cs="Arial"/>
      <w:sz w:val="24"/>
      <w:szCs w:val="24"/>
    </w:rPr>
  </w:style>
  <w:style w:type="paragraph" w:styleId="Footer">
    <w:name w:val="footer"/>
    <w:basedOn w:val="Normal"/>
    <w:link w:val="FooterChar"/>
    <w:uiPriority w:val="99"/>
    <w:unhideWhenUsed/>
    <w:rsid w:val="00A87175"/>
    <w:pPr>
      <w:tabs>
        <w:tab w:val="center" w:pos="4513"/>
        <w:tab w:val="right" w:pos="9026"/>
      </w:tabs>
    </w:pPr>
  </w:style>
  <w:style w:type="character" w:customStyle="1" w:styleId="FooterChar">
    <w:name w:val="Footer Char"/>
    <w:basedOn w:val="DefaultParagraphFont"/>
    <w:link w:val="Footer"/>
    <w:uiPriority w:val="99"/>
    <w:rsid w:val="00A87175"/>
    <w:rPr>
      <w:rFonts w:ascii="Calibri" w:hAnsi="Calibri" w:cs="Arial"/>
      <w:sz w:val="24"/>
      <w:szCs w:val="24"/>
    </w:rPr>
  </w:style>
  <w:style w:type="paragraph" w:styleId="CommentSubject">
    <w:name w:val="annotation subject"/>
    <w:basedOn w:val="CommentText"/>
    <w:next w:val="CommentText"/>
    <w:link w:val="CommentSubjectChar"/>
    <w:semiHidden/>
    <w:unhideWhenUsed/>
    <w:rsid w:val="00443E43"/>
    <w:rPr>
      <w:b/>
      <w:bCs/>
    </w:rPr>
  </w:style>
  <w:style w:type="character" w:customStyle="1" w:styleId="CommentSubjectChar">
    <w:name w:val="Comment Subject Char"/>
    <w:basedOn w:val="CommentTextChar"/>
    <w:link w:val="CommentSubject"/>
    <w:semiHidden/>
    <w:rsid w:val="00443E43"/>
    <w:rPr>
      <w:rFonts w:ascii="Calibri" w:hAnsi="Calibri" w:cs="Arial"/>
      <w:b/>
      <w:bCs/>
    </w:rPr>
  </w:style>
  <w:style w:type="character" w:customStyle="1" w:styleId="UnresolvedMention2">
    <w:name w:val="Unresolved Mention2"/>
    <w:basedOn w:val="DefaultParagraphFont"/>
    <w:uiPriority w:val="99"/>
    <w:semiHidden/>
    <w:unhideWhenUsed/>
    <w:rsid w:val="00C905EB"/>
    <w:rPr>
      <w:color w:val="605E5C"/>
      <w:shd w:val="clear" w:color="auto" w:fill="E1DFDD"/>
    </w:rPr>
  </w:style>
  <w:style w:type="character" w:customStyle="1" w:styleId="cf01">
    <w:name w:val="cf01"/>
    <w:basedOn w:val="DefaultParagraphFont"/>
    <w:rsid w:val="00F06ED3"/>
    <w:rPr>
      <w:rFonts w:ascii="Segoe UI" w:hAnsi="Segoe UI" w:cs="Segoe UI" w:hint="default"/>
      <w:sz w:val="18"/>
      <w:szCs w:val="18"/>
    </w:rPr>
  </w:style>
  <w:style w:type="character" w:customStyle="1" w:styleId="cf11">
    <w:name w:val="cf11"/>
    <w:basedOn w:val="DefaultParagraphFont"/>
    <w:rsid w:val="00F06ED3"/>
    <w:rPr>
      <w:rFonts w:ascii="Segoe UI" w:hAnsi="Segoe UI" w:cs="Segoe UI" w:hint="default"/>
      <w:sz w:val="18"/>
      <w:szCs w:val="18"/>
      <w:u w:val="single"/>
    </w:rPr>
  </w:style>
  <w:style w:type="paragraph" w:customStyle="1" w:styleId="2-SectionHeading">
    <w:name w:val="2-Section Heading"/>
    <w:qFormat/>
    <w:rsid w:val="00451699"/>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qFormat/>
    <w:rsid w:val="00451699"/>
    <w:pPr>
      <w:numPr>
        <w:numId w:val="0"/>
      </w:numPr>
      <w:tabs>
        <w:tab w:val="num" w:pos="360"/>
      </w:tabs>
      <w:ind w:left="890" w:hanging="360"/>
    </w:pPr>
  </w:style>
  <w:style w:type="paragraph" w:styleId="FootnoteText">
    <w:name w:val="footnote text"/>
    <w:basedOn w:val="Normal"/>
    <w:link w:val="FootnoteTextChar"/>
    <w:uiPriority w:val="99"/>
    <w:semiHidden/>
    <w:unhideWhenUsed/>
    <w:rsid w:val="00451699"/>
    <w:pPr>
      <w:jc w:val="left"/>
    </w:pPr>
    <w:rPr>
      <w:sz w:val="20"/>
      <w:szCs w:val="20"/>
    </w:rPr>
  </w:style>
  <w:style w:type="character" w:customStyle="1" w:styleId="FootnoteTextChar">
    <w:name w:val="Footnote Text Char"/>
    <w:basedOn w:val="DefaultParagraphFont"/>
    <w:link w:val="FootnoteText"/>
    <w:uiPriority w:val="99"/>
    <w:semiHidden/>
    <w:rsid w:val="00451699"/>
    <w:rPr>
      <w:rFonts w:ascii="Calibri" w:hAnsi="Calibri" w:cs="Arial"/>
    </w:rPr>
  </w:style>
  <w:style w:type="character" w:styleId="FootnoteReference">
    <w:name w:val="footnote reference"/>
    <w:basedOn w:val="DefaultParagraphFont"/>
    <w:semiHidden/>
    <w:unhideWhenUsed/>
    <w:rsid w:val="00451699"/>
    <w:rPr>
      <w:vertAlign w:val="superscript"/>
    </w:rPr>
  </w:style>
  <w:style w:type="paragraph" w:customStyle="1" w:styleId="Bulletpoints">
    <w:name w:val="Bullet points"/>
    <w:basedOn w:val="Normal"/>
    <w:rsid w:val="00291F22"/>
    <w:pPr>
      <w:spacing w:after="120"/>
      <w:ind w:left="720"/>
      <w:contextualSpacing/>
    </w:pPr>
    <w:rPr>
      <w:snapToGrid w:val="0"/>
    </w:rPr>
  </w:style>
  <w:style w:type="paragraph" w:customStyle="1" w:styleId="PBACHeading1">
    <w:name w:val="PBAC Heading 1"/>
    <w:qFormat/>
    <w:rsid w:val="00B30930"/>
    <w:pPr>
      <w:ind w:left="720" w:hanging="720"/>
      <w:outlineLvl w:val="0"/>
    </w:pPr>
    <w:rPr>
      <w:rFonts w:ascii="Calibri" w:hAnsi="Calibri" w:cs="Calibri"/>
      <w:b/>
      <w:snapToGrid w:val="0"/>
      <w:sz w:val="32"/>
      <w:szCs w:val="32"/>
      <w:lang w:eastAsia="en-US"/>
    </w:rPr>
  </w:style>
  <w:style w:type="character" w:styleId="UnresolvedMention">
    <w:name w:val="Unresolved Mention"/>
    <w:basedOn w:val="DefaultParagraphFont"/>
    <w:uiPriority w:val="99"/>
    <w:semiHidden/>
    <w:unhideWhenUsed/>
    <w:rsid w:val="005A385F"/>
    <w:rPr>
      <w:color w:val="605E5C"/>
      <w:shd w:val="clear" w:color="auto" w:fill="E1DFDD"/>
    </w:rPr>
  </w:style>
  <w:style w:type="paragraph" w:styleId="NormalWeb">
    <w:name w:val="Normal (Web)"/>
    <w:basedOn w:val="Normal"/>
    <w:uiPriority w:val="99"/>
    <w:semiHidden/>
    <w:unhideWhenUsed/>
    <w:rsid w:val="00836A85"/>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8B3A69"/>
    <w:pPr>
      <w:keepNext/>
      <w:spacing w:before="120" w:after="120"/>
      <w:jc w:val="both"/>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8B3A69"/>
    <w:rPr>
      <w:rFonts w:asciiTheme="minorHAnsi" w:eastAsiaTheme="majorEastAsia" w:hAnsiTheme="minorHAnsi" w:cstheme="majorBidi"/>
      <w:b/>
      <w:i/>
      <w:color w:val="365F91" w:themeColor="accent1" w:themeShade="BF"/>
      <w:spacing w:val="5"/>
      <w:kern w:val="28"/>
      <w:sz w:val="28"/>
      <w:szCs w:val="36"/>
      <w:lang w:eastAsia="en-US"/>
    </w:rPr>
  </w:style>
  <w:style w:type="character" w:customStyle="1" w:styleId="CaptionChar">
    <w:name w:val="Caption Char"/>
    <w:aliases w:val="Caption Char1 Char,Caption Char Char Char,Caption Char1 Char Char Char,Caption Char Char Char Char Char, Char Char Char Char Char Char,Caption Char Char1 Char,Char Char Char Char Char Char,wcp_Caption Char,Légende_Legend Char,c Char,c- Char"/>
    <w:basedOn w:val="DefaultParagraphFont"/>
    <w:link w:val="Caption"/>
    <w:uiPriority w:val="99"/>
    <w:rsid w:val="00560BCD"/>
    <w:rPr>
      <w:rFonts w:ascii="Calibri" w:hAnsi="Calibri" w:cs="Arial"/>
      <w:i/>
      <w:iCs/>
      <w:color w:val="1F497D" w:themeColor="text2"/>
      <w:sz w:val="18"/>
      <w:szCs w:val="18"/>
    </w:rPr>
  </w:style>
  <w:style w:type="character" w:customStyle="1" w:styleId="CaptionFootnoteChar">
    <w:name w:val="Caption Footnote Char"/>
    <w:basedOn w:val="CaptionChar"/>
    <w:link w:val="CaptionFootnote"/>
    <w:rsid w:val="00560BCD"/>
    <w:rPr>
      <w:rFonts w:ascii="Calibri" w:hAnsi="Calibri" w:cs="Arial"/>
      <w:b/>
      <w:i/>
      <w:iCs/>
      <w:color w:val="1F497D" w:themeColor="text2"/>
      <w:sz w:val="16"/>
      <w:szCs w:val="18"/>
    </w:rPr>
  </w:style>
  <w:style w:type="paragraph" w:customStyle="1" w:styleId="CaptionFootnote">
    <w:name w:val="Caption Footnote"/>
    <w:basedOn w:val="Caption"/>
    <w:link w:val="CaptionFootnoteChar"/>
    <w:qFormat/>
    <w:rsid w:val="00560BCD"/>
    <w:pPr>
      <w:widowControl w:val="0"/>
      <w:spacing w:after="0"/>
      <w:jc w:val="left"/>
    </w:pPr>
    <w:rPr>
      <w:b/>
      <w:sz w:val="16"/>
    </w:rPr>
  </w:style>
  <w:style w:type="character" w:customStyle="1" w:styleId="ui-provider">
    <w:name w:val="ui-provider"/>
    <w:basedOn w:val="DefaultParagraphFont"/>
    <w:rsid w:val="00717D48"/>
  </w:style>
  <w:style w:type="paragraph" w:customStyle="1" w:styleId="1-MainHeading">
    <w:name w:val="1-Main Heading"/>
    <w:link w:val="1-MainHeadingChar"/>
    <w:qFormat/>
    <w:rsid w:val="00477312"/>
    <w:pPr>
      <w:keepNext/>
      <w:spacing w:before="120" w:after="160"/>
      <w:ind w:left="720" w:hanging="720"/>
      <w:outlineLvl w:val="0"/>
    </w:pPr>
    <w:rPr>
      <w:rFonts w:asciiTheme="minorHAnsi" w:eastAsiaTheme="majorEastAsia" w:hAnsiTheme="minorHAnsi" w:cstheme="majorBidi"/>
      <w:b/>
      <w:spacing w:val="5"/>
      <w:kern w:val="28"/>
      <w:sz w:val="36"/>
      <w:szCs w:val="36"/>
      <w:lang w:eastAsia="en-US"/>
    </w:rPr>
  </w:style>
  <w:style w:type="character" w:customStyle="1" w:styleId="1-MainHeadingChar">
    <w:name w:val="1-Main Heading Char"/>
    <w:basedOn w:val="DefaultParagraphFont"/>
    <w:link w:val="1-MainHeading"/>
    <w:rsid w:val="00477312"/>
    <w:rPr>
      <w:rFonts w:asciiTheme="minorHAnsi" w:eastAsiaTheme="majorEastAsia" w:hAnsiTheme="minorHAnsi" w:cstheme="majorBidi"/>
      <w:b/>
      <w:spacing w:val="5"/>
      <w:kern w:val="28"/>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77329021">
      <w:bodyDiv w:val="1"/>
      <w:marLeft w:val="0"/>
      <w:marRight w:val="0"/>
      <w:marTop w:val="0"/>
      <w:marBottom w:val="0"/>
      <w:divBdr>
        <w:top w:val="none" w:sz="0" w:space="0" w:color="auto"/>
        <w:left w:val="none" w:sz="0" w:space="0" w:color="auto"/>
        <w:bottom w:val="none" w:sz="0" w:space="0" w:color="auto"/>
        <w:right w:val="none" w:sz="0" w:space="0" w:color="auto"/>
      </w:divBdr>
    </w:div>
    <w:div w:id="73088468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363488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302226069">
      <w:bodyDiv w:val="1"/>
      <w:marLeft w:val="0"/>
      <w:marRight w:val="0"/>
      <w:marTop w:val="0"/>
      <w:marBottom w:val="0"/>
      <w:divBdr>
        <w:top w:val="none" w:sz="0" w:space="0" w:color="auto"/>
        <w:left w:val="none" w:sz="0" w:space="0" w:color="auto"/>
        <w:bottom w:val="none" w:sz="0" w:space="0" w:color="auto"/>
        <w:right w:val="none" w:sz="0" w:space="0" w:color="auto"/>
      </w:divBdr>
    </w:div>
    <w:div w:id="1356736371">
      <w:bodyDiv w:val="1"/>
      <w:marLeft w:val="0"/>
      <w:marRight w:val="0"/>
      <w:marTop w:val="0"/>
      <w:marBottom w:val="0"/>
      <w:divBdr>
        <w:top w:val="none" w:sz="0" w:space="0" w:color="auto"/>
        <w:left w:val="none" w:sz="0" w:space="0" w:color="auto"/>
        <w:bottom w:val="none" w:sz="0" w:space="0" w:color="auto"/>
        <w:right w:val="none" w:sz="0" w:space="0" w:color="auto"/>
      </w:divBdr>
    </w:div>
    <w:div w:id="1802386062">
      <w:bodyDiv w:val="1"/>
      <w:marLeft w:val="0"/>
      <w:marRight w:val="0"/>
      <w:marTop w:val="0"/>
      <w:marBottom w:val="0"/>
      <w:divBdr>
        <w:top w:val="none" w:sz="0" w:space="0" w:color="auto"/>
        <w:left w:val="none" w:sz="0" w:space="0" w:color="auto"/>
        <w:bottom w:val="none" w:sz="0" w:space="0" w:color="auto"/>
        <w:right w:val="none" w:sz="0" w:space="0" w:color="auto"/>
      </w:divBdr>
    </w:div>
    <w:div w:id="190783621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9061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002/mus.221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1141-09E0-4658-A3A7-989C063B1869}">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19202</Words>
  <Characters>109454</Characters>
  <Application>Microsoft Office Word</Application>
  <DocSecurity>0</DocSecurity>
  <Lines>912</Lines>
  <Paragraphs>256</Paragraphs>
  <ScaleCrop>false</ScaleCrop>
  <Company/>
  <LinksUpToDate>false</LinksUpToDate>
  <CharactersWithSpaces>128400</CharactersWithSpaces>
  <SharedDoc>false</SharedDoc>
  <HLinks>
    <vt:vector size="6" baseType="variant">
      <vt:variant>
        <vt:i4>5570650</vt:i4>
      </vt:variant>
      <vt:variant>
        <vt:i4>9</vt:i4>
      </vt:variant>
      <vt:variant>
        <vt:i4>0</vt:i4>
      </vt:variant>
      <vt:variant>
        <vt:i4>5</vt:i4>
      </vt:variant>
      <vt:variant>
        <vt:lpwstr>https://onlinelibrary.wiley.com/doi/10.1002/mus.22140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2024-10-25T01:22:00Z</dcterms:created>
  <dcterms:modified xsi:type="dcterms:W3CDTF">2024-10-25T01:22:00Z</dcterms:modified>
</cp:coreProperties>
</file>